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color w:val="auto"/>
          <w:highlight w:val="none"/>
        </w:rPr>
      </w:pPr>
      <w:bookmarkStart w:id="0" w:name="_Toc390421466"/>
    </w:p>
    <w:p>
      <w:pPr>
        <w:spacing w:line="700" w:lineRule="exact"/>
        <w:ind w:right="-1"/>
        <w:jc w:val="center"/>
        <w:rPr>
          <w:rFonts w:ascii="宋体"/>
          <w:b/>
          <w:bCs/>
          <w:color w:val="auto"/>
          <w:sz w:val="44"/>
          <w:szCs w:val="44"/>
          <w:highlight w:val="none"/>
        </w:rPr>
      </w:pPr>
      <w:r>
        <w:rPr>
          <w:rFonts w:hint="eastAsia" w:ascii="宋体"/>
          <w:b/>
          <w:bCs/>
          <w:color w:val="auto"/>
          <w:sz w:val="44"/>
          <w:szCs w:val="44"/>
          <w:highlight w:val="none"/>
        </w:rPr>
        <w:t>2023年广东农垦糖蔗产业集群华丰公司压榨机改造及预处理系统配套工程项目</w:t>
      </w:r>
    </w:p>
    <w:p>
      <w:pPr>
        <w:spacing w:line="520" w:lineRule="exact"/>
        <w:ind w:left="1470" w:right="1764" w:firstLine="880"/>
        <w:jc w:val="center"/>
        <w:rPr>
          <w:rFonts w:ascii="宋体"/>
          <w:color w:val="auto"/>
          <w:sz w:val="44"/>
          <w:szCs w:val="44"/>
          <w:highlight w:val="none"/>
        </w:rPr>
      </w:pPr>
    </w:p>
    <w:p>
      <w:pPr>
        <w:spacing w:line="520" w:lineRule="exact"/>
        <w:ind w:firstLine="881"/>
        <w:jc w:val="center"/>
        <w:rPr>
          <w:rFonts w:ascii="宋体"/>
          <w:b/>
          <w:color w:val="auto"/>
          <w:sz w:val="44"/>
          <w:szCs w:val="44"/>
          <w:highlight w:val="none"/>
        </w:rPr>
      </w:pPr>
    </w:p>
    <w:p>
      <w:pPr>
        <w:spacing w:line="520" w:lineRule="exact"/>
        <w:ind w:firstLine="881"/>
        <w:jc w:val="center"/>
        <w:rPr>
          <w:rFonts w:ascii="宋体"/>
          <w:b/>
          <w:color w:val="auto"/>
          <w:sz w:val="44"/>
          <w:szCs w:val="44"/>
          <w:highlight w:val="none"/>
        </w:rPr>
      </w:pPr>
    </w:p>
    <w:p>
      <w:pPr>
        <w:spacing w:line="520" w:lineRule="exact"/>
        <w:ind w:firstLine="881"/>
        <w:jc w:val="center"/>
        <w:rPr>
          <w:rFonts w:ascii="宋体"/>
          <w:b/>
          <w:color w:val="auto"/>
          <w:sz w:val="44"/>
          <w:szCs w:val="44"/>
          <w:highlight w:val="none"/>
        </w:rPr>
      </w:pPr>
    </w:p>
    <w:p>
      <w:pPr>
        <w:spacing w:line="520" w:lineRule="exact"/>
        <w:ind w:firstLine="881"/>
        <w:jc w:val="center"/>
        <w:rPr>
          <w:rFonts w:ascii="宋体"/>
          <w:b/>
          <w:color w:val="auto"/>
          <w:sz w:val="44"/>
          <w:szCs w:val="44"/>
          <w:highlight w:val="none"/>
        </w:rPr>
      </w:pPr>
    </w:p>
    <w:p>
      <w:pPr>
        <w:spacing w:line="520" w:lineRule="exact"/>
        <w:ind w:firstLine="881"/>
        <w:jc w:val="center"/>
        <w:rPr>
          <w:rFonts w:ascii="宋体"/>
          <w:b/>
          <w:color w:val="auto"/>
          <w:sz w:val="44"/>
          <w:szCs w:val="44"/>
          <w:highlight w:val="none"/>
        </w:rPr>
      </w:pPr>
    </w:p>
    <w:p>
      <w:pPr>
        <w:spacing w:line="800" w:lineRule="exact"/>
        <w:ind w:firstLine="1682"/>
        <w:rPr>
          <w:rFonts w:ascii="宋体"/>
          <w:b/>
          <w:color w:val="auto"/>
          <w:sz w:val="84"/>
          <w:szCs w:val="84"/>
          <w:highlight w:val="none"/>
        </w:rPr>
      </w:pPr>
      <w:r>
        <w:rPr>
          <w:rFonts w:hint="eastAsia" w:ascii="宋体"/>
          <w:b/>
          <w:color w:val="auto"/>
          <w:sz w:val="84"/>
          <w:szCs w:val="84"/>
          <w:highlight w:val="none"/>
        </w:rPr>
        <w:t>施工招标文件</w:t>
      </w:r>
    </w:p>
    <w:p>
      <w:pPr>
        <w:spacing w:line="700" w:lineRule="exact"/>
        <w:ind w:right="1763" w:firstLine="881"/>
        <w:rPr>
          <w:rFonts w:ascii="宋体"/>
          <w:b/>
          <w:color w:val="auto"/>
          <w:sz w:val="44"/>
          <w:szCs w:val="44"/>
          <w:highlight w:val="none"/>
        </w:rPr>
      </w:pPr>
    </w:p>
    <w:p>
      <w:pPr>
        <w:spacing w:line="700" w:lineRule="exact"/>
        <w:ind w:right="1763" w:firstLine="881"/>
        <w:rPr>
          <w:rFonts w:ascii="宋体"/>
          <w:b/>
          <w:color w:val="auto"/>
          <w:sz w:val="44"/>
          <w:szCs w:val="44"/>
          <w:highlight w:val="none"/>
        </w:rPr>
      </w:pPr>
    </w:p>
    <w:p>
      <w:pPr>
        <w:spacing w:line="700" w:lineRule="exact"/>
        <w:ind w:right="1763" w:firstLine="881"/>
        <w:rPr>
          <w:rFonts w:ascii="宋体"/>
          <w:b/>
          <w:color w:val="auto"/>
          <w:sz w:val="44"/>
          <w:szCs w:val="44"/>
          <w:highlight w:val="none"/>
        </w:rPr>
      </w:pPr>
    </w:p>
    <w:p>
      <w:pPr>
        <w:spacing w:line="700" w:lineRule="exact"/>
        <w:ind w:right="1763" w:firstLine="881"/>
        <w:rPr>
          <w:rFonts w:ascii="宋体"/>
          <w:b/>
          <w:color w:val="auto"/>
          <w:sz w:val="44"/>
          <w:szCs w:val="44"/>
          <w:highlight w:val="none"/>
        </w:rPr>
      </w:pPr>
    </w:p>
    <w:p>
      <w:pPr>
        <w:spacing w:line="700" w:lineRule="exact"/>
        <w:ind w:right="1763" w:firstLine="881"/>
        <w:rPr>
          <w:rFonts w:ascii="宋体"/>
          <w:b/>
          <w:color w:val="auto"/>
          <w:sz w:val="44"/>
          <w:szCs w:val="44"/>
          <w:highlight w:val="none"/>
        </w:rPr>
      </w:pPr>
    </w:p>
    <w:p>
      <w:pPr>
        <w:spacing w:line="700" w:lineRule="exact"/>
        <w:ind w:right="1763" w:firstLine="881"/>
        <w:rPr>
          <w:rFonts w:ascii="宋体"/>
          <w:b/>
          <w:color w:val="auto"/>
          <w:sz w:val="44"/>
          <w:szCs w:val="44"/>
          <w:highlight w:val="none"/>
        </w:rPr>
      </w:pPr>
    </w:p>
    <w:p>
      <w:pPr>
        <w:tabs>
          <w:tab w:val="left" w:pos="1260"/>
          <w:tab w:val="left" w:pos="8119"/>
          <w:tab w:val="left" w:pos="8460"/>
        </w:tabs>
        <w:spacing w:line="720" w:lineRule="exact"/>
        <w:ind w:left="6059" w:leftChars="446" w:right="1561" w:hanging="5123" w:hangingChars="1601"/>
        <w:rPr>
          <w:rFonts w:ascii="宋体"/>
          <w:color w:val="auto"/>
          <w:sz w:val="32"/>
          <w:szCs w:val="32"/>
          <w:highlight w:val="none"/>
        </w:rPr>
      </w:pPr>
      <w:r>
        <w:rPr>
          <w:rFonts w:hint="eastAsia" w:ascii="宋体"/>
          <w:b/>
          <w:color w:val="auto"/>
          <w:sz w:val="32"/>
          <w:szCs w:val="32"/>
          <w:highlight w:val="none"/>
        </w:rPr>
        <w:t xml:space="preserve">招标单位：广东广垦华丰糖业有限公司 </w:t>
      </w:r>
    </w:p>
    <w:p>
      <w:pPr>
        <w:tabs>
          <w:tab w:val="left" w:pos="1260"/>
          <w:tab w:val="left" w:pos="8119"/>
          <w:tab w:val="left" w:pos="8460"/>
        </w:tabs>
        <w:spacing w:line="720" w:lineRule="exact"/>
        <w:ind w:left="6059" w:leftChars="446" w:right="1561" w:hanging="5123" w:hangingChars="1601"/>
        <w:rPr>
          <w:rFonts w:ascii="宋体"/>
          <w:color w:val="auto"/>
          <w:sz w:val="32"/>
          <w:szCs w:val="32"/>
          <w:highlight w:val="none"/>
        </w:rPr>
      </w:pPr>
      <w:r>
        <w:rPr>
          <w:rFonts w:hint="eastAsia" w:ascii="宋体"/>
          <w:b/>
          <w:color w:val="auto"/>
          <w:sz w:val="32"/>
          <w:szCs w:val="32"/>
          <w:highlight w:val="none"/>
        </w:rPr>
        <w:t>代理机构：广东省机电设备招标中心有限公司</w:t>
      </w:r>
    </w:p>
    <w:p>
      <w:pPr>
        <w:spacing w:line="720" w:lineRule="exact"/>
        <w:ind w:right="1764" w:firstLine="640"/>
        <w:rPr>
          <w:rFonts w:ascii="宋体"/>
          <w:b/>
          <w:color w:val="auto"/>
          <w:sz w:val="32"/>
          <w:szCs w:val="32"/>
          <w:highlight w:val="none"/>
        </w:rPr>
      </w:pPr>
      <w:r>
        <w:rPr>
          <w:rFonts w:hint="eastAsia" w:ascii="宋体"/>
          <w:b/>
          <w:color w:val="auto"/>
          <w:sz w:val="32"/>
          <w:szCs w:val="32"/>
          <w:highlight w:val="none"/>
        </w:rPr>
        <w:t>编制时间： 二〇二四年四月</w:t>
      </w:r>
    </w:p>
    <w:p>
      <w:pPr>
        <w:spacing w:line="720" w:lineRule="exact"/>
        <w:ind w:right="1764" w:firstLine="641"/>
        <w:rPr>
          <w:rFonts w:ascii="宋体"/>
          <w:b/>
          <w:color w:val="auto"/>
          <w:sz w:val="32"/>
          <w:szCs w:val="32"/>
          <w:highlight w:val="none"/>
        </w:rPr>
      </w:pPr>
    </w:p>
    <w:p>
      <w:pPr>
        <w:pStyle w:val="2"/>
        <w:rPr>
          <w:color w:val="auto"/>
          <w:highlight w:val="none"/>
        </w:rPr>
      </w:pPr>
    </w:p>
    <w:p>
      <w:pPr>
        <w:spacing w:line="520" w:lineRule="exact"/>
        <w:ind w:firstLine="881"/>
        <w:jc w:val="center"/>
        <w:rPr>
          <w:rFonts w:ascii="宋体"/>
          <w:b/>
          <w:bCs/>
          <w:color w:val="auto"/>
          <w:sz w:val="44"/>
          <w:szCs w:val="44"/>
          <w:highlight w:val="none"/>
        </w:rPr>
      </w:pPr>
      <w:r>
        <w:rPr>
          <w:rFonts w:hint="eastAsia" w:ascii="宋体"/>
          <w:b/>
          <w:bCs/>
          <w:color w:val="auto"/>
          <w:sz w:val="44"/>
          <w:szCs w:val="44"/>
          <w:highlight w:val="none"/>
        </w:rPr>
        <w:t xml:space="preserve">目   录       </w:t>
      </w:r>
    </w:p>
    <w:p>
      <w:pPr>
        <w:spacing w:line="520" w:lineRule="exact"/>
        <w:ind w:firstLine="561"/>
        <w:jc w:val="center"/>
        <w:rPr>
          <w:rFonts w:ascii="宋体"/>
          <w:b/>
          <w:bCs/>
          <w:color w:val="auto"/>
          <w:sz w:val="28"/>
          <w:szCs w:val="28"/>
          <w:highlight w:val="none"/>
        </w:rPr>
      </w:pPr>
    </w:p>
    <w:p>
      <w:pPr>
        <w:pStyle w:val="33"/>
        <w:tabs>
          <w:tab w:val="right" w:leader="dot" w:pos="9628"/>
        </w:tabs>
        <w:ind w:firstLine="561"/>
        <w:rPr>
          <w:color w:val="auto"/>
          <w:highlight w:val="none"/>
        </w:rPr>
      </w:pPr>
      <w:r>
        <w:rPr>
          <w:rFonts w:hint="eastAsia" w:ascii="宋体"/>
          <w:b/>
          <w:bCs/>
          <w:color w:val="auto"/>
          <w:sz w:val="28"/>
          <w:szCs w:val="28"/>
          <w:highlight w:val="none"/>
        </w:rPr>
        <w:fldChar w:fldCharType="begin"/>
      </w:r>
      <w:r>
        <w:rPr>
          <w:rFonts w:hint="eastAsia" w:ascii="宋体"/>
          <w:b/>
          <w:bCs/>
          <w:color w:val="auto"/>
          <w:sz w:val="28"/>
          <w:szCs w:val="28"/>
          <w:highlight w:val="none"/>
        </w:rPr>
        <w:instrText xml:space="preserve"> TOC \o "1-3" \h \z \u </w:instrText>
      </w:r>
      <w:r>
        <w:rPr>
          <w:rFonts w:hint="eastAsia" w:ascii="宋体"/>
          <w:b/>
          <w:bCs/>
          <w:color w:val="auto"/>
          <w:sz w:val="28"/>
          <w:szCs w:val="28"/>
          <w:highlight w:val="none"/>
        </w:rPr>
        <w:fldChar w:fldCharType="separate"/>
      </w:r>
    </w:p>
    <w:p>
      <w:pPr>
        <w:pStyle w:val="33"/>
        <w:tabs>
          <w:tab w:val="right" w:leader="dot" w:pos="9628"/>
        </w:tabs>
        <w:spacing w:line="288" w:lineRule="auto"/>
        <w:rPr>
          <w:color w:val="auto"/>
          <w:highlight w:val="none"/>
        </w:rPr>
      </w:pPr>
      <w:r>
        <w:rPr>
          <w:color w:val="auto"/>
          <w:highlight w:val="none"/>
        </w:rPr>
        <w:fldChar w:fldCharType="begin"/>
      </w:r>
      <w:r>
        <w:rPr>
          <w:color w:val="auto"/>
          <w:highlight w:val="none"/>
        </w:rPr>
        <w:instrText xml:space="preserve"> HYPERLINK \l "_Toc487755755" </w:instrText>
      </w:r>
      <w:r>
        <w:rPr>
          <w:color w:val="auto"/>
          <w:highlight w:val="none"/>
        </w:rPr>
        <w:fldChar w:fldCharType="separate"/>
      </w:r>
      <w:r>
        <w:rPr>
          <w:rStyle w:val="57"/>
          <w:rFonts w:hint="eastAsia" w:ascii="宋体"/>
          <w:color w:val="auto"/>
          <w:highlight w:val="none"/>
        </w:rPr>
        <w:t>第一部分投标须知</w:t>
      </w:r>
      <w:r>
        <w:rPr>
          <w:color w:val="auto"/>
          <w:highlight w:val="none"/>
        </w:rPr>
        <w:tab/>
      </w:r>
      <w:r>
        <w:rPr>
          <w:rFonts w:hint="eastAsia"/>
          <w:color w:val="auto"/>
          <w:highlight w:val="none"/>
        </w:rPr>
        <w:t>2</w:t>
      </w:r>
      <w:r>
        <w:rPr>
          <w:rFonts w:hint="eastAsia"/>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"_Toc487755756" </w:instrText>
      </w:r>
      <w:r>
        <w:rPr>
          <w:color w:val="auto"/>
          <w:highlight w:val="none"/>
        </w:rPr>
        <w:fldChar w:fldCharType="separate"/>
      </w:r>
      <w:r>
        <w:rPr>
          <w:rStyle w:val="57"/>
          <w:rFonts w:hint="eastAsia" w:ascii="宋体" w:hAnsi="宋体" w:cs="宋体"/>
          <w:color w:val="auto"/>
          <w:highlight w:val="none"/>
        </w:rPr>
        <w:t>一、总则</w:t>
      </w:r>
      <w:r>
        <w:rPr>
          <w:color w:val="auto"/>
          <w:highlight w:val="none"/>
        </w:rPr>
        <w:tab/>
      </w:r>
      <w:r>
        <w:rPr>
          <w:rFonts w:hint="eastAsia"/>
          <w:color w:val="auto"/>
          <w:highlight w:val="none"/>
        </w:rPr>
        <w:t>2</w:t>
      </w:r>
      <w:r>
        <w:rPr>
          <w:rFonts w:hint="eastAsia"/>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"_Toc487755757" </w:instrText>
      </w:r>
      <w:r>
        <w:rPr>
          <w:color w:val="auto"/>
          <w:highlight w:val="none"/>
        </w:rPr>
        <w:fldChar w:fldCharType="separate"/>
      </w:r>
      <w:r>
        <w:rPr>
          <w:rStyle w:val="57"/>
          <w:rFonts w:hint="eastAsia" w:ascii="宋体" w:hAnsi="宋体" w:cs="宋体"/>
          <w:color w:val="auto"/>
          <w:highlight w:val="none"/>
        </w:rPr>
        <w:t>二、招标工程综合说明</w:t>
      </w:r>
      <w:r>
        <w:rPr>
          <w:color w:val="auto"/>
          <w:highlight w:val="none"/>
        </w:rPr>
        <w:tab/>
      </w:r>
      <w:r>
        <w:rPr>
          <w:rFonts w:hint="eastAsia"/>
          <w:color w:val="auto"/>
          <w:highlight w:val="none"/>
        </w:rPr>
        <w:t>2</w:t>
      </w:r>
      <w:r>
        <w:rPr>
          <w:rFonts w:hint="eastAsia"/>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"_Toc487755758" </w:instrText>
      </w:r>
      <w:r>
        <w:rPr>
          <w:color w:val="auto"/>
          <w:highlight w:val="none"/>
        </w:rPr>
        <w:fldChar w:fldCharType="separate"/>
      </w:r>
      <w:r>
        <w:rPr>
          <w:rStyle w:val="57"/>
          <w:rFonts w:hint="eastAsia" w:ascii="宋体" w:hAnsi="宋体" w:cs="宋体"/>
          <w:color w:val="auto"/>
          <w:highlight w:val="none"/>
        </w:rPr>
        <w:t>三、结算原则及付款方式</w:t>
      </w:r>
      <w:r>
        <w:rPr>
          <w:color w:val="auto"/>
          <w:highlight w:val="none"/>
        </w:rPr>
        <w:tab/>
      </w:r>
      <w:r>
        <w:rPr>
          <w:color w:val="auto"/>
          <w:highlight w:val="none"/>
        </w:rPr>
        <w:fldChar w:fldCharType="begin"/>
      </w:r>
      <w:r>
        <w:rPr>
          <w:color w:val="auto"/>
          <w:highlight w:val="none"/>
        </w:rPr>
        <w:instrText xml:space="preserve"> PAGEREF _Toc487755758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"_Toc487755759" </w:instrText>
      </w:r>
      <w:r>
        <w:rPr>
          <w:color w:val="auto"/>
          <w:highlight w:val="none"/>
        </w:rPr>
        <w:fldChar w:fldCharType="separate"/>
      </w:r>
      <w:r>
        <w:rPr>
          <w:rStyle w:val="57"/>
          <w:rFonts w:hint="eastAsia" w:ascii="宋体" w:hAnsi="宋体" w:cs="宋体"/>
          <w:color w:val="auto"/>
          <w:highlight w:val="none"/>
        </w:rPr>
        <w:t>四、招标文件的内容和效力</w:t>
      </w:r>
      <w:r>
        <w:rPr>
          <w:color w:val="auto"/>
          <w:highlight w:val="none"/>
        </w:rPr>
        <w:tab/>
      </w:r>
      <w:r>
        <w:rPr>
          <w:color w:val="auto"/>
          <w:highlight w:val="none"/>
        </w:rPr>
        <w:fldChar w:fldCharType="begin"/>
      </w:r>
      <w:r>
        <w:rPr>
          <w:color w:val="auto"/>
          <w:highlight w:val="none"/>
        </w:rPr>
        <w:instrText xml:space="preserve"> PAGEREF _Toc487755759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"_Toc487755760" </w:instrText>
      </w:r>
      <w:r>
        <w:rPr>
          <w:color w:val="auto"/>
          <w:highlight w:val="none"/>
        </w:rPr>
        <w:fldChar w:fldCharType="separate"/>
      </w:r>
      <w:r>
        <w:rPr>
          <w:rStyle w:val="57"/>
          <w:rFonts w:hint="eastAsia" w:ascii="宋体" w:hAnsi="宋体" w:cs="宋体"/>
          <w:color w:val="auto"/>
          <w:highlight w:val="none"/>
        </w:rPr>
        <w:t>五、投标文件的编制要求</w:t>
      </w:r>
      <w:r>
        <w:rPr>
          <w:color w:val="auto"/>
          <w:highlight w:val="none"/>
        </w:rPr>
        <w:tab/>
      </w:r>
      <w:r>
        <w:rPr>
          <w:color w:val="auto"/>
          <w:highlight w:val="none"/>
        </w:rPr>
        <w:fldChar w:fldCharType="begin"/>
      </w:r>
      <w:r>
        <w:rPr>
          <w:color w:val="auto"/>
          <w:highlight w:val="none"/>
        </w:rPr>
        <w:instrText xml:space="preserve"> PAGEREF _Toc487755760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"_Toc487755761" </w:instrText>
      </w:r>
      <w:r>
        <w:rPr>
          <w:color w:val="auto"/>
          <w:highlight w:val="none"/>
        </w:rPr>
        <w:fldChar w:fldCharType="separate"/>
      </w:r>
      <w:r>
        <w:rPr>
          <w:rStyle w:val="57"/>
          <w:rFonts w:hint="eastAsia" w:ascii="宋体" w:hAnsi="宋体" w:cs="宋体"/>
          <w:color w:val="auto"/>
          <w:highlight w:val="none"/>
        </w:rPr>
        <w:t>六、投标文件的装订、密封与标志</w:t>
      </w:r>
      <w:r>
        <w:rPr>
          <w:color w:val="auto"/>
          <w:highlight w:val="none"/>
        </w:rPr>
        <w:tab/>
      </w:r>
      <w:r>
        <w:rPr>
          <w:color w:val="auto"/>
          <w:highlight w:val="none"/>
        </w:rPr>
        <w:fldChar w:fldCharType="begin"/>
      </w:r>
      <w:r>
        <w:rPr>
          <w:color w:val="auto"/>
          <w:highlight w:val="none"/>
        </w:rPr>
        <w:instrText xml:space="preserve"> PAGEREF _Toc487755761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"_Toc487755762" </w:instrText>
      </w:r>
      <w:r>
        <w:rPr>
          <w:color w:val="auto"/>
          <w:highlight w:val="none"/>
        </w:rPr>
        <w:fldChar w:fldCharType="separate"/>
      </w:r>
      <w:r>
        <w:rPr>
          <w:rStyle w:val="57"/>
          <w:rFonts w:hint="eastAsia" w:ascii="宋体" w:hAnsi="宋体" w:cs="宋体"/>
          <w:color w:val="auto"/>
          <w:highlight w:val="none"/>
        </w:rPr>
        <w:t>七、开标</w:t>
      </w:r>
      <w:r>
        <w:rPr>
          <w:color w:val="auto"/>
          <w:highlight w:val="none"/>
        </w:rPr>
        <w:tab/>
      </w:r>
      <w:r>
        <w:rPr>
          <w:color w:val="auto"/>
          <w:highlight w:val="none"/>
        </w:rPr>
        <w:fldChar w:fldCharType="begin"/>
      </w:r>
      <w:r>
        <w:rPr>
          <w:color w:val="auto"/>
          <w:highlight w:val="none"/>
        </w:rPr>
        <w:instrText xml:space="preserve"> PAGEREF _Toc487755762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"_Toc487755764" </w:instrText>
      </w:r>
      <w:r>
        <w:rPr>
          <w:color w:val="auto"/>
          <w:highlight w:val="none"/>
        </w:rPr>
        <w:fldChar w:fldCharType="separate"/>
      </w:r>
      <w:r>
        <w:rPr>
          <w:rStyle w:val="57"/>
          <w:rFonts w:hint="eastAsia" w:ascii="宋体" w:hAnsi="宋体" w:cs="宋体"/>
          <w:color w:val="auto"/>
          <w:highlight w:val="none"/>
        </w:rPr>
        <w:t>八、评标与定标办法和原则</w:t>
      </w:r>
      <w:r>
        <w:rPr>
          <w:color w:val="auto"/>
          <w:highlight w:val="none"/>
        </w:rPr>
        <w:tab/>
      </w:r>
      <w:r>
        <w:rPr>
          <w:color w:val="auto"/>
          <w:highlight w:val="none"/>
        </w:rPr>
        <w:fldChar w:fldCharType="begin"/>
      </w:r>
      <w:r>
        <w:rPr>
          <w:color w:val="auto"/>
          <w:highlight w:val="none"/>
        </w:rPr>
        <w:instrText xml:space="preserve"> PAGEREF _Toc487755764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"_Toc487755765" </w:instrText>
      </w:r>
      <w:r>
        <w:rPr>
          <w:color w:val="auto"/>
          <w:highlight w:val="none"/>
        </w:rPr>
        <w:fldChar w:fldCharType="separate"/>
      </w:r>
      <w:r>
        <w:rPr>
          <w:rStyle w:val="57"/>
          <w:rFonts w:hint="eastAsia" w:ascii="宋体" w:hAnsi="宋体" w:cs="宋体"/>
          <w:color w:val="auto"/>
          <w:highlight w:val="none"/>
        </w:rPr>
        <w:t>九、确定中标单位</w:t>
      </w:r>
      <w:r>
        <w:rPr>
          <w:color w:val="auto"/>
          <w:highlight w:val="none"/>
        </w:rPr>
        <w:tab/>
      </w:r>
      <w:r>
        <w:rPr>
          <w:color w:val="auto"/>
          <w:highlight w:val="none"/>
        </w:rPr>
        <w:fldChar w:fldCharType="begin"/>
      </w:r>
      <w:r>
        <w:rPr>
          <w:color w:val="auto"/>
          <w:highlight w:val="none"/>
        </w:rPr>
        <w:instrText xml:space="preserve"> PAGEREF _Toc487755765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"_Toc487755766" </w:instrText>
      </w:r>
      <w:r>
        <w:rPr>
          <w:color w:val="auto"/>
          <w:highlight w:val="none"/>
        </w:rPr>
        <w:fldChar w:fldCharType="separate"/>
      </w:r>
      <w:r>
        <w:rPr>
          <w:rStyle w:val="57"/>
          <w:rFonts w:hint="eastAsia" w:ascii="宋体" w:hAnsi="宋体" w:cs="宋体"/>
          <w:color w:val="auto"/>
          <w:highlight w:val="none"/>
        </w:rPr>
        <w:t>十、授予合同</w:t>
      </w:r>
      <w:r>
        <w:rPr>
          <w:color w:val="auto"/>
          <w:highlight w:val="none"/>
        </w:rPr>
        <w:tab/>
      </w:r>
      <w:r>
        <w:rPr>
          <w:color w:val="auto"/>
          <w:highlight w:val="none"/>
        </w:rPr>
        <w:fldChar w:fldCharType="begin"/>
      </w:r>
      <w:r>
        <w:rPr>
          <w:color w:val="auto"/>
          <w:highlight w:val="none"/>
        </w:rPr>
        <w:instrText xml:space="preserve"> PAGEREF _Toc487755766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"_Toc487755767" </w:instrText>
      </w:r>
      <w:r>
        <w:rPr>
          <w:color w:val="auto"/>
          <w:highlight w:val="none"/>
        </w:rPr>
        <w:fldChar w:fldCharType="separate"/>
      </w:r>
      <w:r>
        <w:rPr>
          <w:rStyle w:val="57"/>
          <w:rFonts w:hint="eastAsia"/>
          <w:color w:val="auto"/>
          <w:highlight w:val="none"/>
        </w:rPr>
        <w:t>十一、日程安排</w:t>
      </w:r>
      <w:r>
        <w:rPr>
          <w:color w:val="auto"/>
          <w:highlight w:val="none"/>
        </w:rPr>
        <w:tab/>
      </w:r>
      <w:r>
        <w:rPr>
          <w:color w:val="auto"/>
          <w:highlight w:val="none"/>
        </w:rPr>
        <w:fldChar w:fldCharType="begin"/>
      </w:r>
      <w:r>
        <w:rPr>
          <w:color w:val="auto"/>
          <w:highlight w:val="none"/>
        </w:rPr>
        <w:instrText xml:space="preserve"> PAGEREF _Toc487755767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"_Toc487755842" </w:instrText>
      </w:r>
      <w:r>
        <w:rPr>
          <w:color w:val="auto"/>
          <w:highlight w:val="none"/>
        </w:rPr>
        <w:fldChar w:fldCharType="separate"/>
      </w:r>
      <w:r>
        <w:rPr>
          <w:rStyle w:val="57"/>
          <w:rFonts w:hint="eastAsia" w:ascii="宋体" w:hAnsi="宋体"/>
          <w:color w:val="auto"/>
          <w:highlight w:val="none"/>
        </w:rPr>
        <w:t>项目需求</w:t>
      </w:r>
      <w:r>
        <w:rPr>
          <w:color w:val="auto"/>
          <w:highlight w:val="none"/>
        </w:rPr>
        <w:tab/>
      </w:r>
      <w:r>
        <w:rPr>
          <w:rFonts w:hint="eastAsia"/>
          <w:color w:val="auto"/>
          <w:highlight w:val="none"/>
        </w:rPr>
        <w:t>2</w:t>
      </w:r>
      <w:r>
        <w:rPr>
          <w:rFonts w:hint="eastAsia"/>
          <w:color w:val="auto"/>
          <w:highlight w:val="none"/>
        </w:rPr>
        <w:fldChar w:fldCharType="end"/>
      </w:r>
      <w:r>
        <w:rPr>
          <w:rFonts w:hint="eastAsia"/>
          <w:color w:val="auto"/>
          <w:highlight w:val="none"/>
        </w:rPr>
        <w:t>5</w:t>
      </w:r>
    </w:p>
    <w:p>
      <w:pPr>
        <w:pStyle w:val="33"/>
        <w:tabs>
          <w:tab w:val="right" w:leader="dot" w:pos="9628"/>
        </w:tabs>
        <w:spacing w:line="288" w:lineRule="auto"/>
        <w:rPr>
          <w:color w:val="auto"/>
          <w:highlight w:val="none"/>
        </w:rPr>
      </w:pPr>
      <w:r>
        <w:rPr>
          <w:color w:val="auto"/>
          <w:highlight w:val="none"/>
        </w:rPr>
        <w:fldChar w:fldCharType="begin"/>
      </w:r>
      <w:r>
        <w:rPr>
          <w:color w:val="auto"/>
          <w:highlight w:val="none"/>
        </w:rPr>
        <w:instrText xml:space="preserve"> HYPERLINK \l "_Toc487755827" </w:instrText>
      </w:r>
      <w:r>
        <w:rPr>
          <w:color w:val="auto"/>
          <w:highlight w:val="none"/>
        </w:rPr>
        <w:fldChar w:fldCharType="separate"/>
      </w:r>
      <w:r>
        <w:rPr>
          <w:rStyle w:val="57"/>
          <w:rFonts w:hint="eastAsia" w:ascii="宋体" w:hAnsi="宋体"/>
          <w:color w:val="auto"/>
          <w:highlight w:val="none"/>
        </w:rPr>
        <w:t>第二部分投标格式</w:t>
      </w:r>
      <w:r>
        <w:rPr>
          <w:color w:val="auto"/>
          <w:highlight w:val="none"/>
        </w:rPr>
        <w:tab/>
      </w:r>
      <w:r>
        <w:rPr>
          <w:color w:val="auto"/>
          <w:highlight w:val="none"/>
        </w:rPr>
        <w:fldChar w:fldCharType="begin"/>
      </w:r>
      <w:r>
        <w:rPr>
          <w:color w:val="auto"/>
          <w:highlight w:val="none"/>
        </w:rPr>
        <w:instrText xml:space="preserve"> PAGEREF _Toc487755827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"_Toc487755829" </w:instrText>
      </w:r>
      <w:r>
        <w:rPr>
          <w:color w:val="auto"/>
          <w:highlight w:val="none"/>
        </w:rPr>
        <w:fldChar w:fldCharType="separate"/>
      </w:r>
      <w:r>
        <w:rPr>
          <w:rStyle w:val="57"/>
          <w:rFonts w:hint="eastAsia" w:ascii="宋体" w:hAnsi="宋体"/>
          <w:color w:val="auto"/>
          <w:highlight w:val="none"/>
        </w:rPr>
        <w:t>投标格式一投标报价书</w:t>
      </w:r>
      <w:r>
        <w:rPr>
          <w:color w:val="auto"/>
          <w:highlight w:val="none"/>
        </w:rPr>
        <w:tab/>
      </w:r>
      <w:r>
        <w:rPr>
          <w:color w:val="auto"/>
          <w:highlight w:val="none"/>
        </w:rPr>
        <w:fldChar w:fldCharType="begin"/>
      </w:r>
      <w:r>
        <w:rPr>
          <w:color w:val="auto"/>
          <w:highlight w:val="none"/>
        </w:rPr>
        <w:instrText xml:space="preserve"> PAGEREF _Toc487755829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"_Toc487755830" </w:instrText>
      </w:r>
      <w:r>
        <w:rPr>
          <w:color w:val="auto"/>
          <w:highlight w:val="none"/>
        </w:rPr>
        <w:fldChar w:fldCharType="separate"/>
      </w:r>
      <w:r>
        <w:rPr>
          <w:rStyle w:val="57"/>
          <w:rFonts w:hint="eastAsia" w:ascii="宋体" w:hAnsi="宋体"/>
          <w:color w:val="auto"/>
          <w:highlight w:val="none"/>
        </w:rPr>
        <w:t>投标格式二投标保证书</w:t>
      </w:r>
      <w:r>
        <w:rPr>
          <w:color w:val="auto"/>
          <w:highlight w:val="none"/>
        </w:rPr>
        <w:tab/>
      </w:r>
      <w:r>
        <w:rPr>
          <w:color w:val="auto"/>
          <w:highlight w:val="none"/>
        </w:rPr>
        <w:fldChar w:fldCharType="begin"/>
      </w:r>
      <w:r>
        <w:rPr>
          <w:color w:val="auto"/>
          <w:highlight w:val="none"/>
        </w:rPr>
        <w:instrText xml:space="preserve"> PAGEREF _Toc487755830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"_Toc487755831" </w:instrText>
      </w:r>
      <w:r>
        <w:rPr>
          <w:color w:val="auto"/>
          <w:highlight w:val="none"/>
        </w:rPr>
        <w:fldChar w:fldCharType="separate"/>
      </w:r>
      <w:r>
        <w:rPr>
          <w:rStyle w:val="57"/>
          <w:rFonts w:hint="eastAsia" w:ascii="宋体" w:hAnsi="宋体"/>
          <w:color w:val="auto"/>
          <w:highlight w:val="none"/>
        </w:rPr>
        <w:t>投标格式三工程开标一览表</w:t>
      </w:r>
      <w:r>
        <w:rPr>
          <w:color w:val="auto"/>
          <w:highlight w:val="none"/>
        </w:rPr>
        <w:tab/>
      </w:r>
      <w:r>
        <w:rPr>
          <w:color w:val="auto"/>
          <w:highlight w:val="none"/>
        </w:rPr>
        <w:fldChar w:fldCharType="begin"/>
      </w:r>
      <w:r>
        <w:rPr>
          <w:color w:val="auto"/>
          <w:highlight w:val="none"/>
        </w:rPr>
        <w:instrText xml:space="preserve"> PAGEREF _Toc487755831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"_Toc487755832" </w:instrText>
      </w:r>
      <w:r>
        <w:rPr>
          <w:color w:val="auto"/>
          <w:highlight w:val="none"/>
        </w:rPr>
        <w:fldChar w:fldCharType="separate"/>
      </w:r>
      <w:r>
        <w:rPr>
          <w:rStyle w:val="57"/>
          <w:rFonts w:hint="eastAsia" w:ascii="宋体" w:hAnsi="宋体"/>
          <w:color w:val="auto"/>
          <w:highlight w:val="none"/>
        </w:rPr>
        <w:t>投标格式四派驻本项目人员数量表</w:t>
      </w:r>
      <w:r>
        <w:rPr>
          <w:color w:val="auto"/>
          <w:highlight w:val="none"/>
        </w:rPr>
        <w:tab/>
      </w:r>
      <w:r>
        <w:rPr>
          <w:color w:val="auto"/>
          <w:highlight w:val="none"/>
        </w:rPr>
        <w:fldChar w:fldCharType="begin"/>
      </w:r>
      <w:r>
        <w:rPr>
          <w:color w:val="auto"/>
          <w:highlight w:val="none"/>
        </w:rPr>
        <w:instrText xml:space="preserve"> PAGEREF _Toc487755832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"_Toc487755833" </w:instrText>
      </w:r>
      <w:r>
        <w:rPr>
          <w:color w:val="auto"/>
          <w:highlight w:val="none"/>
        </w:rPr>
        <w:fldChar w:fldCharType="separate"/>
      </w:r>
      <w:r>
        <w:rPr>
          <w:rStyle w:val="57"/>
          <w:rFonts w:hint="eastAsia" w:ascii="宋体" w:hAnsi="宋体"/>
          <w:color w:val="auto"/>
          <w:highlight w:val="none"/>
        </w:rPr>
        <w:t>投标格式五履约保证金承诺书</w:t>
      </w:r>
      <w:r>
        <w:rPr>
          <w:color w:val="auto"/>
          <w:highlight w:val="none"/>
        </w:rPr>
        <w:tab/>
      </w:r>
      <w:r>
        <w:rPr>
          <w:color w:val="auto"/>
          <w:highlight w:val="none"/>
        </w:rPr>
        <w:fldChar w:fldCharType="begin"/>
      </w:r>
      <w:r>
        <w:rPr>
          <w:color w:val="auto"/>
          <w:highlight w:val="none"/>
        </w:rPr>
        <w:instrText xml:space="preserve"> PAGEREF _Toc487755833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"_Toc487755841" </w:instrText>
      </w:r>
      <w:r>
        <w:rPr>
          <w:color w:val="auto"/>
          <w:highlight w:val="none"/>
        </w:rPr>
        <w:fldChar w:fldCharType="separate"/>
      </w:r>
      <w:r>
        <w:rPr>
          <w:rStyle w:val="57"/>
          <w:rFonts w:hint="eastAsia" w:ascii="宋体" w:hAnsi="宋体"/>
          <w:color w:val="auto"/>
          <w:highlight w:val="none"/>
        </w:rPr>
        <w:t>投标格式六</w:t>
      </w:r>
      <w:r>
        <w:rPr>
          <w:color w:val="auto"/>
          <w:highlight w:val="none"/>
        </w:rPr>
        <w:tab/>
      </w:r>
      <w:r>
        <w:rPr>
          <w:color w:val="auto"/>
          <w:highlight w:val="none"/>
        </w:rPr>
        <w:fldChar w:fldCharType="begin"/>
      </w:r>
      <w:r>
        <w:rPr>
          <w:color w:val="auto"/>
          <w:highlight w:val="none"/>
        </w:rPr>
        <w:instrText xml:space="preserve"> PAGEREF _Toc487755841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"_Toc487755842" </w:instrText>
      </w:r>
      <w:r>
        <w:rPr>
          <w:color w:val="auto"/>
          <w:highlight w:val="none"/>
        </w:rPr>
        <w:fldChar w:fldCharType="separate"/>
      </w:r>
      <w:r>
        <w:rPr>
          <w:rStyle w:val="57"/>
          <w:rFonts w:hint="eastAsia" w:ascii="宋体" w:hAnsi="宋体"/>
          <w:color w:val="auto"/>
          <w:highlight w:val="none"/>
        </w:rPr>
        <w:t>投标格式七</w:t>
      </w:r>
      <w:r>
        <w:rPr>
          <w:color w:val="auto"/>
          <w:highlight w:val="none"/>
        </w:rPr>
        <w:tab/>
      </w:r>
      <w:r>
        <w:rPr>
          <w:color w:val="auto"/>
          <w:highlight w:val="none"/>
        </w:rPr>
        <w:fldChar w:fldCharType="begin"/>
      </w:r>
      <w:r>
        <w:rPr>
          <w:color w:val="auto"/>
          <w:highlight w:val="none"/>
        </w:rPr>
        <w:instrText xml:space="preserve"> PAGEREF _Toc487755842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"_Toc487755842" </w:instrText>
      </w:r>
      <w:r>
        <w:rPr>
          <w:color w:val="auto"/>
          <w:highlight w:val="none"/>
        </w:rPr>
        <w:fldChar w:fldCharType="separate"/>
      </w:r>
      <w:r>
        <w:rPr>
          <w:rStyle w:val="57"/>
          <w:rFonts w:hint="eastAsia" w:ascii="宋体" w:hAnsi="宋体"/>
          <w:color w:val="auto"/>
          <w:highlight w:val="none"/>
        </w:rPr>
        <w:t>投标格式八</w:t>
      </w:r>
      <w:r>
        <w:rPr>
          <w:color w:val="auto"/>
          <w:highlight w:val="none"/>
        </w:rPr>
        <w:tab/>
      </w:r>
      <w:r>
        <w:rPr>
          <w:color w:val="auto"/>
          <w:highlight w:val="none"/>
        </w:rPr>
        <w:fldChar w:fldCharType="begin"/>
      </w:r>
      <w:r>
        <w:rPr>
          <w:color w:val="auto"/>
          <w:highlight w:val="none"/>
        </w:rPr>
        <w:instrText xml:space="preserve"> PAGEREF _Toc487755842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"_Toc487755843" </w:instrText>
      </w:r>
      <w:r>
        <w:rPr>
          <w:color w:val="auto"/>
          <w:highlight w:val="none"/>
        </w:rPr>
        <w:fldChar w:fldCharType="separate"/>
      </w:r>
      <w:r>
        <w:rPr>
          <w:rStyle w:val="57"/>
          <w:rFonts w:hint="eastAsia" w:ascii="宋体" w:hAnsi="宋体"/>
          <w:color w:val="auto"/>
          <w:highlight w:val="none"/>
        </w:rPr>
        <w:t>附件</w:t>
      </w:r>
      <w:r>
        <w:rPr>
          <w:rStyle w:val="57"/>
          <w:rFonts w:ascii="宋体" w:hAnsi="宋体"/>
          <w:color w:val="auto"/>
          <w:highlight w:val="none"/>
        </w:rPr>
        <w:t>1</w:t>
      </w:r>
      <w:r>
        <w:rPr>
          <w:rStyle w:val="57"/>
          <w:rFonts w:hint="eastAsia" w:ascii="宋体" w:hAnsi="宋体"/>
          <w:color w:val="auto"/>
          <w:highlight w:val="none"/>
        </w:rPr>
        <w:t>：技术文件（正本）封面</w:t>
      </w:r>
      <w:r>
        <w:rPr>
          <w:color w:val="auto"/>
          <w:highlight w:val="none"/>
        </w:rPr>
        <w:tab/>
      </w:r>
      <w:r>
        <w:rPr>
          <w:color w:val="auto"/>
          <w:highlight w:val="none"/>
        </w:rPr>
        <w:fldChar w:fldCharType="begin"/>
      </w:r>
      <w:r>
        <w:rPr>
          <w:color w:val="auto"/>
          <w:highlight w:val="none"/>
        </w:rPr>
        <w:instrText xml:space="preserve"> PAGEREF _Toc487755843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color w:val="auto"/>
          <w:highlight w:val="none"/>
        </w:rPr>
        <w:fldChar w:fldCharType="begin"/>
      </w:r>
      <w:r>
        <w:rPr>
          <w:color w:val="auto"/>
          <w:highlight w:val="none"/>
        </w:rPr>
        <w:instrText xml:space="preserve"> HYPERLINK \l "_Toc487755844" </w:instrText>
      </w:r>
      <w:r>
        <w:rPr>
          <w:color w:val="auto"/>
          <w:highlight w:val="none"/>
        </w:rPr>
        <w:fldChar w:fldCharType="separate"/>
      </w:r>
      <w:r>
        <w:rPr>
          <w:rStyle w:val="57"/>
          <w:rFonts w:hint="eastAsia" w:ascii="宋体" w:hAnsi="宋体"/>
          <w:color w:val="auto"/>
          <w:highlight w:val="none"/>
        </w:rPr>
        <w:t>附件</w:t>
      </w:r>
      <w:r>
        <w:rPr>
          <w:rStyle w:val="57"/>
          <w:rFonts w:ascii="宋体" w:hAnsi="宋体"/>
          <w:color w:val="auto"/>
          <w:highlight w:val="none"/>
        </w:rPr>
        <w:t>2</w:t>
      </w:r>
      <w:r>
        <w:rPr>
          <w:rStyle w:val="57"/>
          <w:rFonts w:hint="eastAsia" w:ascii="宋体" w:hAnsi="宋体"/>
          <w:color w:val="auto"/>
          <w:highlight w:val="none"/>
        </w:rPr>
        <w:t>：技术文件（副本）封面</w:t>
      </w:r>
      <w:r>
        <w:rPr>
          <w:color w:val="auto"/>
          <w:highlight w:val="none"/>
        </w:rPr>
        <w:tab/>
      </w:r>
      <w:r>
        <w:rPr>
          <w:color w:val="auto"/>
          <w:highlight w:val="none"/>
        </w:rPr>
        <w:fldChar w:fldCharType="begin"/>
      </w:r>
      <w:r>
        <w:rPr>
          <w:color w:val="auto"/>
          <w:highlight w:val="none"/>
        </w:rPr>
        <w:instrText xml:space="preserve"> PAGEREF _Toc487755844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pPr>
        <w:pStyle w:val="39"/>
        <w:tabs>
          <w:tab w:val="right" w:leader="dot" w:pos="9628"/>
        </w:tabs>
        <w:spacing w:line="288" w:lineRule="auto"/>
        <w:ind w:left="420"/>
        <w:rPr>
          <w:color w:val="auto"/>
          <w:highlight w:val="none"/>
        </w:rPr>
      </w:pPr>
      <w:r>
        <w:rPr>
          <w:rStyle w:val="57"/>
          <w:rFonts w:hint="eastAsia" w:ascii="宋体" w:hAnsi="宋体"/>
          <w:color w:val="auto"/>
          <w:highlight w:val="none"/>
        </w:rPr>
        <w:t>附件3：商务文件（正本）封面</w:t>
      </w:r>
      <w:r>
        <w:rPr>
          <w:color w:val="auto"/>
          <w:highlight w:val="none"/>
        </w:rPr>
        <w:tab/>
      </w:r>
      <w:r>
        <w:rPr>
          <w:rFonts w:hint="eastAsia"/>
          <w:color w:val="auto"/>
          <w:highlight w:val="none"/>
        </w:rPr>
        <w:t>139</w:t>
      </w:r>
    </w:p>
    <w:p>
      <w:pPr>
        <w:pStyle w:val="39"/>
        <w:tabs>
          <w:tab w:val="right" w:leader="dot" w:pos="9628"/>
        </w:tabs>
        <w:spacing w:line="288" w:lineRule="auto"/>
        <w:ind w:left="420"/>
        <w:rPr>
          <w:color w:val="auto"/>
          <w:highlight w:val="none"/>
        </w:rPr>
      </w:pPr>
      <w:r>
        <w:rPr>
          <w:rStyle w:val="57"/>
          <w:rFonts w:hint="eastAsia" w:ascii="宋体" w:hAnsi="宋体"/>
          <w:color w:val="auto"/>
          <w:highlight w:val="none"/>
        </w:rPr>
        <w:t>附件4：商务文件（副本）封面</w:t>
      </w:r>
      <w:r>
        <w:rPr>
          <w:color w:val="auto"/>
          <w:highlight w:val="none"/>
        </w:rPr>
        <w:tab/>
      </w:r>
      <w:r>
        <w:rPr>
          <w:rFonts w:hint="eastAsia"/>
          <w:color w:val="auto"/>
          <w:highlight w:val="none"/>
        </w:rPr>
        <w:t>140</w:t>
      </w:r>
    </w:p>
    <w:p>
      <w:pPr>
        <w:pStyle w:val="39"/>
        <w:tabs>
          <w:tab w:val="right" w:leader="dot" w:pos="9628"/>
        </w:tabs>
        <w:spacing w:line="288" w:lineRule="auto"/>
        <w:ind w:left="420"/>
        <w:rPr>
          <w:rStyle w:val="57"/>
          <w:rFonts w:ascii="宋体" w:hAnsi="宋体"/>
          <w:color w:val="auto"/>
          <w:highlight w:val="none"/>
        </w:rPr>
      </w:pPr>
      <w:r>
        <w:rPr>
          <w:rStyle w:val="57"/>
          <w:rFonts w:hint="eastAsia" w:ascii="宋体" w:hAnsi="宋体"/>
          <w:color w:val="auto"/>
          <w:highlight w:val="none"/>
        </w:rPr>
        <w:t>附件5：投标保证金银行保函（仅供参考）</w:t>
      </w:r>
      <w:r>
        <w:rPr>
          <w:rFonts w:hint="eastAsia"/>
          <w:color w:val="auto"/>
          <w:highlight w:val="none"/>
        </w:rPr>
        <w:t>.................................................................................................141</w:t>
      </w:r>
    </w:p>
    <w:p>
      <w:pPr>
        <w:pStyle w:val="39"/>
        <w:tabs>
          <w:tab w:val="right" w:leader="dot" w:pos="9628"/>
        </w:tabs>
        <w:spacing w:line="288" w:lineRule="auto"/>
        <w:ind w:left="420"/>
        <w:rPr>
          <w:rStyle w:val="57"/>
          <w:rFonts w:ascii="宋体" w:hAnsi="宋体"/>
          <w:color w:val="auto"/>
          <w:highlight w:val="none"/>
        </w:rPr>
      </w:pPr>
      <w:r>
        <w:rPr>
          <w:rStyle w:val="57"/>
          <w:rFonts w:hint="eastAsia" w:ascii="宋体" w:hAnsi="宋体"/>
          <w:color w:val="auto"/>
          <w:highlight w:val="none"/>
        </w:rPr>
        <w:t>第三部分    施工合同条款</w:t>
      </w:r>
      <w:r>
        <w:rPr>
          <w:rFonts w:hint="eastAsia"/>
          <w:color w:val="auto"/>
          <w:highlight w:val="none"/>
        </w:rPr>
        <w:t>......................................................................................................................142</w:t>
      </w:r>
    </w:p>
    <w:p>
      <w:pPr>
        <w:ind w:firstLine="560"/>
        <w:rPr>
          <w:color w:val="auto"/>
          <w:highlight w:val="none"/>
        </w:rPr>
      </w:pPr>
    </w:p>
    <w:p>
      <w:pPr>
        <w:spacing w:line="440" w:lineRule="exact"/>
        <w:ind w:firstLine="561"/>
        <w:rPr>
          <w:rFonts w:ascii="宋体" w:hAnsi="宋体"/>
          <w:color w:val="auto"/>
          <w:sz w:val="44"/>
          <w:szCs w:val="44"/>
          <w:highlight w:val="none"/>
        </w:rPr>
      </w:pPr>
      <w:r>
        <w:rPr>
          <w:rFonts w:hint="eastAsia" w:ascii="宋体"/>
          <w:b/>
          <w:bCs/>
          <w:color w:val="auto"/>
          <w:sz w:val="28"/>
          <w:szCs w:val="28"/>
          <w:highlight w:val="none"/>
        </w:rPr>
        <w:fldChar w:fldCharType="end"/>
      </w:r>
    </w:p>
    <w:bookmarkEnd w:id="0"/>
    <w:p>
      <w:pPr>
        <w:spacing w:line="420" w:lineRule="exact"/>
        <w:ind w:right="-1"/>
        <w:rPr>
          <w:rFonts w:ascii="宋体" w:hAnsi="宋体" w:cs="宋体"/>
          <w:color w:val="auto"/>
          <w:sz w:val="28"/>
          <w:szCs w:val="28"/>
          <w:highlight w:val="none"/>
        </w:rPr>
        <w:sectPr>
          <w:footerReference r:id="rId4" w:type="first"/>
          <w:footerReference r:id="rId3" w:type="default"/>
          <w:pgSz w:w="11907" w:h="16840"/>
          <w:pgMar w:top="1418" w:right="851" w:bottom="1418" w:left="851" w:header="851" w:footer="992" w:gutter="567"/>
          <w:pgNumType w:start="1"/>
          <w:cols w:space="720" w:num="1"/>
          <w:docGrid w:type="linesAndChars" w:linePitch="312" w:charSpace="0"/>
        </w:sectPr>
      </w:pPr>
    </w:p>
    <w:p>
      <w:pPr>
        <w:pStyle w:val="3"/>
        <w:spacing w:line="520" w:lineRule="exact"/>
        <w:ind w:firstLine="881"/>
        <w:jc w:val="center"/>
        <w:rPr>
          <w:rFonts w:ascii="宋体"/>
          <w:color w:val="auto"/>
          <w:sz w:val="44"/>
          <w:szCs w:val="44"/>
          <w:highlight w:val="none"/>
        </w:rPr>
      </w:pPr>
      <w:bookmarkStart w:id="1" w:name="_Toc487755755"/>
      <w:r>
        <w:rPr>
          <w:rFonts w:hint="eastAsia" w:ascii="宋体"/>
          <w:color w:val="auto"/>
          <w:sz w:val="44"/>
          <w:szCs w:val="44"/>
          <w:highlight w:val="none"/>
        </w:rPr>
        <w:t>第一部分   投标须知</w:t>
      </w:r>
      <w:bookmarkEnd w:id="1"/>
    </w:p>
    <w:p>
      <w:pPr>
        <w:pStyle w:val="4"/>
        <w:spacing w:line="520" w:lineRule="exact"/>
        <w:ind w:firstLine="562" w:firstLineChars="200"/>
        <w:rPr>
          <w:rFonts w:ascii="宋体" w:hAnsi="宋体" w:eastAsia="宋体" w:cs="宋体"/>
          <w:color w:val="auto"/>
          <w:sz w:val="28"/>
          <w:szCs w:val="28"/>
          <w:highlight w:val="none"/>
        </w:rPr>
      </w:pPr>
      <w:bookmarkStart w:id="2" w:name="_Toc487755756"/>
      <w:r>
        <w:rPr>
          <w:rFonts w:hint="eastAsia" w:ascii="宋体" w:hAnsi="宋体" w:eastAsia="宋体" w:cs="宋体"/>
          <w:color w:val="auto"/>
          <w:sz w:val="28"/>
          <w:szCs w:val="28"/>
          <w:highlight w:val="none"/>
        </w:rPr>
        <w:t>一、总  则</w:t>
      </w:r>
      <w:bookmarkEnd w:id="2"/>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1、项目建设依据：</w:t>
      </w:r>
    </w:p>
    <w:p>
      <w:pPr>
        <w:pStyle w:val="87"/>
        <w:spacing w:line="520" w:lineRule="exact"/>
        <w:ind w:firstLine="560" w:firstLineChars="200"/>
        <w:rPr>
          <w:rFonts w:ascii="宋体" w:hAnsi="宋体" w:cs="宋体"/>
          <w:color w:val="auto"/>
          <w:szCs w:val="28"/>
          <w:highlight w:val="none"/>
          <w:u w:val="single"/>
        </w:rPr>
      </w:pPr>
      <w:r>
        <w:rPr>
          <w:rFonts w:hint="eastAsia" w:ascii="宋体" w:hAnsi="宋体" w:cs="宋体"/>
          <w:color w:val="auto"/>
          <w:szCs w:val="28"/>
          <w:highlight w:val="none"/>
        </w:rPr>
        <w:t>（1）计划批文：广垦糖函〔2023〕155号</w:t>
      </w:r>
    </w:p>
    <w:p>
      <w:pPr>
        <w:pStyle w:val="87"/>
        <w:spacing w:line="520" w:lineRule="exact"/>
        <w:ind w:firstLine="560" w:firstLineChars="200"/>
        <w:rPr>
          <w:rFonts w:ascii="宋体" w:hAnsi="宋体" w:cs="宋体"/>
          <w:color w:val="auto"/>
          <w:szCs w:val="28"/>
          <w:highlight w:val="none"/>
          <w:u w:val="single"/>
        </w:rPr>
      </w:pPr>
    </w:p>
    <w:p>
      <w:pPr>
        <w:pStyle w:val="87"/>
        <w:spacing w:line="520" w:lineRule="exact"/>
        <w:ind w:firstLine="562" w:firstLineChars="200"/>
        <w:rPr>
          <w:rFonts w:ascii="宋体" w:hAnsi="宋体" w:cs="宋体"/>
          <w:b/>
          <w:bCs/>
          <w:color w:val="auto"/>
          <w:szCs w:val="28"/>
          <w:highlight w:val="none"/>
        </w:rPr>
      </w:pPr>
      <w:r>
        <w:rPr>
          <w:rFonts w:hint="eastAsia" w:ascii="宋体" w:hAnsi="宋体" w:cs="宋体"/>
          <w:b/>
          <w:bCs/>
          <w:color w:val="auto"/>
          <w:szCs w:val="28"/>
          <w:highlight w:val="none"/>
        </w:rPr>
        <w:t>2、定义</w:t>
      </w:r>
    </w:p>
    <w:p>
      <w:pPr>
        <w:pStyle w:val="87"/>
        <w:spacing w:line="520" w:lineRule="exact"/>
        <w:ind w:firstLine="700" w:firstLineChars="250"/>
        <w:rPr>
          <w:rFonts w:ascii="宋体" w:hAnsi="宋体" w:cs="宋体"/>
          <w:color w:val="auto"/>
          <w:szCs w:val="28"/>
          <w:highlight w:val="none"/>
        </w:rPr>
      </w:pPr>
      <w:r>
        <w:rPr>
          <w:rFonts w:hint="eastAsia" w:ascii="宋体" w:hAnsi="宋体" w:cs="宋体"/>
          <w:color w:val="auto"/>
          <w:szCs w:val="28"/>
          <w:highlight w:val="none"/>
        </w:rPr>
        <w:t>本招标文件使用的词语定义如下：</w:t>
      </w:r>
    </w:p>
    <w:p>
      <w:pPr>
        <w:pStyle w:val="87"/>
        <w:tabs>
          <w:tab w:val="left" w:pos="284"/>
        </w:tabs>
        <w:spacing w:line="520" w:lineRule="exact"/>
        <w:ind w:firstLine="282" w:firstLineChars="101"/>
        <w:rPr>
          <w:rFonts w:ascii="宋体" w:hAnsi="宋体" w:cs="宋体"/>
          <w:color w:val="auto"/>
          <w:szCs w:val="28"/>
          <w:highlight w:val="none"/>
        </w:rPr>
      </w:pPr>
      <w:r>
        <w:rPr>
          <w:rFonts w:hint="eastAsia" w:ascii="宋体" w:hAnsi="宋体" w:cs="宋体"/>
          <w:color w:val="auto"/>
          <w:szCs w:val="28"/>
          <w:highlight w:val="none"/>
        </w:rPr>
        <w:t>（1）“招标（建设）单位／招标人／发包人”指</w:t>
      </w:r>
      <w:r>
        <w:rPr>
          <w:rFonts w:hint="eastAsia" w:ascii="宋体" w:hAnsi="宋体" w:cs="宋体"/>
          <w:color w:val="auto"/>
          <w:szCs w:val="28"/>
          <w:highlight w:val="none"/>
          <w:u w:val="single"/>
        </w:rPr>
        <w:t>广东广垦华丰糖业有限公司</w:t>
      </w:r>
      <w:r>
        <w:rPr>
          <w:rFonts w:hint="eastAsia" w:ascii="宋体" w:hAnsi="宋体" w:cs="宋体"/>
          <w:color w:val="auto"/>
          <w:szCs w:val="28"/>
          <w:highlight w:val="none"/>
        </w:rPr>
        <w:t>。</w:t>
      </w:r>
    </w:p>
    <w:p>
      <w:pPr>
        <w:pStyle w:val="87"/>
        <w:spacing w:line="520" w:lineRule="exact"/>
        <w:ind w:firstLine="282" w:firstLineChars="101"/>
        <w:rPr>
          <w:rFonts w:ascii="宋体" w:hAnsi="宋体" w:cs="宋体"/>
          <w:color w:val="auto"/>
          <w:szCs w:val="28"/>
          <w:highlight w:val="none"/>
        </w:rPr>
      </w:pPr>
      <w:r>
        <w:rPr>
          <w:rFonts w:hint="eastAsia" w:ascii="宋体" w:hAnsi="宋体" w:cs="宋体"/>
          <w:color w:val="auto"/>
          <w:szCs w:val="28"/>
          <w:highlight w:val="none"/>
        </w:rPr>
        <w:t>（2）“投标人”指参加本招标工程投标并向招标人提交投标文件的当事人。</w:t>
      </w:r>
    </w:p>
    <w:p>
      <w:pPr>
        <w:pStyle w:val="87"/>
        <w:spacing w:line="520" w:lineRule="exact"/>
        <w:ind w:firstLine="282" w:firstLineChars="101"/>
        <w:rPr>
          <w:rFonts w:ascii="宋体" w:hAnsi="宋体" w:cs="宋体"/>
          <w:color w:val="auto"/>
          <w:szCs w:val="28"/>
          <w:highlight w:val="none"/>
        </w:rPr>
      </w:pPr>
      <w:r>
        <w:rPr>
          <w:rFonts w:hint="eastAsia" w:ascii="宋体" w:hAnsi="宋体" w:cs="宋体"/>
          <w:color w:val="auto"/>
          <w:szCs w:val="28"/>
          <w:highlight w:val="none"/>
        </w:rPr>
        <w:t>（3）“中标人／承包人／承包单位”指其投标被招标人接受，并与其签订工程承包合同的当事人。</w:t>
      </w:r>
    </w:p>
    <w:p>
      <w:pPr>
        <w:pStyle w:val="87"/>
        <w:spacing w:line="520" w:lineRule="exact"/>
        <w:ind w:firstLine="282" w:firstLineChars="101"/>
        <w:rPr>
          <w:rFonts w:ascii="宋体" w:hAnsi="宋体" w:cs="宋体"/>
          <w:color w:val="auto"/>
          <w:szCs w:val="28"/>
          <w:highlight w:val="none"/>
        </w:rPr>
      </w:pPr>
      <w:r>
        <w:rPr>
          <w:rFonts w:hint="eastAsia" w:ascii="宋体" w:hAnsi="宋体" w:cs="宋体"/>
          <w:color w:val="auto"/>
          <w:szCs w:val="28"/>
          <w:highlight w:val="none"/>
        </w:rPr>
        <w:t>（4）“监理工程师”指发包人委托的监理单位派出的监理工程师及其授权代表。</w:t>
      </w:r>
    </w:p>
    <w:p>
      <w:pPr>
        <w:pStyle w:val="87"/>
        <w:spacing w:line="520" w:lineRule="exact"/>
        <w:ind w:firstLine="282" w:firstLineChars="101"/>
        <w:rPr>
          <w:rFonts w:ascii="宋体" w:hAnsi="宋体" w:cs="宋体"/>
          <w:color w:val="auto"/>
          <w:szCs w:val="28"/>
          <w:highlight w:val="none"/>
        </w:rPr>
      </w:pPr>
      <w:r>
        <w:rPr>
          <w:rFonts w:hint="eastAsia" w:ascii="宋体" w:hAnsi="宋体" w:cs="宋体"/>
          <w:color w:val="auto"/>
          <w:szCs w:val="28"/>
          <w:highlight w:val="none"/>
        </w:rPr>
        <w:t>（5）“投标文件”指投标人按本招标文件要求向招标人提交的全部文件。</w:t>
      </w:r>
    </w:p>
    <w:p>
      <w:pPr>
        <w:pStyle w:val="87"/>
        <w:spacing w:line="520" w:lineRule="exact"/>
        <w:ind w:firstLine="282" w:firstLineChars="101"/>
        <w:rPr>
          <w:rFonts w:ascii="宋体" w:hAnsi="宋体" w:cs="宋体"/>
          <w:color w:val="auto"/>
          <w:szCs w:val="28"/>
          <w:highlight w:val="none"/>
        </w:rPr>
      </w:pPr>
      <w:r>
        <w:rPr>
          <w:rFonts w:hint="eastAsia" w:ascii="宋体" w:hAnsi="宋体" w:cs="宋体"/>
          <w:color w:val="auto"/>
          <w:szCs w:val="28"/>
          <w:highlight w:val="none"/>
        </w:rPr>
        <w:t>（6）“书面函件”指打字或印刷的函件，包括电传、电报和传真。</w:t>
      </w:r>
    </w:p>
    <w:p>
      <w:pPr>
        <w:pStyle w:val="87"/>
        <w:spacing w:line="520" w:lineRule="exact"/>
        <w:ind w:firstLine="282" w:firstLineChars="101"/>
        <w:rPr>
          <w:rFonts w:ascii="宋体" w:hAnsi="宋体" w:cs="宋体"/>
          <w:color w:val="auto"/>
          <w:szCs w:val="28"/>
          <w:highlight w:val="none"/>
        </w:rPr>
      </w:pPr>
      <w:r>
        <w:rPr>
          <w:rFonts w:hint="eastAsia" w:ascii="宋体" w:hAnsi="宋体" w:cs="宋体"/>
          <w:color w:val="auto"/>
          <w:szCs w:val="28"/>
          <w:highlight w:val="none"/>
        </w:rPr>
        <w:t>（7）招标文件和投标文件所涉及的费用全部以人民币表示。</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3、招标说明</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（1）本招标</w:t>
      </w:r>
      <w:r>
        <w:rPr>
          <w:rFonts w:hint="eastAsia" w:ascii="宋体" w:hAnsi="宋体" w:cs="宋体"/>
          <w:bCs/>
          <w:color w:val="auto"/>
          <w:szCs w:val="28"/>
          <w:highlight w:val="none"/>
        </w:rPr>
        <w:t>工程</w:t>
      </w:r>
      <w:r>
        <w:rPr>
          <w:rFonts w:hint="eastAsia" w:ascii="宋体" w:hAnsi="宋体" w:cs="宋体"/>
          <w:color w:val="auto"/>
          <w:szCs w:val="28"/>
          <w:highlight w:val="none"/>
        </w:rPr>
        <w:t>建设引入竞争机制，采用</w:t>
      </w:r>
      <w:r>
        <w:rPr>
          <w:rFonts w:hint="eastAsia" w:ascii="宋体" w:hAnsi="宋体" w:cs="宋体"/>
          <w:color w:val="auto"/>
          <w:szCs w:val="28"/>
          <w:highlight w:val="none"/>
          <w:u w:val="single"/>
        </w:rPr>
        <w:t>公开招标</w:t>
      </w:r>
      <w:r>
        <w:rPr>
          <w:rFonts w:hint="eastAsia" w:ascii="宋体" w:hAnsi="宋体" w:cs="宋体"/>
          <w:color w:val="auto"/>
          <w:szCs w:val="28"/>
          <w:highlight w:val="none"/>
        </w:rPr>
        <w:t>的方式，通过“公平、公正、公开、择优”的竞争原则，选择有经验、有实力、社会信誉好的企业承担本项目的建设任务。</w:t>
      </w:r>
    </w:p>
    <w:p>
      <w:pPr>
        <w:pStyle w:val="87"/>
        <w:spacing w:line="520" w:lineRule="exact"/>
        <w:ind w:firstLine="560"/>
        <w:rPr>
          <w:rFonts w:ascii="宋体" w:hAnsi="宋体" w:cs="宋体"/>
          <w:color w:val="auto"/>
          <w:szCs w:val="28"/>
          <w:highlight w:val="none"/>
        </w:rPr>
      </w:pPr>
      <w:r>
        <w:rPr>
          <w:rFonts w:hint="eastAsia" w:ascii="宋体" w:hAnsi="宋体" w:cs="宋体"/>
          <w:color w:val="auto"/>
          <w:szCs w:val="28"/>
          <w:highlight w:val="none"/>
        </w:rPr>
        <w:t>（2）本招标项目属于</w:t>
      </w:r>
      <w:r>
        <w:rPr>
          <w:rFonts w:hint="eastAsia" w:ascii="宋体" w:hAnsi="宋体" w:cs="宋体"/>
          <w:color w:val="auto"/>
          <w:szCs w:val="28"/>
          <w:highlight w:val="none"/>
          <w:u w:val="single"/>
        </w:rPr>
        <w:t>中央财政资金及企业自筹</w:t>
      </w:r>
      <w:r>
        <w:rPr>
          <w:rFonts w:hint="eastAsia" w:ascii="宋体" w:hAnsi="宋体" w:cs="宋体"/>
          <w:color w:val="auto"/>
          <w:szCs w:val="28"/>
          <w:highlight w:val="none"/>
        </w:rPr>
        <w:t>投资性质，建设资金已经落实，其中部分资金用于本工程项目施工合同项下的合格支付。</w:t>
      </w:r>
    </w:p>
    <w:p>
      <w:pPr>
        <w:pStyle w:val="87"/>
        <w:spacing w:line="520" w:lineRule="exact"/>
        <w:ind w:firstLine="560"/>
        <w:rPr>
          <w:rFonts w:ascii="宋体" w:hAnsi="宋体" w:cs="宋体"/>
          <w:color w:val="auto"/>
          <w:szCs w:val="28"/>
          <w:highlight w:val="none"/>
        </w:rPr>
      </w:pPr>
      <w:r>
        <w:rPr>
          <w:rFonts w:hint="eastAsia" w:ascii="宋体" w:hAnsi="宋体" w:cs="宋体"/>
          <w:color w:val="auto"/>
          <w:szCs w:val="28"/>
          <w:highlight w:val="none"/>
        </w:rPr>
        <w:t>（3）本招标工程由</w:t>
      </w:r>
      <w:r>
        <w:rPr>
          <w:rFonts w:hint="eastAsia" w:ascii="宋体" w:hAnsi="宋体" w:cs="宋体"/>
          <w:color w:val="auto"/>
          <w:szCs w:val="28"/>
          <w:highlight w:val="none"/>
          <w:u w:val="single"/>
        </w:rPr>
        <w:t>中国轻工业</w:t>
      </w:r>
      <w:r>
        <w:rPr>
          <w:rFonts w:hint="eastAsia" w:ascii="宋体" w:hAnsi="宋体" w:cs="宋体"/>
          <w:color w:val="auto"/>
          <w:szCs w:val="28"/>
          <w:highlight w:val="none"/>
          <w:u w:val="single"/>
        </w:rPr>
        <w:t>南宁设计</w:t>
      </w:r>
      <w:r>
        <w:rPr>
          <w:rFonts w:hint="eastAsia" w:ascii="宋体" w:hAnsi="宋体" w:cs="宋体"/>
          <w:color w:val="auto"/>
          <w:szCs w:val="28"/>
          <w:highlight w:val="none"/>
          <w:u w:val="single"/>
        </w:rPr>
        <w:t>工程有限公司</w:t>
      </w:r>
      <w:r>
        <w:rPr>
          <w:rFonts w:hint="eastAsia" w:ascii="宋体" w:hAnsi="宋体" w:cs="宋体"/>
          <w:color w:val="auto"/>
          <w:szCs w:val="28"/>
          <w:highlight w:val="none"/>
        </w:rPr>
        <w:t>负责设计。</w:t>
      </w:r>
    </w:p>
    <w:p>
      <w:pPr>
        <w:pStyle w:val="87"/>
        <w:spacing w:line="520" w:lineRule="exact"/>
        <w:ind w:firstLine="560"/>
        <w:rPr>
          <w:rFonts w:ascii="宋体" w:hAnsi="宋体" w:cs="宋体"/>
          <w:color w:val="auto"/>
          <w:szCs w:val="28"/>
          <w:highlight w:val="none"/>
        </w:rPr>
      </w:pPr>
      <w:r>
        <w:rPr>
          <w:rFonts w:hint="eastAsia" w:ascii="宋体" w:hAnsi="宋体" w:cs="宋体"/>
          <w:color w:val="auto"/>
          <w:szCs w:val="28"/>
          <w:highlight w:val="none"/>
        </w:rPr>
        <w:t>（4）本招标工程实行监理制。</w:t>
      </w:r>
    </w:p>
    <w:p>
      <w:pPr>
        <w:pStyle w:val="87"/>
        <w:spacing w:line="520" w:lineRule="exact"/>
        <w:ind w:firstLine="560"/>
        <w:rPr>
          <w:rFonts w:ascii="宋体" w:hAnsi="宋体" w:cs="宋体"/>
          <w:color w:val="auto"/>
          <w:szCs w:val="28"/>
          <w:highlight w:val="none"/>
        </w:rPr>
      </w:pPr>
      <w:r>
        <w:rPr>
          <w:rFonts w:hint="eastAsia" w:ascii="宋体" w:hAnsi="宋体" w:cs="宋体"/>
          <w:color w:val="auto"/>
          <w:szCs w:val="28"/>
          <w:highlight w:val="none"/>
        </w:rPr>
        <w:t>（5）本次招标工作由</w:t>
      </w:r>
      <w:r>
        <w:rPr>
          <w:rFonts w:hint="eastAsia" w:ascii="宋体" w:hAnsi="宋体" w:cs="宋体"/>
          <w:color w:val="auto"/>
          <w:szCs w:val="28"/>
          <w:highlight w:val="none"/>
          <w:u w:val="single"/>
        </w:rPr>
        <w:t>广东省机电设备招标中心有限公司</w:t>
      </w:r>
      <w:r>
        <w:rPr>
          <w:rFonts w:hint="eastAsia" w:ascii="宋体" w:hAnsi="宋体" w:cs="宋体"/>
          <w:color w:val="auto"/>
          <w:szCs w:val="28"/>
          <w:highlight w:val="none"/>
        </w:rPr>
        <w:t>代理，严格按照《中华人民共和国招标投标法》﹑《中华人民共和国招标投标法实施条例》、《广东省实施＜中华人民共和国招标投标法＞办法》进行，实行招标人负责制。</w:t>
      </w:r>
    </w:p>
    <w:p>
      <w:pPr>
        <w:pStyle w:val="87"/>
        <w:spacing w:line="520" w:lineRule="exact"/>
        <w:ind w:firstLine="560"/>
        <w:rPr>
          <w:rFonts w:ascii="宋体" w:hAnsi="宋体" w:cs="宋体"/>
          <w:color w:val="auto"/>
          <w:szCs w:val="28"/>
          <w:highlight w:val="none"/>
          <w:u w:val="single"/>
        </w:rPr>
      </w:pPr>
      <w:r>
        <w:rPr>
          <w:rFonts w:hint="eastAsia" w:ascii="宋体" w:hAnsi="宋体" w:cs="宋体"/>
          <w:color w:val="auto"/>
          <w:szCs w:val="28"/>
          <w:highlight w:val="none"/>
        </w:rPr>
        <w:t>（6）投标人应承担其参加本招标活动自身所发生的费用。</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4、资质与合格条件的要求</w:t>
      </w:r>
    </w:p>
    <w:p>
      <w:pPr>
        <w:tabs>
          <w:tab w:val="left" w:pos="1200"/>
        </w:tabs>
        <w:spacing w:line="540" w:lineRule="exact"/>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（1）投标人必须具有主项或增项</w:t>
      </w:r>
      <w:r>
        <w:rPr>
          <w:rFonts w:hint="eastAsia" w:ascii="宋体" w:hAnsi="宋体" w:cs="宋体"/>
          <w:color w:val="auto"/>
          <w:sz w:val="28"/>
          <w:szCs w:val="28"/>
          <w:highlight w:val="none"/>
        </w:rPr>
        <w:t>机电工程施工</w:t>
      </w:r>
      <w:r>
        <w:rPr>
          <w:rFonts w:hint="eastAsia" w:ascii="宋体" w:hAnsi="宋体" w:cs="宋体"/>
          <w:color w:val="auto"/>
          <w:kern w:val="0"/>
          <w:sz w:val="28"/>
          <w:szCs w:val="28"/>
          <w:highlight w:val="none"/>
        </w:rPr>
        <w:t>总承包一级以上(含一级)</w:t>
      </w:r>
      <w:r>
        <w:rPr>
          <w:rFonts w:hint="eastAsia" w:ascii="宋体" w:hAnsi="宋体" w:cs="宋体"/>
          <w:color w:val="auto"/>
          <w:sz w:val="28"/>
          <w:szCs w:val="28"/>
          <w:highlight w:val="none"/>
        </w:rPr>
        <w:t>资质</w:t>
      </w:r>
      <w:r>
        <w:rPr>
          <w:rFonts w:hint="eastAsia" w:ascii="宋体" w:hAnsi="宋体" w:cs="宋体"/>
          <w:color w:val="auto"/>
          <w:sz w:val="28"/>
          <w:szCs w:val="28"/>
          <w:highlight w:val="none"/>
        </w:rPr>
        <w:t>；</w:t>
      </w:r>
    </w:p>
    <w:p>
      <w:pPr>
        <w:tabs>
          <w:tab w:val="left" w:pos="1200"/>
        </w:tabs>
        <w:spacing w:line="540" w:lineRule="exact"/>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（2）投标人必须具有独立法人资格及有效营业执照和施工企业安全生产许可证；</w:t>
      </w:r>
    </w:p>
    <w:p>
      <w:pPr>
        <w:spacing w:line="540" w:lineRule="exact"/>
        <w:ind w:firstLine="495" w:firstLineChars="177"/>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（3）参加本工程项目投标的项目负责人必须是投标单位人员，具有</w:t>
      </w:r>
      <w:r>
        <w:rPr>
          <w:rFonts w:hint="eastAsia" w:ascii="宋体" w:hAnsi="宋体" w:cs="宋体"/>
          <w:color w:val="auto"/>
          <w:sz w:val="28"/>
          <w:szCs w:val="28"/>
          <w:highlight w:val="none"/>
          <w:u w:val="single"/>
        </w:rPr>
        <w:t>机电工程</w:t>
      </w:r>
      <w:r>
        <w:rPr>
          <w:rFonts w:hint="eastAsia" w:ascii="宋体" w:hAnsi="宋体" w:cs="宋体"/>
          <w:color w:val="auto"/>
          <w:sz w:val="28"/>
          <w:szCs w:val="28"/>
          <w:highlight w:val="none"/>
        </w:rPr>
        <w:t>专业一级</w:t>
      </w:r>
      <w:r>
        <w:rPr>
          <w:rFonts w:hint="eastAsia" w:ascii="宋体" w:hAnsi="宋体" w:cs="宋体"/>
          <w:color w:val="auto"/>
          <w:sz w:val="28"/>
          <w:szCs w:val="28"/>
          <w:highlight w:val="none"/>
        </w:rPr>
        <w:t>(或以上)注册建造师，在登记时及中标后，该项目负责人不能担任其它项目的项目负责人,且不接受已担任在建项目的项目负责人参加投标</w:t>
      </w:r>
      <w:r>
        <w:rPr>
          <w:rFonts w:hint="eastAsia" w:ascii="宋体" w:hAnsi="宋体" w:cs="宋体"/>
          <w:color w:val="auto"/>
          <w:sz w:val="28"/>
          <w:szCs w:val="28"/>
          <w:highlight w:val="none"/>
          <w:lang w:eastAsia="zh-CN"/>
        </w:rPr>
        <w:t>；</w:t>
      </w:r>
    </w:p>
    <w:p>
      <w:pPr>
        <w:spacing w:line="52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（4）本招标工程只接受投标人的总公司登记，不接受分公司登记，不接受联合体登记</w:t>
      </w:r>
      <w:r>
        <w:rPr>
          <w:rFonts w:hint="eastAsia" w:ascii="宋体" w:hAnsi="宋体" w:cs="宋体"/>
          <w:color w:val="auto"/>
          <w:sz w:val="28"/>
          <w:szCs w:val="28"/>
          <w:highlight w:val="none"/>
          <w:lang w:eastAsia="zh-CN"/>
        </w:rPr>
        <w:t>；</w:t>
      </w:r>
    </w:p>
    <w:p>
      <w:pPr>
        <w:widowControl/>
        <w:spacing w:line="360" w:lineRule="auto"/>
        <w:ind w:left="561" w:leftChars="267"/>
        <w:jc w:val="left"/>
        <w:rPr>
          <w:rFonts w:ascii="宋体" w:hAnsi="宋体" w:cs="宋体"/>
          <w:color w:val="auto"/>
          <w:sz w:val="28"/>
          <w:szCs w:val="28"/>
          <w:highlight w:val="none"/>
        </w:rPr>
      </w:pPr>
      <w:r>
        <w:rPr>
          <w:rFonts w:hint="eastAsia" w:ascii="宋体" w:hAnsi="宋体" w:cs="宋体"/>
          <w:color w:val="auto"/>
          <w:sz w:val="28"/>
          <w:szCs w:val="28"/>
          <w:highlight w:val="none"/>
        </w:rPr>
        <w:t>（5）投标人如果是广东省外注册的企业，须在“进粤企业和人员诚信信息</w:t>
      </w:r>
    </w:p>
    <w:p>
      <w:pPr>
        <w:widowControl/>
        <w:spacing w:line="360" w:lineRule="auto"/>
        <w:jc w:val="left"/>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rPr>
        <w:t>登记平台”录入信息并通过数据规范检查显示正常登记</w:t>
      </w:r>
      <w:r>
        <w:rPr>
          <w:rFonts w:hint="eastAsia" w:ascii="宋体" w:hAnsi="宋体" w:cs="宋体"/>
          <w:color w:val="auto"/>
          <w:sz w:val="28"/>
          <w:szCs w:val="28"/>
          <w:highlight w:val="none"/>
          <w:lang w:eastAsia="zh-CN"/>
        </w:rPr>
        <w:t>；</w:t>
      </w:r>
    </w:p>
    <w:p>
      <w:pPr>
        <w:widowControl/>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（6）信誉要求：在“信用中国”网站（</w:t>
      </w:r>
      <w:r>
        <w:rPr>
          <w:rFonts w:ascii="宋体" w:hAnsi="宋体" w:cs="宋体"/>
          <w:color w:val="auto"/>
          <w:sz w:val="28"/>
          <w:szCs w:val="28"/>
          <w:highlight w:val="none"/>
        </w:rPr>
        <w:t>http：//www.creditchina.gov.cn/）中未被列入失信被执行人名单的投标人，在国家企业信用信息公示系统（www.gsxt.gov.cn）中未被列入严重违法失信企业名单的投标人</w:t>
      </w:r>
      <w:r>
        <w:rPr>
          <w:rFonts w:hint="eastAsia" w:ascii="宋体" w:hAnsi="宋体" w:cs="宋体"/>
          <w:color w:val="auto"/>
          <w:sz w:val="28"/>
          <w:szCs w:val="28"/>
          <w:highlight w:val="none"/>
        </w:rPr>
        <w:t>。</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5、投标单位的确定</w:t>
      </w:r>
    </w:p>
    <w:p>
      <w:pPr>
        <w:pStyle w:val="87"/>
        <w:spacing w:line="520" w:lineRule="exact"/>
        <w:ind w:firstLine="560"/>
        <w:rPr>
          <w:rFonts w:ascii="宋体" w:hAnsi="宋体" w:cs="宋体"/>
          <w:color w:val="auto"/>
          <w:szCs w:val="28"/>
          <w:highlight w:val="none"/>
        </w:rPr>
      </w:pPr>
      <w:r>
        <w:rPr>
          <w:rFonts w:hint="eastAsia" w:ascii="宋体" w:hAnsi="宋体" w:cs="宋体"/>
          <w:color w:val="auto"/>
          <w:szCs w:val="28"/>
          <w:highlight w:val="none"/>
        </w:rPr>
        <w:t>符合上述资格条件的登记单位不少于</w:t>
      </w:r>
      <w:r>
        <w:rPr>
          <w:rFonts w:hint="eastAsia" w:ascii="宋体" w:hAnsi="宋体" w:cs="宋体"/>
          <w:color w:val="auto"/>
          <w:szCs w:val="28"/>
          <w:highlight w:val="none"/>
          <w:u w:val="single"/>
        </w:rPr>
        <w:t>3</w:t>
      </w:r>
      <w:r>
        <w:rPr>
          <w:rFonts w:hint="eastAsia" w:ascii="宋体" w:hAnsi="宋体" w:cs="宋体"/>
          <w:color w:val="auto"/>
          <w:szCs w:val="28"/>
          <w:highlight w:val="none"/>
        </w:rPr>
        <w:t>个，送达评标委员会评审的投标人不足三家或经评审有效投标人少于三家的，则按照有关法律法规重新组织招标。</w:t>
      </w:r>
    </w:p>
    <w:p>
      <w:pPr>
        <w:pStyle w:val="4"/>
        <w:spacing w:line="520" w:lineRule="exact"/>
        <w:ind w:firstLine="562" w:firstLineChars="200"/>
        <w:rPr>
          <w:rFonts w:ascii="宋体" w:hAnsi="宋体" w:eastAsia="宋体" w:cs="宋体"/>
          <w:color w:val="auto"/>
          <w:sz w:val="28"/>
          <w:szCs w:val="28"/>
          <w:highlight w:val="none"/>
        </w:rPr>
      </w:pPr>
      <w:bookmarkStart w:id="3" w:name="_Toc487755757"/>
      <w:r>
        <w:rPr>
          <w:rFonts w:hint="eastAsia" w:ascii="宋体" w:hAnsi="宋体" w:eastAsia="宋体" w:cs="宋体"/>
          <w:color w:val="auto"/>
          <w:sz w:val="28"/>
          <w:szCs w:val="28"/>
          <w:highlight w:val="none"/>
        </w:rPr>
        <w:t>二、招标工程综合说明</w:t>
      </w:r>
      <w:bookmarkEnd w:id="3"/>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1、工程概况</w:t>
      </w:r>
    </w:p>
    <w:p>
      <w:pPr>
        <w:spacing w:line="520" w:lineRule="exact"/>
        <w:ind w:firstLine="560" w:firstLineChars="200"/>
        <w:rPr>
          <w:rFonts w:ascii="宋体" w:hAnsi="宋体" w:cs="宋体"/>
          <w:color w:val="auto"/>
          <w:sz w:val="28"/>
          <w:szCs w:val="28"/>
          <w:highlight w:val="none"/>
          <w:u w:val="single"/>
        </w:rPr>
      </w:pPr>
      <w:r>
        <w:rPr>
          <w:rFonts w:hint="eastAsia" w:ascii="宋体" w:hAnsi="宋体" w:cs="宋体"/>
          <w:color w:val="auto"/>
          <w:sz w:val="28"/>
          <w:szCs w:val="28"/>
          <w:highlight w:val="none"/>
        </w:rPr>
        <w:t>（1）工程名称：</w:t>
      </w:r>
      <w:r>
        <w:rPr>
          <w:rFonts w:hint="eastAsia" w:ascii="宋体" w:hAnsi="宋体" w:cs="宋体"/>
          <w:color w:val="auto"/>
          <w:sz w:val="28"/>
          <w:szCs w:val="28"/>
          <w:highlight w:val="none"/>
          <w:u w:val="single"/>
        </w:rPr>
        <w:t>2023年广东农垦糖蔗产业集群华丰公司压榨机改造及预处理系统配套工程项目。</w:t>
      </w:r>
    </w:p>
    <w:p>
      <w:pPr>
        <w:autoSpaceDE w:val="0"/>
        <w:autoSpaceDN w:val="0"/>
        <w:adjustRightInd w:val="0"/>
        <w:spacing w:line="360" w:lineRule="auto"/>
        <w:ind w:firstLine="560" w:firstLineChars="200"/>
        <w:jc w:val="left"/>
        <w:rPr>
          <w:rFonts w:ascii="宋体" w:hAnsi="宋体" w:cs="宋体"/>
          <w:color w:val="auto"/>
          <w:sz w:val="28"/>
          <w:szCs w:val="28"/>
          <w:highlight w:val="none"/>
          <w:u w:val="single"/>
        </w:rPr>
      </w:pPr>
      <w:r>
        <w:rPr>
          <w:rFonts w:hint="eastAsia" w:ascii="宋体" w:hAnsi="宋体" w:cs="宋体"/>
          <w:color w:val="auto"/>
          <w:sz w:val="28"/>
          <w:szCs w:val="28"/>
          <w:highlight w:val="none"/>
        </w:rPr>
        <w:t>（2）建设地址：</w:t>
      </w:r>
      <w:r>
        <w:rPr>
          <w:rFonts w:hint="eastAsia" w:ascii="宋体" w:hAnsi="宋体" w:cs="宋体"/>
          <w:color w:val="auto"/>
          <w:sz w:val="28"/>
          <w:szCs w:val="28"/>
          <w:highlight w:val="none"/>
          <w:u w:val="single"/>
        </w:rPr>
        <w:t>广东广垦华丰糖业有限公司生产区内。</w:t>
      </w:r>
    </w:p>
    <w:p>
      <w:pPr>
        <w:pStyle w:val="20"/>
        <w:spacing w:line="360" w:lineRule="auto"/>
        <w:ind w:firstLine="490" w:firstLineChars="175"/>
        <w:rPr>
          <w:rFonts w:ascii="宋体" w:hAnsi="宋体" w:cs="宋体"/>
          <w:color w:val="auto"/>
          <w:szCs w:val="28"/>
          <w:highlight w:val="none"/>
        </w:rPr>
      </w:pPr>
      <w:r>
        <w:rPr>
          <w:rFonts w:hint="eastAsia" w:ascii="宋体" w:hAnsi="宋体" w:cs="宋体"/>
          <w:color w:val="auto"/>
          <w:szCs w:val="28"/>
          <w:highlight w:val="none"/>
        </w:rPr>
        <w:t>（3）项目概况:</w:t>
      </w:r>
      <w:r>
        <w:rPr>
          <w:rFonts w:hint="eastAsia" w:ascii="宋体" w:hAnsi="宋体" w:cs="宋体"/>
          <w:color w:val="auto"/>
          <w:szCs w:val="28"/>
          <w:highlight w:val="none"/>
          <w:u w:val="single"/>
        </w:rPr>
        <w:t>原料处理间输蔗带宽度加大至2000mm，同时配套更新改造撕解机、除铁器等设备。原料处理间由原1段1670mm链板式输蔗机、一条皮带机更换为2段2000mm链板式输蔗机、一条1700mm快速胶带。原1670mm蔗刀机更换为满足配套蔗带规格2000mm蔗刀机，共3台。其中3#蔗刀机使用原710KW电机。蔗刀机电压为6.3KV。旧房屋拆除，重建压榨间连通的原料间。压榨间保留原1#φ850x1700压榨机，2#～6#φ810x1600压榨机替换成全新的五座φ850x1700斜调圆销式压榨机。取消原来的分配箱和开放齿及前辊液压马达系统，更换成扭矩为</w:t>
      </w:r>
      <w:r>
        <w:rPr>
          <w:rFonts w:hint="eastAsia" w:ascii="宋体" w:hAnsi="宋体" w:cs="宋体"/>
          <w:color w:val="auto"/>
          <w:szCs w:val="28"/>
          <w:highlight w:val="none"/>
          <w:u w:val="single"/>
        </w:rPr>
        <w:t>130吨米</w:t>
      </w:r>
      <w:r>
        <w:rPr>
          <w:rFonts w:hint="eastAsia" w:ascii="宋体" w:hAnsi="宋体" w:cs="宋体"/>
          <w:color w:val="auto"/>
          <w:szCs w:val="28"/>
          <w:highlight w:val="none"/>
          <w:u w:val="single"/>
        </w:rPr>
        <w:t>的行星减速机和710Kw的直流电机以及一套柔性联轴器。配套DCS控制系统及生产作业视频监控系统。</w:t>
      </w:r>
    </w:p>
    <w:p>
      <w:pPr>
        <w:pStyle w:val="20"/>
        <w:spacing w:line="360" w:lineRule="auto"/>
        <w:ind w:firstLine="490" w:firstLineChars="175"/>
        <w:rPr>
          <w:rFonts w:ascii="宋体" w:hAnsi="宋体" w:cs="宋体"/>
          <w:color w:val="auto"/>
          <w:szCs w:val="28"/>
          <w:highlight w:val="none"/>
          <w:u w:val="single"/>
        </w:rPr>
      </w:pPr>
      <w:r>
        <w:rPr>
          <w:rFonts w:hint="eastAsia" w:ascii="宋体" w:hAnsi="宋体" w:cs="宋体"/>
          <w:color w:val="auto"/>
          <w:szCs w:val="28"/>
          <w:highlight w:val="none"/>
        </w:rPr>
        <w:t>（4）</w:t>
      </w:r>
      <w:r>
        <w:rPr>
          <w:rFonts w:hint="eastAsia" w:ascii="宋体" w:hAnsi="宋体" w:cs="宋体"/>
          <w:color w:val="auto"/>
          <w:szCs w:val="28"/>
          <w:highlight w:val="none"/>
        </w:rPr>
        <w:t>招标控制价:</w:t>
      </w:r>
      <w:r>
        <w:rPr>
          <w:rFonts w:hint="eastAsia" w:ascii="宋体" w:hAnsi="宋体" w:cs="宋体"/>
          <w:color w:val="auto"/>
          <w:szCs w:val="28"/>
          <w:highlight w:val="none"/>
          <w:u w:val="single"/>
        </w:rPr>
        <w:t>4827万元</w:t>
      </w:r>
      <w:r>
        <w:rPr>
          <w:rFonts w:hint="eastAsia" w:ascii="宋体" w:hAnsi="宋体" w:cs="宋体"/>
          <w:color w:val="auto"/>
          <w:szCs w:val="28"/>
          <w:highlight w:val="none"/>
        </w:rPr>
        <w:t>。</w:t>
      </w:r>
    </w:p>
    <w:p>
      <w:pPr>
        <w:spacing w:line="54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w:t>
      </w:r>
      <w:r>
        <w:rPr>
          <w:rFonts w:hint="eastAsia" w:ascii="宋体" w:hAnsi="宋体" w:cs="宋体"/>
          <w:color w:val="auto"/>
          <w:sz w:val="28"/>
          <w:szCs w:val="28"/>
          <w:highlight w:val="none"/>
        </w:rPr>
        <w:t>施工工期：</w:t>
      </w:r>
      <w:r>
        <w:rPr>
          <w:rFonts w:ascii="宋体" w:hAnsi="宋体" w:cs="宋体"/>
          <w:color w:val="auto"/>
          <w:sz w:val="28"/>
          <w:szCs w:val="28"/>
          <w:highlight w:val="none"/>
          <w:u w:val="single"/>
        </w:rPr>
        <w:t>150日历天</w:t>
      </w:r>
      <w:r>
        <w:rPr>
          <w:rFonts w:hint="eastAsia" w:ascii="宋体" w:hAnsi="宋体" w:cs="宋体"/>
          <w:color w:val="auto"/>
          <w:sz w:val="28"/>
          <w:szCs w:val="28"/>
          <w:highlight w:val="none"/>
          <w:u w:val="single"/>
        </w:rPr>
        <w:t>完成安装交付使用。</w:t>
      </w:r>
    </w:p>
    <w:p>
      <w:pPr>
        <w:tabs>
          <w:tab w:val="left" w:pos="188"/>
          <w:tab w:val="left" w:pos="564"/>
        </w:tabs>
        <w:spacing w:line="520" w:lineRule="exact"/>
        <w:ind w:left="5" w:firstLine="518" w:firstLineChars="185"/>
        <w:jc w:val="left"/>
        <w:rPr>
          <w:rFonts w:ascii="宋体" w:hAnsi="宋体" w:cs="宋体"/>
          <w:color w:val="auto"/>
          <w:sz w:val="28"/>
          <w:szCs w:val="28"/>
          <w:highlight w:val="none"/>
        </w:rPr>
      </w:pPr>
      <w:r>
        <w:rPr>
          <w:rFonts w:hint="eastAsia" w:ascii="宋体" w:hAnsi="宋体" w:cs="宋体"/>
          <w:color w:val="auto"/>
          <w:sz w:val="28"/>
          <w:szCs w:val="28"/>
          <w:highlight w:val="none"/>
        </w:rPr>
        <w:t>（6）资金来源：</w:t>
      </w:r>
      <w:r>
        <w:rPr>
          <w:rFonts w:hint="eastAsia" w:ascii="宋体" w:hAnsi="宋体" w:cs="宋体"/>
          <w:color w:val="auto"/>
          <w:sz w:val="28"/>
          <w:szCs w:val="28"/>
          <w:highlight w:val="none"/>
          <w:u w:val="single"/>
        </w:rPr>
        <w:t>中央财政资金及企业自筹，建设资金已经落实，并将部分用于本工程合同项目的支付</w:t>
      </w:r>
      <w:r>
        <w:rPr>
          <w:rFonts w:hint="eastAsia" w:ascii="宋体" w:hAnsi="宋体" w:cs="宋体"/>
          <w:color w:val="auto"/>
          <w:sz w:val="28"/>
          <w:szCs w:val="28"/>
          <w:highlight w:val="none"/>
        </w:rPr>
        <w:t>。</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（7）工程地质和水文地质情况：</w:t>
      </w:r>
      <w:r>
        <w:rPr>
          <w:rFonts w:hint="eastAsia" w:ascii="宋体" w:hAnsi="宋体" w:cs="宋体"/>
          <w:color w:val="auto"/>
          <w:szCs w:val="28"/>
          <w:highlight w:val="none"/>
          <w:u w:val="single"/>
        </w:rPr>
        <w:t>详见工程地质勘察报告及有关文件</w:t>
      </w:r>
      <w:r>
        <w:rPr>
          <w:rFonts w:hint="eastAsia" w:ascii="宋体" w:hAnsi="宋体" w:cs="宋体"/>
          <w:color w:val="auto"/>
          <w:szCs w:val="28"/>
          <w:highlight w:val="none"/>
        </w:rPr>
        <w:t xml:space="preserve">。 </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（8）工程质量要求：</w:t>
      </w:r>
      <w:r>
        <w:rPr>
          <w:rFonts w:hint="eastAsia" w:ascii="宋体" w:hAnsi="宋体" w:cs="宋体"/>
          <w:color w:val="auto"/>
          <w:szCs w:val="28"/>
          <w:highlight w:val="none"/>
          <w:u w:val="single"/>
        </w:rPr>
        <w:t>合格</w:t>
      </w:r>
      <w:r>
        <w:rPr>
          <w:rFonts w:hint="eastAsia" w:ascii="宋体" w:hAnsi="宋体" w:cs="宋体"/>
          <w:color w:val="auto"/>
          <w:szCs w:val="28"/>
          <w:highlight w:val="none"/>
        </w:rPr>
        <w:t>。</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2、现场条件</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（1）施工场地：</w:t>
      </w:r>
      <w:r>
        <w:rPr>
          <w:rFonts w:hint="eastAsia" w:ascii="宋体" w:hAnsi="宋体" w:cs="宋体"/>
          <w:color w:val="auto"/>
          <w:szCs w:val="28"/>
          <w:highlight w:val="none"/>
          <w:u w:val="single"/>
        </w:rPr>
        <w:t>已具备开工条件</w:t>
      </w:r>
      <w:r>
        <w:rPr>
          <w:rFonts w:hint="eastAsia" w:ascii="宋体" w:hAnsi="宋体" w:cs="宋体"/>
          <w:color w:val="auto"/>
          <w:szCs w:val="28"/>
          <w:highlight w:val="none"/>
        </w:rPr>
        <w:t>。</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（2）施工用水：</w:t>
      </w:r>
      <w:r>
        <w:rPr>
          <w:rFonts w:hint="eastAsia" w:ascii="宋体" w:hAnsi="宋体" w:cs="宋体"/>
          <w:color w:val="auto"/>
          <w:szCs w:val="28"/>
          <w:highlight w:val="none"/>
          <w:u w:val="single"/>
        </w:rPr>
        <w:t>已具备开工条件</w:t>
      </w:r>
      <w:r>
        <w:rPr>
          <w:rFonts w:hint="eastAsia" w:ascii="宋体" w:hAnsi="宋体" w:cs="宋体"/>
          <w:color w:val="auto"/>
          <w:szCs w:val="28"/>
          <w:highlight w:val="none"/>
        </w:rPr>
        <w:t>。</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（3）施工用电：</w:t>
      </w:r>
      <w:r>
        <w:rPr>
          <w:rFonts w:hint="eastAsia" w:ascii="宋体" w:hAnsi="宋体" w:cs="宋体"/>
          <w:color w:val="auto"/>
          <w:szCs w:val="28"/>
          <w:highlight w:val="none"/>
          <w:u w:val="single"/>
        </w:rPr>
        <w:t>已具备开工条件</w:t>
      </w:r>
      <w:r>
        <w:rPr>
          <w:rFonts w:hint="eastAsia" w:ascii="宋体" w:hAnsi="宋体" w:cs="宋体"/>
          <w:color w:val="auto"/>
          <w:szCs w:val="28"/>
          <w:highlight w:val="none"/>
        </w:rPr>
        <w:t>。</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（4）临时设施：</w:t>
      </w:r>
      <w:r>
        <w:rPr>
          <w:rFonts w:hint="eastAsia" w:ascii="宋体" w:hAnsi="宋体" w:cs="宋体"/>
          <w:color w:val="auto"/>
          <w:szCs w:val="28"/>
          <w:highlight w:val="none"/>
          <w:u w:val="single"/>
        </w:rPr>
        <w:t>由施工单位自行搭设</w:t>
      </w:r>
      <w:r>
        <w:rPr>
          <w:rFonts w:hint="eastAsia" w:ascii="宋体" w:hAnsi="宋体" w:cs="宋体"/>
          <w:color w:val="auto"/>
          <w:szCs w:val="28"/>
          <w:highlight w:val="none"/>
        </w:rPr>
        <w:t>。</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（5）施工用水用电及生活用水用电按实际使用数量，施工用水</w:t>
      </w:r>
      <w:r>
        <w:rPr>
          <w:rFonts w:hint="eastAsia" w:ascii="宋体" w:hAnsi="宋体" w:cs="宋体"/>
          <w:color w:val="auto"/>
          <w:szCs w:val="28"/>
          <w:highlight w:val="none"/>
          <w:u w:val="single"/>
        </w:rPr>
        <w:t>按照湛江市徐闻县物价部门的有关规定执行</w:t>
      </w:r>
      <w:r>
        <w:rPr>
          <w:rFonts w:hint="eastAsia" w:ascii="宋体" w:hAnsi="宋体" w:cs="宋体"/>
          <w:color w:val="auto"/>
          <w:szCs w:val="28"/>
          <w:highlight w:val="none"/>
        </w:rPr>
        <w:t>，施工用电</w:t>
      </w:r>
      <w:r>
        <w:rPr>
          <w:rFonts w:hint="eastAsia" w:ascii="宋体" w:hAnsi="宋体" w:cs="宋体"/>
          <w:color w:val="auto"/>
          <w:szCs w:val="28"/>
          <w:highlight w:val="none"/>
          <w:u w:val="single"/>
        </w:rPr>
        <w:t>按照湛江市徐闻县物价部门的有关规定执行</w:t>
      </w:r>
      <w:r>
        <w:rPr>
          <w:rFonts w:hint="eastAsia" w:ascii="宋体" w:hAnsi="宋体" w:cs="宋体"/>
          <w:color w:val="auto"/>
          <w:szCs w:val="28"/>
          <w:highlight w:val="none"/>
        </w:rPr>
        <w:t>扣回给发包人。</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3、工程招标范围及内容</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工程招标范围按招标文件提供的设备清单、施工图、工程量清单、有关资料、说明和涉及的标准、规范所涉及的内容，范围包括：设备购置及安装，建筑工程设计图纸所包含的全部工程内容。</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一、</w:t>
      </w:r>
      <w:r>
        <w:rPr>
          <w:rFonts w:hint="eastAsia" w:ascii="宋体" w:hAnsi="宋体" w:cs="宋体"/>
          <w:color w:val="auto"/>
          <w:sz w:val="28"/>
          <w:szCs w:val="28"/>
          <w:highlight w:val="none"/>
        </w:rPr>
        <w:t>原料处理间输蔗带宽度加大至2000mm，同时配套更新改造撕解机、除铁器等设备。原料处理间由原1段1670mm链板式输蔗机、一条皮带机更换为2段2000mm链板式输蔗机、一条1700mm快速胶带。原1670mm蔗刀机更换为满足配套蔗带规格2000mm蔗刀机，共3台。蔗刀机电机：1#蔗刀机900KW（新增）、2#蔗刀机710KW（新增）、3#蔗刀机710KW（利旧），电压均为6.3KV电机。新增与利旧设备配套冷却润滑装置、管路、法兰、阀门等附件；增加2台行车，分别安装于2#蔗场、蔗带间及压榨间。旧原料间设备基础、房屋拆除，重建与压榨间连通的原料间（总建筑面积：989.00㎡，建筑高度：15.825m），设备基础、原料间房屋按施工图。</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二、</w:t>
      </w:r>
      <w:r>
        <w:rPr>
          <w:rFonts w:hint="eastAsia" w:ascii="宋体" w:hAnsi="宋体" w:cs="宋体"/>
          <w:color w:val="auto"/>
          <w:sz w:val="28"/>
          <w:szCs w:val="28"/>
          <w:highlight w:val="none"/>
        </w:rPr>
        <w:t xml:space="preserve">压榨间保留原1#φ850x1700压榨机设备（含双分流齿轮箱、柔性联轴器），新增700Kw的直流电机；2#～6#φ810x1600压榨机替换成全新的五座φ850x1700斜调圆销式压榨机（含高位槽、下送辊）。取消原来的分配箱和开放齿及前辊液压马达系统，更换成扭矩为130吨米的行星减速机和700Kw的直流电机以及柔性联轴器。新增5台耙齿式中输机。新增与利旧设备配套冷却润滑装置、管路、法兰、阀门等附件；在压榨间屋顶或两侧适当位置安装抽风机系统。旧设备基础拆除，新设备基础按施工图。  </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建设后的设备为： 1#、2#、4#、5#、6#压榨机为成套全新的斜调圆销式压榨机（含高位槽、下送辊）、配130吨米的行星减速机和700Kw的直流电机以及柔性联轴器；3#压榨机为利旧1#压榨机（含下送辊、柔性联轴器），减速机利旧1#压榨机双分流齿轮箱，配高位槽（新增）、700Kw的直流电机（新增）；</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三、</w:t>
      </w:r>
      <w:r>
        <w:rPr>
          <w:rFonts w:hint="eastAsia" w:ascii="宋体" w:hAnsi="宋体" w:cs="宋体"/>
          <w:color w:val="auto"/>
          <w:sz w:val="28"/>
          <w:szCs w:val="28"/>
          <w:highlight w:val="none"/>
        </w:rPr>
        <w:t>电器动力：新增整流变压器、电力变压器及配套高低电缆、配电屏、电容补偿屏、有源滤波柜、压榨机和双辊喂料器调速整流柜、动力配电箱、照明箱及灯具、自动电液变阻起动柜、静止式进相补偿装置和原有变配电室改造等，压榨设备取电动力车间高压开关柜利旧改造及均衡进蔗与榨机自动控制等DCS系统、生产作业视频监控系统。配套相关电机、设备的配电柜、起动柜、控制柜，高低压线路、仪表、照明等。</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以上改造配套的基础改造等相关土建工程、拆旧工程（非金属土建废料须运至非需方辖区堆放，其中内含钢筋的混凝土块状废料属于非金属土建废料），恢复拆旧破坏的地面、楼面、墙窗、屋顶、设备设施及管路线路等需方要求的全部内容。</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四、</w:t>
      </w:r>
      <w:r>
        <w:rPr>
          <w:rFonts w:hint="eastAsia" w:ascii="宋体" w:hAnsi="宋体" w:cs="宋体"/>
          <w:color w:val="auto"/>
          <w:sz w:val="28"/>
          <w:szCs w:val="28"/>
          <w:highlight w:val="none"/>
        </w:rPr>
        <w:t xml:space="preserve">主要供货设备清单 </w:t>
      </w:r>
    </w:p>
    <w:tbl>
      <w:tblPr>
        <w:tblStyle w:val="48"/>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091"/>
        <w:gridCol w:w="5632"/>
        <w:gridCol w:w="831"/>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名称</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规格、要求</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电动双梁起重机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Q=16t,LK=22.5m，起升高度12m，操纵室端面入，单钩,车行走速度101.4m/min，A6</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起升电动机380V,50Hz,IP54， 37KW</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小车电动机380V,50Hz,IP54， 4KW</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大车电动机380V,50Hz,IP54，7.5KW×2</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电动双梁起重机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Q=25/5t,LK=25.5m，起升高度12m，操纵室端面入，双钩，大车行走速度101.4m/min，A5</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主起升电动机380V,50Hz,IP54，22KW</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副起升电动机380V,50Hz,IP54，11KW</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小车电动机380V,50Hz,IP54，3.7KW</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大车电动机380V,50Hz,IP54，11KW×2</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1#输蔗机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链板式，倾角:23º 公称宽度2000mm，水平投影长度51.65m 旁板厚度:8mm，链轮节距t=200mm 链板厚度:8mm，链条排数：3排，调速范围：0~17m/min。减速机i=56,路轨使用宽面路轨，主材质Q235上表面40Mn</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ascii="宋体" w:hAnsi="宋体" w:cs="宋体"/>
                <w:color w:val="auto"/>
                <w:sz w:val="28"/>
                <w:szCs w:val="28"/>
                <w:highlight w:val="none"/>
              </w:rPr>
              <w:t>建议链条</w:t>
            </w:r>
            <w:r>
              <w:rPr>
                <w:rFonts w:hint="eastAsia" w:ascii="宋体" w:hAnsi="宋体" w:cs="宋体"/>
                <w:color w:val="auto"/>
                <w:sz w:val="28"/>
                <w:szCs w:val="28"/>
                <w:highlight w:val="none"/>
              </w:rPr>
              <w:t>：益阳百链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变频电动机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380V,50Hz,970rpm,IP54 90kW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1用1备，备用电机不配电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1#蔗屑清扫器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有效宽度:2000mm,回转直径:φ500/159mm,转速:34.7rpm</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减速电动机380V,50Hz,970rpm,IP54，4KW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宽 2000mm,刀尖回转直径 1650mm,转鼓式逆转，转鼓直径1250mm，转鼓外圆面镶8mm不锈钢，旁板、盖板用10mm不锈钢，转鼓轴承使用进口轴承。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6.3KV,50Hz,750rpm,IP54，900kW，机身自带烘机装置，电机使用进口轴承。背包式空水冷。</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宽 2000mm,刀尖回转直径 1650mm，转鼓式逆转，转鼓直径1250mm，转鼓外圆面镶8mm不锈钢，旁板、盖板用10mm不锈钢，转鼓使用进口轴承。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电动机 </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型号YRKK560-8（取与利旧电机相同）机身自带烘机装置，电机使用进口轴承(具体附后参考品牌)。背包式空水冷。</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6.3KV,50Hz,750rpm,IP54，710kW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宽 2000mm,刀尖回转直径 1650 </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mm，转鼓式逆转，转鼓直径1250mm，转鼓外圆面镶8mm不锈钢，旁板、盖板用10mm不锈钢，转鼓轴承使用进口轴承。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利旧原1</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#撕解机710KW电机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撕解机冷却系统</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三台撕解机轴承冷却系统采用水冷式</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抛掷机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适合内宽：2000mm,不锈钢转鼓，减速电动机18.5KW，与电磁除铁器配用。</w:t>
            </w:r>
            <w:r>
              <w:rPr>
                <w:rFonts w:hint="eastAsia" w:ascii="宋体" w:hAnsi="宋体" w:cs="宋体"/>
                <w:bCs/>
                <w:color w:val="auto"/>
                <w:sz w:val="28"/>
                <w:szCs w:val="28"/>
                <w:highlight w:val="none"/>
              </w:rPr>
              <w:t>型号：P2000</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XTL7系列油冷式蔗层电磁吸铁器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2000mm，油冷,磁感应强度 1000Gs，配安装支架，控制柜，电功率30KW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2#输蔗机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链板式，倾角:23º 公称宽度2000mm，水平投影长度27.383m 旁板厚度:8mm，链轮节距t=200mm 链板厚度:8mm，链条排数：3排，调速范围：0~17m/min。减速机i=56，路轨使用宽面路轨，主材质Q235上表面40Mn</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ascii="宋体" w:hAnsi="宋体" w:cs="宋体"/>
                <w:color w:val="auto"/>
                <w:sz w:val="28"/>
                <w:szCs w:val="28"/>
                <w:highlight w:val="none"/>
              </w:rPr>
              <w:t>建议链条</w:t>
            </w:r>
            <w:r>
              <w:rPr>
                <w:rFonts w:hint="eastAsia" w:ascii="宋体" w:hAnsi="宋体" w:cs="宋体"/>
                <w:color w:val="auto"/>
                <w:sz w:val="28"/>
                <w:szCs w:val="28"/>
                <w:highlight w:val="none"/>
              </w:rPr>
              <w:t>：益阳百链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变频电动机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380V,50Hz,970rpm,IP54 90kW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2#蔗屑清扫器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有效宽度:2000mm,回转直径:400mm,转速:34.7rpm，减速电动机380V,50Hz,970rpm,IP54，4KW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1台 </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匀落器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内宽：2000mm,刀尖回转直径：1000mm 转速：85rpm，减速电动机380V,50Hz,970rpm,IP54，18.5KW，配合快速胶带输送机宽度使用。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快速胶带输送机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公称宽度1700mm，水平投影长度10.7m ，周长21.9m，调速范围：60～90m/min（调速）电磁除铁器下方为无磁不锈钢托辊，减速机变频电动机 380V,50Hz,970rpm,IP54，30Kw ，尼龙输送带NN1400，包边(边高宽度8mm)、6层（3+1.5）。</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电磁除铁器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油冷式，续工作制，励磁功率：15.5KW(20℃)，电磁感应强度：距除铁器下400mm 处&gt;63mT，公称宽度：1700 mm，配控制柜</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斜调式压榨机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ф850×1700mm,斜调式,r=4—10rpm; 配下送辊、高位槽、柔性联轴器 ；榨机榨辊轴瓦采用创新专利技术防水罩以及密封；压榨机压臂采用压臂快速顶紧装置改造，榨机旁板材质用20mm不锈钢板。</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注：利旧压榨机新增榨辊轴瓦采用创新专利技术防水罩以及密封、压榨机压臂采用压臂快速顶紧装置改造（采用技术同其他榨机一致）。</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 座</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5新1旧</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注：配套压榨过桥装置，可以在单座榨机故障时独立处理，整条生产线不停机。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行星减速机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速比：i＝102.5，额定输出扭矩:M=130t•m，最大输出扭矩:M=260tm含润滑站及电控柜，</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稀油站公称压力0.63MPa，公称流量300l/min，电动机380V,50Hz,IP5，11KW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每台稀油站电机及泵1用1备配置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行星减速机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速比：i＝120，额定输出扭矩:M=130t•m，最大输出扭矩:M=260tm含润滑站及电控柜，</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稀油站公称压力0.63MPa，公称流量300l/min，电动机380V,50Hz,IP5，11KW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稀油站电机及泵1用1备配置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功率分流大型减速器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利旧，型号HSG3100H（2），功率700KW，速比i=101.87</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原1#榨机减速机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直流电动机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n=600/1200rpm，660V, 700kw，配电机轴承使用进口轴承，定子测温元件，配电机底座架，直流电机风机7.5KW，机身自带烘机装置。背包式空水冷。</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1#双辊喂料器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∅850x1700mm，配下送辊,与 1#压榨机配用，榨辊轴瓦采用创新专利技术防水罩以及密封。</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 座</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行星减速机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速比：i=102.5，额定输出扭矩:M=60t•m，最大输出扭矩:M=120tm输入转速：n=750～1500rpm，输出转速：n=4～11rpm，配方联轴器。稀油站：公称压力0.63MPa，公称流量300l/min，电动机11KW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稀油站电机及泵1用1备配置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直流电动机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n=750/1500rpm，660V，背包式空水冷，350kw，直流电机风机7.5KW，配电机轴承使用进口轴承，机身自带烘机装置。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中间输送机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B=1700mm，耙齿式,线速 30~45m/min。</w:t>
            </w:r>
          </w:p>
          <w:p>
            <w:pPr>
              <w:pStyle w:val="2"/>
              <w:spacing w:line="360" w:lineRule="auto"/>
              <w:jc w:val="both"/>
              <w:rPr>
                <w:rFonts w:ascii="宋体" w:hAnsi="宋体" w:eastAsia="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4台配合 7.5m 榨机座距</w:t>
            </w:r>
          </w:p>
          <w:p>
            <w:pPr>
              <w:pStyle w:val="2"/>
              <w:spacing w:line="360" w:lineRule="auto"/>
              <w:jc w:val="both"/>
              <w:rPr>
                <w:rFonts w:ascii="宋体" w:hAnsi="宋体" w:eastAsia="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1台配合 10m 榨机座距</w:t>
            </w:r>
          </w:p>
          <w:p>
            <w:pPr>
              <w:pStyle w:val="2"/>
              <w:spacing w:line="360" w:lineRule="auto"/>
              <w:jc w:val="both"/>
              <w:rPr>
                <w:rFonts w:ascii="宋体" w:hAnsi="宋体" w:eastAsia="宋体" w:cs="宋体"/>
                <w:color w:val="auto"/>
                <w:sz w:val="28"/>
                <w:szCs w:val="28"/>
                <w:highlight w:val="none"/>
              </w:rPr>
            </w:pP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槽板使用不锈钢，耙齿式链条销使用不锈钢材质。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平行轴减速机及电机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配变频电动机380V,50Hz,970rpm,IP54，30KW。</w:t>
            </w:r>
          </w:p>
          <w:p>
            <w:pPr>
              <w:pStyle w:val="2"/>
              <w:spacing w:line="360" w:lineRule="auto"/>
              <w:jc w:val="both"/>
              <w:rPr>
                <w:rFonts w:ascii="宋体" w:hAnsi="宋体" w:eastAsia="宋体" w:cs="宋体"/>
                <w:color w:val="auto"/>
                <w:sz w:val="28"/>
                <w:szCs w:val="28"/>
                <w:highlight w:val="none"/>
              </w:rPr>
            </w:pP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配合中间输送机使用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压榨机油压系统 </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Q=40L/min,P=31.5MPa,包括油压站、管道、阀门，电动机380V,50Hz,1450rpm,IP54，7.5KW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电机、油泵2台1备1用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胶囊蓄能器1#~14#</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公称容积25L，公称压力31.5MPa，垂直安装</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1#~2#为原有利旧，含2备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冲氮小车</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公称压力31.5MPa</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压榨机干油润滑系统 </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Q=585ml/min,P=20MPa,包括成套管路，干油过滤器，压力操纵阀，仪表，配控制箱等;双线给油器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电动泵</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公称压力1 MPa，公称流量200L/h，1KW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电动泵</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公称压力40MPa，给油能力430ml/min，1.5KW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卸渣溜槽</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钢制，配合榨机，宽1700mm </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1个</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压榨机操作平台</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钢制，栏杆高度符合安全标准，平台、栏杆采用活动式</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渗透汁曲筛</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宽度1700mm，材质：6mm不锈钢板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汁泵出口：不锈钢管道部分利旧，非不锈钢管道更换不锈钢。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蔗渣皮带输送机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B=1200mm，长度6.5米，电动机380V,IP54、7.5kw，减速机带动电机，带速1.3~1.6m/s，平带式。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尼龙输送带NN200，包边、6层(3+1.5)</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流体管路</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管路、弯头、阀门、胶管、接头等。管路、管件材质：SS304</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整流变压器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ZS13-4000/10-NX2,4000kVA,6.3</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±2x2.5%/0.6kV，Y,d11, Uk%=7二级能效整流变。高压负荷开关至变压器采用铜排材质。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配电变压器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S20-2500/6.3-NX2,2500kVA,6.3</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±2x2.5%/0.4kV，D,yn11, Uk%=8 型配电变压器，二级能效。高压负荷开关至变压器采用铜排材质。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压榨机调速整流柜</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GGD3，-660V，配700kW控制整流装置，调速装置使用590全数字直流调速装置。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双辊喂料器调速整流柜</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GGD3，-660V，配350kW控制整流装置,调速装置使用590全数字直流调速装置。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DCS控制系统</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集成均匀进榨控制、压榨机列转速控制，电机轴温绕组温度和振动、电流监控，混合汁均匀泵送、汁泵液位控制，渗透水流量、液位、温度控制等控制系统，DCS系统各种类型的测点按20%余量配置，具备手机APP或者WEB访问功能。</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详见（二）DCS控制系统及生产作业视频监控系统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生产作业视频监控系统</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在控制室内设置一套工业电视监控系统。监控覆盖压榨生产线的主要作业面、关键作业点重要场所,视频监控采用数字式。</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核子秤</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计量精度：0.01规格：配B2000链板输蔗机</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其中1台两个核源利旧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动力电缆</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根据电机功率进行配置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仪表控制电缆</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要求电缆带屏蔽功能</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桥架</w:t>
            </w:r>
          </w:p>
        </w:tc>
        <w:tc>
          <w:tcPr>
            <w:tcW w:w="5632" w:type="dxa"/>
            <w:shd w:val="clear" w:color="auto" w:fill="auto"/>
            <w:vAlign w:val="center"/>
          </w:tcPr>
          <w:p>
            <w:pPr>
              <w:spacing w:line="360" w:lineRule="auto"/>
              <w:rPr>
                <w:rFonts w:ascii="宋体" w:hAnsi="宋体" w:cs="宋体"/>
                <w:color w:val="auto"/>
                <w:sz w:val="28"/>
                <w:szCs w:val="28"/>
                <w:highlight w:val="none"/>
              </w:rPr>
            </w:pP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按需配置，要求动力电缆桥架和控制电缆桥架分开布置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压缩空气管</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DN25，材质SS304，工况：压缩空气，压榨0.5-1Mpa。</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管道</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根据工艺设计进行配置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44</w:t>
            </w:r>
          </w:p>
        </w:tc>
        <w:tc>
          <w:tcPr>
            <w:tcW w:w="8672" w:type="dxa"/>
            <w:gridSpan w:val="4"/>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其它电器设备按初步设计要求来配置。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45</w:t>
            </w:r>
          </w:p>
        </w:tc>
        <w:tc>
          <w:tcPr>
            <w:tcW w:w="8672" w:type="dxa"/>
            <w:gridSpan w:val="4"/>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品备件：输蔗机链板100块；3台撕解机蔗刀各一套；压榨机顶、前、后辊、下送辊（含辊套、挡汁环）各一条；面梳、后梳各二把，底梳5把；压榨辊轴瓦座带瓦备3套；双辊喂料器榨辊两条、下送辊、上梳把、下梳把各1件，榨辊轴瓦与轴瓦座1套；</w:t>
            </w:r>
          </w:p>
        </w:tc>
      </w:tr>
    </w:tbl>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备注：不限于表中设备物质，最终需根据承包方以满足最终指标及设计文件要求配套所需要的其他设备物质。</w:t>
      </w: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主要拆旧清单</w:t>
      </w:r>
    </w:p>
    <w:tbl>
      <w:tblPr>
        <w:tblStyle w:val="47"/>
        <w:tblW w:w="4849" w:type="pct"/>
        <w:jc w:val="center"/>
        <w:tblLayout w:type="fixed"/>
        <w:tblCellMar>
          <w:top w:w="0" w:type="dxa"/>
          <w:left w:w="108" w:type="dxa"/>
          <w:bottom w:w="0" w:type="dxa"/>
          <w:right w:w="108" w:type="dxa"/>
        </w:tblCellMar>
      </w:tblPr>
      <w:tblGrid>
        <w:gridCol w:w="588"/>
        <w:gridCol w:w="1355"/>
        <w:gridCol w:w="4107"/>
        <w:gridCol w:w="784"/>
        <w:gridCol w:w="556"/>
        <w:gridCol w:w="489"/>
        <w:gridCol w:w="784"/>
        <w:gridCol w:w="893"/>
      </w:tblGrid>
      <w:tr>
        <w:tblPrEx>
          <w:tblCellMar>
            <w:top w:w="0" w:type="dxa"/>
            <w:left w:w="108" w:type="dxa"/>
            <w:bottom w:w="0" w:type="dxa"/>
            <w:right w:w="108" w:type="dxa"/>
          </w:tblCellMar>
        </w:tblPrEx>
        <w:trPr>
          <w:trHeight w:val="215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设备名称</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型号规格</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计量单位</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材质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重量（T）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CellMar>
            <w:top w:w="0" w:type="dxa"/>
            <w:left w:w="108" w:type="dxa"/>
            <w:bottom w:w="0" w:type="dxa"/>
            <w:right w:w="108" w:type="dxa"/>
          </w:tblCellMar>
        </w:tblPrEx>
        <w:trPr>
          <w:trHeight w:val="57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蔗场原料处理设备</w:t>
            </w:r>
          </w:p>
        </w:tc>
      </w:tr>
      <w:tr>
        <w:tblPrEx>
          <w:tblCellMar>
            <w:top w:w="0" w:type="dxa"/>
            <w:left w:w="108" w:type="dxa"/>
            <w:bottom w:w="0" w:type="dxa"/>
            <w:right w:w="108" w:type="dxa"/>
          </w:tblCellMar>
        </w:tblPrEx>
        <w:trPr>
          <w:trHeight w:val="1887"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1#链板带</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输蔗机1670，内宽：1670mm链板式，水平投影长度：约63M，</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倾角：15度，输蔗带速度：10.75—3M/分，输蔗带节距：150mm</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米</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63</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公称尺寸：φ1200×1670mm，刀的工作宽度：1540mm，刀数：108把。</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1#撕解机开关柜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9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1#撕解机进相柜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静止式进相器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50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公称尺寸：φ1200×1670mm，刀的工作宽度：1540mm，刀数：144把。</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3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JR1410-8T 450KW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485" w:hRule="exac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频敏起动柜 X8P-380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2#撕解机进相柜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静止式进相器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公称尺寸：φ1200×1670mm，刀的工作宽度：1540mm，刀数：120把。</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JR1410-8T 450KW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频敏起动柜 XL-2-026 AC380V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3#撕解机进相柜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静止式进相器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1#链板带减速箱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JZQ850-40.17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1#链板带启动箱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XJZ-75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抛蔗机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P1670  7.5KW摆线针减速电机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不锈钢</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电磁吸铁器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XTL7-1670 油冷式 8.9Kw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5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电磁吸铁器电柜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硅整流控制 GLA-20/510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73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扫带机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5.5Kw 电机减速箱</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210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2#胶带输送带</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胶带式B=1800mm，长度：29 M，倾角：21度，带速：0.1—1M/S，</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环型输送胶带：NN200，尼龙，1800×7（3+3），内周长：63米</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米</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29</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2#胶带减速机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JZQ850-40.17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2#胶带电磁调速电机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YCT250-4 45Kw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设备启动电柜箱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XJZ-55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均衡进蔗系统</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电离筒</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电缆一批</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215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至蔗场电力电缆</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保留设备，按要求拆除放置，不能损坏</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部份利旧设备</w:t>
            </w:r>
          </w:p>
        </w:tc>
      </w:tr>
      <w:tr>
        <w:tblPrEx>
          <w:tblCellMar>
            <w:top w:w="0" w:type="dxa"/>
            <w:left w:w="108" w:type="dxa"/>
            <w:bottom w:w="0" w:type="dxa"/>
            <w:right w:w="108" w:type="dxa"/>
          </w:tblCellMar>
        </w:tblPrEx>
        <w:trPr>
          <w:trHeight w:val="1618"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1#2#蔗场双梁桥吊</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跨度：22.5 M，起重量：15 T，JC=60% ，功率：30KW </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3087"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原料间单梁桥吊</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起重量：10T，跨度：13.5m，起升高度：9m，导电型式：滑轮集电型，</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操纵型式：地面操纵。总功率：17.6kw，工作制度：JC=25%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51"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压榨间处理设备</w:t>
            </w:r>
          </w:p>
        </w:tc>
      </w:tr>
      <w:tr>
        <w:tblPrEx>
          <w:tblCellMar>
            <w:top w:w="0" w:type="dxa"/>
            <w:left w:w="108" w:type="dxa"/>
            <w:bottom w:w="0" w:type="dxa"/>
            <w:right w:w="108" w:type="dxa"/>
          </w:tblCellMar>
        </w:tblPrEx>
        <w:trPr>
          <w:trHeight w:val="102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1#斜调式压榨机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107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1#齿轮箱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104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1#榨机直流电机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ZYZJ-450-32 700KW 440V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145"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恒比式压榨机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TLKφ810×1600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61</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04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榨机分配箱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TF3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03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开放齿</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I=1.92，中心距：1368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145"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2#榨机减速箱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TB4-3,速比：72.84</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33.26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17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3-6#榨机减速箱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TB4-3,速比：57.27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2-6#减速箱油泵</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电机：JM3160M-6</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44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2-6#减速箱油泵电柜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动力配电箱 XL-21-50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2#榨机直流电机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ZDT450L 400KW 440V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3-6#榨机直流电机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ZD54/45 320KW 440V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直流机配控制柜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KGSF22T100/440  KMF01-2500/440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618"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2-6座直流电机风机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离心式风机 4-72 8500m3/h JM3-132S2-2 7.5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2-6座直流电机风机电柜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动力配电箱 XL-21-08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2-6#液压马达</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MB800 C N 02 38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2-6#液压马达油站</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液压马达启动柜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自耦减压起动箱 XJZ-225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液压马达补偿柜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无功功率补偿柜 TDWB-D-100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349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1#中输机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TPC1600耙齿中输机 宽1600，座距7500，i=27/17，线速30-45m/min</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摆线针轮减速机XWT37-11-1/29，37KW 速比：1/29，倾角38度</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663"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2-5#中输机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耙齿中输机 宽1600 座距7500 渐开线式减速箱 电磁调速电机22.5KW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29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平送带</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U型蔗渣输送带 带宽1000 水平投影长度：9M </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6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干油站</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5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湿油站</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43"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中输机启动柜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XJZ-37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2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汁泵启动柜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XJD-55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混合汁泵启动柜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自耦减压起动柜 JJ-75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其他设备电柜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XL-21-50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压榨车间动力配电柜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开关柜 P0L2-046 JKT2-03/3K</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70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电缆一批</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蔗汁曲筛</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部份汁管</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51"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变压器</w:t>
            </w: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电力变压器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S7-1600/6.3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电力变压器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S7-800/6.3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电力变压器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SL-800/6.3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整流变压器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ZS3-1250/6.3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整流变压器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ZB-1500/6.3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5.36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0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ZSJ</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备注：拆旧设备不限于表中设备物质，所列内容、数量等工程量与现场实物不符的以现场实物为准。</w:t>
      </w:r>
    </w:p>
    <w:p>
      <w:pPr>
        <w:spacing w:line="360" w:lineRule="auto"/>
        <w:rPr>
          <w:rFonts w:ascii="宋体" w:hAnsi="宋体" w:cs="宋体"/>
          <w:color w:val="auto"/>
          <w:sz w:val="28"/>
          <w:szCs w:val="28"/>
          <w:highlight w:val="none"/>
        </w:rPr>
      </w:pP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五、</w:t>
      </w:r>
      <w:r>
        <w:rPr>
          <w:rFonts w:hint="eastAsia" w:ascii="宋体" w:hAnsi="宋体" w:cs="宋体"/>
          <w:color w:val="auto"/>
          <w:sz w:val="28"/>
          <w:szCs w:val="28"/>
          <w:highlight w:val="none"/>
        </w:rPr>
        <w:t>招标内容及金额：</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所供货物、技术应符合招标文件、设计院设计要求，包含设计、制造、包装、运输（含保险）、搬运装卸、随机零配件、标配工具、安装及调试、培训、质保期服务、质保期内配件、各项税费，并办理报装报检、使用登记证和旧设备拆除搬迁等及合同实施过程中不可预见费用等。</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（2）土建工程：除按图要求施工外，及所有配套项目的施工（构筑物、设备基础、道路、拆除、修复等）须满足招标方要求。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（3）设备及管路、安装、调试：包括非标件制作，调试按国家或行业标准要求。</w:t>
      </w:r>
    </w:p>
    <w:p>
      <w:pPr>
        <w:pStyle w:val="2"/>
        <w:spacing w:line="360" w:lineRule="auto"/>
        <w:ind w:firstLine="560" w:firstLineChars="200"/>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（4）电气、仪表、输送系统的拆除：按华丰公司实际要求。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（5）新旧设备安装、衔接、电气、仪表、泵送系统的恢复：按设计要求，并综合华丰公司的实际情况实施。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（6）验收：按招标方项目管理相关规定验收，并需通过消防验收、防雷验收、安全验收、特种设备的验收。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（7）招标最高限价（含税价）：</w:t>
      </w:r>
      <w:r>
        <w:rPr>
          <w:rFonts w:hint="eastAsia" w:ascii="宋体" w:hAnsi="宋体" w:cs="宋体"/>
          <w:b/>
          <w:color w:val="auto"/>
          <w:sz w:val="28"/>
          <w:szCs w:val="28"/>
          <w:highlight w:val="none"/>
          <w:u w:val="single"/>
        </w:rPr>
        <w:t>4827</w:t>
      </w:r>
      <w:r>
        <w:rPr>
          <w:rFonts w:hint="eastAsia" w:ascii="宋体" w:hAnsi="宋体" w:cs="宋体"/>
          <w:b/>
          <w:color w:val="auto"/>
          <w:sz w:val="28"/>
          <w:szCs w:val="28"/>
          <w:highlight w:val="none"/>
        </w:rPr>
        <w:t>万元</w:t>
      </w:r>
      <w:r>
        <w:rPr>
          <w:rFonts w:hint="eastAsia" w:ascii="宋体" w:hAnsi="宋体" w:cs="宋体"/>
          <w:color w:val="auto"/>
          <w:sz w:val="28"/>
          <w:szCs w:val="28"/>
          <w:highlight w:val="none"/>
        </w:rPr>
        <w:t>。资金来源：财政及自筹资金。</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六、</w:t>
      </w:r>
      <w:r>
        <w:rPr>
          <w:rFonts w:hint="eastAsia" w:ascii="宋体" w:hAnsi="宋体" w:cs="宋体"/>
          <w:color w:val="auto"/>
          <w:sz w:val="28"/>
          <w:szCs w:val="28"/>
          <w:highlight w:val="none"/>
        </w:rPr>
        <w:t>主要指标要求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 xml:space="preserve">（一） 主要工艺技术指标 </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（1）压榨能力 ≥6000吨/日；</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（2）压榨更正抽出率 ≥96.5%；</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（3）蔗渣水份 ≤48%；　</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（4）甘蔗破碎度 ≥88%；</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（5）榨机干油脂耗用量≤40Kg/万吨蔗。</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（二）DCS控制系统及生产作业视频监控系统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6.2.1、升级原有均衡进榨系统</w:t>
      </w: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drawing>
          <wp:anchor distT="0" distB="0" distL="114300" distR="114300" simplePos="0" relativeHeight="251665408" behindDoc="0" locked="0" layoutInCell="1" allowOverlap="1">
            <wp:simplePos x="0" y="0"/>
            <wp:positionH relativeFrom="column">
              <wp:posOffset>130810</wp:posOffset>
            </wp:positionH>
            <wp:positionV relativeFrom="paragraph">
              <wp:posOffset>59055</wp:posOffset>
            </wp:positionV>
            <wp:extent cx="5398770" cy="2845435"/>
            <wp:effectExtent l="0" t="0" r="11430"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398770" cy="2845435"/>
                    </a:xfrm>
                    <a:prstGeom prst="rect">
                      <a:avLst/>
                    </a:prstGeom>
                    <a:noFill/>
                    <a:ln>
                      <a:noFill/>
                    </a:ln>
                  </pic:spPr>
                </pic:pic>
              </a:graphicData>
            </a:graphic>
          </wp:anchor>
        </w:drawing>
      </w: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（1）在1#、2#输蔗带上各安装一台核子秤，同时分别测量1#、2#输蔗带上的甘蔗流量，并累计榨量；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（2）通过两台核子秤对榨量的在线瞬时监测，连续并精确地控制1#和2#输蔗带的运行速度，实现均衡入榨。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系统检测1#、2#、3#蔗刀机和1#榨机的电流（负荷），并将该四项电流值、两台核子秤测量的甘蔗流量及1#和2#输蔗带线速度同时参与本系统的运算，得出系统最优运行模式，保证生产设备在该运行模式控制下，实现安全、高效生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（4）该系统自动处理各种故障，保护生产设备。当设备发生紧急故障时，蔗带将自动减速或停下。</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（5）具有渗透水、混合汁流量计量及积算功能。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（6）该系统同时自动完成压榨生产计量、管理、统计工作，自动生成和打印报表。生产过程中数据均能采集、显示、存储和查询。</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（7）核子秤的计量根据地磅的重量标定，其显示值既可是标定值，也可根据用户的意愿调整扣杂指标后显示。</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（8）该系统设有手动和全自动两种功能，可随时进行切换。</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（9）由于现场有强电、强磁干扰，系统采用光电隔离工业控制计算机来实现生产数据的采集和控制输出。</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为保证本系统的安全、稳定、高效运行，必须采用如下防雷措施：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①所有现场设备与主控计算机的联系都必须先经过隔离器；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②主控计算机与计量系统的通讯必须全部经隔离器；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③设置一条地线，接地电阻小于4欧;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④采用隔离型防雷稳压器。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升级均衡进榨系统清单：</w:t>
      </w:r>
    </w:p>
    <w:tbl>
      <w:tblPr>
        <w:tblStyle w:val="47"/>
        <w:tblW w:w="9595" w:type="dxa"/>
        <w:jc w:val="center"/>
        <w:tblLayout w:type="autofit"/>
        <w:tblCellMar>
          <w:top w:w="0" w:type="dxa"/>
          <w:left w:w="108" w:type="dxa"/>
          <w:bottom w:w="0" w:type="dxa"/>
          <w:right w:w="108" w:type="dxa"/>
        </w:tblCellMar>
      </w:tblPr>
      <w:tblGrid>
        <w:gridCol w:w="993"/>
        <w:gridCol w:w="2943"/>
        <w:gridCol w:w="2170"/>
        <w:gridCol w:w="1137"/>
        <w:gridCol w:w="1058"/>
        <w:gridCol w:w="1294"/>
      </w:tblGrid>
      <w:tr>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硬件设备名称</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规格描述</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单位</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机柜系统</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净化机柜系统</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1800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工业控制计算机</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R360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键盘</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PS/2接口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液晶显示器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25’液晶，VGA接口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专用低压直流电源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220VAC/24VDC</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信号分配器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4口以上</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打印机</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针式，并口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蔗料秤信号隔离变送器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输蔗带速度信号隔离变送器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切撕机电流信号隔离变送器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GAA-01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榨机电流信号隔离变送器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GDV-01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渗透水流量信号隔离变送器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混合汁流量信号隔离变送器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1.14</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控制输出信号隔离变送器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1.15</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稳压电源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0.5Kva</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1.16</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线性电源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相关设备</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液晶显示器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25’液晶，VGA接口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32"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精密信控/手操调速器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90T5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测速器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BX-SD</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1#带核源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电离室</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前置信号放大器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SD-AF</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专用高低压电源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SD-PW</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2#带核源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枚</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利用原有</w:t>
            </w: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电离室</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前置信号放大器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SD-AF</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专用高低压电源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SD-PW</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各型号电线电缆</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操作系统RT-OS</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10"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控制软件</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6.2.2、新增压榨机控制系统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（1）榨机高位槽料位自动控制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每座榨机高位槽上设置1套料位检测装置，正确检测高位槽料位，根据高位槽料位的高低、榨机的负荷情况及其前后座榨机的运转情况建立数学模型，采用模糊控制技术及先进控制算法自动控制榨机转速。采用非接触蔗丝料位传感器，对高位槽内真实料位进行检测，是中国国内首创技术。</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系统主要功能：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检测6座榨机高位槽料位，料位超限报警；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根据每座榨机料位、电流以及前后座榨机运行情况自动控制榨机转速；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系统设有手动和自动两种运行方式，可随时方便地进行切换，并且切换对榨机的运行没有扰动。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（2）轴承温度自动监控、报警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为了保证撕解机、榨机、减速机等生产过程中重要机械的轴承温度，应用轴温监控、报警系统对轴承的温度进行实时在线测量、数据采集、监控管理、超限报警、自动生产历史曲线记录并可随时查询，对安全隐患预先报警，避免重大事故的发生，提高生产安全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集6座榨机轴承（每座榨机左前轴、左后轴、左顶轴、右前轴、右后轴、右顶轴、榨机电机共7个点，6座共42个点）的温度、电机振动；采集3台撕解机（每台撕解机左轴、右轴、撕解机电机共3个点，3台共9个点）的温度、电机振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系统自动生成温度历史曲线图，并具有储存、查询功能；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具有温度超限报警功能。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（3）机械连锁自动控制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在设备上，根据开机从后到前的原则，停机从前到后的原则进行机械设备连锁保护。</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实现链板输送机、胶带机、中输机、压榨机等设备的连锁。</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（4）混合汁箱液位、流量自动控制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混合汁箱液位、流量等多个因素，建立数学模型，得出最佳流量输送控制模式，实现混合汁流量均匀泵送。克服人工控制时，常出现抽空现象、流量波动较大的问题；系统按每班组生成一条混合汁流量历史曲线图，并据有储存、查询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（5）渗透水箱液位、温度、流量自动控制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a.渗透水温度、液位</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通过液位变送器连续检测渗透水箱的液位，控制冷水加入量保持渗透水箱液位基本恒定，同时，水位超限，系统自动报警。通过温度变送器连续检测渗透水的温度，并考虑冷水加入量，自动控制热水阀，保持渗透水温度恒定，水温超限，系统自动报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b.渗透水流量控制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通过检测渗透水流量，结合在输送带上测量到的甘蔗输送实时榨量，根据生产需要设置的渗透比，自动控制电动阀的开度，实现水量定量自动添加；系统按每班组生成一条渗透水流量历史曲线图，并据有储存、查询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（6）混合汁缓冲箱液位自动控制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缓冲箱液位自动控制通过液位变送器连续检测混合汁缓冲箱的液位，通过建立数学模型，得出最佳流量输送控制模式，利用变频技术，控制输送泵，保持混合汁缓冲箱不被抽空、不满溢，实现压出汁流量均匀泵送。克服人工控制时，混合汁缓冲箱常出现抽空现象且流量波动较大的问题。</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（7）蔗渣水份在线监测</w:t>
      </w:r>
    </w:p>
    <w:p>
      <w:pPr>
        <w:spacing w:line="360" w:lineRule="auto"/>
        <w:ind w:firstLine="561"/>
        <w:rPr>
          <w:rFonts w:ascii="宋体" w:hAnsi="宋体" w:cs="宋体"/>
          <w:color w:val="auto"/>
          <w:sz w:val="28"/>
          <w:szCs w:val="28"/>
          <w:highlight w:val="none"/>
        </w:rPr>
      </w:pPr>
      <w:r>
        <w:rPr>
          <w:rFonts w:hint="eastAsia" w:ascii="宋体" w:hAnsi="宋体" w:cs="宋体"/>
          <w:b/>
          <w:color w:val="auto"/>
          <w:sz w:val="28"/>
          <w:szCs w:val="28"/>
          <w:highlight w:val="none"/>
          <w:u w:val="single"/>
        </w:rPr>
        <w:t>采用德国进口的HK2水份仪</w:t>
      </w:r>
      <w:r>
        <w:rPr>
          <w:rFonts w:hint="eastAsia" w:ascii="宋体" w:hAnsi="宋体" w:cs="宋体"/>
          <w:color w:val="auto"/>
          <w:sz w:val="28"/>
          <w:szCs w:val="28"/>
          <w:highlight w:val="none"/>
        </w:rPr>
        <w:t>，安装在蔗渣带上，在线实时监控蔗渣水份，并通过软件采用，提供历史曲线、历史数据查询，便于管理及考核。</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基于最新的数字微波技术2.45GHz</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非常简易的“一点校正”功能，大大优越于其他的品牌产品，避免了其他品牌同类设备因长时多点校正而维护量大误差严重的现象。</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彻底解决其他品牌还无法解决的温度对电子元件的影响的大问题，同时也大大的缩小了设备的体积，使安装简易。</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设备具有极易维护及校正的特性，同时测量精度及重复性高。</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（8）磷酸自动控制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自动控制系统根据甘蔗实时榨量等多个因素，建立数学模型，得出最佳控制模式；通过变频器控制计量泵控制磷酸的加入量，保证自动地、按比例均匀给混合汁加入磷酸，有效地稳定混合汁中磷酸的浓度，为后续的工序操作或控制提供重要的参考数据。</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按比例均匀的给混合汁加入磷酸，有效地稳定混合汁中磷酸的浓度，为后续的工序操作或控制提供重要的参考数据。</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输蔗带停时磷酸计量泵自动停，输蔗带重新启动时磷酸计量泵自动启动。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系统有相应的报警、保护功能。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（9）压榨工艺关键点视频监控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在末座榨机出口、胶带出口、1＃输送机落蔗口、蔗场等安装摄像头，监视物料情况，以便及时发现问题，采用摄像监控可减少巡查，提高效率，减轻工人劳动强度。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新增压榨机控制系统设备清单：</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（1）系统设备清单</w:t>
      </w:r>
    </w:p>
    <w:tbl>
      <w:tblPr>
        <w:tblStyle w:val="47"/>
        <w:tblW w:w="50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2452"/>
        <w:gridCol w:w="4654"/>
        <w:gridCol w:w="578"/>
        <w:gridCol w:w="472"/>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名称</w:t>
            </w: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规格型号及描述</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单位</w:t>
            </w:r>
          </w:p>
        </w:tc>
        <w:tc>
          <w:tcPr>
            <w:tcW w:w="69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DCS控制系统</w:t>
            </w:r>
          </w:p>
        </w:tc>
        <w:tc>
          <w:tcPr>
            <w:tcW w:w="2335" w:type="pct"/>
            <w:shd w:val="clear" w:color="auto" w:fill="auto"/>
            <w:noWrap/>
            <w:vAlign w:val="center"/>
          </w:tcPr>
          <w:p>
            <w:pPr>
              <w:spacing w:line="360" w:lineRule="auto"/>
              <w:rPr>
                <w:rFonts w:ascii="宋体" w:hAnsi="宋体" w:cs="宋体"/>
                <w:color w:val="auto"/>
                <w:sz w:val="28"/>
                <w:szCs w:val="28"/>
                <w:highlight w:val="none"/>
              </w:rPr>
            </w:pPr>
          </w:p>
        </w:tc>
        <w:tc>
          <w:tcPr>
            <w:tcW w:w="290" w:type="pct"/>
            <w:shd w:val="clear" w:color="auto" w:fill="auto"/>
            <w:noWrap/>
            <w:vAlign w:val="center"/>
          </w:tcPr>
          <w:p>
            <w:pPr>
              <w:spacing w:line="360" w:lineRule="auto"/>
              <w:rPr>
                <w:rFonts w:ascii="宋体" w:hAnsi="宋体" w:cs="宋体"/>
                <w:color w:val="auto"/>
                <w:sz w:val="28"/>
                <w:szCs w:val="28"/>
                <w:highlight w:val="none"/>
              </w:rPr>
            </w:pPr>
          </w:p>
        </w:tc>
        <w:tc>
          <w:tcPr>
            <w:tcW w:w="237" w:type="pct"/>
            <w:shd w:val="clear" w:color="auto" w:fill="auto"/>
            <w:noWrap/>
            <w:vAlign w:val="center"/>
          </w:tcPr>
          <w:p>
            <w:pPr>
              <w:spacing w:line="360" w:lineRule="auto"/>
              <w:rPr>
                <w:rFonts w:ascii="宋体" w:hAnsi="宋体" w:cs="宋体"/>
                <w:color w:val="auto"/>
                <w:sz w:val="28"/>
                <w:szCs w:val="28"/>
                <w:highlight w:val="none"/>
              </w:rPr>
            </w:pP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具体见（三）</w:t>
            </w:r>
          </w:p>
        </w:tc>
        <w:tc>
          <w:tcPr>
            <w:tcW w:w="2335" w:type="pct"/>
            <w:shd w:val="clear" w:color="auto" w:fill="auto"/>
            <w:noWrap/>
            <w:vAlign w:val="center"/>
          </w:tcPr>
          <w:p>
            <w:pPr>
              <w:spacing w:line="360" w:lineRule="auto"/>
              <w:rPr>
                <w:rFonts w:ascii="宋体" w:hAnsi="宋体" w:cs="宋体"/>
                <w:color w:val="auto"/>
                <w:sz w:val="28"/>
                <w:szCs w:val="28"/>
                <w:highlight w:val="none"/>
              </w:rPr>
            </w:pPr>
          </w:p>
        </w:tc>
        <w:tc>
          <w:tcPr>
            <w:tcW w:w="290" w:type="pct"/>
            <w:shd w:val="clear" w:color="auto" w:fill="auto"/>
            <w:noWrap/>
            <w:vAlign w:val="center"/>
          </w:tcPr>
          <w:p>
            <w:pPr>
              <w:spacing w:line="360" w:lineRule="auto"/>
              <w:rPr>
                <w:rFonts w:ascii="宋体" w:hAnsi="宋体" w:cs="宋体"/>
                <w:color w:val="auto"/>
                <w:sz w:val="28"/>
                <w:szCs w:val="28"/>
                <w:highlight w:val="none"/>
              </w:rPr>
            </w:pPr>
          </w:p>
        </w:tc>
        <w:tc>
          <w:tcPr>
            <w:tcW w:w="237" w:type="pct"/>
            <w:shd w:val="clear" w:color="auto" w:fill="auto"/>
            <w:noWrap/>
            <w:vAlign w:val="center"/>
          </w:tcPr>
          <w:p>
            <w:pPr>
              <w:spacing w:line="360" w:lineRule="auto"/>
              <w:rPr>
                <w:rFonts w:ascii="宋体" w:hAnsi="宋体" w:cs="宋体"/>
                <w:color w:val="auto"/>
                <w:sz w:val="28"/>
                <w:szCs w:val="28"/>
                <w:highlight w:val="none"/>
              </w:rPr>
            </w:pP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控制软件包清单</w:t>
            </w:r>
          </w:p>
        </w:tc>
        <w:tc>
          <w:tcPr>
            <w:tcW w:w="2335" w:type="pct"/>
            <w:shd w:val="clear" w:color="auto" w:fill="auto"/>
            <w:noWrap/>
            <w:vAlign w:val="center"/>
          </w:tcPr>
          <w:p>
            <w:pPr>
              <w:spacing w:line="360" w:lineRule="auto"/>
              <w:rPr>
                <w:rFonts w:ascii="宋体" w:hAnsi="宋体" w:cs="宋体"/>
                <w:color w:val="auto"/>
                <w:sz w:val="28"/>
                <w:szCs w:val="28"/>
                <w:highlight w:val="none"/>
              </w:rPr>
            </w:pPr>
          </w:p>
        </w:tc>
        <w:tc>
          <w:tcPr>
            <w:tcW w:w="290" w:type="pct"/>
            <w:shd w:val="clear" w:color="auto" w:fill="auto"/>
            <w:noWrap/>
            <w:vAlign w:val="center"/>
          </w:tcPr>
          <w:p>
            <w:pPr>
              <w:spacing w:line="360" w:lineRule="auto"/>
              <w:rPr>
                <w:rFonts w:ascii="宋体" w:hAnsi="宋体" w:cs="宋体"/>
                <w:color w:val="auto"/>
                <w:sz w:val="28"/>
                <w:szCs w:val="28"/>
                <w:highlight w:val="none"/>
              </w:rPr>
            </w:pPr>
          </w:p>
        </w:tc>
        <w:tc>
          <w:tcPr>
            <w:tcW w:w="237" w:type="pct"/>
            <w:shd w:val="clear" w:color="auto" w:fill="auto"/>
            <w:noWrap/>
            <w:vAlign w:val="center"/>
          </w:tcPr>
          <w:p>
            <w:pPr>
              <w:spacing w:line="360" w:lineRule="auto"/>
              <w:rPr>
                <w:rFonts w:ascii="宋体" w:hAnsi="宋体" w:cs="宋体"/>
                <w:color w:val="auto"/>
                <w:sz w:val="28"/>
                <w:szCs w:val="28"/>
                <w:highlight w:val="none"/>
              </w:rPr>
            </w:pP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restart"/>
            <w:shd w:val="clear" w:color="auto" w:fill="auto"/>
            <w:noWrap/>
            <w:vAlign w:val="center"/>
          </w:tcPr>
          <w:p>
            <w:pPr>
              <w:spacing w:line="360" w:lineRule="auto"/>
              <w:rPr>
                <w:rFonts w:ascii="宋体" w:hAnsi="宋体" w:cs="宋体"/>
                <w:color w:val="auto"/>
                <w:sz w:val="28"/>
                <w:szCs w:val="28"/>
                <w:highlight w:val="none"/>
              </w:rPr>
            </w:pPr>
          </w:p>
        </w:tc>
        <w:tc>
          <w:tcPr>
            <w:tcW w:w="1230" w:type="pct"/>
            <w:vMerge w:val="restar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压榨车间自动控制系统解决方案及策略包(含组态编程、各控制软件策略包、技术服务、培训等)</w:t>
            </w: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均衡进榨计量自动控制策略包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原厂家广西宏智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榨机高位槽料位自动控制策略包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轴承温度自动监控、报警策略包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机械连锁控制策略包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混合汁箱液位、流量自动控制策略包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混合汁箱缓冲箱液位自动控制策略包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渗透水箱液位、温度、流量自动控制策略包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4789" w:type="pct"/>
            <w:gridSpan w:val="5"/>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65寸液晶显示屏</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用于榨面显示视频，控制室显示，支持HDMI高清输入</w:t>
            </w:r>
          </w:p>
        </w:tc>
        <w:tc>
          <w:tcPr>
            <w:tcW w:w="290"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数字摄像头</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标准poe供电 400万像素网络高清全彩夜视，低照度，含支架及护罩</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参照或相当于海康威视、大华、普联tplink、华为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8通道网络数字硬盘录像机</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3T硬盘</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参照或相当于海康威视、大华、普联tplink、华为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视频分屏器</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4口以上，用于榨面显示视频</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6"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6类无氧铜芯网线、高清线、插座、视屏电缆等及其他相应接头配件</w:t>
            </w:r>
          </w:p>
        </w:tc>
        <w:tc>
          <w:tcPr>
            <w:tcW w:w="2335" w:type="pct"/>
            <w:shd w:val="clear" w:color="auto" w:fill="auto"/>
            <w:vAlign w:val="center"/>
          </w:tcPr>
          <w:p>
            <w:pPr>
              <w:spacing w:line="360" w:lineRule="auto"/>
              <w:rPr>
                <w:rFonts w:ascii="宋体" w:hAnsi="宋体" w:cs="宋体"/>
                <w:color w:val="auto"/>
                <w:sz w:val="28"/>
                <w:szCs w:val="28"/>
                <w:highlight w:val="none"/>
              </w:rPr>
            </w:pP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10口千兆POE交换机</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标准PoE供电输出</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w:t>
            </w:r>
            <w:r>
              <w:rPr>
                <w:rFonts w:ascii="宋体" w:hAnsi="宋体" w:cs="宋体"/>
                <w:color w:val="auto"/>
                <w:sz w:val="28"/>
                <w:szCs w:val="28"/>
                <w:highlight w:val="none"/>
              </w:rPr>
              <w:t>TPlink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光纤收发器</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千兆单模单纤</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对</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w:t>
            </w:r>
            <w:r>
              <w:rPr>
                <w:rFonts w:ascii="宋体" w:hAnsi="宋体" w:cs="宋体"/>
                <w:color w:val="auto"/>
                <w:sz w:val="28"/>
                <w:szCs w:val="28"/>
                <w:highlight w:val="none"/>
              </w:rPr>
              <w:t>TPlink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机柜</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9U</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695" w:type="pct"/>
            <w:shd w:val="clear" w:color="auto" w:fill="auto"/>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（2）现场设备清单</w:t>
      </w:r>
    </w:p>
    <w:tbl>
      <w:tblPr>
        <w:tblStyle w:val="47"/>
        <w:tblW w:w="5458" w:type="pct"/>
        <w:jc w:val="center"/>
        <w:tblLayout w:type="fixed"/>
        <w:tblCellMar>
          <w:top w:w="0" w:type="dxa"/>
          <w:left w:w="108" w:type="dxa"/>
          <w:bottom w:w="0" w:type="dxa"/>
          <w:right w:w="108" w:type="dxa"/>
        </w:tblCellMar>
      </w:tblPr>
      <w:tblGrid>
        <w:gridCol w:w="558"/>
        <w:gridCol w:w="2085"/>
        <w:gridCol w:w="1459"/>
        <w:gridCol w:w="3122"/>
        <w:gridCol w:w="450"/>
        <w:gridCol w:w="557"/>
        <w:gridCol w:w="2526"/>
      </w:tblGrid>
      <w:tr>
        <w:tblPrEx>
          <w:tblCellMar>
            <w:top w:w="0" w:type="dxa"/>
            <w:left w:w="108" w:type="dxa"/>
            <w:bottom w:w="0" w:type="dxa"/>
            <w:right w:w="108" w:type="dxa"/>
          </w:tblCellMar>
        </w:tblPrEx>
        <w:trPr>
          <w:trHeight w:val="705" w:hRule="atLeast"/>
          <w:jc w:val="center"/>
        </w:trPr>
        <w:tc>
          <w:tcPr>
            <w:tcW w:w="260" w:type="pct"/>
            <w:tcBorders>
              <w:top w:val="single" w:color="auto" w:sz="8" w:space="0"/>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969"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用  途</w:t>
            </w:r>
          </w:p>
        </w:tc>
        <w:tc>
          <w:tcPr>
            <w:tcW w:w="678"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名    称</w:t>
            </w:r>
          </w:p>
        </w:tc>
        <w:tc>
          <w:tcPr>
            <w:tcW w:w="1451"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型  号  及  规  格</w:t>
            </w:r>
          </w:p>
        </w:tc>
        <w:tc>
          <w:tcPr>
            <w:tcW w:w="209"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单位</w:t>
            </w:r>
          </w:p>
        </w:tc>
        <w:tc>
          <w:tcPr>
            <w:tcW w:w="259"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1170" w:type="pct"/>
            <w:tcBorders>
              <w:top w:val="single" w:color="auto" w:sz="8" w:space="0"/>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品牌</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温度、振动测量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渗透水箱进水温度</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Pt100,插入深度：150mm</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渗透水箱水温</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Pt100,插入深度：250mm</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1#~6#榨机轴瓦温度</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端面Pt100，M6*10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1#~6#榨机电机温度、振动</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1#~3#切撕机轴瓦温度</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端面Pt100，M6*10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1#~3#切撕机电机温度、振动</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电流测量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料位测量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流量测量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渗透水流量</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电磁流量计</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DN65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参照或相当于罗斯蒙特、横河、科隆</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混合汁箱出口流量</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电磁流量计</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DN200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参照或相当于罗斯蒙特、横河、科隆</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液位测量</w:t>
            </w:r>
          </w:p>
        </w:tc>
      </w:tr>
      <w:tr>
        <w:tblPrEx>
          <w:tblCellMar>
            <w:top w:w="0" w:type="dxa"/>
            <w:left w:w="108" w:type="dxa"/>
            <w:bottom w:w="0" w:type="dxa"/>
            <w:right w:w="108" w:type="dxa"/>
          </w:tblCellMar>
        </w:tblPrEx>
        <w:trPr>
          <w:trHeight w:val="1663"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混合汁箱液位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法兰安装式液位变送器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0~4000mm，带HART</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参照或相当于罗斯蒙特、EJA、美国霍尼韦尔</w:t>
            </w:r>
          </w:p>
        </w:tc>
      </w:tr>
      <w:tr>
        <w:tblPrEx>
          <w:tblCellMar>
            <w:top w:w="0" w:type="dxa"/>
            <w:left w:w="108" w:type="dxa"/>
            <w:bottom w:w="0" w:type="dxa"/>
            <w:right w:w="108" w:type="dxa"/>
          </w:tblCellMar>
        </w:tblPrEx>
        <w:trPr>
          <w:trHeight w:val="1663"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混合汁缓冲箱液位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法兰安装式液位变送器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0~4000mm，带HART</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参照或相当于罗斯蒙特、EJA、美国霍尼韦尔</w:t>
            </w:r>
          </w:p>
        </w:tc>
      </w:tr>
      <w:tr>
        <w:tblPrEx>
          <w:tblCellMar>
            <w:top w:w="0" w:type="dxa"/>
            <w:left w:w="108" w:type="dxa"/>
            <w:bottom w:w="0" w:type="dxa"/>
            <w:right w:w="108" w:type="dxa"/>
          </w:tblCellMar>
        </w:tblPrEx>
        <w:trPr>
          <w:trHeight w:val="1663"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渗透水箱液位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法兰安装式液位变送器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0~4000mm，带HART</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参照或相当于罗斯蒙特、EJA、美国霍尼韦尔</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蔗渣水份测量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蔗渣水份</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水份在线监测仪器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HK2，0~100%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参照或相当于德国哈尔卡森</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渗透水温度调节阀</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三通合流气动调节阀</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DN80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渗透水流量调节阀</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气动调节蝶阀</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DN65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进渗透水箱液位调节阀</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气动调节蝶阀</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DN80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磷酸控制</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控制机箱</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含端子、线槽、断路器等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变频器</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配套计量泵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674"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信号转换模块</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含7017信号转换模块</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674"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通讯模块</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含8520通讯模块等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计量泵</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含安装底座、其他配件等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磷酸管路</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含止回阀、Y型过滤器等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安装材料</w:t>
            </w:r>
          </w:p>
        </w:tc>
      </w:tr>
      <w:tr>
        <w:tblPrEx>
          <w:tblCellMar>
            <w:top w:w="0" w:type="dxa"/>
            <w:left w:w="108" w:type="dxa"/>
            <w:bottom w:w="0" w:type="dxa"/>
            <w:right w:w="108" w:type="dxa"/>
          </w:tblCellMar>
        </w:tblPrEx>
        <w:trPr>
          <w:trHeight w:val="560"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安装材料</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满足现场需要</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电线电缆</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满足现场需要</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80" w:hRule="atLeast"/>
          <w:jc w:val="center"/>
        </w:trPr>
        <w:tc>
          <w:tcPr>
            <w:tcW w:w="260" w:type="pct"/>
            <w:tcBorders>
              <w:top w:val="nil"/>
              <w:left w:val="single" w:color="auto" w:sz="8" w:space="0"/>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969"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气水分离器</w:t>
            </w:r>
          </w:p>
        </w:tc>
        <w:tc>
          <w:tcPr>
            <w:tcW w:w="678"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20L</w:t>
            </w:r>
          </w:p>
        </w:tc>
        <w:tc>
          <w:tcPr>
            <w:tcW w:w="209"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8"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（三）DCS控制系统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1.货物需求表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680"/>
        <w:gridCol w:w="1314"/>
        <w:gridCol w:w="1637"/>
        <w:gridCol w:w="1155"/>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4631" w:type="dxa"/>
            <w:gridSpan w:val="3"/>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信号类型</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I/O点数</w:t>
            </w:r>
          </w:p>
        </w:tc>
        <w:tc>
          <w:tcPr>
            <w:tcW w:w="1951"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vMerge w:val="restart"/>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680" w:type="dxa"/>
            <w:vMerge w:val="restart"/>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模拟量输入（AI）</w:t>
            </w:r>
          </w:p>
        </w:tc>
        <w:tc>
          <w:tcPr>
            <w:tcW w:w="1314" w:type="dxa"/>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AI</w:t>
            </w:r>
          </w:p>
        </w:tc>
        <w:tc>
          <w:tcPr>
            <w:tcW w:w="1637"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4～20mA</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vMerge w:val="continue"/>
            <w:vAlign w:val="center"/>
          </w:tcPr>
          <w:p>
            <w:pPr>
              <w:spacing w:line="360" w:lineRule="auto"/>
              <w:rPr>
                <w:rFonts w:ascii="宋体" w:hAnsi="宋体" w:cs="宋体"/>
                <w:color w:val="auto"/>
                <w:sz w:val="28"/>
                <w:szCs w:val="28"/>
                <w:highlight w:val="none"/>
              </w:rPr>
            </w:pPr>
          </w:p>
        </w:tc>
        <w:tc>
          <w:tcPr>
            <w:tcW w:w="1680" w:type="dxa"/>
            <w:vMerge w:val="continue"/>
            <w:vAlign w:val="center"/>
          </w:tcPr>
          <w:p>
            <w:pPr>
              <w:spacing w:line="360" w:lineRule="auto"/>
              <w:rPr>
                <w:rFonts w:ascii="宋体" w:hAnsi="宋体" w:cs="宋体"/>
                <w:color w:val="auto"/>
                <w:sz w:val="28"/>
                <w:szCs w:val="28"/>
                <w:highlight w:val="none"/>
              </w:rPr>
            </w:pPr>
          </w:p>
        </w:tc>
        <w:tc>
          <w:tcPr>
            <w:tcW w:w="1314" w:type="dxa"/>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热电阻</w:t>
            </w:r>
          </w:p>
        </w:tc>
        <w:tc>
          <w:tcPr>
            <w:tcW w:w="1637"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PT100</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模拟量输出（AO）</w:t>
            </w:r>
          </w:p>
        </w:tc>
        <w:tc>
          <w:tcPr>
            <w:tcW w:w="1637" w:type="dxa"/>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4～20mA</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开关量输入（DI）</w:t>
            </w:r>
          </w:p>
        </w:tc>
        <w:tc>
          <w:tcPr>
            <w:tcW w:w="1637" w:type="dxa"/>
          </w:tcPr>
          <w:p>
            <w:pPr>
              <w:spacing w:line="360" w:lineRule="auto"/>
              <w:rPr>
                <w:rFonts w:ascii="宋体" w:hAnsi="宋体" w:cs="宋体"/>
                <w:color w:val="auto"/>
                <w:sz w:val="28"/>
                <w:szCs w:val="28"/>
                <w:highlight w:val="none"/>
              </w:rPr>
            </w:pP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开关量输出（DO）</w:t>
            </w:r>
          </w:p>
        </w:tc>
        <w:tc>
          <w:tcPr>
            <w:tcW w:w="1637" w:type="dxa"/>
          </w:tcPr>
          <w:p>
            <w:pPr>
              <w:spacing w:line="360" w:lineRule="auto"/>
              <w:rPr>
                <w:rFonts w:ascii="宋体" w:hAnsi="宋体" w:cs="宋体"/>
                <w:color w:val="auto"/>
                <w:sz w:val="28"/>
                <w:szCs w:val="28"/>
                <w:highlight w:val="none"/>
              </w:rPr>
            </w:pP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3" w:type="dxa"/>
          </w:tcPr>
          <w:p>
            <w:pPr>
              <w:spacing w:line="360" w:lineRule="auto"/>
              <w:rPr>
                <w:rFonts w:ascii="宋体" w:hAnsi="宋体" w:cs="宋体"/>
                <w:color w:val="auto"/>
                <w:sz w:val="28"/>
                <w:szCs w:val="28"/>
                <w:highlight w:val="none"/>
              </w:rPr>
            </w:pP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总计</w:t>
            </w:r>
          </w:p>
        </w:tc>
        <w:tc>
          <w:tcPr>
            <w:tcW w:w="1637" w:type="dxa"/>
          </w:tcPr>
          <w:p>
            <w:pPr>
              <w:spacing w:line="360" w:lineRule="auto"/>
              <w:rPr>
                <w:rFonts w:ascii="宋体" w:hAnsi="宋体" w:cs="宋体"/>
                <w:color w:val="auto"/>
                <w:sz w:val="28"/>
                <w:szCs w:val="28"/>
                <w:highlight w:val="none"/>
              </w:rPr>
            </w:pP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  备注：以上IO点包含20%的富余量，配套UPS(6KVA),控制系统按照标准（接地电阻小于4欧姆）作接地，每个操作站配套操作台和座椅等附带设备，25″寸液晶显示屏，提供控制程序，要求DCS机柜配置空调（按10平方配置一匹的标准），静电地板。</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2.控制系统（DCS）基本要求</w:t>
      </w:r>
    </w:p>
    <w:p>
      <w:pPr>
        <w:spacing w:line="360" w:lineRule="auto"/>
        <w:ind w:firstLine="561"/>
        <w:rPr>
          <w:rFonts w:ascii="宋体" w:hAnsi="宋体" w:cs="宋体"/>
          <w:color w:val="auto"/>
          <w:sz w:val="28"/>
          <w:szCs w:val="28"/>
          <w:highlight w:val="none"/>
        </w:rPr>
      </w:pPr>
      <w:r>
        <w:rPr>
          <w:rFonts w:hint="eastAsia" w:ascii="宋体" w:hAnsi="宋体" w:cs="宋体"/>
          <w:color w:val="auto"/>
          <w:sz w:val="28"/>
          <w:szCs w:val="28"/>
          <w:highlight w:val="none"/>
        </w:rPr>
        <w:t xml:space="preserve"> 2.1系统配置</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本项目配置1个工程师站和2个操作站；</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系统的CPU、网络、软件以及相应的接口等能够满足控制和监控的要求。对每种插件应有5%～10%的机箱空槽和端子排，与之相应的软件也应有足够的余量。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CPU负荷率≤50%。</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内存容量有50%的余量。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各类I/O点数按照20%的富裕量（硬接点卡件，安装在架柜内并接好线），便于以后系统扩展。</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2.2系统硬件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系统的控制器、网卡、电源模块采用1：1热冗余配置，当运行设备出现故障时，系统应无需人工介入，自动无扰切换至热备用设备（要求1个控制周期内），在操作员站、工程师站的监视画面上能够显示出故障设备，以提醒运行人员，系统则维持原有功能稳定运行。</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操作站与过程站之间直接相连无网关等服务器装置，避免通讯瓶颈。</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所有输入/输出卡件应具备点点隔离功能（光电隔离或电磁隔离），具备带电插拔的功能。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应具有完善的自诊断功能，可以诊断至卡件、通道和通讯网络以及变送器或传感器故障诊断，并能够提供详细的故障信息，以便于系统维护人员在最短的时间排除故障。</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系统应具备离线的实时调试和仿真功能，以缩短系统在现场的调试周期和降低方案实施的风险。</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在投标文件中必须注明各模块卡件的型号、数量、技术指标。</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集成所需设备由卖方根据I/O点数量和控制技术要求进行整体设计，机柜必须留有维护、检修空间，同时，柜内布线槽宽度要合适，以保证布线整齐。系统控制柜内电缆和端子应编号排布整齐且应有清晰不可擦抹的标识。除此之外，还要求防尘、防水以及散热性要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2.3 系统</w:t>
      </w:r>
      <w:bookmarkStart w:id="4" w:name="_Toc267486372"/>
      <w:bookmarkStart w:id="5" w:name="_Toc209588985"/>
      <w:r>
        <w:rPr>
          <w:rFonts w:hint="eastAsia" w:ascii="宋体" w:hAnsi="宋体" w:cs="宋体"/>
          <w:color w:val="auto"/>
          <w:sz w:val="28"/>
          <w:szCs w:val="28"/>
          <w:highlight w:val="none"/>
        </w:rPr>
        <w:t>软件</w:t>
      </w:r>
    </w:p>
    <w:bookmarkEnd w:id="4"/>
    <w:bookmarkEnd w:id="5"/>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提供成熟、丰富的监视操控正版软件,以使系统的各种功能得以实现。系统软件为中文版本。卖方应在投标书列出详细随机所带的软件清单,并对软件的环境及版本加以详细说明。</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应能够在整个系统范围内设置不同级别的口令，如系统工程师、维护人员、操作员等，其权限依次向下递减，从而保证系统的安全性。 </w:t>
      </w:r>
    </w:p>
    <w:p>
      <w:pPr>
        <w:spacing w:line="360" w:lineRule="auto"/>
        <w:ind w:firstLine="560" w:firstLineChars="200"/>
        <w:rPr>
          <w:rFonts w:ascii="宋体" w:hAnsi="宋体" w:cs="宋体"/>
          <w:color w:val="auto"/>
          <w:sz w:val="28"/>
          <w:szCs w:val="28"/>
          <w:highlight w:val="none"/>
        </w:rPr>
      </w:pPr>
      <w:bookmarkStart w:id="6" w:name="_Toc267486373"/>
      <w:bookmarkStart w:id="7" w:name="_Toc209588986"/>
      <w:r>
        <w:rPr>
          <w:rFonts w:hint="eastAsia" w:ascii="宋体" w:hAnsi="宋体" w:cs="宋体"/>
          <w:color w:val="auto"/>
          <w:sz w:val="28"/>
          <w:szCs w:val="28"/>
          <w:highlight w:val="none"/>
        </w:rPr>
        <w:t xml:space="preserve">2.4 组态软件 </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DCS系统必须配备完整的组态软件，如用户授权管理软件、系统组态软件、语言编程软件、图形化编程软件、流程图制作软件、报表制作软件、二次计算组态软件等。</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2.4.1  实施监控软件</w:t>
      </w:r>
      <w:bookmarkEnd w:id="6"/>
      <w:bookmarkEnd w:id="7"/>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应包含但不限于如下软件：施监控软件、数据服务软件、数据通信软件、报警记录软件、趋势记录软件、ModBus数据连接软件等。</w:t>
      </w:r>
      <w:bookmarkStart w:id="8" w:name="_Toc209588987"/>
      <w:bookmarkStart w:id="9" w:name="_Toc267486374"/>
    </w:p>
    <w:bookmarkEnd w:id="8"/>
    <w:bookmarkEnd w:id="9"/>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系统维护软件应包含但不限于如下软件：故障分析软件、时间顺序记录查看软件、定期记录、运行人员操作记录、设备运行记录以及性能计算软件等。</w:t>
      </w:r>
      <w:bookmarkStart w:id="10" w:name="_Toc209588989"/>
      <w:bookmarkStart w:id="11" w:name="_Toc267486376"/>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2.4.2  软件版本</w:t>
      </w:r>
      <w:bookmarkEnd w:id="10"/>
      <w:bookmarkEnd w:id="11"/>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2.4.3 软件版本应为最新的、成熟的正式版本，附软件资料及版本说明，提供软件安装备份并能终身免费安装（含单机版软件更换电脑时用）。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2.4.4 在合同质保期及以后3年内，卖方应对系统软件、组态软件和固化的软件提供免费的更新升级服务。当系统软件有修改或升级时，应及时通知买方；若系统软件有问题，卖方应负责及时解决或升级。 </w:t>
      </w:r>
      <w:bookmarkStart w:id="12" w:name="_Toc209588990"/>
      <w:bookmarkStart w:id="13" w:name="_Toc267486377"/>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2.4.5卖方必须保证系统配套所有软件为自有知识产权或为正版并获得合法使用授权的软件，如软件有产权或版权纠纷，一切后果由卖方负责，并赔偿由此造成的买方的损失。</w:t>
      </w:r>
      <w:bookmarkEnd w:id="12"/>
      <w:bookmarkEnd w:id="13"/>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2.5 数据传输</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2.5.1 网络采用1：1冗余总线设计，控制层传输速率应达100Mbps。</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2.5.2当连接在网络上的任一站发生故障时或是脱离网络时不会影响其它站的正常工作。当某一块卡件出现故障时不会影响整个系统的正常运行。</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2.6 系统功能要求</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监视功能：中文窗口化操作平台，具有但不限于满足对蔗渣锅炉和与之配套的辅助设备以及汽轮发电机组的运行状态（生产设备的启动及停止，控制阀的开/关，故障及事故报警等）显示；主要参数显示（如参数测量值、设定值、输出值、主要电机电流等）。</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2.7 控制功能：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2.7.1具有但不限于满足蔗渣锅炉和汽轮发电机组简单和复杂回路的开环和闭环控制、顺序控制、成组及单机控制功能、联锁控制，电磁阀、马达、滑差电机以及执行机构的控制功能等。</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2.7.2当系统出现故障时，过程输出应保持不变或达到预先设置的安全输出值。能进行手-自动无扰动切换。</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3.技术服务资料</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3.1卖方要向买方提供完整的技术资料和技术数据（一式六份）。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3.2设备的设计能力，设备的过载能力，操作参数的变化范围，完整的技术规格，操作规程。</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3.3设备的基础图，设备布置图（包括平面图和剖面图）。</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3.4所有电气、仪表设备的技术资料、包括型号、规格、结构形式、防护等级、生产厂家及合格证书。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3.5系统的电气原理图和接线图。</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3.6系统的使用说明书（操作规程和调试维护方法）。</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4.售后技术服务</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4.1买方或第三方（设备安装公司）在安装、调试整流调速系统期间，若需要卖方提供技术服务的，卖方需派出胜任的、身体健康的技术人员到现场进行技术服务，负责调试至正常生产。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4.2卖方在收到买方安装、调试传真5天内到达买方项目现场进行调试。</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4.3买方对卖方提供的设备有疑问的，卖方负责24小时内给予答复，买方来人处理的，3天内到买方现场提供服务。</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4.4卖方提供的设备在安装过程中需要安装公司改造的，所需费用由卖方现金支付给安装公司。</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4.5在买方需要时，卖方要向买方提供现场技术培训，使买方维护人员具有熟练的调试能力和一定的维护技能。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4.6设备到达现场后，卖方需来人会同买方有关部门人员开箱清点，对设备的数量和完好情况进行外观检查。</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4.7卖方必须保证从设备运行之日起的12个月内提供的设备部件功能完善，无任何缺陷。</w:t>
      </w:r>
    </w:p>
    <w:p>
      <w:pPr>
        <w:spacing w:line="360" w:lineRule="auto"/>
        <w:ind w:firstLine="561"/>
        <w:rPr>
          <w:rFonts w:ascii="宋体" w:hAnsi="宋体" w:cs="宋体"/>
          <w:color w:val="auto"/>
          <w:sz w:val="28"/>
          <w:szCs w:val="28"/>
          <w:highlight w:val="none"/>
        </w:rPr>
      </w:pPr>
      <w:r>
        <w:rPr>
          <w:rFonts w:hint="eastAsia" w:ascii="宋体" w:hAnsi="宋体" w:cs="宋体"/>
          <w:color w:val="auto"/>
          <w:sz w:val="28"/>
          <w:szCs w:val="28"/>
          <w:highlight w:val="none"/>
        </w:rPr>
        <w:t>4.8控制系统培训</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系统维护人员培训不少于4人， 培训内容要求掌握系统软件简单开发能力，系统故障维护等能力；操作培训不少于15人，要求掌握基本设备操作技能和操作使用的工具。</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4.9实现对压榨蔗刀机、输蔗机、抛蔗机、电磁吸铁器、扫带机、榨机、耙齿机、渗透汁曲筛以及各种泵浦等的控制和监控，实现对稀油站状态的监控。</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5.其它</w:t>
      </w:r>
    </w:p>
    <w:p>
      <w:pPr>
        <w:pStyle w:val="99"/>
        <w:spacing w:line="360" w:lineRule="auto"/>
        <w:ind w:firstLine="560"/>
        <w:rPr>
          <w:rFonts w:ascii="宋体" w:hAnsi="宋体" w:cs="宋体"/>
          <w:color w:val="auto"/>
          <w:sz w:val="28"/>
          <w:szCs w:val="28"/>
          <w:highlight w:val="none"/>
        </w:rPr>
      </w:pPr>
      <w:r>
        <w:rPr>
          <w:rFonts w:hint="eastAsia" w:ascii="宋体" w:hAnsi="宋体" w:cs="宋体"/>
          <w:bCs/>
          <w:color w:val="auto"/>
          <w:sz w:val="28"/>
          <w:szCs w:val="28"/>
          <w:highlight w:val="none"/>
        </w:rPr>
        <w:t>5.1、</w:t>
      </w:r>
      <w:r>
        <w:rPr>
          <w:rFonts w:hint="eastAsia" w:ascii="宋体" w:hAnsi="宋体" w:cs="宋体"/>
          <w:color w:val="auto"/>
          <w:sz w:val="28"/>
          <w:szCs w:val="28"/>
          <w:highlight w:val="none"/>
        </w:rPr>
        <w:t>项目完成后生产能力及技术要</w:t>
      </w:r>
      <w:r>
        <w:rPr>
          <w:rFonts w:hint="eastAsia" w:ascii="宋体" w:hAnsi="宋体" w:cs="宋体"/>
          <w:bCs/>
          <w:color w:val="auto"/>
          <w:sz w:val="28"/>
          <w:szCs w:val="28"/>
          <w:highlight w:val="none"/>
        </w:rPr>
        <w:t>确保满足初步设计、施工图及需方生产需求。</w:t>
      </w:r>
      <w:r>
        <w:rPr>
          <w:rFonts w:hint="eastAsia" w:ascii="宋体" w:hAnsi="宋体" w:cs="宋体"/>
          <w:color w:val="auto"/>
          <w:sz w:val="28"/>
          <w:szCs w:val="28"/>
          <w:highlight w:val="none"/>
        </w:rPr>
        <w:t>质量符合国家或行业现行标准要求。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5.2、采用设备是成熟的、先进的、并具有制造相同生产能力的设备、运行成功的经验，不得使用试验性的设计和部件。</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5.3、机械设备结构紧凑、牢固、检修和调校容易，操作方便。</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5.4、确保人员和设备安全。</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5.5、配套的安全防护平台、栏杆、标识及油漆等须按招标人的相关规定进行制作及安装，同时做好安全标识等防护设施。</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5.6、所用钢材料生产厂家，参照或相当于厂家：柳钢、宝钢、鞍钢、太钢，投标人可选用同档次或优于参考厂家品牌。</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5.7、电器类参照或相当于厂家：卧龙电机、江特电机、大洋电机、上海电机，投标人可选用同档次或优于参考厂家品牌。</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5.8、行星减速机参照或相当于：杭州南方通达、重庆永进重机、南高齿。</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5.9、DCS控制系统参照或相当于：浙江中控、杭州优稳、和利时。</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5.10、</w:t>
      </w:r>
      <w:r>
        <w:rPr>
          <w:rFonts w:hint="eastAsia" w:ascii="宋体" w:hAnsi="宋体" w:cs="宋体"/>
          <w:color w:val="auto"/>
          <w:sz w:val="28"/>
          <w:szCs w:val="28"/>
          <w:highlight w:val="none"/>
        </w:rPr>
        <w:t>蔗刀机、</w:t>
      </w:r>
      <w:r>
        <w:rPr>
          <w:rFonts w:hint="eastAsia" w:ascii="宋体" w:hAnsi="宋体" w:cs="宋体"/>
          <w:color w:val="auto"/>
          <w:sz w:val="28"/>
          <w:szCs w:val="28"/>
          <w:highlight w:val="none"/>
        </w:rPr>
        <w:t>电机轴承参照或相当于:</w:t>
      </w:r>
      <w:r>
        <w:rPr>
          <w:rFonts w:hint="eastAsia"/>
          <w:color w:val="auto"/>
          <w:highlight w:val="none"/>
        </w:rPr>
        <w:t xml:space="preserve"> </w:t>
      </w:r>
      <w:r>
        <w:rPr>
          <w:rFonts w:hint="eastAsia" w:ascii="宋体" w:hAnsi="宋体" w:cs="宋体"/>
          <w:color w:val="auto"/>
          <w:sz w:val="28"/>
          <w:szCs w:val="28"/>
          <w:highlight w:val="none"/>
        </w:rPr>
        <w:t>进口轴承需采用SKF（瑞典）、NSK（日本）或FAG（德国）品牌。</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5.11、供方需提供项目相关设备的合格证、使用说明，所有设备整套一式两份的纸质图纸及CAD版电子图（整套图纸包括设备总图、装配图、零配件图、主要部件的结构图、安装尺寸、安装施工图、底梳放样图、安装基础图等图纸）。</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5.12、项目完工后，由供方、需方按有关要求以及现行甘蔗制糖行业标准为依据共同验收。 特种设备（电动双梁起重机）安装通过检验并取得使用登记证后交付使用。</w:t>
      </w:r>
    </w:p>
    <w:p>
      <w:pPr>
        <w:pStyle w:val="99"/>
        <w:spacing w:line="360" w:lineRule="auto"/>
        <w:ind w:firstLine="562"/>
        <w:rPr>
          <w:rFonts w:ascii="宋体" w:hAnsi="宋体" w:cs="宋体"/>
          <w:color w:val="auto"/>
          <w:sz w:val="28"/>
          <w:szCs w:val="28"/>
          <w:highlight w:val="none"/>
        </w:rPr>
      </w:pPr>
      <w:r>
        <w:rPr>
          <w:rFonts w:hint="eastAsia" w:ascii="宋体" w:hAnsi="宋体" w:cs="宋体"/>
          <w:b/>
          <w:bCs/>
          <w:color w:val="auto"/>
          <w:sz w:val="28"/>
          <w:szCs w:val="28"/>
          <w:highlight w:val="none"/>
        </w:rPr>
        <w:t>七、</w:t>
      </w:r>
      <w:r>
        <w:rPr>
          <w:rFonts w:hint="eastAsia" w:ascii="宋体" w:hAnsi="宋体" w:cs="宋体"/>
          <w:color w:val="auto"/>
          <w:sz w:val="28"/>
          <w:szCs w:val="28"/>
          <w:highlight w:val="none"/>
        </w:rPr>
        <w:t>电气要求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7.1</w:t>
      </w:r>
      <w:r>
        <w:rPr>
          <w:rFonts w:hint="eastAsia" w:ascii="宋体" w:hAnsi="宋体" w:cs="宋体"/>
          <w:color w:val="auto"/>
          <w:sz w:val="28"/>
          <w:szCs w:val="28"/>
          <w:highlight w:val="none"/>
        </w:rPr>
        <w:tab/>
      </w:r>
      <w:r>
        <w:rPr>
          <w:rFonts w:hint="eastAsia" w:ascii="宋体" w:hAnsi="宋体" w:cs="宋体"/>
          <w:color w:val="auto"/>
          <w:sz w:val="28"/>
          <w:szCs w:val="28"/>
          <w:highlight w:val="none"/>
        </w:rPr>
        <w:t>国家标准及有关行业标准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《供配电系统设计规范》GB50052-2009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《3～110kV 高压配电装置设计规范》GB50060-2008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《20KV 及以下变电所设计规范》GB50053-2013</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《低压配电设计规范》GB50054-2011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《通用用电设备配电设计规范》GB 50055-2011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《电力装置的继电保护和自动装置设计规范》GB 50062-2008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《建筑照明设计标准》GB50034-2014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《电力装置电测量仪表装置设计规范》GB/T 50063-2008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《电力工程电缆设计标准》GB50217-2018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《建筑物防雷设计规范》GB50057-2010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《建筑机电工程抗震设计规范》GB50981-2014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《建筑设计防火规范》GB50016-2014（2018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《消防应急照明和疏散指示系统技术标准》GB51309-2018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《建筑节能与可再生能源利用通用规范》GB55015-2021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《建筑电气与智能化通用规范》GB55024-2022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《建筑防火通用规范》GB55037-2022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《甘蔗糖厂设计规范》QB/T 102G-2022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7.2甲方电源数据</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高压：6.3KV±5%、50 Hz±0.5Hz三相交流电源，连续供电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低压：380V±5%、50Hz±0.5Hz 三相交流电源，连续供电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7.3通用技术要求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7.3.1蔗刀机应为饶线式滑环电机，定子额定电压6.3KV，防护等级不底于IP54，空水冷却。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7.3.2压榨机及双辊喂料器直流电机，电枢额定电压DC660V，防护等级不底于IP54，背包式空-水冷却器。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7.3.3所有电机绝缘等级F级，工作制：S1（连续工作制）。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7.3.4变频电机，防护等级不底于IP55，强迫风冷。</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7.3.5除以上电机及起重机电机、秤喂蔗台饶线式滑环电机，等特殊电机外的普通电机应不低于IE2能效等级。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7.3.6电机启动方式：P≤37kW可采用直接启动；37&lt;P≤90kW可采用星三角启动;P＞90kW应采用软启动。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7.4配电及设备电气配套技术要求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7.4.1预处理压榨车间传动侧，零米层配置高压配电室及变压器室。</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7.4.2预处理压榨车间变压器室，配置一台6.3/0.4kV的油浸式电力变压器，两台油浸式整流变压器，油浸式变压器应为S13及以上。</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7.4.3预处理压榨高压室内，利用原动力车间的6台高压开关柜，对部分元器件进行改造后，作为三台变压器及三台蔗刀机的高压馈线柜。需增加高压进线柜， PT柜。6.3kV由新的动力车间，通过高压电缆引入高压进线柜。需根据原高压开关柜操作电压配置直流屏。</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7.4.4在高压室内配置三台蔗刀机的液阻启动柜及功率因数补偿装置。三台蔗刀机的启动，从设备及人员安全考虑，只允许在就地操作箱上进行启动操作。</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7.4.5蔗刀机电机的定子高压电缆、转子电缆均通过电缆沟接入高压室相应的高压开关柜、液阻启动柜及功率因数补偿装置，高压电缆应为铜芯铠装型。</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7.4.6在零米层，高压配电室、变压器室与7米层的低压配电室、可控硅室之间设置电缆夹层室，以便于各电缆从低压配电室、可控硅室的各控制柜到各传动电机及就地操作箱。</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7.4.7零米层预处理各传动点、压榨各工艺泵，各电缆通过电缆沟及预埋管再到相应的电机及就地操作箱。</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7.4.8在低压室内，整流变压器出线，配置的MCC柜，应有9个馈线回路及相应的断路器，作为6台压榨机，7台整流柜（其中一台为备用柜）、1台双辊喂料器，2台整流柜（其中一台为备用柜）的供电回路。</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7.4.9七台压榨机整流柜（其中一台为备用柜）、两台双辊喂料器整流柜（其中一台为备用柜），均为扩容型，全数字整流柜并配备切换柜或将切换装置集成于整流柜内。全数字整流柜配置PLC及触摸屏，实现自身系统的电流、料位自动控制压榨机转速。通过PLC的PROFIBUS-DP或PROFINET接口，实现与预处理压榨DCS总线通信控制。压榨机、双辊喂料电机的转速、电流、电压等数据，DCS均由总线通信获取。</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7.4.10低压室内（MCC）配置0.4kV电容功率因数补偿柜，MCC均为MNS或8PT柜型。各输蔗机、中输机等变频柜均采用PROFIBUS-DP或PROFINET接口实现与DCS总线通信控制。电机的转速（频率）、电流数据，DCS均由总线通信获取。</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7.4.11由于压榨各工艺泵均采用原设备，但要实现DCS控制。所以配置新的MCC柜，放置于底压配电室内。MCC配置就地操作按钮盒，可选择就地/远程操作，以便于维修、调试设备和急停设备使用。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7.4.12输蔗机、快速皮带机变频传动点，应配置就地操作箱，可选择就地/远程操作，以便于维修、调试设备和急停设备使用。就地操作的调速应采用三位开关式电动电位器。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7.4.13预处理压榨生产线各主辅设备电气控制柜，应有硬联锁措施；压榨机前后设备电气控制柜也应有硬联锁措施及解联开关，以便于设备调试、维修以及正常生产运行时，联锁功能的有效使用。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7.4.14通过在输</w:t>
      </w:r>
      <w:bookmarkStart w:id="14" w:name="OLE_LINK1"/>
      <w:r>
        <w:rPr>
          <w:rFonts w:hint="eastAsia" w:ascii="宋体" w:hAnsi="宋体" w:cs="宋体"/>
          <w:color w:val="auto"/>
          <w:sz w:val="28"/>
          <w:szCs w:val="28"/>
          <w:highlight w:val="none"/>
        </w:rPr>
        <w:t>蔗</w:t>
      </w:r>
      <w:bookmarkEnd w:id="14"/>
      <w:r>
        <w:rPr>
          <w:rFonts w:hint="eastAsia" w:ascii="宋体" w:hAnsi="宋体" w:cs="宋体"/>
          <w:color w:val="auto"/>
          <w:sz w:val="28"/>
          <w:szCs w:val="28"/>
          <w:highlight w:val="none"/>
        </w:rPr>
        <w:t>机上配置的两套核子秤、输蔗机、快速胶带机变频调速以及压榨料位、电流控制和DCS控制系统，实现整个预处理压榨的原料及负荷均衡压榨控制。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 直流驱动器</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7.5.1选用品牌与档次参照或相当于：美国帕克590+、尼得科CT（原艾默生CT)：MP 系列、西门子 6RA70 。</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7.5.2 在就地监控方式下，通过驱动器装置上的操作面板，可进行就地人工启动、停止驱动装置，可以调整面板转速给定从而改变电机转速，便于工作人员在现场的调试、维护和操作。</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7.5.3 直流驱动器安装于驱动控制柜内，可采用壁挂和透孔安装。</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7.5.4 直流驱动器需具有强大的环境适应能力，可在-10º ~40 ºC的环境温度下正常运行，可在环境湿度&lt;95%的条件下无凝露。</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7.5.5  直流驱动器的输入/输出功能：DI 3个；DO 3个；DI/DO 3个；AI 3个；AO 2个；继电器输出2个；AB增量型编码器反馈接口，测速发电机输入接口，所有输入/输出具有可编程功能。且可进行IO模块的额外扩展。直流驱动器应至少包含以下几种开关量信号和模拟量信号（不限于此）：</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开关量输入：起动、停止、急停、复位、手动/自动转换等信号；</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开关量输出：驱动器准备就绪、驱动器运行、驱动器故障、驱动器停止等信号；</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模拟量输入：转速给定(0-20mA、 4-20mA或-10-10V)；</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模拟量输出：输出转速、输出电流(0-20mA、4-20mA或0-10V)；</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7.5.6 配置mudbusRTU通信协议：变频器应标配RS485串行通信借口，支持Modbus RTU通讯协议，便于用户的集中控制。同时用户还可以通过各种总线卡构成网络系统，能支持Profibus，Profinet，Ethercat，Devicenet，Canopent等网络通讯，具有非常开放的网络通讯能力</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7.5.7为避免电网干扰，驱动器应能承受进线电压波动范围为AC 380 V-15%～480V +10%。必须满载输出。驱动器应具备以下保护：过电流、欠电压、缺相保护、短路保护、失速保护、驱动器过载、电机过载保护、过热保护等多种保护功能。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7.5.8控制回路应有有效的短路保护。过负荷装置应有手动复位。</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7.5.9若直流驱动器所驱动的电机具有冷却风扇，则冷却风扇电机运行必须与驱动器的运行连锁，并应有过负荷保护和短路保护。</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7.5.10信号回路应安全可靠。保护线路应根据工作电流原理工作。</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7.5.11所有的mA信号和其它的调节或控制线路应与其它系统屏蔽。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7.5.12直流驱动器应具备完善的自我保护系统。故障自检系统应易于发现故障。</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7.5.13自检和保护系统应监视和保护整个直流传动系统(包括直流电机)。</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7.5.14直流驱动器具有限制减速过电压、加速过电流功能。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7.5.15直流驱动器能自动计算电动机阻抗、漏抗等参数。</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7.5.17直流驱动器具有内置板载PLC，可进行运动控制功能扩展。</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7.5.18同功率及电压等级直流驱动器可并联运行。直流驱动器过载能力要求能达到满负荷运行状态下过载150%30秒，124% 60秒。</w:t>
      </w:r>
    </w:p>
    <w:p>
      <w:pPr>
        <w:pStyle w:val="99"/>
        <w:spacing w:line="360" w:lineRule="auto"/>
        <w:ind w:firstLine="562"/>
        <w:rPr>
          <w:rFonts w:ascii="宋体" w:hAnsi="宋体" w:cs="宋体"/>
          <w:color w:val="auto"/>
          <w:sz w:val="28"/>
          <w:szCs w:val="28"/>
          <w:highlight w:val="none"/>
        </w:rPr>
      </w:pPr>
      <w:r>
        <w:rPr>
          <w:rFonts w:hint="eastAsia" w:ascii="宋体" w:hAnsi="宋体" w:cs="宋体"/>
          <w:b/>
          <w:bCs/>
          <w:color w:val="auto"/>
          <w:sz w:val="28"/>
          <w:szCs w:val="28"/>
          <w:highlight w:val="none"/>
        </w:rPr>
        <w:t>八、</w:t>
      </w:r>
      <w:r>
        <w:rPr>
          <w:rFonts w:hint="eastAsia" w:ascii="宋体" w:hAnsi="宋体" w:cs="宋体"/>
          <w:color w:val="auto"/>
          <w:sz w:val="28"/>
          <w:szCs w:val="28"/>
          <w:highlight w:val="none"/>
        </w:rPr>
        <w:t>建筑要求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8.1设计依据和范围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8.1.1设计依据</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a.可行性研究报告；</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b.工艺流程要求及业主其它技术要求；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c.建设地点的水文、气象、地质、用地范围有关情况等资料。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d.建设单位的意见和当地有关情况。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e 水、电、暖通等专业提供的设计资料及要求。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f.参照中国有关设计规范；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《食品企业通用卫生规范》GB14881-2013</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《甘蔗糖厂设计规范》QB_T102G-2022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《建筑设计防火规范》GB50016-2014（2018 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《建筑防火通用规范》GB55037-2022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《建筑内部装修设计防火规范》GB 50222-2017；</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《建筑工程建筑面积计算规范》GB/T 50353-2013；</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《建筑与市政工程防水通用规范》GB55030-2022；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《建筑节能与可再生能源利用通用规范》GB55015-2021；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《建筑环境通用规范》GB55016-2021；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《建筑工程设计文件编制深度规定》(2016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《民用建筑设计统一标准》GB 50352－2019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国家和地方现行的有关国家和地方标准、规范、规程、规定。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8.1.2火灾危险性、耐火等级、使用年限</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土建工程涉及改造部分为原料处理间为单层厂房，火灾危险性为丁类，建筑耐火等级二级，屋面防水等级一级，按 8 度抗震设防。主体结构为钢筋混凝土框架＋钢屋面，设计使用年限为 50 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8.1.3设计范围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本项目为技术改造工程，拆除原旧厂房，在原有位置延长压榨车间，另增加两间配电房、一间操作房。设计范围包括、建筑、结构、工艺、给排水、电气、暖通空调等设计。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8.2设计说明</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8.2.1设计概述</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根据糖厂生产工艺的要求，结合当地风向、日照、雨量及气候特征等情况，对各车间的通风、隔热、遮阳、防潮、防酸、防水、等作了相应措施。建筑设计在满足适用、经济的前提下，适当注意美观。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a）根据糖厂生产工艺的特点，符合适用、安全、经济、美观的原则,建筑设计与附近环境协调统一，强调整齐、简洁有序，具有现代工业厂房特点。</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b）根据生产工艺要求，在压榨车间屋面设置通风气楼，车间的通风、采光、卫生要求和建筑标准按《工业企业设计卫生标准》GBZ1-2010的有关规定执行。</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8.2.2建筑概况及平面设计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1.建筑平面设计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南北长 30.60 米，东西宽 35.40 米，建筑功能为单层丁类厂房，长宽与原压榨车间厂房一致，方便与原有厂房连接及设备利旧。本单体在西侧和北侧设置两个疏散门，满足疏散要求，单体建筑占地面积：1076.75 ㎡，总建筑面积：1076.75 ㎡，建筑高度：15.825m。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2.立面设计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上部采用白色无机耐擦洗涂料，底部采用灰色无机耐擦洗涂料点缀，与现有厂房色彩相呼应，营造简洁、灵动、具有时代气息的色彩氛围。在考虑建筑立面美观的同时，仔细推敲建筑造型和平面功能之间的关系，满足建筑内部功能的具体需求：利用竖向构件的体、块、面、线等多方因素，强调建筑主体的挺拔姿态；同时利用墙面与梁板平台及外墙的凹凸韵律丰富立面层次，营造出简洁明快的厂区形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3.剖面设计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单层建筑，室内外高差为 0.2 米，建筑高度 15.825 米，屋面坡度 10%。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4.外部建筑材料：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（1）墙体：外墙为190厚烧结页岩多孔砖。砌块主规格：240（长）X190（厚）X90（高），强度MU10，孔洞率≥29%，无内墙。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屋面：为轻型钢屋面系统，压型钢板采用双层压型钢板复合保温隔热屋面，屋面保温层采用100厚岩棉（容重120kg/m³）屋面外观和物理性能要求及进场抽样检验要求应符合《屋面工程技术规范》（GB50345-2012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（3）内部建筑材料：地面采用耐磨骨料重载地面（A级），内墙面采用石粉类涂料墙面（A级），设备坑采用防水混凝土，外加两道1.5厚自粘聚合物改性沥青防水卷材。</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（4）门窗：主要门为普通钢质平开门。主要窗为铝合金固定窗+6厚透明玻璃。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（5）室外建筑构造：建筑按规范设计混凝土散水，入口设置重载坡道，屋面天沟接UPVCφ100雨水管。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5.建筑防火设计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本单体总建筑面积:1076.75 ㎡；建筑层数为一层，整栋为一个防火分区。建筑消防高度 15.825 米；火灾危险性类别为丁类，建筑耐火等级为二级，设置两个疏散出口，且疏散距离满足规范要求。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6.建筑节能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根据《工业建筑节能设计统一标准》GB 51245-2017 第 3.1.1 条，本项目属于二类工业建筑，无需节能设计，本项目设置屋面通风天窗，通过自然通风统设计，降低通风能耗。</w:t>
      </w:r>
    </w:p>
    <w:p>
      <w:pPr>
        <w:pStyle w:val="99"/>
        <w:spacing w:line="360" w:lineRule="auto"/>
        <w:ind w:firstLine="562"/>
        <w:rPr>
          <w:rFonts w:ascii="宋体" w:hAnsi="宋体" w:cs="宋体"/>
          <w:color w:val="auto"/>
          <w:sz w:val="28"/>
          <w:szCs w:val="28"/>
          <w:highlight w:val="none"/>
        </w:rPr>
      </w:pPr>
      <w:r>
        <w:rPr>
          <w:rFonts w:hint="eastAsia" w:ascii="宋体" w:hAnsi="宋体" w:cs="宋体"/>
          <w:b/>
          <w:bCs/>
          <w:color w:val="auto"/>
          <w:sz w:val="28"/>
          <w:szCs w:val="28"/>
          <w:highlight w:val="none"/>
        </w:rPr>
        <w:t>九、</w:t>
      </w:r>
      <w:r>
        <w:rPr>
          <w:rFonts w:hint="eastAsia" w:ascii="宋体" w:hAnsi="宋体" w:cs="宋体"/>
          <w:color w:val="auto"/>
          <w:sz w:val="28"/>
          <w:szCs w:val="28"/>
          <w:highlight w:val="none"/>
        </w:rPr>
        <w:t>结构要求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 设计依据和范围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9.1.1 本工程采用的主要设计规范和标准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a.业主提供的本工程标书文件。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b.设计合同、业主和承包单位的要求。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c.参照有关设计规范。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（1）《工程结构通用规范》GB55001-2021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（2）《建筑与市政工程抗震通用规范》GB55002-2021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（3）《建筑与市政地基基础通用规范》GB55003-2021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（4）《钢结构通用规范》GB55006-2021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（5）《砌体结构通用规范》GB55007-2021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（6）《混凝土结构通用规范》GB55006-2021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（7）《工程勘察通用规范》GB55017-2021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（8）《建筑结构可靠性设计统一标准》（GB50068-2018）；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（9）《工程结构可靠性设计统一标准》（GB50153-2008）；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（10）《建筑工程抗震设防分类标准》（GB50223-2008）；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（11）《建筑结构荷载规范》（GB50009-2012）；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（12）《混凝土结构设计规范》（GB50010-2010）2015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（13）《建筑抗震设计规范》（GB50011-2010）2016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（14）《中国地震动参数区划图》（GB18306-2015）；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（15）《建筑地基基础设计规范》（GB50007-2011）；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（16）《高层建筑混凝土结构技术规程》（JGJ 3-2010）；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（17）《高层建筑筏形与箱形基础技术规范》（JGJ6-2011）；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（18）《砌体结构设计规范》（GB50003-2011）；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（19）《建筑基坑支护技术规程》（JGJ 120-2012）；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（20）《混凝土结构耐久性设计标准》（GB/T50476-2019）；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（21）《工业防腐蚀设计标准》（GB/T50046-2018）；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（22）《建筑工程抗浮技术标准》（JGJ/476-2019）；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（23）《地下工程防水技术规范》（GB50108-2008）；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（24）《混凝土结构工程施工质量验收规范》（GB50204-2015）；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（25）《建筑变形测量规范》（JGJ 8-2016）；</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（26）《钢结构设计标准》 (GB50017-2017)；</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（27）《门式刚架轻型房屋钢结构技术规范》(GB51022-2015)；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（28）《建筑钢结构防火技术规范》(GB51249-2017)；</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（29）《钢结构防火涂料》(GB14907-2018)；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（30）《钢结构防火涂料应用技术规程》(T/CECS 24-2020)；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（31）《建筑钢结构防腐蚀技术规程》(T/CECS 24-2020) ；</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9.1.2 相应的岩土工程勘察报告及其主要内容包括：</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本项目拟建地点位于广东省湛江市徐闻县曲界镇华丰糖厂内。基本风压按规范取 0.75KN/m。抗震设防烈度为 8 度，设计基本地震加速度值为 0.2g，设计地震分组为第二组。本项目为改造项目，考虑到方便业主安装设备及后期的设备维护，需将原料处理间整体拆除后扩建压榨车间。参考由轻工业部广州设计院 1994 年 7 月设计的原料处理间设计图纸，本工程基础暂按天然地基基础设计考虑。施工图设计时再结合本工程的详细地质勘察报告进行基础设计。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9.1.3 采用的设计荷载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本项目各楼板及屋面荷载将按以下标准值进行计算：</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类别</w:t>
            </w:r>
          </w:p>
        </w:tc>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设计均布活荷载标准值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风荷载</w:t>
            </w:r>
          </w:p>
        </w:tc>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0.75 kN/m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不上人钢屋面</w:t>
            </w:r>
          </w:p>
        </w:tc>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0.5kN/m</w:t>
            </w:r>
          </w:p>
        </w:tc>
      </w:tr>
    </w:tbl>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说明：</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1、.其它未尽荷载、各种荷载组合值系数、频遇值系数、准永久值系数将参照国家规范《建筑结构荷载规范》GB50009-2012 及《全国民用建筑工程设计技术措施》规定；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2、设备荷重由生产厂家提供的设备重量资料取值；</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3、风压高度变化系数及建筑物体型系数按《建筑结构荷载规范》GB50009-2012 采用。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9.1.4 建设方对设计提出的符合有关法规、标准的与结构设计有关的要求。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a.符合最新版的技术标准和规范；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b.执行行业标准 QBJS6-2005《轻工业建设项目初步设计编制内容深度规定》；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c.本项目的建筑物的设计工作年限为 50 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本专业的设计范围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本专业的设计范围为糖厂压榨车间从基础到上部结构的整体设计，还包括自卸喂料器及撕解机等设备基础。</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 施工设计说明</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建筑结构的安全等级和设计工作年限、建筑抗震设防烈度（设计基本地震加速度及设计地震分组）和设防类别、结构抗震等级；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按《建筑结构可靠性设计统一标准》，本工程单体设计工作年限均为 50年；安全等级为二级；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按《建筑抗震设防分类标准》本工程单体抗震设防类别均为丙类；</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按《建筑抗震设计规范》本工程地处抗震区，抗震设防烈度为 8 度，设计基本地震加速度值为 0.2g，设计地震分组为第二组。</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9.2.2 上部结构选型</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在符合设计原则条件下，满足安全经济实用。为保证施工质量和加速建厂进度，压榨车间采钢筋混凝土排架结构+轻型钢屋面，以尽可能节省材料，节约建厂投资。</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9.2.3结构设计原则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9.2.3.1 本工程基础及地面以下与水或者土壤接触的墙、柱、梁、板环境类别为三 b 类，上部结构构件及其余室外构件环境类别为三 a 类，相应混凝土结构的裂缝控制等级为三级（ωlim=0.2mm 及 0.3mm）。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混凝土及钢结构受弯构件（普通受弯构件及吊车梁）的挠度限值将分别按照各自规范取值。</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5.2.3.2 钢筋混凝土框架柱轴压比限值：&lt;=0.8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受弯构件的挠度控制：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钢筋混凝土屋盖及楼盖，楼梯构件: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L&lt;7m 时L/200(L/250)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7m&lt;=L&lt;=9m 时L/250(L/300)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L&gt;9m 时L/300(L/400)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括号内数值为对挠度要求高的构件。L 为计算跨度。</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9.2.3.3地基基础设计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 本工程 的地基基础 设计等级： 按《建筑地 基基础设计 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GB50007-2011 均为丙级。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本工程拟采用独立基础或条形基础。地基承载力特征值暂定为 140 kPa，此值将根据最终地质勘察报告作调整。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9.2.4 地下室的结构做法和抗渗等级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本工程无地下室，但有设备地坑，设备地坑采用混凝土连续浇筑的方法施工，抗渗等级为 P6。</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9.2.5 伸缩缝、沉降缝和防震缝的设置</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钢筋混凝土上部结构伸缩缝最大间距如下表所示：</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775"/>
        <w:gridCol w:w="2486"/>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905" w:type="dxa"/>
            <w:gridSpan w:val="2"/>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结构类别</w:t>
            </w:r>
          </w:p>
        </w:tc>
        <w:tc>
          <w:tcPr>
            <w:tcW w:w="2486"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室内或土中（m）</w:t>
            </w:r>
          </w:p>
        </w:tc>
        <w:tc>
          <w:tcPr>
            <w:tcW w:w="2131"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露天（m）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排架结构</w:t>
            </w:r>
          </w:p>
        </w:tc>
        <w:tc>
          <w:tcPr>
            <w:tcW w:w="1775"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现浇式</w:t>
            </w:r>
          </w:p>
        </w:tc>
        <w:tc>
          <w:tcPr>
            <w:tcW w:w="2486"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100</w:t>
            </w:r>
          </w:p>
        </w:tc>
        <w:tc>
          <w:tcPr>
            <w:tcW w:w="2131"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地 坑 壁 等 类 结构</w:t>
            </w:r>
          </w:p>
        </w:tc>
        <w:tc>
          <w:tcPr>
            <w:tcW w:w="1775"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现浇式</w:t>
            </w:r>
          </w:p>
          <w:p>
            <w:pPr>
              <w:pStyle w:val="99"/>
              <w:spacing w:line="360" w:lineRule="auto"/>
              <w:ind w:left="240" w:firstLine="560"/>
              <w:jc w:val="center"/>
              <w:rPr>
                <w:rFonts w:ascii="宋体" w:hAnsi="宋体" w:cs="宋体"/>
                <w:color w:val="auto"/>
                <w:sz w:val="28"/>
                <w:szCs w:val="28"/>
                <w:highlight w:val="none"/>
              </w:rPr>
            </w:pPr>
          </w:p>
        </w:tc>
        <w:tc>
          <w:tcPr>
            <w:tcW w:w="2486"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30</w:t>
            </w:r>
          </w:p>
          <w:p>
            <w:pPr>
              <w:pStyle w:val="99"/>
              <w:spacing w:line="360" w:lineRule="auto"/>
              <w:ind w:left="240" w:firstLine="560"/>
              <w:jc w:val="center"/>
              <w:rPr>
                <w:rFonts w:ascii="宋体" w:hAnsi="宋体" w:cs="宋体"/>
                <w:color w:val="auto"/>
                <w:sz w:val="28"/>
                <w:szCs w:val="28"/>
                <w:highlight w:val="none"/>
              </w:rPr>
            </w:pPr>
          </w:p>
        </w:tc>
        <w:tc>
          <w:tcPr>
            <w:tcW w:w="2131"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20</w:t>
            </w:r>
          </w:p>
          <w:p>
            <w:pPr>
              <w:pStyle w:val="99"/>
              <w:spacing w:line="360" w:lineRule="auto"/>
              <w:ind w:left="240" w:firstLine="560"/>
              <w:jc w:val="center"/>
              <w:rPr>
                <w:rFonts w:ascii="宋体" w:hAnsi="宋体" w:cs="宋体"/>
                <w:color w:val="auto"/>
                <w:sz w:val="28"/>
                <w:szCs w:val="28"/>
                <w:highlight w:val="none"/>
              </w:rPr>
            </w:pPr>
          </w:p>
        </w:tc>
      </w:tr>
    </w:tbl>
    <w:p>
      <w:pPr>
        <w:pStyle w:val="99"/>
        <w:spacing w:line="360" w:lineRule="auto"/>
        <w:ind w:left="240" w:firstLine="560"/>
        <w:rPr>
          <w:rFonts w:ascii="宋体" w:hAnsi="宋体" w:cs="宋体"/>
          <w:color w:val="auto"/>
          <w:sz w:val="28"/>
          <w:szCs w:val="28"/>
          <w:highlight w:val="none"/>
        </w:rPr>
      </w:pP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9.2.6 特殊使用要求的结构处理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压榨机、撕解机等重要的大块设备基础，具有严格的沉降要求，将采用高强度等级的混凝土，筏板式基础。 而对于置放在地面具有较大振动的设备，例如振动输送机、大型的水泵等，将采用大体积混凝土基础，依靠基础自重来抵消设备产生的振动荷载，并设置防震缝并填充柔性材料来减小振动对地面产生的影响。</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9.2.7 主要结构构件材料的选用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a、钢材：钢筋 HPB300（fy＝210Mpa），HRB335（fy＝300Mpa） ，HRB400E（fy＝360Mpa）,钢板钢材采用 Q235B、Q355B。钢材牌号：型钢、钢板、钢管采用 Q235B 钢。焊条：HPB300 级钢筋、Q235B 钢材焊接采用 E43 系列、Q355B钢材焊接采用 E55 系列；HRB400 级钢筋焊接采用 E55 系列。</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b、混凝土等级： 构造柱、圈过梁均采用 C25 混凝土。</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基础：混凝土等级拟定采用 C30。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主体柱、梁、板、楼梯混凝土等级详见深化设计图。</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地坑底板和侧壁采用 C30 防水混凝土，其抗渗等级为均 P6。</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（一律按绿色建筑的要求采用商品混凝土和预拌砂浆）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c、砌体墙：框架结构填充墙：建筑物±0.000（地面）内外墙以上采用M7.5 混合砂浆 MU10 页岩多孔砖砌筑。±0.000 （地面）以下砖墙采用 MU15页岩实心砖、M10 水泥砂浆砌筑。</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d、所有钢结构构件涂装：a.表面必须先净化处理使其无油、干燥；b.进行除锈（除锈等级 Sa2.5），c.刷底漆：环氧富锌底涂料，2 遍，干膜总厚度70μm；中间层，环氧云铁，1 遍，干膜总厚度 60μm；d.刷面漆，采用聚氨酯丙烯酸环氧涂料，2 遍，干膜总厚度 150μm。e.钢梁及屋架（包括支撑）≥1.5h 的耐火时间要求刷非膨胀型防火涂料(室内环境选具有低碳环保性能的石膏基质防火涂料，室外环境选水泥基质防火涂料，任何耐火极限下的涂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层厚度均不能低于 15mm，机械喷涂工艺施工，螺栓连接接触面部位和安装焊缝处 60ｍｍ宽范围内不涂漆，安装或焊接后补涂)。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9.2.8 在地震区结构抗震概念设计方面的考虑</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本工程按照 8 度采取抗震构造措施，工程结构地震计算用 8 度，设计基本地震加速度值为 0.2g，设计地震分组为第二组。</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9.2.9危险性较大工程部位</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a、根据《住房城乡建设部办公厅关于实施（危险性较大的分部分项工程安全管理规定）有关问题的通知（建办质（2018）31 号）》的“附件 1、附件 2”，可知本工程涉及的危险性较大工程部位有：基坑支护、高支模、脚手架工程等，超过一定规模的危大工程专项施工方案应进行专项评审。在施工图阶段，再针对该工程涉及的相关内容进行标识。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9.2.10对施工的特殊要求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考虑天然基础的开挖和混凝土基础的施工不在同一时间进行，基底土层在遭遇雨水浸泡会软化，施工中应注意对基坑及时铺设垫层，防止基坑底土软化。</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在拆除旧原料处理间前，应提前做好车间拆除方案，并经过讨论确认可行后，方可进行拆除。在拆除过程中，要做好安全防护措施以及必要的临时支撑等，同时对车间内部原有的设备做好保护措施，避免在拆除过程中造成损坏。</w:t>
      </w:r>
    </w:p>
    <w:p>
      <w:pPr>
        <w:pStyle w:val="99"/>
        <w:spacing w:line="360" w:lineRule="auto"/>
        <w:ind w:left="240" w:firstLine="562"/>
        <w:rPr>
          <w:rFonts w:ascii="宋体" w:hAnsi="宋体" w:cs="宋体"/>
          <w:color w:val="auto"/>
          <w:sz w:val="28"/>
          <w:szCs w:val="28"/>
          <w:highlight w:val="none"/>
        </w:rPr>
      </w:pPr>
      <w:r>
        <w:rPr>
          <w:rFonts w:hint="eastAsia" w:ascii="宋体" w:hAnsi="宋体" w:cs="宋体"/>
          <w:b/>
          <w:bCs/>
          <w:color w:val="auto"/>
          <w:sz w:val="28"/>
          <w:szCs w:val="28"/>
          <w:highlight w:val="none"/>
        </w:rPr>
        <w:t>十、</w:t>
      </w:r>
      <w:r>
        <w:rPr>
          <w:rFonts w:hint="eastAsia" w:ascii="宋体" w:hAnsi="宋体" w:cs="宋体"/>
          <w:color w:val="auto"/>
          <w:sz w:val="28"/>
          <w:szCs w:val="28"/>
          <w:highlight w:val="none"/>
        </w:rPr>
        <w:t>给排水要求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10.1</w:t>
      </w:r>
      <w:r>
        <w:rPr>
          <w:rFonts w:hint="eastAsia" w:ascii="宋体" w:hAnsi="宋体" w:cs="宋体"/>
          <w:color w:val="auto"/>
          <w:sz w:val="28"/>
          <w:szCs w:val="28"/>
          <w:highlight w:val="none"/>
        </w:rPr>
        <w:tab/>
      </w:r>
      <w:r>
        <w:rPr>
          <w:rFonts w:hint="eastAsia" w:ascii="宋体" w:hAnsi="宋体" w:cs="宋体"/>
          <w:color w:val="auto"/>
          <w:sz w:val="28"/>
          <w:szCs w:val="28"/>
          <w:highlight w:val="none"/>
        </w:rPr>
        <w:t>本工程采用的国家现行的有关规范、规定。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《建筑给水排水与节水通用规范》 GB 55020-202；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《建筑给水排水设计标准》 GB 50015-2019；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《建筑节能与可再生能源利用通用规范》 GB 55015-2021；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《建筑防火通用规范》 GB 55037-2022；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《消防设施通用规范》 GB 55036-2022；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《建筑设计防火规范》 GB 50016-2014；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《消防给水及消火栓系统技术规范》GB50974-2014；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《建筑灭火器配置设计规范》 GB 50140-2005；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《建筑与市政工程抗震通用规范》 GB 55002-2021；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《建筑机电工程抗震设计规范》 GB 50981-2014。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10.2本工程的施工范围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原料处理间的屋面雨水系统及室内消防系统， 无生活及生产给排水系统。</w:t>
      </w:r>
    </w:p>
    <w:p>
      <w:pPr>
        <w:pStyle w:val="99"/>
        <w:spacing w:line="360" w:lineRule="auto"/>
        <w:ind w:left="240" w:firstLine="562"/>
        <w:rPr>
          <w:rFonts w:ascii="宋体" w:hAnsi="宋体" w:cs="宋体"/>
          <w:color w:val="auto"/>
          <w:sz w:val="28"/>
          <w:szCs w:val="28"/>
          <w:highlight w:val="none"/>
        </w:rPr>
      </w:pPr>
      <w:r>
        <w:rPr>
          <w:rFonts w:hint="eastAsia" w:ascii="宋体" w:hAnsi="宋体" w:cs="宋体"/>
          <w:b/>
          <w:bCs/>
          <w:color w:val="auto"/>
          <w:sz w:val="28"/>
          <w:szCs w:val="28"/>
          <w:highlight w:val="none"/>
        </w:rPr>
        <w:t>十一、</w:t>
      </w:r>
      <w:r>
        <w:rPr>
          <w:rFonts w:hint="eastAsia" w:ascii="宋体" w:hAnsi="宋体" w:cs="宋体"/>
          <w:color w:val="auto"/>
          <w:sz w:val="28"/>
          <w:szCs w:val="28"/>
          <w:highlight w:val="none"/>
        </w:rPr>
        <w:t>消防要求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11.1建筑概况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本工程为拆除原有原料处理间并扩建压榨车间，扩建建筑 占地面积1076.75m2，总建筑面积 1076.75m2，建筑高度 15.825m；建筑火灾危险等级丁类，耐火等级二级；抗震设防烈度 8 度。</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11.2消防施工</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11.2.1、本工程无需设室内消火栓，室外消火栓设计流量为 15L/s，新增 1 具室外消火栓，接入厂区现有的室外消火栓管网；若本建筑处于现有的室外消火栓的 150m 保护半径内，则可不新增室外消火栓。</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11.2.2、室外消火栓的保护半径不应超过 150m，间距不应大于120m。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11.2.3、室外消火栓消火栓应布置在消防车易于接近的人行道和绿地等地点， 且不应妨碍交通；距路边不宜小于 0.5m ，并不应大于 2.0m ；距建筑外墙或外墙边缘不宜小于 5.0m ；应避免设置在机械易撞击的地点，确有困难时，应采取防撞措施。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11.2.4、本工程室内按 A 类火灾、轻危险级设置干粉灭火器，以扑灭初起火灾。灭火器设置在位置明显和便于取用的地点，且不得影响安全疏散。</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11.2.5、灭火器的摆放应稳固，其铭牌应朝外。手提式灭火器宜设置在灭火器箱内或挂钩、托架上，其顶部离地面高度不应大于 1.50m；底部离地面高度不宜小于 0.08m。灭火器箱不得上锁。灭火器不得设置在超出其使用温度范围的地点。</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11.3管材及构筑物通用要求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11.3.1、室外生活及消防给水管采用钢丝网骨架聚乙烯复合管；室内消防给水管采用热镀锌钢管；室内冷热水给水管均采用 PP-R 给水管。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11.3.2、室内污水管及屋面雨水立管采用 dn160 的 PVC-U 排水管，室外埋地排水管采用环刚度 SN8 的聚乙烯双壁波纹管。室外排水管管顶覆土深度不小于0.7 米。</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11.3.3、排水检查井选用混凝土圆形检查井；化粪池、隔油池选用玻璃钢材质。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11.4</w:t>
      </w:r>
      <w:r>
        <w:rPr>
          <w:rFonts w:hint="eastAsia" w:ascii="宋体" w:hAnsi="宋体" w:cs="宋体"/>
          <w:color w:val="auto"/>
          <w:sz w:val="28"/>
          <w:szCs w:val="28"/>
          <w:highlight w:val="none"/>
        </w:rPr>
        <w:tab/>
      </w:r>
      <w:r>
        <w:rPr>
          <w:rFonts w:hint="eastAsia" w:ascii="宋体" w:hAnsi="宋体" w:cs="宋体"/>
          <w:color w:val="auto"/>
          <w:sz w:val="28"/>
          <w:szCs w:val="28"/>
          <w:highlight w:val="none"/>
        </w:rPr>
        <w:t>节水节能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1、选用新型管道，推广应用节能型、阻力系数小的塑料管，减少漏水， 清洁及洗涤、卫生器具选用节水型卫生器具，以节约用水。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2、选用节水型卫生洁具及配水件，所有坐便器、蹲便器均选用自带水封洁具，冲洗水箱有效容积不大于6L。</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3、给水管道采用 PP-R 塑料管，热熔连接，减少水漏损率。给水支管的水流速度采用措施小于1.0m/s，并在直线管段设置胀缩振动传递。</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4、所有地漏的存水弯的水封深度不得小于 50mm。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11.5</w:t>
      </w:r>
      <w:r>
        <w:rPr>
          <w:rFonts w:hint="eastAsia" w:ascii="宋体" w:hAnsi="宋体" w:cs="宋体"/>
          <w:color w:val="auto"/>
          <w:sz w:val="28"/>
          <w:szCs w:val="28"/>
          <w:highlight w:val="none"/>
        </w:rPr>
        <w:tab/>
      </w:r>
      <w:r>
        <w:rPr>
          <w:rFonts w:hint="eastAsia" w:ascii="宋体" w:hAnsi="宋体" w:cs="宋体"/>
          <w:color w:val="auto"/>
          <w:sz w:val="28"/>
          <w:szCs w:val="28"/>
          <w:highlight w:val="none"/>
        </w:rPr>
        <w:t>抗震</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本工程地震烈度为8度。 </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1、生活给水管、热水管的选用应按按现行国家标准 《建筑给水排水设计 规 范 》 GB50015规定的材质选用；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2、消防给水管、气体灭火输送管道应根据系统工作压力按 消防的现行国家相关规范选用管材并采用相应的连接方式； </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3、重力流排水的污、废水管管材可按现行的国家标准 《建筑给水排水设计规范》GB 50015 规定的管材选用；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4、应保证设备、设施、构筑物有足够的检修空间；</w:t>
      </w:r>
    </w:p>
    <w:p>
      <w:pPr>
        <w:pStyle w:val="99"/>
        <w:spacing w:line="360" w:lineRule="auto"/>
        <w:ind w:left="240" w:firstLine="562"/>
        <w:rPr>
          <w:rFonts w:ascii="宋体" w:hAnsi="宋体" w:cs="宋体"/>
          <w:color w:val="auto"/>
          <w:sz w:val="28"/>
          <w:szCs w:val="28"/>
          <w:highlight w:val="none"/>
        </w:rPr>
      </w:pPr>
      <w:r>
        <w:rPr>
          <w:rFonts w:hint="eastAsia" w:ascii="宋体" w:hAnsi="宋体" w:cs="宋体"/>
          <w:b/>
          <w:bCs/>
          <w:color w:val="auto"/>
          <w:sz w:val="28"/>
          <w:szCs w:val="28"/>
          <w:highlight w:val="none"/>
        </w:rPr>
        <w:t>十二、</w:t>
      </w:r>
      <w:r>
        <w:rPr>
          <w:rFonts w:hint="eastAsia" w:ascii="宋体" w:hAnsi="宋体" w:cs="宋体"/>
          <w:color w:val="auto"/>
          <w:sz w:val="28"/>
          <w:szCs w:val="28"/>
          <w:highlight w:val="none"/>
        </w:rPr>
        <w:t>油漆和防腐</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12.1所有加工件（除不锈钢外）都对其表面进行除锈处理。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12.2设备装运之前，其所有部件进行全面清洗，清除所有污垢、锈物、油脂及其它杂物，保证产品内外清洁，并在工厂内按制造标准进行涂漆。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12.3钢结构和设备采用防腐要求的优质油漆，涂刷不少于二底一面。</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12.4对油管道（包括附件）提供必要的防腐保护。</w:t>
      </w:r>
    </w:p>
    <w:p>
      <w:pPr>
        <w:spacing w:line="360" w:lineRule="auto"/>
        <w:ind w:firstLine="843" w:firstLineChars="300"/>
        <w:rPr>
          <w:rFonts w:ascii="宋体" w:hAnsi="宋体" w:cs="宋体"/>
          <w:color w:val="auto"/>
          <w:sz w:val="28"/>
          <w:szCs w:val="28"/>
          <w:highlight w:val="none"/>
        </w:rPr>
      </w:pPr>
      <w:r>
        <w:rPr>
          <w:rFonts w:hint="eastAsia" w:ascii="宋体" w:hAnsi="宋体" w:cs="宋体"/>
          <w:b/>
          <w:bCs/>
          <w:color w:val="auto"/>
          <w:sz w:val="28"/>
          <w:szCs w:val="28"/>
          <w:highlight w:val="none"/>
        </w:rPr>
        <w:t>十三、</w:t>
      </w:r>
      <w:r>
        <w:rPr>
          <w:rFonts w:hint="eastAsia" w:ascii="宋体" w:hAnsi="宋体" w:cs="宋体"/>
          <w:color w:val="auto"/>
          <w:sz w:val="28"/>
          <w:szCs w:val="28"/>
          <w:highlight w:val="none"/>
        </w:rPr>
        <w:t>施工过程、周期及质保期：</w:t>
      </w:r>
    </w:p>
    <w:p>
      <w:pPr>
        <w:spacing w:line="360" w:lineRule="auto"/>
        <w:ind w:firstLine="840" w:firstLineChars="300"/>
        <w:rPr>
          <w:rFonts w:ascii="宋体" w:hAnsi="宋体" w:cs="宋体"/>
          <w:color w:val="auto"/>
          <w:sz w:val="28"/>
          <w:szCs w:val="28"/>
          <w:highlight w:val="none"/>
        </w:rPr>
      </w:pPr>
      <w:r>
        <w:rPr>
          <w:rFonts w:hint="eastAsia" w:ascii="宋体" w:hAnsi="宋体" w:cs="宋体"/>
          <w:bCs/>
          <w:color w:val="auto"/>
          <w:sz w:val="28"/>
          <w:szCs w:val="28"/>
          <w:highlight w:val="none"/>
        </w:rPr>
        <w:t>1、</w:t>
      </w:r>
      <w:r>
        <w:rPr>
          <w:rFonts w:hint="eastAsia" w:ascii="宋体" w:hAnsi="宋体" w:cs="宋体"/>
          <w:color w:val="auto"/>
          <w:sz w:val="28"/>
          <w:szCs w:val="28"/>
          <w:highlight w:val="none"/>
        </w:rPr>
        <w:t>供方应遵守需方的相关管理规章制度。</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2、交货期：150日历天完成安装交付使用。</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3、供方所有供货产品质量保证期限为二年。</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4、供方负责旧设备拆除搬迁，现场清理等相关工作。</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5、承诺设备出现故障，供方接到需方通知后，8小时内派维护人员到现场。</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4、承包方式</w:t>
      </w:r>
    </w:p>
    <w:p>
      <w:pPr>
        <w:spacing w:line="5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根据招标人提供工程的施工图、施工图说明、工程量清单、相关资料及说明，按《建设工程工程量清单计价规范》（GB50500-2013）、</w:t>
      </w:r>
      <w:r>
        <w:rPr>
          <w:rFonts w:hint="eastAsia" w:ascii="宋体" w:hAnsi="宋体"/>
          <w:color w:val="auto"/>
          <w:sz w:val="28"/>
          <w:szCs w:val="28"/>
          <w:highlight w:val="none"/>
        </w:rPr>
        <w:t>《广东省建筑与装饰工程综合定额（2018）》、《广东省通用安装工程综合定额（2018）》、《广东省市政工程综合定额（2018）》、《广东省建设工程施工机具台班费用编制规则（2018）》、 湛江市住房和城乡建设局关于贯彻《广东省建设工程计价依据（2018）》、《湛江市住房城乡建设局关于贯彻&lt;广东省建设工程计价依据（2018）&gt;》（湛建管〔2019〕41号）、《关于调整&lt;广东省建设工程计价依据（2018）&gt;人工费系数的通知》（湛建造函〔2020〕7号）、《广东省住房和城乡建设厅关于调整广东省建设工程计价依据增值税税率的通知》（粤建标函〔2019〕819号）及相应的计价办法</w:t>
      </w:r>
      <w:r>
        <w:rPr>
          <w:rFonts w:hint="eastAsia" w:ascii="宋体" w:hAnsi="宋体" w:cs="宋体"/>
          <w:color w:val="auto"/>
          <w:sz w:val="28"/>
          <w:szCs w:val="28"/>
          <w:highlight w:val="none"/>
        </w:rPr>
        <w:t>的规定，由中标单位包材料、包施工、包质量、包工期、包安全进行承包。不允许转包，不允许违法分包，如确需分包的项目，必须与建设单位协商并得到建设单位的书面同意，分包方必须具备相应的专业资质方可分包。</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5、工期要求及规定</w:t>
      </w:r>
    </w:p>
    <w:p>
      <w:pPr>
        <w:pStyle w:val="87"/>
        <w:spacing w:line="520" w:lineRule="exact"/>
        <w:ind w:left="210" w:leftChars="100" w:firstLine="280" w:firstLineChars="100"/>
        <w:rPr>
          <w:rFonts w:ascii="宋体" w:hAnsi="宋体" w:cs="宋体"/>
          <w:color w:val="auto"/>
          <w:szCs w:val="28"/>
          <w:highlight w:val="none"/>
        </w:rPr>
      </w:pPr>
      <w:r>
        <w:rPr>
          <w:rFonts w:hint="eastAsia" w:ascii="宋体" w:hAnsi="宋体" w:cs="宋体"/>
          <w:color w:val="auto"/>
          <w:szCs w:val="28"/>
          <w:highlight w:val="none"/>
        </w:rPr>
        <w:t>（1）完成本招标工程全部工作内容的广东省建设工程施工标准工期为</w:t>
      </w:r>
      <w:r>
        <w:rPr>
          <w:rFonts w:hint="eastAsia" w:ascii="宋体" w:hAnsi="宋体" w:cs="宋体"/>
          <w:color w:val="auto"/>
          <w:szCs w:val="28"/>
          <w:highlight w:val="none"/>
          <w:u w:val="single"/>
        </w:rPr>
        <w:t>150</w:t>
      </w:r>
      <w:r>
        <w:rPr>
          <w:rFonts w:hint="eastAsia" w:ascii="宋体" w:hAnsi="宋体" w:cs="宋体"/>
          <w:color w:val="auto"/>
          <w:szCs w:val="28"/>
          <w:highlight w:val="none"/>
        </w:rPr>
        <w:t>日历天完成安装交付使用，开工日期由监理工程师发出的开工令中指定的日期算起，以工程竣工验收通过、承包人送交建设工程竣工验收报告的日期作为实际竣工日。</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（2）招标人欢迎各投标人根据企业自身实际能力，在施工组织和施工方法合理、可行的前提下，对本招标工程的工期进行优化，提出相应缩短工期的投标文件。</w:t>
      </w:r>
    </w:p>
    <w:p>
      <w:pPr>
        <w:pStyle w:val="87"/>
        <w:spacing w:line="520" w:lineRule="exact"/>
        <w:ind w:firstLine="560" w:firstLineChars="200"/>
        <w:rPr>
          <w:rFonts w:ascii="宋体" w:hAnsi="宋体" w:cs="宋体"/>
          <w:color w:val="auto"/>
          <w:szCs w:val="28"/>
          <w:highlight w:val="none"/>
          <w:u w:val="single"/>
        </w:rPr>
      </w:pPr>
      <w:r>
        <w:rPr>
          <w:rFonts w:hint="eastAsia" w:ascii="宋体" w:hAnsi="宋体" w:cs="宋体"/>
          <w:color w:val="auto"/>
          <w:szCs w:val="28"/>
          <w:highlight w:val="none"/>
        </w:rPr>
        <w:t>（3）本招标工程要求中标人按中标工期完成，每延迟一天竣工罚款人民币</w:t>
      </w:r>
      <w:r>
        <w:rPr>
          <w:rFonts w:hint="eastAsia" w:ascii="宋体" w:hAnsi="宋体" w:cs="宋体"/>
          <w:color w:val="auto"/>
          <w:szCs w:val="28"/>
          <w:highlight w:val="none"/>
          <w:u w:val="single"/>
        </w:rPr>
        <w:t xml:space="preserve">3000 </w:t>
      </w:r>
      <w:r>
        <w:rPr>
          <w:rFonts w:hint="eastAsia" w:ascii="宋体" w:hAnsi="宋体" w:cs="宋体"/>
          <w:color w:val="auto"/>
          <w:szCs w:val="28"/>
          <w:highlight w:val="none"/>
        </w:rPr>
        <w:t>元（因发包人及不可抗力原因造成的工期延误除外）。</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（4）因发包人及不可抗力的原因造成的工期延误，在得到监理工程师和发包人的认可后，工期相应顺延，双方办理同意顺延工期手续。</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注：不可抗力的约定：经有关部门鉴定的六级以上地震，正面吹袭湛江市徐闻县的十级以上台风和龙卷风及</w:t>
      </w:r>
      <w:r>
        <w:rPr>
          <w:rFonts w:hint="eastAsia" w:ascii="宋体" w:hAnsi="宋体" w:cs="宋体"/>
          <w:color w:val="auto"/>
          <w:szCs w:val="28"/>
          <w:highlight w:val="none"/>
          <w:u w:val="single"/>
        </w:rPr>
        <w:t>施工区</w:t>
      </w:r>
      <w:r>
        <w:rPr>
          <w:rFonts w:hint="eastAsia" w:ascii="宋体" w:hAnsi="宋体" w:cs="宋体"/>
          <w:color w:val="auto"/>
          <w:szCs w:val="28"/>
          <w:highlight w:val="none"/>
        </w:rPr>
        <w:t>出现降雨量大于200mm/d特大暴雨，雷击引起的火灾，并执行国家有关规定。</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6、工程施工技术要求</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（1）严格按施工图纸、技术资料的要求及国家和地方现行施工验收规范、标准进行施工。</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（2）各种文物均属国家所有，中标人在土石方工程施工过程中若遇有文物，应采取必要的保护措施并即时报请发包人处理，任何人不得隐瞒或私自占有。</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（3）投标人在投标文件中言及之项目负责人及主要施工机械等必须按投标书所述到位，否则招标人有权终止合同。</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7、材料要求和供应方式</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（1）本工程招标范围内的主要材料和工程设备经发包方书面确认同意，中标人方可采购。</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（2）根据湛江市人民政府《关于贯彻实施广东省促进散装水泥发展和应用规定的通知》湛府函[2011]329号文的规定，本工程必须使用散装水泥和预拌混凝土、预拌砂浆。</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（3）本工程禁止使用自拌混凝土，禁止使用实心红砖。</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4）本工程中标单位不得向违规的商品混凝土供应商采购商品混凝土（无《建设工程规划许可证》和《建筑工程施工许可证》的违法建筑工程供应商品混凝土的违规供应商名单，以市住房和城乡建设局通报的名单为准）。</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（5）主要工程材料是指湛建施[1999]22号文中定义的主要材料及水电安装工程的主要材料。由中标人提前15天提供材料样品，经发包人确认样品后，由中标人按要求购买。</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6）本工程的所有设备材料必须为国家合格产品且符合设计图纸的要求。不得使用来历不明的材料。所有主要工程材料必须具备生产许可证及出厂合格证。材料应提前进场，材料进场前承包人应将进场材料的有关资料交监理工程师确认，在材料使用前提前24小时通知发包人代表及监理工程师共同验收并同时书面确认材料符合要求后方能投入使用。若材料未经发包人代表和监理工程师同时书面确认而承包人擅自使用，一经发现，承包人必须向发包人交纳当批材料价的5%违约金，并由发包人代表及监理工程师对进场材料进行检验，若材料符合要求，继续使用，若不符合要求，已使用和未使用的该批材料均一律退场，退场完成经监理工程师确认后，方能按要求重新进材料。若由此导致工期延误的，由承包人负责，工期不予顺延。</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（7）若承包人未能在规定时间内按要求向发包人提供材料样品，因而导致材料不能按时采购而影响工期，由承包人负责，工期不予顺延。</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8、工程质量标准和保修期</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执行国家关于环境保护的政策，符合国家的有关法规、规范及标准，工程质量按合格等级进行目标管理，由发包人组织勘察、设计、施工、监理等单位及其他有关各方依照国家有关验收规范、标准，按《湛江市房屋建筑工程和市政基础设施工程竣工验收及备案管理实施意见》（试行）有关规定对工程进行验收和评定。</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工程质量不合格、不符合设计标准、达不到设计要求的，或施工程序不按施工规范的，发包人有权要求承包人停工和返工，因停工和返工造成的一切损失由承包人自行承担，工期不予顺延。工程质量合格，但达不到投标时承诺的质量等级，承包人必须向发包人赔偿损失并交纳</w:t>
      </w:r>
      <w:r>
        <w:rPr>
          <w:rFonts w:hint="eastAsia" w:ascii="宋体" w:hAnsi="宋体" w:cs="宋体"/>
          <w:color w:val="auto"/>
          <w:szCs w:val="28"/>
          <w:highlight w:val="none"/>
          <w:u w:val="single"/>
        </w:rPr>
        <w:t>合同价的10％</w:t>
      </w:r>
      <w:r>
        <w:rPr>
          <w:rFonts w:hint="eastAsia" w:ascii="宋体" w:hAnsi="宋体" w:cs="宋体"/>
          <w:color w:val="auto"/>
          <w:szCs w:val="28"/>
          <w:highlight w:val="none"/>
        </w:rPr>
        <w:t>元违约金。</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本招标工程的保修期按照国家现行建筑工程保修有关规定的保修期限实行。保修期自竣工验收合格之日起计，在保修期内承包人需承担因施工质量问题而造成的返修，其费用由承建商负责。在工程保修期内，承包人在接到发包人提出要求返修的通知24小时内应派人根据发包人要求，按有关规范、标准进行返修，若非承包人原因造成返修的，返修费用由发包人承担。若在规定时间内承包商违约，不派员按发包人要求进行返修的，发包人可自行派人维修。若承包人经过两次返修仍不能解决同一质量问题，发包人可自行派人维修。若因承包人施工质量原因造成返修的，发包人自行派人维修，返修费用由工程保修押金中扣出，若返修费用超出保修押金时，发包人将按有关程序向承包人追讨。发包人因承包人违约而委托他人对工程进行的维修不解除承包人对本工程的保修责任。</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9、其它要求</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凡投标人获得投标资格后不参加投标的，必须在该项目开标前两天向代理单位提交书面文件，说明不参加投标的原因，否则，将对该企业按一次不良记录处理；无论何种原因，凡获得投标资格后不参加投标在6个月内达到3次的企业，按一次不良记录处理。</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（2）中标单位在领取中标通知书前向</w:t>
      </w:r>
      <w:r>
        <w:rPr>
          <w:rFonts w:hint="eastAsia" w:ascii="宋体" w:hAnsi="宋体" w:cs="宋体"/>
          <w:color w:val="auto"/>
          <w:sz w:val="28"/>
          <w:szCs w:val="28"/>
          <w:highlight w:val="none"/>
          <w:lang w:val="en-US" w:eastAsia="zh-CN"/>
        </w:rPr>
        <w:t>广州交易集团有限公司（广州公共资源交易中心）</w:t>
      </w:r>
      <w:r>
        <w:rPr>
          <w:rFonts w:hint="eastAsia" w:ascii="宋体" w:hAnsi="宋体" w:cs="宋体"/>
          <w:color w:val="auto"/>
          <w:szCs w:val="28"/>
          <w:highlight w:val="none"/>
        </w:rPr>
        <w:t>缴纳交易服务费（中标价的万分之九，具体金额按</w:t>
      </w:r>
      <w:r>
        <w:rPr>
          <w:rFonts w:hint="eastAsia" w:ascii="宋体" w:hAnsi="宋体" w:cs="宋体"/>
          <w:color w:val="auto"/>
          <w:sz w:val="28"/>
          <w:szCs w:val="28"/>
          <w:highlight w:val="none"/>
          <w:lang w:val="en-US" w:eastAsia="zh-CN"/>
        </w:rPr>
        <w:t>广州交易集团有限公司（广州公共资源交易中心）</w:t>
      </w:r>
      <w:r>
        <w:rPr>
          <w:rFonts w:hint="eastAsia" w:ascii="宋体" w:hAnsi="宋体" w:cs="宋体"/>
          <w:color w:val="auto"/>
          <w:szCs w:val="28"/>
          <w:highlight w:val="none"/>
        </w:rPr>
        <w:t>相关规定执行）以及向招标代理机构缴纳代理中标服务费（具体金额以招标代理与招标人签订的代理协议为准）。</w:t>
      </w:r>
    </w:p>
    <w:p>
      <w:pPr>
        <w:pStyle w:val="101"/>
        <w:spacing w:line="360" w:lineRule="auto"/>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10、招标控制价</w:t>
      </w:r>
    </w:p>
    <w:p>
      <w:pPr>
        <w:spacing w:line="360" w:lineRule="auto"/>
        <w:ind w:left="279" w:leftChars="133" w:firstLine="560" w:firstLineChars="200"/>
        <w:rPr>
          <w:rFonts w:ascii="宋体" w:hAnsi="宋体"/>
          <w:color w:val="auto"/>
          <w:sz w:val="28"/>
          <w:szCs w:val="28"/>
          <w:highlight w:val="none"/>
          <w:u w:val="single"/>
        </w:rPr>
      </w:pPr>
      <w:r>
        <w:rPr>
          <w:rFonts w:hint="eastAsia" w:ascii="宋体" w:hAnsi="宋体"/>
          <w:color w:val="auto"/>
          <w:sz w:val="28"/>
          <w:szCs w:val="28"/>
          <w:highlight w:val="none"/>
        </w:rPr>
        <w:t>经审定的本工程招标控制价为</w:t>
      </w:r>
      <w:r>
        <w:rPr>
          <w:rFonts w:hint="eastAsia" w:ascii="宋体" w:hAnsi="宋体"/>
          <w:color w:val="auto"/>
          <w:sz w:val="28"/>
          <w:szCs w:val="28"/>
          <w:highlight w:val="none"/>
          <w:u w:val="single"/>
        </w:rPr>
        <w:t>4827</w:t>
      </w:r>
      <w:r>
        <w:rPr>
          <w:rFonts w:hint="eastAsia" w:ascii="宋体" w:hAnsi="宋体"/>
          <w:color w:val="auto"/>
          <w:sz w:val="28"/>
          <w:szCs w:val="28"/>
          <w:highlight w:val="none"/>
        </w:rPr>
        <w:t>万元</w:t>
      </w:r>
      <w:r>
        <w:rPr>
          <w:rFonts w:hint="eastAsia" w:ascii="宋体" w:hAnsi="宋体"/>
          <w:color w:val="auto"/>
          <w:sz w:val="28"/>
          <w:szCs w:val="28"/>
          <w:highlight w:val="none"/>
        </w:rPr>
        <w:t>。其中绿色施工安全防护措施费为429583.34元、暂估价为：</w:t>
      </w:r>
      <w:r>
        <w:rPr>
          <w:rFonts w:hint="eastAsia" w:ascii="宋体" w:hAnsi="宋体"/>
          <w:color w:val="auto"/>
          <w:sz w:val="28"/>
          <w:szCs w:val="28"/>
          <w:highlight w:val="none"/>
          <w:lang w:val="en-US" w:eastAsia="zh-CN"/>
        </w:rPr>
        <w:t>0</w:t>
      </w:r>
      <w:r>
        <w:rPr>
          <w:rFonts w:hint="eastAsia" w:ascii="宋体" w:hAnsi="宋体"/>
          <w:color w:val="auto"/>
          <w:sz w:val="28"/>
          <w:szCs w:val="28"/>
          <w:highlight w:val="none"/>
        </w:rPr>
        <w:t>元</w:t>
      </w:r>
      <w:r>
        <w:rPr>
          <w:rFonts w:hint="eastAsia" w:ascii="宋体"/>
          <w:bCs/>
          <w:color w:val="auto"/>
          <w:sz w:val="28"/>
          <w:szCs w:val="28"/>
          <w:highlight w:val="none"/>
        </w:rPr>
        <w:t>（</w:t>
      </w:r>
      <w:r>
        <w:rPr>
          <w:rFonts w:hint="eastAsia" w:ascii="宋体"/>
          <w:bCs/>
          <w:color w:val="auto"/>
          <w:sz w:val="28"/>
          <w:highlight w:val="none"/>
        </w:rPr>
        <w:t>在投标报价时必须按招标</w:t>
      </w:r>
      <w:r>
        <w:rPr>
          <w:rFonts w:hint="eastAsia" w:ascii="宋体"/>
          <w:bCs/>
          <w:color w:val="auto"/>
          <w:sz w:val="28"/>
          <w:szCs w:val="28"/>
          <w:highlight w:val="none"/>
        </w:rPr>
        <w:t>控制价</w:t>
      </w:r>
      <w:r>
        <w:rPr>
          <w:rFonts w:hint="eastAsia" w:ascii="宋体"/>
          <w:bCs/>
          <w:color w:val="auto"/>
          <w:sz w:val="28"/>
          <w:highlight w:val="none"/>
        </w:rPr>
        <w:t>中给出的绿色施工安全防护措施费项目金额、</w:t>
      </w:r>
      <w:r>
        <w:rPr>
          <w:rFonts w:hint="eastAsia" w:ascii="宋体"/>
          <w:color w:val="auto"/>
          <w:sz w:val="28"/>
          <w:highlight w:val="none"/>
        </w:rPr>
        <w:t>暂估价（如有）</w:t>
      </w:r>
      <w:r>
        <w:rPr>
          <w:rFonts w:hint="eastAsia" w:ascii="宋体"/>
          <w:bCs/>
          <w:color w:val="auto"/>
          <w:sz w:val="28"/>
          <w:highlight w:val="none"/>
        </w:rPr>
        <w:t>不得改变金额，否则作废标处理</w:t>
      </w:r>
      <w:r>
        <w:rPr>
          <w:rFonts w:hint="eastAsia" w:ascii="宋体"/>
          <w:bCs/>
          <w:color w:val="auto"/>
          <w:sz w:val="28"/>
          <w:szCs w:val="28"/>
          <w:highlight w:val="none"/>
        </w:rPr>
        <w:t>）</w:t>
      </w:r>
      <w:r>
        <w:rPr>
          <w:rFonts w:hint="eastAsia" w:ascii="宋体" w:hAnsi="宋体"/>
          <w:color w:val="auto"/>
          <w:sz w:val="28"/>
          <w:szCs w:val="28"/>
          <w:highlight w:val="none"/>
        </w:rPr>
        <w:t>）。确定有效投标报价。投标人的投标报价不得高于招标控制价的97%，若投标报价高于招标控制价的97%，作废标处理。</w:t>
      </w:r>
    </w:p>
    <w:p>
      <w:pPr>
        <w:pStyle w:val="4"/>
        <w:spacing w:before="0" w:after="0" w:line="360" w:lineRule="auto"/>
        <w:ind w:firstLine="562" w:firstLineChars="200"/>
        <w:rPr>
          <w:rFonts w:ascii="宋体" w:hAnsi="宋体" w:eastAsia="宋体" w:cs="宋体"/>
          <w:color w:val="auto"/>
          <w:sz w:val="28"/>
          <w:szCs w:val="28"/>
          <w:highlight w:val="none"/>
        </w:rPr>
      </w:pPr>
      <w:bookmarkStart w:id="15" w:name="_Toc487755758"/>
      <w:r>
        <w:rPr>
          <w:rFonts w:hint="eastAsia" w:ascii="宋体" w:hAnsi="宋体" w:eastAsia="宋体" w:cs="宋体"/>
          <w:color w:val="auto"/>
          <w:sz w:val="28"/>
          <w:szCs w:val="28"/>
          <w:highlight w:val="none"/>
        </w:rPr>
        <w:t>三、结算原则及付款方式</w:t>
      </w:r>
      <w:bookmarkEnd w:id="15"/>
    </w:p>
    <w:p>
      <w:pPr>
        <w:pStyle w:val="87"/>
        <w:spacing w:line="520" w:lineRule="exact"/>
        <w:rPr>
          <w:rFonts w:ascii="宋体" w:hAnsi="宋体" w:cs="宋体"/>
          <w:color w:val="auto"/>
          <w:szCs w:val="28"/>
          <w:highlight w:val="none"/>
        </w:rPr>
      </w:pPr>
      <w:r>
        <w:rPr>
          <w:rFonts w:hint="eastAsia" w:ascii="宋体" w:hAnsi="宋体" w:cs="宋体"/>
          <w:color w:val="auto"/>
          <w:szCs w:val="28"/>
          <w:highlight w:val="none"/>
        </w:rPr>
        <w:t>1、结算原则</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（1）</w:t>
      </w:r>
      <w:r>
        <w:rPr>
          <w:rFonts w:hint="eastAsia" w:ascii="宋体" w:hAnsi="宋体" w:cs="宋体"/>
          <w:b w:val="0"/>
          <w:bCs/>
          <w:color w:val="auto"/>
          <w:sz w:val="28"/>
          <w:szCs w:val="28"/>
          <w:highlight w:val="none"/>
        </w:rPr>
        <w:t>本工程采用固定总价合同</w:t>
      </w:r>
      <w:r>
        <w:rPr>
          <w:rFonts w:hint="eastAsia" w:ascii="宋体" w:hAnsi="宋体" w:cs="宋体"/>
          <w:b w:val="0"/>
          <w:bCs/>
          <w:color w:val="auto"/>
          <w:sz w:val="28"/>
          <w:szCs w:val="28"/>
          <w:highlight w:val="none"/>
        </w:rPr>
        <w:t>，中标价为合同价。施工工程量按照招标价包干，期间增加施工量除项目单位要求，否则出现增加工程量产生的费用由施工方承担。</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2）本招标工程的最后结算根据招标人提供工程的施工图、相关资料及说明，按建设工程工程量清单计价规范》（GB50500-2013）、《广东省建筑与装饰工程综合定额（2018）》、《广东省通用安装工程综合定额（2018）》、《广东省市政工程综合定额（2018）》、《广东省建设工程施工机具台班费用编制规则（2018）》、 湛江市住房和城乡建设局关于贯彻《广东省建设工程计价依据（2018）》的通知 （湛建管[2019]41号文）及相应的计价办法的规定进行工程结算。</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3）在施工过程中由于招标人引起的工程变更及经招标人书面同意的设计变更及非承包人原因导致的工程量增减而引起的工程价款调整的项目，必须得到发包人和现场监理工程师的书面同意和签证，并执行湛建管【2004】137号文的规定才能进行相应调整。</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4）工程变更引起施工方案改变并使措施项目发生变化时，承包人提出调整措施项目费的，应事先将拟实施的方案提交发包人确认，并应详细说明与原方案措施项目相比的变化情况。拟实施的方案经发承包双方确认后执行，并应按照下列规定调整措施项目费：</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①安全文明施工费应按照实际发生变化的措施项目按《广东省建设工程计价依据》（2018）中相应的规定执行。</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②采用单价计算的措施项目费，应按照实际发生变化的措施项目，按（4）点的规定确定单价。</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③按总价（或系数）计算的措施项目费，按照实际发生变化的措施项目调整，但应考虑承包人报价浮动因素，即调整金额按照实际调整金额乘以承包人报价浮动率计算。</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如果承包人未事先将拟实施的方案提交给发包人确认，则应视为工程变更不引起措施项目费的调整或承包人放弃调整措施项目费的权利。</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合同履行过程中，任何原因导致工程价款增加的（含签证），增加额度未超合同总价5%的（含5%）工程价款均由承包方承担，增加额度超出合同总价5%且在10%（不含10%）以内的部分工程价款，经发包方书面确认审批同意后由发包方承担，未经发包方审批同意实施的由承包方承担。工程价款超过合同总价10%以上的部分不予审批实施。</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报价说明：</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（1）本工程的工程量按照《建设工程工程量清单计价规范》（GB50500-2013）以及各专业工程计量规范等所规定的方式确定。</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2）投标人应按工程量清单中列出的工程项目填报综合单价和合价。工程量清单计价格式中列明的所有需要填报的单价和合价，投标人均应填报，未填报的单价和合价，视为此项费用已包含在工程量清单的其他单价或合价中，任何与此有关的工程价款，招标人将不予支付。</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（3）安全防护、文明施工措施费项目在投标报价时必须按招标控制价中的金额报价，不得改变金额，否则作废标处理。</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（4）除非合同中另有规定，投标报价（即投标总价）应包括施工设备、劳务、管理、材料、养护、保险、利润、税金、政策性文件规定及合同包含的风险、责任等各项应有的费用。</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（5）投标报价为投标人的投标文件中提出的各项支付金额的总和。</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（6）经确认的中标人投标总报价（中标价）为本招标工程计费范围内各项费用的总和。</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7）招标文件所提供的工程量清单列明的数量是根据设计图纸计算，是招标文件的组成部分，但它只是为投标人提供一个共同基础，不能完全作为最后对承包商进行工程款支付的依据，投标人不得自行修改工程量清单的项目和数量。否则发包人有权拒绝该工程量清单。</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（8）投标报价的费用组成和计算方式：工程量清单计价的工程造价，应包括按招标文件规定，完成工程量清单所列项目的全部费用，包括分部分项工程</w:t>
      </w:r>
    </w:p>
    <w:p>
      <w:pPr>
        <w:pStyle w:val="101"/>
        <w:spacing w:line="520" w:lineRule="exact"/>
        <w:ind w:firstLine="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费、措施项目费、其他项目费和规费、税金。工程量清单采用综合单价计价。规费、税金按照湛江市现行有关规定计算。</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（9）投标报价应以招标人提供的施工图纸、资料和说明、工程量清单、设计文件所涉及的规范、标准以及招标文件为依据编制。</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10）本招标工程不限制投标人在投标报价时使用何种定额，投标人应根据市场价格和企业自身优势并自行考虑风险情况后进行报价。措施项目费按《广东省建设工程计价依据》（2018）的规定由投标人自行报价。安全防护、文明施工措施费项目在投标报价时必须按招标控制价中的金额报价，不得改变金额，否则作废标处理。</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（11）报价应结合投标人编制的施工组织设计。</w:t>
      </w:r>
    </w:p>
    <w:p>
      <w:pPr>
        <w:pStyle w:val="87"/>
        <w:spacing w:line="520" w:lineRule="exact"/>
        <w:rPr>
          <w:rFonts w:ascii="宋体" w:hAnsi="宋体" w:cs="宋体"/>
          <w:b/>
          <w:color w:val="auto"/>
          <w:szCs w:val="28"/>
          <w:highlight w:val="none"/>
        </w:rPr>
      </w:pPr>
      <w:r>
        <w:rPr>
          <w:rFonts w:hint="eastAsia" w:ascii="宋体" w:hAnsi="宋体" w:cs="宋体"/>
          <w:color w:val="auto"/>
          <w:szCs w:val="28"/>
          <w:highlight w:val="none"/>
        </w:rPr>
        <w:t>2</w:t>
      </w:r>
      <w:r>
        <w:rPr>
          <w:rFonts w:hint="eastAsia" w:ascii="宋体" w:hAnsi="宋体" w:cs="宋体"/>
          <w:b/>
          <w:color w:val="auto"/>
          <w:szCs w:val="28"/>
          <w:highlight w:val="none"/>
        </w:rPr>
        <w:t>、付款方式</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（1）本工程的中标价作为拨付工程进度款的依据。</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（2）发包人按有关法律、法规向承包人拨付工程款。</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（3）本工程款必须汇入中标人的专用帐户或基本账户。</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（4）承包人在向发包人提交施工验收报告的同时递交竣工结算报告及完整的结算资料。</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（5）发包人在收到承包人送交结算资料后，可委托政策规定的结算部门进行审核确定。审核时限按财政部、建设部财建【2004】369号文第十四条第三款的规定。</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（6）承包人在向发包人提交一式叁份完整的、符合要求的工程技术档案资料后，持工程结算资料向发包人申请结算余款。发包人在收到申请及有关资料后，经审核无误后在扣出工程保修金后付清结算余额。</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（7）工程保修金：本招标工程保留工程结算总造价的</w:t>
      </w:r>
      <w:r>
        <w:rPr>
          <w:rFonts w:hint="eastAsia" w:ascii="宋体" w:hAnsi="宋体" w:cs="宋体"/>
          <w:color w:val="auto"/>
          <w:szCs w:val="28"/>
          <w:highlight w:val="none"/>
          <w:u w:val="single"/>
        </w:rPr>
        <w:t>3%</w:t>
      </w:r>
      <w:r>
        <w:rPr>
          <w:rFonts w:hint="eastAsia" w:ascii="宋体" w:hAnsi="宋体" w:cs="宋体"/>
          <w:color w:val="auto"/>
          <w:szCs w:val="28"/>
          <w:highlight w:val="none"/>
        </w:rPr>
        <w:t>作为工程质量保修金，质量保修金银行利息为</w:t>
      </w:r>
      <w:r>
        <w:rPr>
          <w:rFonts w:hint="eastAsia" w:ascii="宋体" w:hAnsi="宋体" w:cs="宋体"/>
          <w:color w:val="auto"/>
          <w:szCs w:val="28"/>
          <w:highlight w:val="none"/>
          <w:u w:val="single"/>
        </w:rPr>
        <w:t>无息</w:t>
      </w:r>
      <w:r>
        <w:rPr>
          <w:rFonts w:hint="eastAsia" w:ascii="宋体" w:hAnsi="宋体" w:cs="宋体"/>
          <w:color w:val="auto"/>
          <w:szCs w:val="28"/>
          <w:highlight w:val="none"/>
        </w:rPr>
        <w:t>，在质保期(质保期为2年，自竣工验收之日算起）满后14日内返还承包人（不计利息）。</w:t>
      </w:r>
    </w:p>
    <w:p>
      <w:pPr>
        <w:pStyle w:val="4"/>
        <w:spacing w:line="520" w:lineRule="exact"/>
        <w:ind w:firstLine="562" w:firstLineChars="200"/>
        <w:rPr>
          <w:rFonts w:ascii="宋体" w:hAnsi="宋体" w:eastAsia="宋体" w:cs="宋体"/>
          <w:color w:val="auto"/>
          <w:sz w:val="28"/>
          <w:szCs w:val="28"/>
          <w:highlight w:val="none"/>
        </w:rPr>
      </w:pPr>
      <w:bookmarkStart w:id="16" w:name="_Toc487755759"/>
      <w:r>
        <w:rPr>
          <w:rFonts w:hint="eastAsia" w:ascii="宋体" w:hAnsi="宋体" w:eastAsia="宋体" w:cs="宋体"/>
          <w:color w:val="auto"/>
          <w:sz w:val="28"/>
          <w:szCs w:val="28"/>
          <w:highlight w:val="none"/>
        </w:rPr>
        <w:t>四、招标文件的内容和效力</w:t>
      </w:r>
      <w:bookmarkEnd w:id="16"/>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1、招标文件的组成：</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（1）招标文件包括下列内容。</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第一部分  投标须知</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第二部分  投标格式</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第三部分  施工合同条款</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第四部分  招标答疑纪要（如有）</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第五部分  技术资料与图纸（含设计图纸、工程地质勘察报告及施工用地范围）</w:t>
      </w:r>
    </w:p>
    <w:p>
      <w:pPr>
        <w:spacing w:line="5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（2）投标人应认真审阅招标文件中所有的投标须知、技术和报价要求、图纸资料。如果投标人的投标文件不能符合招标文件的要求，责任由投标人自负。招标人有权拒绝实质上不响应招标文件要求的投标文件。</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2、招标文件的解释</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（1）本招标文件由招标单位负责解释。</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（2）投标人要求对招标文件进行解释，应以书面函件的方式告知招标单位或招标代理单位。招标人将以书面函件或招标答疑会的方式答复（包括对询问的解释，但不说明询问的来源）。</w:t>
      </w:r>
    </w:p>
    <w:p>
      <w:pPr>
        <w:spacing w:line="520" w:lineRule="exact"/>
        <w:ind w:firstLine="562" w:firstLineChars="200"/>
        <w:jc w:val="left"/>
        <w:rPr>
          <w:rFonts w:ascii="宋体" w:hAnsi="宋体" w:cs="宋体"/>
          <w:color w:val="auto"/>
          <w:sz w:val="28"/>
          <w:szCs w:val="28"/>
          <w:highlight w:val="none"/>
        </w:rPr>
      </w:pPr>
      <w:r>
        <w:rPr>
          <w:rFonts w:hint="eastAsia" w:ascii="宋体" w:hAnsi="宋体" w:cs="宋体"/>
          <w:b/>
          <w:color w:val="auto"/>
          <w:sz w:val="28"/>
          <w:szCs w:val="28"/>
          <w:highlight w:val="none"/>
        </w:rPr>
        <w:t>3、招标文件的修改</w:t>
      </w:r>
    </w:p>
    <w:p>
      <w:pPr>
        <w:spacing w:line="5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（1）本招标文件由招标人负责解释。</w:t>
      </w:r>
    </w:p>
    <w:p>
      <w:pPr>
        <w:spacing w:line="5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2）投标人要求对招标文件进行解释，应在答疑截至时间之前以书面形式提问的方式告知招标人。招标人将以招标答疑会的方式答复（包括对询问的解释，但不说明询问的来源），且答复将发送给所有获得招标文件的投标人。</w:t>
      </w:r>
    </w:p>
    <w:p>
      <w:pPr>
        <w:spacing w:line="5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（3）为使投标人在编制投标文件时把补充通知的内容考虑进去，可根据有关规定延长递交投标文件的截止时间。</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4、招标文件的效力</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本招标文件是编制投标文件及中标后签订施工合同的依据。</w:t>
      </w:r>
    </w:p>
    <w:p>
      <w:pPr>
        <w:pStyle w:val="4"/>
        <w:spacing w:line="420" w:lineRule="exact"/>
        <w:ind w:firstLine="562" w:firstLineChars="200"/>
        <w:rPr>
          <w:rFonts w:ascii="宋体" w:hAnsi="宋体" w:eastAsia="宋体" w:cs="宋体"/>
          <w:color w:val="auto"/>
          <w:sz w:val="28"/>
          <w:szCs w:val="28"/>
          <w:highlight w:val="none"/>
        </w:rPr>
      </w:pPr>
      <w:bookmarkStart w:id="17" w:name="_Toc487755760"/>
      <w:r>
        <w:rPr>
          <w:rFonts w:hint="eastAsia" w:ascii="宋体" w:hAnsi="宋体" w:eastAsia="宋体" w:cs="宋体"/>
          <w:color w:val="auto"/>
          <w:sz w:val="28"/>
          <w:szCs w:val="28"/>
          <w:highlight w:val="none"/>
        </w:rPr>
        <w:t>五、投标文件的编制要求</w:t>
      </w:r>
      <w:bookmarkEnd w:id="17"/>
    </w:p>
    <w:p>
      <w:pPr>
        <w:pStyle w:val="101"/>
        <w:spacing w:line="4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1、投标文件的语言</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投标文件及投标人与招标人之间与投标有关的来往通知、函件和文件均使用中文（打印或手写）。</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2、投标文件由技术文件和商务文件两部分组成：</w:t>
      </w:r>
    </w:p>
    <w:p>
      <w:pPr>
        <w:spacing w:line="520" w:lineRule="exact"/>
        <w:ind w:firstLine="551" w:firstLineChars="196"/>
        <w:rPr>
          <w:rFonts w:ascii="宋体" w:hAnsi="宋体" w:cs="宋体"/>
          <w:b/>
          <w:color w:val="auto"/>
          <w:sz w:val="28"/>
          <w:szCs w:val="28"/>
          <w:highlight w:val="none"/>
        </w:rPr>
      </w:pPr>
      <w:r>
        <w:rPr>
          <w:rFonts w:hint="eastAsia" w:ascii="宋体" w:hAnsi="宋体" w:cs="宋体"/>
          <w:b/>
          <w:color w:val="auto"/>
          <w:sz w:val="28"/>
          <w:szCs w:val="28"/>
          <w:highlight w:val="none"/>
        </w:rPr>
        <w:t>2.1 技术文件组成：</w:t>
      </w:r>
    </w:p>
    <w:p>
      <w:pPr>
        <w:spacing w:line="520" w:lineRule="exact"/>
        <w:ind w:left="981" w:leftChars="467" w:firstLine="19" w:firstLineChars="7"/>
        <w:rPr>
          <w:rFonts w:ascii="宋体" w:hAnsi="宋体" w:cs="宋体"/>
          <w:color w:val="auto"/>
          <w:sz w:val="28"/>
          <w:szCs w:val="28"/>
          <w:highlight w:val="none"/>
        </w:rPr>
      </w:pPr>
      <w:r>
        <w:rPr>
          <w:rFonts w:hint="eastAsia" w:ascii="宋体" w:hAnsi="宋体" w:cs="宋体"/>
          <w:color w:val="auto"/>
          <w:sz w:val="28"/>
          <w:szCs w:val="28"/>
          <w:highlight w:val="none"/>
        </w:rPr>
        <w:t>⑴技术文件封面；</w:t>
      </w:r>
    </w:p>
    <w:p>
      <w:pPr>
        <w:spacing w:line="520" w:lineRule="exact"/>
        <w:ind w:firstLine="1120" w:firstLineChars="400"/>
        <w:rPr>
          <w:rFonts w:ascii="宋体" w:hAnsi="宋体" w:cs="宋体"/>
          <w:b/>
          <w:color w:val="auto"/>
          <w:sz w:val="28"/>
          <w:szCs w:val="28"/>
          <w:highlight w:val="none"/>
        </w:rPr>
      </w:pPr>
      <w:r>
        <w:rPr>
          <w:rFonts w:hint="eastAsia" w:ascii="宋体" w:hAnsi="宋体" w:cs="宋体"/>
          <w:color w:val="auto"/>
          <w:sz w:val="28"/>
          <w:szCs w:val="28"/>
          <w:highlight w:val="none"/>
        </w:rPr>
        <w:t>⑵技术文件目录；</w:t>
      </w:r>
    </w:p>
    <w:p>
      <w:pPr>
        <w:spacing w:line="520" w:lineRule="exact"/>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2.2商务文件组成：（所有复印件必须加盖投标单位公章（工程量清单可不需加盖单位公章），需要年审的资料须附年审记录，如到期未年审，必须附有关行政主管部门未组织年审的说明，否则视做无效证件）</w:t>
      </w:r>
    </w:p>
    <w:p>
      <w:pPr>
        <w:spacing w:line="520" w:lineRule="exact"/>
        <w:ind w:left="849" w:leftChars="270" w:hanging="282" w:hangingChars="101"/>
        <w:rPr>
          <w:rFonts w:ascii="宋体" w:hAnsi="宋体" w:cs="宋体"/>
          <w:color w:val="auto"/>
          <w:sz w:val="28"/>
          <w:szCs w:val="28"/>
          <w:highlight w:val="none"/>
        </w:rPr>
      </w:pPr>
      <w:r>
        <w:rPr>
          <w:rFonts w:hint="eastAsia" w:ascii="宋体" w:hAnsi="宋体" w:cs="宋体"/>
          <w:color w:val="auto"/>
          <w:sz w:val="28"/>
          <w:szCs w:val="28"/>
          <w:highlight w:val="none"/>
        </w:rPr>
        <w:t>（1）投标文件封面；</w:t>
      </w:r>
    </w:p>
    <w:p>
      <w:pPr>
        <w:spacing w:line="520" w:lineRule="exact"/>
        <w:ind w:left="849" w:leftChars="270" w:hanging="282" w:hangingChars="101"/>
        <w:rPr>
          <w:rFonts w:ascii="宋体" w:hAnsi="宋体" w:cs="宋体"/>
          <w:color w:val="auto"/>
          <w:sz w:val="28"/>
          <w:szCs w:val="28"/>
          <w:highlight w:val="none"/>
        </w:rPr>
      </w:pPr>
      <w:r>
        <w:rPr>
          <w:rFonts w:hint="eastAsia" w:ascii="宋体" w:hAnsi="宋体" w:cs="宋体"/>
          <w:color w:val="auto"/>
          <w:sz w:val="28"/>
          <w:szCs w:val="28"/>
          <w:highlight w:val="none"/>
        </w:rPr>
        <w:t>（2）投标文件目录；</w:t>
      </w:r>
    </w:p>
    <w:p>
      <w:pPr>
        <w:spacing w:line="520" w:lineRule="exact"/>
        <w:ind w:left="849" w:leftChars="270" w:hanging="282" w:hangingChars="101"/>
        <w:rPr>
          <w:rFonts w:ascii="宋体" w:hAnsi="宋体" w:cs="宋体"/>
          <w:color w:val="auto"/>
          <w:sz w:val="28"/>
          <w:szCs w:val="28"/>
          <w:highlight w:val="none"/>
        </w:rPr>
      </w:pPr>
      <w:r>
        <w:rPr>
          <w:rFonts w:hint="eastAsia" w:ascii="宋体" w:hAnsi="宋体" w:cs="宋体"/>
          <w:color w:val="auto"/>
          <w:sz w:val="28"/>
          <w:szCs w:val="28"/>
          <w:highlight w:val="none"/>
        </w:rPr>
        <w:t>（3）投标人的法人营业执照副本复印件；</w:t>
      </w:r>
    </w:p>
    <w:p>
      <w:pPr>
        <w:spacing w:line="520" w:lineRule="exact"/>
        <w:ind w:left="849" w:leftChars="270" w:hanging="282" w:hangingChars="101"/>
        <w:rPr>
          <w:rFonts w:ascii="宋体" w:hAnsi="宋体" w:cs="宋体"/>
          <w:color w:val="auto"/>
          <w:sz w:val="28"/>
          <w:szCs w:val="28"/>
          <w:highlight w:val="none"/>
        </w:rPr>
      </w:pPr>
      <w:r>
        <w:rPr>
          <w:rFonts w:hint="eastAsia" w:ascii="宋体" w:hAnsi="宋体" w:cs="宋体"/>
          <w:color w:val="auto"/>
          <w:sz w:val="28"/>
          <w:szCs w:val="28"/>
          <w:highlight w:val="none"/>
        </w:rPr>
        <w:t>（4）投标人的工程施工资质证书副本复印件；</w:t>
      </w:r>
    </w:p>
    <w:p>
      <w:pPr>
        <w:spacing w:line="520" w:lineRule="exact"/>
        <w:ind w:left="849" w:leftChars="270" w:hanging="282" w:hangingChars="101"/>
        <w:rPr>
          <w:rFonts w:ascii="宋体" w:hAnsi="宋体" w:cs="宋体"/>
          <w:color w:val="auto"/>
          <w:sz w:val="28"/>
          <w:szCs w:val="28"/>
          <w:highlight w:val="none"/>
        </w:rPr>
      </w:pPr>
      <w:r>
        <w:rPr>
          <w:rFonts w:hint="eastAsia" w:ascii="宋体" w:hAnsi="宋体" w:cs="宋体"/>
          <w:color w:val="auto"/>
          <w:sz w:val="28"/>
          <w:szCs w:val="28"/>
          <w:highlight w:val="none"/>
        </w:rPr>
        <w:t>（5）投标人的建筑施工企业安全生产许可证复印件；</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（6）投标人的基本账户开户许可证复印件（如果基本账户账号变更，还必须提供开户行出具的有效账号变更证明，如果已取消基本帐户开户许的，可提供银行开具的基本帐户有效证明复印件）；</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（7）投标人经基本户汇出的投标保证金银行汇款凭证复印件或银行保函原件（见附件5）；</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（8）拟派项目负责人资质证书复印件（提交建造师注册证书复印件）；</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 xml:space="preserve">（9）拟派项目负责人的建筑施工企业项目负责人安全生产考核合格证书复印件或广东省建筑施工企业管理人员安全生产考核信息系统打印的证书； </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（10）</w:t>
      </w:r>
      <w:r>
        <w:rPr>
          <w:rFonts w:hint="eastAsia" w:ascii="宋体" w:hAnsi="宋体" w:cs="宋体"/>
          <w:color w:val="auto"/>
          <w:kern w:val="0"/>
          <w:sz w:val="28"/>
          <w:szCs w:val="28"/>
          <w:highlight w:val="none"/>
        </w:rPr>
        <w:t>投标人如果是广东省外注册的企业，须在“进粤企业和人员诚信信息登记平台”录入信息并通过数据规范检查显示正常登记，提供证明材料或网页截图资料；</w:t>
      </w:r>
    </w:p>
    <w:p>
      <w:pPr>
        <w:spacing w:line="520" w:lineRule="exact"/>
        <w:ind w:firstLine="560" w:firstLineChars="200"/>
        <w:rPr>
          <w:rFonts w:ascii="宋体" w:hAnsi="宋体" w:cs="宋体"/>
          <w:b/>
          <w:color w:val="auto"/>
          <w:sz w:val="28"/>
          <w:szCs w:val="28"/>
          <w:highlight w:val="none"/>
        </w:rPr>
      </w:pPr>
      <w:r>
        <w:rPr>
          <w:rFonts w:hint="eastAsia" w:ascii="宋体" w:hAnsi="宋体" w:cs="宋体"/>
          <w:color w:val="auto"/>
          <w:sz w:val="28"/>
          <w:szCs w:val="28"/>
          <w:highlight w:val="none"/>
        </w:rPr>
        <w:t>（11）《商务标综合评分表》中所需的证明资料</w:t>
      </w:r>
      <w:r>
        <w:rPr>
          <w:rFonts w:hint="eastAsia" w:ascii="宋体" w:hAnsi="宋体" w:cs="宋体"/>
          <w:b/>
          <w:color w:val="auto"/>
          <w:sz w:val="28"/>
          <w:szCs w:val="28"/>
          <w:highlight w:val="none"/>
        </w:rPr>
        <w:t>（注：根据《商务标综合评分表》的评分要求提供证明资料复印件，如有缺项不作为无效标条件，不计得分；如果是牌匾类资信证明的可用A4纸彩色打印并加盖投标单位公章）；</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（12）投标格式：</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⑴投标报价书原件（投标格式一）；</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⑵投标保证书原件（投标格式二）；</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⑶工程开标一览表原件（投标格式三）；</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⑷派驻本项目人员数量表（投标格式四）；</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⑸履约保证金承诺书原件（投标格式五）；</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⑹工程量的报价清单（投标格式六、七）；</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以上（1）至（12）需编目录按顺序装订并用密封袋密封包装，投标截止前提交。</w:t>
      </w:r>
    </w:p>
    <w:p>
      <w:pPr>
        <w:pStyle w:val="87"/>
        <w:spacing w:line="520" w:lineRule="exact"/>
        <w:ind w:firstLine="562" w:firstLineChars="200"/>
        <w:rPr>
          <w:rFonts w:ascii="宋体" w:hAnsi="宋体" w:cs="宋体"/>
          <w:b/>
          <w:bCs/>
          <w:color w:val="auto"/>
          <w:szCs w:val="28"/>
          <w:highlight w:val="none"/>
        </w:rPr>
      </w:pPr>
      <w:r>
        <w:rPr>
          <w:rFonts w:hint="eastAsia" w:ascii="宋体" w:hAnsi="宋体" w:cs="宋体"/>
          <w:b/>
          <w:bCs/>
          <w:color w:val="auto"/>
          <w:szCs w:val="28"/>
          <w:highlight w:val="none"/>
        </w:rPr>
        <w:t>3、投标人在递交投标文件的同时必须单独提交以下资料（不需密封）：</w:t>
      </w:r>
    </w:p>
    <w:p>
      <w:pPr>
        <w:pStyle w:val="87"/>
        <w:numPr>
          <w:ilvl w:val="0"/>
          <w:numId w:val="1"/>
        </w:numPr>
        <w:spacing w:line="520" w:lineRule="exact"/>
        <w:ind w:left="0" w:firstLine="540"/>
        <w:rPr>
          <w:rFonts w:ascii="宋体" w:hAnsi="宋体" w:cs="宋体"/>
          <w:color w:val="auto"/>
          <w:szCs w:val="28"/>
          <w:highlight w:val="none"/>
        </w:rPr>
      </w:pPr>
      <w:r>
        <w:rPr>
          <w:rFonts w:hint="eastAsia" w:ascii="宋体" w:hAnsi="宋体" w:cs="宋体"/>
          <w:color w:val="auto"/>
          <w:szCs w:val="28"/>
          <w:highlight w:val="none"/>
        </w:rPr>
        <w:t>法定代表人有效证明书原件(若为本子式必须提交复印件，开标时提供原件核对)；</w:t>
      </w:r>
    </w:p>
    <w:p>
      <w:pPr>
        <w:pStyle w:val="87"/>
        <w:numPr>
          <w:ilvl w:val="0"/>
          <w:numId w:val="1"/>
        </w:numPr>
        <w:spacing w:line="460" w:lineRule="exact"/>
        <w:ind w:left="0" w:firstLine="540"/>
        <w:rPr>
          <w:rFonts w:ascii="宋体" w:hAnsi="宋体" w:cs="宋体"/>
          <w:color w:val="auto"/>
          <w:szCs w:val="28"/>
          <w:highlight w:val="none"/>
        </w:rPr>
      </w:pPr>
      <w:r>
        <w:rPr>
          <w:rFonts w:hint="eastAsia" w:ascii="宋体" w:hAnsi="宋体" w:cs="宋体"/>
          <w:color w:val="auto"/>
          <w:szCs w:val="28"/>
          <w:highlight w:val="none"/>
        </w:rPr>
        <w:t>被委托人有效授权书原件（法定代表人亲自参加的不需提供）；</w:t>
      </w:r>
    </w:p>
    <w:p>
      <w:pPr>
        <w:pStyle w:val="87"/>
        <w:spacing w:line="460" w:lineRule="exact"/>
        <w:ind w:firstLine="562" w:firstLineChars="200"/>
        <w:rPr>
          <w:rFonts w:ascii="宋体" w:hAnsi="宋体" w:cs="宋体"/>
          <w:b/>
          <w:bCs/>
          <w:color w:val="auto"/>
          <w:szCs w:val="28"/>
          <w:highlight w:val="none"/>
        </w:rPr>
      </w:pPr>
      <w:r>
        <w:rPr>
          <w:rFonts w:hint="eastAsia" w:ascii="宋体" w:hAnsi="宋体" w:cs="宋体"/>
          <w:b/>
          <w:bCs/>
          <w:color w:val="auto"/>
          <w:szCs w:val="28"/>
          <w:highlight w:val="none"/>
        </w:rPr>
        <w:t>4、投标人在开标时核对资料时需提交以下资料原件进行核对：</w:t>
      </w:r>
    </w:p>
    <w:p>
      <w:pPr>
        <w:pStyle w:val="87"/>
        <w:spacing w:line="460" w:lineRule="exact"/>
        <w:ind w:firstLine="560" w:firstLineChars="200"/>
        <w:rPr>
          <w:rFonts w:ascii="宋体" w:hAnsi="宋体" w:cs="宋体"/>
          <w:b/>
          <w:color w:val="auto"/>
          <w:szCs w:val="28"/>
          <w:highlight w:val="none"/>
        </w:rPr>
      </w:pPr>
      <w:r>
        <w:rPr>
          <w:rFonts w:hint="eastAsia" w:ascii="宋体" w:hAnsi="宋体" w:cs="宋体"/>
          <w:color w:val="auto"/>
          <w:szCs w:val="28"/>
          <w:highlight w:val="none"/>
        </w:rPr>
        <w:t>投标单位委托开标人员身份证；</w:t>
      </w:r>
    </w:p>
    <w:p>
      <w:pPr>
        <w:pStyle w:val="87"/>
        <w:spacing w:line="460" w:lineRule="exact"/>
        <w:ind w:firstLine="562" w:firstLineChars="200"/>
        <w:rPr>
          <w:rFonts w:ascii="宋体" w:hAnsi="宋体" w:cs="宋体"/>
          <w:b/>
          <w:bCs/>
          <w:color w:val="auto"/>
          <w:szCs w:val="28"/>
          <w:highlight w:val="none"/>
        </w:rPr>
      </w:pPr>
      <w:r>
        <w:rPr>
          <w:rFonts w:hint="eastAsia" w:ascii="宋体" w:hAnsi="宋体" w:cs="宋体"/>
          <w:b/>
          <w:bCs/>
          <w:color w:val="auto"/>
          <w:szCs w:val="28"/>
          <w:highlight w:val="none"/>
        </w:rPr>
        <w:t>5、投标有效期</w:t>
      </w:r>
    </w:p>
    <w:p>
      <w:pPr>
        <w:pStyle w:val="87"/>
        <w:spacing w:line="46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（1）投标文件在本须知规定投标截止日期起，在120个日历天内所有投标文件均保持有效。</w:t>
      </w:r>
    </w:p>
    <w:p>
      <w:pPr>
        <w:pStyle w:val="87"/>
        <w:spacing w:line="46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在原定投标有效期满之前，如出现特殊情况，招标人可以书面形式向所有投标人提出延长投标有效期的要求。投标人应以书面形式予以答复，投标人可以拒绝这种要求而不被没收投标保证金。同意延期的投标人，不需要也不允许修改他的投标文件，但需要相应地延长投标保证金的有效期。</w:t>
      </w:r>
    </w:p>
    <w:p>
      <w:pPr>
        <w:spacing w:line="460" w:lineRule="exact"/>
        <w:rPr>
          <w:rFonts w:ascii="宋体" w:hAnsi="宋体" w:cs="宋体"/>
          <w:b/>
          <w:color w:val="auto"/>
          <w:sz w:val="28"/>
          <w:szCs w:val="28"/>
          <w:highlight w:val="none"/>
        </w:rPr>
      </w:pPr>
      <w:r>
        <w:rPr>
          <w:rFonts w:hint="eastAsia" w:ascii="宋体" w:hAnsi="宋体" w:cs="宋体"/>
          <w:b/>
          <w:color w:val="auto"/>
          <w:sz w:val="28"/>
          <w:szCs w:val="28"/>
          <w:highlight w:val="none"/>
        </w:rPr>
        <w:t>6、投标保证金</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（1）投标人应提供</w:t>
      </w:r>
      <w:r>
        <w:rPr>
          <w:rFonts w:hint="eastAsia" w:ascii="宋体" w:hAnsi="宋体" w:cs="宋体"/>
          <w:color w:val="auto"/>
          <w:sz w:val="28"/>
          <w:szCs w:val="28"/>
          <w:highlight w:val="none"/>
          <w:u w:val="single"/>
        </w:rPr>
        <w:t>陆拾万</w:t>
      </w:r>
      <w:r>
        <w:rPr>
          <w:rFonts w:hint="eastAsia" w:ascii="宋体" w:hAnsi="宋体" w:cs="宋体"/>
          <w:b w:val="0"/>
          <w:color w:val="auto"/>
          <w:sz w:val="28"/>
          <w:szCs w:val="28"/>
          <w:highlight w:val="none"/>
        </w:rPr>
        <w:t>元人民币金额的投标保证金。投标保证金需</w:t>
      </w:r>
      <w:r>
        <w:rPr>
          <w:rFonts w:hint="eastAsia" w:ascii="宋体" w:hAnsi="宋体"/>
          <w:b w:val="0"/>
          <w:color w:val="auto"/>
          <w:sz w:val="28"/>
          <w:szCs w:val="28"/>
          <w:highlight w:val="none"/>
        </w:rPr>
        <w:t>从公司银行基本账户一次性提交，提交保证金的账户应与系统注册时的公司银行基本账户一致</w:t>
      </w:r>
      <w:r>
        <w:rPr>
          <w:rFonts w:hint="eastAsia" w:ascii="宋体" w:hAnsi="宋体"/>
          <w:b w:val="0"/>
          <w:color w:val="auto"/>
          <w:szCs w:val="21"/>
          <w:highlight w:val="none"/>
        </w:rPr>
        <w:t>，</w:t>
      </w:r>
      <w:r>
        <w:rPr>
          <w:rFonts w:hint="eastAsia" w:ascii="宋体" w:hAnsi="宋体" w:cs="宋体"/>
          <w:b w:val="0"/>
          <w:bCs/>
          <w:color w:val="auto"/>
          <w:sz w:val="28"/>
          <w:szCs w:val="28"/>
          <w:highlight w:val="none"/>
        </w:rPr>
        <w:t>该保证金必须投标截止时间前一天汇到招标人指定专用帐户</w:t>
      </w:r>
      <w:r>
        <w:rPr>
          <w:rFonts w:hint="eastAsia" w:ascii="宋体" w:hAnsi="宋体" w:cs="宋体"/>
          <w:b w:val="0"/>
          <w:color w:val="auto"/>
          <w:sz w:val="28"/>
          <w:szCs w:val="28"/>
          <w:highlight w:val="none"/>
        </w:rPr>
        <w:t>，账户名：</w:t>
      </w:r>
      <w:r>
        <w:rPr>
          <w:rFonts w:hint="eastAsia" w:ascii="宋体" w:hAnsi="宋体" w:cs="宋体"/>
          <w:b w:val="0"/>
          <w:color w:val="auto"/>
          <w:sz w:val="28"/>
          <w:szCs w:val="28"/>
          <w:highlight w:val="none"/>
          <w:u w:val="single"/>
        </w:rPr>
        <w:t xml:space="preserve"> 广东广垦华丰糖业有限公司 </w:t>
      </w:r>
      <w:r>
        <w:rPr>
          <w:rFonts w:hint="eastAsia" w:ascii="宋体" w:hAnsi="宋体" w:cs="宋体"/>
          <w:b w:val="0"/>
          <w:color w:val="auto"/>
          <w:sz w:val="28"/>
          <w:szCs w:val="28"/>
          <w:highlight w:val="none"/>
        </w:rPr>
        <w:t>，</w:t>
      </w:r>
      <w:r>
        <w:rPr>
          <w:rFonts w:hint="eastAsia" w:ascii="宋体" w:hAnsi="宋体" w:cs="宋体"/>
          <w:b w:val="0"/>
          <w:color w:val="auto"/>
          <w:sz w:val="28"/>
          <w:szCs w:val="28"/>
          <w:highlight w:val="none"/>
        </w:rPr>
        <w:t>账号：</w:t>
      </w:r>
      <w:r>
        <w:rPr>
          <w:rFonts w:ascii="宋体" w:hAnsi="宋体" w:cs="宋体"/>
          <w:b w:val="0"/>
          <w:color w:val="auto"/>
          <w:sz w:val="28"/>
          <w:szCs w:val="28"/>
          <w:highlight w:val="none"/>
          <w:u w:val="single"/>
        </w:rPr>
        <w:t>44-620801040002280</w:t>
      </w:r>
      <w:r>
        <w:rPr>
          <w:rFonts w:hint="eastAsia" w:ascii="宋体" w:hAnsi="宋体" w:cs="宋体"/>
          <w:b w:val="0"/>
          <w:color w:val="auto"/>
          <w:sz w:val="28"/>
          <w:szCs w:val="28"/>
          <w:highlight w:val="none"/>
        </w:rPr>
        <w:t>，开户行：</w:t>
      </w:r>
      <w:bookmarkStart w:id="832" w:name="_GoBack"/>
      <w:r>
        <w:rPr>
          <w:rFonts w:hint="eastAsia" w:ascii="宋体" w:hAnsi="宋体" w:cs="宋体"/>
          <w:b w:val="0"/>
          <w:color w:val="auto"/>
          <w:sz w:val="28"/>
          <w:szCs w:val="28"/>
          <w:highlight w:val="none"/>
          <w:u w:val="single"/>
        </w:rPr>
        <w:t>中国农业银行徐闻曲界支行</w:t>
      </w:r>
      <w:bookmarkEnd w:id="832"/>
      <w:r>
        <w:rPr>
          <w:rFonts w:hint="eastAsia" w:ascii="宋体" w:hAnsi="宋体" w:cs="宋体"/>
          <w:b w:val="0"/>
          <w:color w:val="auto"/>
          <w:sz w:val="28"/>
          <w:szCs w:val="28"/>
          <w:highlight w:val="none"/>
        </w:rPr>
        <w:t>，</w:t>
      </w:r>
      <w:r>
        <w:rPr>
          <w:rFonts w:hint="eastAsia" w:ascii="宋体" w:hAnsi="宋体" w:cs="宋体"/>
          <w:b w:val="0"/>
          <w:color w:val="auto"/>
          <w:sz w:val="28"/>
          <w:szCs w:val="28"/>
          <w:highlight w:val="none"/>
        </w:rPr>
        <w:t>否则作废标处理。该保证金汇款凭证必须在用途栏注明是</w:t>
      </w:r>
      <w:r>
        <w:rPr>
          <w:rFonts w:hint="eastAsia" w:ascii="宋体" w:hAnsi="宋体" w:cs="宋体"/>
          <w:bCs/>
          <w:color w:val="auto"/>
          <w:sz w:val="28"/>
          <w:szCs w:val="28"/>
          <w:highlight w:val="none"/>
          <w:u w:val="single"/>
        </w:rPr>
        <w:t>2023年广东农垦糖蔗产业集群华丰公司压榨机改造及预处理系统配套工程项目（可简写）</w:t>
      </w:r>
      <w:r>
        <w:rPr>
          <w:rFonts w:hint="eastAsia" w:ascii="宋体" w:hAnsi="宋体" w:cs="宋体"/>
          <w:b w:val="0"/>
          <w:color w:val="auto"/>
          <w:sz w:val="28"/>
          <w:szCs w:val="28"/>
          <w:highlight w:val="none"/>
        </w:rPr>
        <w:t>投标保证金，否则，可能导致无法确认该笔投标保证金的用途。该银行汇款凭证是投标文件的一个组成部分，应放入投标文件中。由于投标人原因造成投标保证金未能到账的，一切因此造成的后果由投标人自负。</w:t>
      </w:r>
    </w:p>
    <w:p>
      <w:pPr>
        <w:pStyle w:val="101"/>
        <w:spacing w:line="460" w:lineRule="exact"/>
        <w:ind w:firstLine="562" w:firstLineChars="200"/>
        <w:rPr>
          <w:rFonts w:ascii="宋体" w:hAnsi="宋体" w:cs="宋体"/>
          <w:b w:val="0"/>
          <w:color w:val="auto"/>
          <w:sz w:val="28"/>
          <w:szCs w:val="28"/>
          <w:highlight w:val="none"/>
        </w:rPr>
      </w:pPr>
      <w:r>
        <w:rPr>
          <w:rFonts w:hint="eastAsia" w:ascii="宋体" w:hAnsi="宋体" w:cs="宋体"/>
          <w:bCs/>
          <w:iCs/>
          <w:color w:val="auto"/>
          <w:sz w:val="28"/>
          <w:szCs w:val="28"/>
          <w:highlight w:val="none"/>
          <w:u w:val="single"/>
        </w:rPr>
        <w:t>银行保函</w:t>
      </w:r>
      <w:r>
        <w:rPr>
          <w:rFonts w:hint="eastAsia" w:ascii="宋体" w:hAnsi="宋体" w:cs="宋体"/>
          <w:iCs/>
          <w:color w:val="auto"/>
          <w:sz w:val="28"/>
          <w:szCs w:val="28"/>
          <w:highlight w:val="none"/>
        </w:rPr>
        <w:t>：银行保函应由投标人银行基本账户开户支行出具，应在投标截止时间前一天，按投标保证金要求的金额，出具相应的银行保函证明材</w:t>
      </w:r>
      <w:r>
        <w:rPr>
          <w:rFonts w:hint="eastAsia" w:ascii="宋体" w:hAnsi="宋体" w:cs="宋体"/>
          <w:bCs/>
          <w:iCs/>
          <w:color w:val="auto"/>
          <w:sz w:val="28"/>
          <w:szCs w:val="28"/>
          <w:highlight w:val="none"/>
        </w:rPr>
        <w:t>料（相关格式参考附件5）</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（2）未中标投标人的投标保证金将在发出中标通知书后5个工作日内返还。</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（3）中标人的投标保证金在按要求提供履约保证金并签署编制合同后5个工作日内予以退还。</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（4）如投标人出现下列情况之一的，将被没收投标保证金：</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①投标人在有效期内撤回其投标文件；</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②中标人放弃中标资格；</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③投标人在投标过程中有违反招标投标法律法规行为的；</w:t>
      </w:r>
    </w:p>
    <w:p>
      <w:pPr>
        <w:pStyle w:val="101"/>
        <w:spacing w:line="460" w:lineRule="exact"/>
        <w:ind w:firstLine="560" w:firstLineChars="200"/>
        <w:rPr>
          <w:rFonts w:ascii="宋体" w:hAnsi="宋体" w:cs="宋体"/>
          <w:b w:val="0"/>
          <w:color w:val="auto"/>
          <w:sz w:val="28"/>
          <w:szCs w:val="28"/>
          <w:highlight w:val="none"/>
        </w:rPr>
      </w:pPr>
      <w:r>
        <w:rPr>
          <w:rFonts w:hint="eastAsia" w:ascii="宋体" w:hAnsi="宋体" w:cs="宋体"/>
          <w:b w:val="0"/>
          <w:color w:val="auto"/>
          <w:sz w:val="28"/>
          <w:szCs w:val="28"/>
          <w:highlight w:val="none"/>
        </w:rPr>
        <w:t>④中标人未能在规定期限内按招标文件要求提交履约保证金或签署施工合同。</w:t>
      </w:r>
    </w:p>
    <w:p>
      <w:pPr>
        <w:pStyle w:val="101"/>
        <w:numPr>
          <w:ilvl w:val="0"/>
          <w:numId w:val="7"/>
        </w:numPr>
        <w:spacing w:line="46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履约保证金</w:t>
      </w:r>
    </w:p>
    <w:p>
      <w:pPr>
        <w:pStyle w:val="87"/>
        <w:spacing w:line="50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1、履约保证金的缴纳方式（现金或银行转账）：承包人在签订合同10天内，采用银行转账形式转账到发包人指定资金账户。</w:t>
      </w:r>
    </w:p>
    <w:p>
      <w:pPr>
        <w:pStyle w:val="87"/>
        <w:spacing w:line="50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履约保证金的金额：(中标价的5%)，履约保证金在项目竣(交)工验收合格后，自动转为质量保证金(工程结算总价的3%)，若履约保证金金额小于质量保证金金额的，承包人应于工程竣工验收合格结算后3个工作日内补足；若履约保证金金额大于质量保证金金额的，发包人于工程竣工验收合格结算后十个工作日内无息将差额部分退还承包人。</w:t>
      </w:r>
    </w:p>
    <w:p>
      <w:pPr>
        <w:pStyle w:val="101"/>
        <w:spacing w:line="50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8、招标答疑</w:t>
      </w:r>
    </w:p>
    <w:p>
      <w:pPr>
        <w:pStyle w:val="87"/>
        <w:spacing w:line="50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1）投标人需要招标人或招标代理解释或说明的问题，请按本须知规定的时间和地点书面函达或电邮传真至招标人或招标代理机构。</w:t>
      </w:r>
    </w:p>
    <w:p>
      <w:pPr>
        <w:pStyle w:val="87"/>
        <w:spacing w:line="50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（2）招标答疑的目的主要是对招标文件条款的解释和解答投标人提出的问题，并由招标人或代理机构负责作出答疑纪要。</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（3）投标人取得招标文件后，应仔细检查招标文件的所有内容，如有残缺应在登记截止后</w:t>
      </w:r>
      <w:r>
        <w:rPr>
          <w:rFonts w:hint="eastAsia" w:ascii="宋体" w:hAnsi="宋体" w:cs="宋体"/>
          <w:color w:val="auto"/>
          <w:szCs w:val="28"/>
          <w:highlight w:val="none"/>
          <w:u w:val="single"/>
        </w:rPr>
        <w:t xml:space="preserve"> 1</w:t>
      </w:r>
      <w:r>
        <w:rPr>
          <w:rFonts w:hint="eastAsia" w:ascii="宋体" w:hAnsi="宋体" w:cs="宋体"/>
          <w:color w:val="auto"/>
          <w:szCs w:val="28"/>
          <w:highlight w:val="none"/>
        </w:rPr>
        <w:t>日内向招标人提出，否则，由此引起的投标损失自负。投标人同时应认真审阅招标文件中所有的事项、条款、格式和标准要求等，如果投标人的投标文件没有按照招标文件要求提交全部资料或者投标文件没有对招标文件做出实质性响应，其风险应由投标人自行承担，并且根据有关条款规定，其投标有可能被拒绝。</w:t>
      </w:r>
    </w:p>
    <w:p>
      <w:pPr>
        <w:pStyle w:val="87"/>
        <w:spacing w:line="50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（4）答疑纪要包括对所有问题的答复，招标人或招标代理单位将迅速提供给所有通过登记的投标人。</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（5）投标人应在该项目招标答疑规定的时间内及时提问及领取答疑纪要或补充通知。否则，造成的一切后果由投标人自行承担。</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（6）招标答疑的答疑纪要作为招标文件的一部分，与招标文件具有同等法律效力。</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9、工程等级填写要求</w:t>
      </w:r>
    </w:p>
    <w:p>
      <w:pPr>
        <w:pStyle w:val="101"/>
        <w:spacing w:line="520" w:lineRule="exact"/>
        <w:ind w:firstLine="560" w:firstLineChars="200"/>
        <w:rPr>
          <w:rFonts w:ascii="宋体" w:hAnsi="宋体" w:cs="宋体"/>
          <w:b w:val="0"/>
          <w:bCs/>
          <w:color w:val="auto"/>
          <w:sz w:val="28"/>
          <w:szCs w:val="28"/>
          <w:highlight w:val="none"/>
        </w:rPr>
      </w:pPr>
      <w:r>
        <w:rPr>
          <w:rFonts w:hint="eastAsia" w:ascii="宋体" w:hAnsi="宋体" w:cs="宋体"/>
          <w:b w:val="0"/>
          <w:bCs/>
          <w:color w:val="auto"/>
          <w:sz w:val="28"/>
          <w:szCs w:val="28"/>
          <w:highlight w:val="none"/>
        </w:rPr>
        <w:t>只能填报合格、湛江市优良样板、广东省优良样板之一。</w:t>
      </w:r>
    </w:p>
    <w:p>
      <w:pPr>
        <w:pStyle w:val="101"/>
        <w:spacing w:line="52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10、投标文件的份数和要求</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投标人应向招标人提交投标文件（包括技术文件和商务文件）一式五份（纸质文件一正四副，电子文件一份（正本盖章签字后的PDF版本）），提交的标书均应按招标文件规定内容、格式编制并按“A4”幅面在左侧装订</w:t>
      </w:r>
      <w:r>
        <w:rPr>
          <w:rFonts w:hint="eastAsia" w:ascii="宋体" w:hAnsi="宋体" w:cs="宋体"/>
          <w:b/>
          <w:color w:val="auto"/>
          <w:szCs w:val="28"/>
          <w:highlight w:val="none"/>
        </w:rPr>
        <w:t>（有关图表可用A3纸打印，但必须按A4幅面折叠装订）</w:t>
      </w:r>
      <w:r>
        <w:rPr>
          <w:rFonts w:hint="eastAsia" w:ascii="宋体" w:hAnsi="宋体" w:cs="宋体"/>
          <w:color w:val="auto"/>
          <w:szCs w:val="28"/>
          <w:highlight w:val="none"/>
        </w:rPr>
        <w:t>，并明确标明为“正本”和“副本”。投标文件“正本”与“副本”有不一致处，以“正本”为准。</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（2）全套投标文件应无涂改和行间插字和删改，若有涂改和行间插字和删改，修改处须由投标文件签字人签字证明或加盖投标人的公章或法定代表的印章。</w:t>
      </w:r>
    </w:p>
    <w:p>
      <w:pPr>
        <w:pStyle w:val="4"/>
        <w:spacing w:line="520" w:lineRule="exact"/>
        <w:ind w:firstLine="562" w:firstLineChars="200"/>
        <w:rPr>
          <w:rFonts w:ascii="宋体" w:hAnsi="宋体" w:eastAsia="宋体" w:cs="宋体"/>
          <w:color w:val="auto"/>
          <w:sz w:val="28"/>
          <w:szCs w:val="28"/>
          <w:highlight w:val="none"/>
        </w:rPr>
      </w:pPr>
      <w:bookmarkStart w:id="18" w:name="_Toc487755761"/>
      <w:r>
        <w:rPr>
          <w:rFonts w:hint="eastAsia" w:ascii="宋体" w:hAnsi="宋体" w:eastAsia="宋体" w:cs="宋体"/>
          <w:color w:val="auto"/>
          <w:sz w:val="28"/>
          <w:szCs w:val="28"/>
          <w:highlight w:val="none"/>
        </w:rPr>
        <w:t>六、投标文件的装订、密封与标志</w:t>
      </w:r>
      <w:bookmarkEnd w:id="18"/>
    </w:p>
    <w:p>
      <w:pPr>
        <w:spacing w:line="520" w:lineRule="exact"/>
        <w:ind w:firstLine="565" w:firstLineChars="201"/>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1、技术文件的装订、密封与标志</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（1）技术文件应编制目录，不得采用活页夹，否则，招标人对由于技术文件装订松散而造成的丢失或其它后果不承担任何责任。投标文件封面统一采用招标文件中所附的封面格式。</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（2）技术文件正本和副本一起用不透明包装材料进行包装并密封，封口处贴密封条并加盖公章，封套上应注明以下内容：</w:t>
      </w:r>
    </w:p>
    <w:p>
      <w:pPr>
        <w:pStyle w:val="87"/>
        <w:spacing w:line="520" w:lineRule="exact"/>
        <w:ind w:firstLine="420" w:firstLineChars="150"/>
        <w:rPr>
          <w:rFonts w:ascii="宋体" w:hAnsi="宋体" w:cs="宋体"/>
          <w:bCs/>
          <w:color w:val="auto"/>
          <w:szCs w:val="28"/>
          <w:highlight w:val="none"/>
          <w:u w:val="single"/>
        </w:rPr>
      </w:pPr>
      <w:r>
        <w:rPr>
          <w:rFonts w:hint="eastAsia" w:ascii="宋体" w:hAnsi="宋体" w:cs="宋体"/>
          <w:color w:val="auto"/>
          <w:szCs w:val="28"/>
          <w:highlight w:val="none"/>
        </w:rPr>
        <w:t>项目名称：</w:t>
      </w:r>
      <w:r>
        <w:rPr>
          <w:rFonts w:hint="eastAsia" w:ascii="宋体" w:hAnsi="宋体" w:cs="宋体"/>
          <w:bCs/>
          <w:color w:val="auto"/>
          <w:szCs w:val="28"/>
          <w:highlight w:val="none"/>
          <w:u w:val="single"/>
        </w:rPr>
        <w:t>2023年广东农垦糖蔗产业集群华丰公司压榨机改造及预处理系统配套工程项目</w:t>
      </w:r>
      <w:r>
        <w:rPr>
          <w:rFonts w:hint="eastAsia" w:ascii="宋体" w:hAnsi="宋体" w:cs="宋体"/>
          <w:color w:val="auto"/>
          <w:szCs w:val="28"/>
          <w:highlight w:val="none"/>
        </w:rPr>
        <w:t>技术</w:t>
      </w:r>
      <w:r>
        <w:rPr>
          <w:rFonts w:hint="eastAsia" w:ascii="宋体" w:hAnsi="宋体" w:cs="宋体"/>
          <w:bCs/>
          <w:color w:val="auto"/>
          <w:szCs w:val="28"/>
          <w:highlight w:val="none"/>
        </w:rPr>
        <w:t>文件</w:t>
      </w:r>
    </w:p>
    <w:p>
      <w:pPr>
        <w:pStyle w:val="87"/>
        <w:spacing w:line="520" w:lineRule="exact"/>
        <w:ind w:firstLine="420" w:firstLineChars="150"/>
        <w:rPr>
          <w:rFonts w:ascii="宋体" w:hAnsi="宋体" w:cs="宋体"/>
          <w:color w:val="auto"/>
          <w:szCs w:val="28"/>
          <w:highlight w:val="none"/>
        </w:rPr>
      </w:pPr>
      <w:r>
        <w:rPr>
          <w:rFonts w:hint="eastAsia" w:ascii="宋体" w:hAnsi="宋体" w:cs="宋体"/>
          <w:color w:val="auto"/>
          <w:szCs w:val="28"/>
          <w:highlight w:val="none"/>
        </w:rPr>
        <w:t>投标单位：</w:t>
      </w:r>
    </w:p>
    <w:p>
      <w:pPr>
        <w:pStyle w:val="87"/>
        <w:spacing w:line="520" w:lineRule="exact"/>
        <w:ind w:firstLine="420" w:firstLineChars="150"/>
        <w:rPr>
          <w:rFonts w:ascii="宋体" w:hAnsi="宋体" w:cs="宋体"/>
          <w:color w:val="auto"/>
          <w:szCs w:val="28"/>
          <w:highlight w:val="none"/>
        </w:rPr>
      </w:pPr>
      <w:r>
        <w:rPr>
          <w:rFonts w:hint="eastAsia" w:ascii="宋体" w:hAnsi="宋体" w:cs="宋体"/>
          <w:color w:val="auto"/>
          <w:szCs w:val="28"/>
          <w:highlight w:val="none"/>
        </w:rPr>
        <w:t>投标日期：</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（3）技术文件正本的封面及正文内每页需加盖单位公章。</w:t>
      </w:r>
      <w:r>
        <w:rPr>
          <w:rFonts w:hint="eastAsia" w:ascii="宋体" w:hAnsi="宋体" w:cs="宋体"/>
          <w:b/>
          <w:color w:val="auto"/>
          <w:szCs w:val="28"/>
          <w:highlight w:val="none"/>
        </w:rPr>
        <w:t>副本可以是正本盖章签名后的复印件。</w:t>
      </w:r>
      <w:r>
        <w:rPr>
          <w:rFonts w:hint="eastAsia" w:ascii="宋体" w:hAnsi="宋体" w:cs="宋体"/>
          <w:color w:val="auto"/>
          <w:szCs w:val="28"/>
          <w:highlight w:val="none"/>
        </w:rPr>
        <w:t>副本封面加盖单位公章，副本正文内不需每页加盖单位公章。</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（4）技术文件正本与副本如有不一致之处以正本为准。</w:t>
      </w:r>
    </w:p>
    <w:p>
      <w:pPr>
        <w:spacing w:line="520" w:lineRule="exact"/>
        <w:ind w:firstLine="565" w:firstLineChars="201"/>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2、商务文件的装订、密封与标志</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（1）商务文件按“A4”纸规格装订，不得采用活页夹，商务文件应编制目录，否则，招标人对由于商务文件装订松散而造成的丢失或其它后果不承担任何责任。商务文件封面统一采用附件的封面格式。</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（2）商务文件正、副本及电子文件用不透明包装材料密封并包装在一个密封件中，商务文件的密封件封口处需加盖单位公章，封套上应注明以下内容：</w:t>
      </w:r>
    </w:p>
    <w:p>
      <w:pPr>
        <w:pStyle w:val="87"/>
        <w:spacing w:line="520" w:lineRule="exact"/>
        <w:ind w:firstLine="420" w:firstLineChars="150"/>
        <w:rPr>
          <w:rFonts w:ascii="宋体" w:hAnsi="宋体" w:cs="宋体"/>
          <w:color w:val="auto"/>
          <w:szCs w:val="28"/>
          <w:highlight w:val="none"/>
        </w:rPr>
      </w:pPr>
      <w:r>
        <w:rPr>
          <w:rFonts w:hint="eastAsia" w:ascii="宋体" w:hAnsi="宋体" w:cs="宋体"/>
          <w:color w:val="auto"/>
          <w:szCs w:val="28"/>
          <w:highlight w:val="none"/>
        </w:rPr>
        <w:t>项目名称：</w:t>
      </w:r>
      <w:r>
        <w:rPr>
          <w:rFonts w:hint="eastAsia" w:ascii="宋体" w:hAnsi="宋体" w:cs="宋体"/>
          <w:bCs/>
          <w:color w:val="auto"/>
          <w:szCs w:val="28"/>
          <w:highlight w:val="none"/>
          <w:u w:val="single"/>
        </w:rPr>
        <w:t>2023年广东农垦糖蔗产业集群华丰公司压榨机改造及预处理系统配套工程项目</w:t>
      </w:r>
      <w:r>
        <w:rPr>
          <w:rFonts w:hint="eastAsia" w:ascii="宋体" w:hAnsi="宋体" w:cs="宋体"/>
          <w:bCs/>
          <w:color w:val="auto"/>
          <w:szCs w:val="28"/>
          <w:highlight w:val="none"/>
        </w:rPr>
        <w:t>商务文件</w:t>
      </w:r>
    </w:p>
    <w:p>
      <w:pPr>
        <w:pStyle w:val="87"/>
        <w:spacing w:line="520" w:lineRule="exact"/>
        <w:ind w:firstLine="420" w:firstLineChars="150"/>
        <w:rPr>
          <w:rFonts w:ascii="宋体" w:hAnsi="宋体" w:cs="宋体"/>
          <w:color w:val="auto"/>
          <w:szCs w:val="28"/>
          <w:highlight w:val="none"/>
          <w:u w:val="single"/>
        </w:rPr>
      </w:pPr>
      <w:r>
        <w:rPr>
          <w:rFonts w:hint="eastAsia" w:ascii="宋体" w:hAnsi="宋体" w:cs="宋体"/>
          <w:color w:val="auto"/>
          <w:szCs w:val="28"/>
          <w:highlight w:val="none"/>
        </w:rPr>
        <w:t>投标单位：</w:t>
      </w:r>
    </w:p>
    <w:p>
      <w:pPr>
        <w:pStyle w:val="87"/>
        <w:spacing w:line="520" w:lineRule="exact"/>
        <w:ind w:firstLine="420" w:firstLineChars="150"/>
        <w:rPr>
          <w:rFonts w:ascii="宋体" w:hAnsi="宋体" w:cs="宋体"/>
          <w:color w:val="auto"/>
          <w:szCs w:val="28"/>
          <w:highlight w:val="none"/>
          <w:u w:val="single"/>
        </w:rPr>
      </w:pPr>
      <w:r>
        <w:rPr>
          <w:rFonts w:hint="eastAsia" w:ascii="宋体" w:hAnsi="宋体" w:cs="宋体"/>
          <w:color w:val="auto"/>
          <w:szCs w:val="28"/>
          <w:highlight w:val="none"/>
        </w:rPr>
        <w:t>投标日期：</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（3）商务文件正本的封面及复印件资料需加盖单位公章</w:t>
      </w:r>
      <w:r>
        <w:rPr>
          <w:rFonts w:hint="eastAsia" w:ascii="宋体" w:hAnsi="宋体" w:cs="宋体"/>
          <w:b/>
          <w:color w:val="auto"/>
          <w:szCs w:val="28"/>
          <w:highlight w:val="none"/>
        </w:rPr>
        <w:t>（工程量清单可不需加盖单位公章）</w:t>
      </w:r>
      <w:r>
        <w:rPr>
          <w:rFonts w:hint="eastAsia" w:ascii="宋体" w:hAnsi="宋体" w:cs="宋体"/>
          <w:color w:val="auto"/>
          <w:szCs w:val="28"/>
          <w:highlight w:val="none"/>
        </w:rPr>
        <w:t>。</w:t>
      </w:r>
      <w:r>
        <w:rPr>
          <w:rFonts w:hint="eastAsia" w:ascii="宋体" w:hAnsi="宋体" w:cs="宋体"/>
          <w:b/>
          <w:color w:val="auto"/>
          <w:szCs w:val="28"/>
          <w:highlight w:val="none"/>
        </w:rPr>
        <w:t>副本可以是正本盖章签名后的复印件</w:t>
      </w:r>
      <w:r>
        <w:rPr>
          <w:rFonts w:hint="eastAsia" w:ascii="宋体" w:hAnsi="宋体" w:cs="宋体"/>
          <w:color w:val="auto"/>
          <w:szCs w:val="28"/>
          <w:highlight w:val="none"/>
        </w:rPr>
        <w:t>。副本封面加盖单位公章，副本正文内不需每页加盖单位公章。</w:t>
      </w:r>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（4）商务文件正本与副本如有不一致之处以正本为准。</w:t>
      </w:r>
    </w:p>
    <w:p>
      <w:pPr>
        <w:spacing w:line="520" w:lineRule="exact"/>
        <w:ind w:firstLine="565" w:firstLineChars="201"/>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3、如果投标文件包封上没有按上述规定密封和标志，代理机构及招标人将不承担投标文件放错或提前开封的责任，由此造成的提前开封的投标文件，代理机构及招标人予以拒绝而退还给投标人。</w:t>
      </w:r>
    </w:p>
    <w:p>
      <w:pPr>
        <w:spacing w:line="520" w:lineRule="exact"/>
        <w:ind w:firstLine="565" w:firstLineChars="201"/>
        <w:jc w:val="left"/>
        <w:rPr>
          <w:rFonts w:ascii="宋体" w:hAnsi="宋体" w:cs="宋体"/>
          <w:color w:val="auto"/>
          <w:sz w:val="28"/>
          <w:szCs w:val="28"/>
          <w:highlight w:val="none"/>
        </w:rPr>
      </w:pPr>
      <w:r>
        <w:rPr>
          <w:rFonts w:hint="eastAsia" w:ascii="宋体" w:hAnsi="宋体" w:cs="宋体"/>
          <w:b/>
          <w:color w:val="auto"/>
          <w:sz w:val="28"/>
          <w:szCs w:val="28"/>
          <w:highlight w:val="none"/>
        </w:rPr>
        <w:t>4、投标截止时间</w:t>
      </w:r>
    </w:p>
    <w:p>
      <w:pPr>
        <w:spacing w:line="520" w:lineRule="exact"/>
        <w:ind w:firstLine="700" w:firstLineChars="250"/>
        <w:jc w:val="left"/>
        <w:rPr>
          <w:rFonts w:ascii="宋体" w:hAnsi="宋体" w:cs="宋体"/>
          <w:color w:val="auto"/>
          <w:sz w:val="28"/>
          <w:szCs w:val="28"/>
          <w:highlight w:val="none"/>
        </w:rPr>
      </w:pPr>
      <w:r>
        <w:rPr>
          <w:rFonts w:hint="eastAsia" w:ascii="宋体" w:hAnsi="宋体" w:cs="宋体"/>
          <w:color w:val="auto"/>
          <w:sz w:val="28"/>
          <w:szCs w:val="28"/>
          <w:highlight w:val="none"/>
        </w:rPr>
        <w:t>投标人应按本招标文件规定的日期、时间和地点将投标文件递交给代理机构。逾期送达的，或者未送达指定地点的投标文件将被拒绝。</w:t>
      </w:r>
    </w:p>
    <w:p>
      <w:pPr>
        <w:pStyle w:val="4"/>
        <w:numPr>
          <w:ilvl w:val="0"/>
          <w:numId w:val="2"/>
        </w:numPr>
        <w:spacing w:line="520" w:lineRule="exact"/>
        <w:ind w:firstLine="562" w:firstLineChars="200"/>
        <w:rPr>
          <w:rFonts w:ascii="宋体" w:hAnsi="宋体" w:eastAsia="宋体" w:cs="宋体"/>
          <w:color w:val="auto"/>
          <w:sz w:val="28"/>
          <w:szCs w:val="28"/>
          <w:highlight w:val="none"/>
        </w:rPr>
      </w:pPr>
      <w:bookmarkStart w:id="19" w:name="_Toc487755762"/>
      <w:r>
        <w:rPr>
          <w:rFonts w:hint="eastAsia" w:ascii="宋体" w:hAnsi="宋体" w:eastAsia="宋体" w:cs="宋体"/>
          <w:color w:val="auto"/>
          <w:sz w:val="28"/>
          <w:szCs w:val="28"/>
          <w:highlight w:val="none"/>
        </w:rPr>
        <w:t>开标</w:t>
      </w:r>
      <w:bookmarkEnd w:id="19"/>
    </w:p>
    <w:p>
      <w:pPr>
        <w:pStyle w:val="4"/>
        <w:spacing w:line="520" w:lineRule="exact"/>
        <w:rPr>
          <w:rFonts w:ascii="宋体" w:hAnsi="宋体" w:eastAsia="宋体" w:cs="宋体"/>
          <w:color w:val="auto"/>
          <w:sz w:val="28"/>
          <w:szCs w:val="28"/>
          <w:highlight w:val="none"/>
        </w:rPr>
      </w:pPr>
      <w:bookmarkStart w:id="20" w:name="_Toc481615690"/>
      <w:bookmarkStart w:id="21" w:name="_Toc487755763"/>
      <w:bookmarkStart w:id="22" w:name="_Toc485938761"/>
      <w:r>
        <w:rPr>
          <w:rFonts w:hint="eastAsia" w:ascii="宋体" w:hAnsi="宋体" w:eastAsia="宋体" w:cs="宋体"/>
          <w:color w:val="auto"/>
          <w:sz w:val="28"/>
          <w:szCs w:val="28"/>
          <w:highlight w:val="none"/>
        </w:rPr>
        <w:t>1、招标代理机构及招标人将按招标文件规定的时间和地点召开开标会议，投标人法定代表人或其授权委托人必须准时参加,须携带本人身份证准时参加并签名报到（投标单位来人不得超过两人）。</w:t>
      </w:r>
      <w:bookmarkEnd w:id="20"/>
      <w:bookmarkEnd w:id="21"/>
      <w:bookmarkEnd w:id="22"/>
    </w:p>
    <w:p>
      <w:pPr>
        <w:pStyle w:val="87"/>
        <w:spacing w:line="52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2、开标会议由招标人或代理机构组织主持。招标人和代理机构将检查、启封所有投标文件，对投标文件是否密封及所需资料原件进行核对。</w:t>
      </w:r>
    </w:p>
    <w:p>
      <w:pPr>
        <w:pStyle w:val="87"/>
        <w:spacing w:line="520" w:lineRule="exact"/>
        <w:ind w:firstLine="562" w:firstLineChars="200"/>
        <w:rPr>
          <w:rFonts w:ascii="宋体" w:hAnsi="宋体" w:cs="宋体"/>
          <w:b/>
          <w:bCs/>
          <w:color w:val="auto"/>
          <w:szCs w:val="28"/>
          <w:highlight w:val="none"/>
        </w:rPr>
      </w:pPr>
      <w:r>
        <w:rPr>
          <w:rFonts w:hint="eastAsia" w:ascii="宋体" w:hAnsi="宋体" w:cs="宋体"/>
          <w:b/>
          <w:bCs/>
          <w:color w:val="auto"/>
          <w:szCs w:val="28"/>
          <w:highlight w:val="none"/>
        </w:rPr>
        <w:t>3、有下列情况之一者由招标代理机构当场宣布投标文件无效，不进入评标程序：</w:t>
      </w:r>
    </w:p>
    <w:p>
      <w:pPr>
        <w:pStyle w:val="87"/>
        <w:numPr>
          <w:ilvl w:val="0"/>
          <w:numId w:val="8"/>
        </w:numPr>
        <w:tabs>
          <w:tab w:val="left" w:pos="1260"/>
        </w:tabs>
        <w:spacing w:line="520" w:lineRule="exact"/>
        <w:ind w:left="0" w:firstLine="560"/>
        <w:rPr>
          <w:rFonts w:ascii="宋体" w:hAnsi="宋体" w:cs="宋体"/>
          <w:color w:val="auto"/>
          <w:szCs w:val="28"/>
          <w:highlight w:val="none"/>
        </w:rPr>
      </w:pPr>
      <w:r>
        <w:rPr>
          <w:rFonts w:hint="eastAsia" w:ascii="宋体" w:hAnsi="宋体" w:cs="宋体"/>
          <w:color w:val="auto"/>
          <w:szCs w:val="28"/>
          <w:highlight w:val="none"/>
        </w:rPr>
        <w:t>投标文件未按本文件第六条“投标文件的装订、密封与标志”有关规定进行密封；</w:t>
      </w:r>
    </w:p>
    <w:p>
      <w:pPr>
        <w:pStyle w:val="87"/>
        <w:numPr>
          <w:ilvl w:val="0"/>
          <w:numId w:val="8"/>
        </w:numPr>
        <w:tabs>
          <w:tab w:val="left" w:pos="1260"/>
        </w:tabs>
        <w:spacing w:line="520" w:lineRule="exact"/>
        <w:ind w:left="0" w:firstLine="560"/>
        <w:rPr>
          <w:rFonts w:ascii="宋体" w:hAnsi="宋体" w:cs="宋体"/>
          <w:color w:val="auto"/>
          <w:szCs w:val="28"/>
          <w:highlight w:val="none"/>
        </w:rPr>
      </w:pPr>
      <w:r>
        <w:rPr>
          <w:rFonts w:hint="eastAsia" w:ascii="宋体" w:hAnsi="宋体" w:cs="宋体"/>
          <w:color w:val="auto"/>
          <w:szCs w:val="28"/>
          <w:highlight w:val="none"/>
        </w:rPr>
        <w:t>投标人法定代表人或其授权委托人未按时参加开标会议；</w:t>
      </w:r>
    </w:p>
    <w:p>
      <w:pPr>
        <w:pStyle w:val="87"/>
        <w:numPr>
          <w:ilvl w:val="0"/>
          <w:numId w:val="8"/>
        </w:numPr>
        <w:tabs>
          <w:tab w:val="left" w:pos="1260"/>
          <w:tab w:val="left" w:pos="1620"/>
          <w:tab w:val="clear" w:pos="2700"/>
        </w:tabs>
        <w:spacing w:line="520" w:lineRule="exact"/>
        <w:ind w:left="0" w:firstLine="560"/>
        <w:rPr>
          <w:rFonts w:ascii="宋体" w:hAnsi="宋体" w:cs="宋体"/>
          <w:color w:val="auto"/>
          <w:szCs w:val="28"/>
          <w:highlight w:val="none"/>
        </w:rPr>
      </w:pPr>
      <w:r>
        <w:rPr>
          <w:rFonts w:hint="eastAsia" w:ascii="宋体" w:hAnsi="宋体" w:cs="宋体"/>
          <w:color w:val="auto"/>
          <w:szCs w:val="28"/>
          <w:highlight w:val="none"/>
        </w:rPr>
        <w:t>如法定代表人参加开标会的，但未能同时提供以下资料：</w:t>
      </w:r>
    </w:p>
    <w:p>
      <w:pPr>
        <w:pStyle w:val="87"/>
        <w:tabs>
          <w:tab w:val="left" w:pos="1260"/>
          <w:tab w:val="left" w:pos="1340"/>
          <w:tab w:val="left" w:pos="1620"/>
        </w:tabs>
        <w:spacing w:line="520" w:lineRule="exact"/>
        <w:ind w:firstLine="700" w:firstLineChars="250"/>
        <w:rPr>
          <w:rFonts w:ascii="宋体" w:hAnsi="宋体" w:cs="宋体"/>
          <w:color w:val="auto"/>
          <w:szCs w:val="28"/>
          <w:highlight w:val="none"/>
        </w:rPr>
      </w:pPr>
      <w:r>
        <w:rPr>
          <w:rFonts w:hint="eastAsia" w:ascii="宋体" w:hAnsi="宋体" w:cs="宋体"/>
          <w:color w:val="auto"/>
          <w:szCs w:val="28"/>
          <w:highlight w:val="none"/>
        </w:rPr>
        <w:t>① 本人有效身份证原件；</w:t>
      </w:r>
    </w:p>
    <w:p>
      <w:pPr>
        <w:pStyle w:val="87"/>
        <w:tabs>
          <w:tab w:val="left" w:pos="1260"/>
          <w:tab w:val="left" w:pos="1340"/>
          <w:tab w:val="left" w:pos="1620"/>
        </w:tabs>
        <w:spacing w:line="520" w:lineRule="exact"/>
        <w:ind w:firstLine="700" w:firstLineChars="250"/>
        <w:rPr>
          <w:rFonts w:ascii="宋体" w:hAnsi="宋体" w:cs="宋体"/>
          <w:color w:val="auto"/>
          <w:szCs w:val="28"/>
          <w:highlight w:val="none"/>
        </w:rPr>
      </w:pPr>
      <w:r>
        <w:rPr>
          <w:rFonts w:hint="eastAsia" w:ascii="宋体" w:hAnsi="宋体" w:cs="宋体"/>
          <w:color w:val="auto"/>
          <w:szCs w:val="28"/>
          <w:highlight w:val="none"/>
        </w:rPr>
        <w:t>② 法定代表人证明书原件；</w:t>
      </w:r>
    </w:p>
    <w:p>
      <w:pPr>
        <w:pStyle w:val="87"/>
        <w:numPr>
          <w:ilvl w:val="0"/>
          <w:numId w:val="8"/>
        </w:numPr>
        <w:tabs>
          <w:tab w:val="left" w:pos="1260"/>
          <w:tab w:val="left" w:pos="1620"/>
          <w:tab w:val="clear" w:pos="2700"/>
        </w:tabs>
        <w:spacing w:line="520" w:lineRule="exact"/>
        <w:ind w:left="0" w:firstLine="560"/>
        <w:rPr>
          <w:rFonts w:ascii="宋体" w:hAnsi="宋体" w:cs="宋体"/>
          <w:color w:val="auto"/>
          <w:szCs w:val="28"/>
          <w:highlight w:val="none"/>
        </w:rPr>
      </w:pPr>
      <w:r>
        <w:rPr>
          <w:rFonts w:hint="eastAsia" w:ascii="宋体" w:hAnsi="宋体" w:cs="宋体"/>
          <w:color w:val="auto"/>
          <w:szCs w:val="28"/>
          <w:highlight w:val="none"/>
        </w:rPr>
        <w:t>如授权委托人参加开标的，但未能同时提供以下资料：</w:t>
      </w:r>
    </w:p>
    <w:p>
      <w:pPr>
        <w:pStyle w:val="87"/>
        <w:tabs>
          <w:tab w:val="left" w:pos="1200"/>
          <w:tab w:val="left" w:pos="1260"/>
          <w:tab w:val="left" w:pos="1620"/>
        </w:tabs>
        <w:spacing w:line="520" w:lineRule="exact"/>
        <w:ind w:firstLine="700" w:firstLineChars="250"/>
        <w:rPr>
          <w:rFonts w:ascii="宋体" w:hAnsi="宋体" w:cs="宋体"/>
          <w:color w:val="auto"/>
          <w:szCs w:val="28"/>
          <w:highlight w:val="none"/>
        </w:rPr>
      </w:pPr>
      <w:r>
        <w:rPr>
          <w:rFonts w:hint="eastAsia" w:ascii="宋体" w:hAnsi="宋体" w:cs="宋体"/>
          <w:color w:val="auto"/>
          <w:szCs w:val="28"/>
          <w:highlight w:val="none"/>
        </w:rPr>
        <w:t>① 本人有效身份证原件；</w:t>
      </w:r>
    </w:p>
    <w:p>
      <w:pPr>
        <w:pStyle w:val="87"/>
        <w:tabs>
          <w:tab w:val="left" w:pos="1200"/>
          <w:tab w:val="left" w:pos="1260"/>
          <w:tab w:val="left" w:pos="1620"/>
        </w:tabs>
        <w:spacing w:line="520" w:lineRule="exact"/>
        <w:ind w:firstLine="700" w:firstLineChars="250"/>
        <w:rPr>
          <w:rFonts w:ascii="宋体" w:hAnsi="宋体" w:cs="宋体"/>
          <w:color w:val="auto"/>
          <w:szCs w:val="28"/>
          <w:highlight w:val="none"/>
        </w:rPr>
      </w:pPr>
      <w:r>
        <w:rPr>
          <w:rFonts w:hint="eastAsia" w:ascii="宋体" w:hAnsi="宋体" w:cs="宋体"/>
          <w:color w:val="auto"/>
          <w:szCs w:val="28"/>
          <w:highlight w:val="none"/>
        </w:rPr>
        <w:t>② 法定代表人证明书原件；</w:t>
      </w:r>
    </w:p>
    <w:p>
      <w:pPr>
        <w:pStyle w:val="87"/>
        <w:tabs>
          <w:tab w:val="left" w:pos="1200"/>
          <w:tab w:val="left" w:pos="1260"/>
          <w:tab w:val="left" w:pos="1620"/>
        </w:tabs>
        <w:spacing w:line="520" w:lineRule="exact"/>
        <w:ind w:firstLine="700" w:firstLineChars="250"/>
        <w:rPr>
          <w:rFonts w:ascii="宋体" w:hAnsi="宋体" w:cs="宋体"/>
          <w:color w:val="auto"/>
          <w:szCs w:val="28"/>
          <w:highlight w:val="none"/>
        </w:rPr>
      </w:pPr>
      <w:r>
        <w:rPr>
          <w:rFonts w:hint="eastAsia" w:ascii="宋体" w:hAnsi="宋体" w:cs="宋体"/>
          <w:color w:val="auto"/>
          <w:szCs w:val="28"/>
          <w:highlight w:val="none"/>
        </w:rPr>
        <w:t>③ 被委托人有效授权书原件；</w:t>
      </w:r>
    </w:p>
    <w:p>
      <w:pPr>
        <w:pStyle w:val="87"/>
        <w:spacing w:line="520" w:lineRule="exact"/>
        <w:ind w:firstLine="562" w:firstLineChars="200"/>
        <w:rPr>
          <w:rFonts w:ascii="宋体" w:hAnsi="宋体" w:cs="宋体"/>
          <w:b/>
          <w:bCs/>
          <w:color w:val="auto"/>
          <w:szCs w:val="28"/>
          <w:highlight w:val="none"/>
        </w:rPr>
      </w:pPr>
      <w:r>
        <w:rPr>
          <w:rFonts w:hint="eastAsia" w:ascii="宋体" w:hAnsi="宋体" w:cs="宋体"/>
          <w:b/>
          <w:bCs/>
          <w:color w:val="auto"/>
          <w:szCs w:val="28"/>
          <w:highlight w:val="none"/>
        </w:rPr>
        <w:t>4、投标文件有下列情况之一者由评标委员会确认为无效标：</w:t>
      </w:r>
    </w:p>
    <w:p>
      <w:pPr>
        <w:pStyle w:val="25"/>
        <w:numPr>
          <w:ilvl w:val="0"/>
          <w:numId w:val="9"/>
        </w:numPr>
        <w:tabs>
          <w:tab w:val="left" w:pos="1260"/>
          <w:tab w:val="left" w:pos="2280"/>
          <w:tab w:val="left" w:pos="2334"/>
        </w:tabs>
        <w:spacing w:before="60" w:after="60" w:line="520" w:lineRule="exact"/>
        <w:ind w:left="0" w:firstLine="560"/>
        <w:rPr>
          <w:rFonts w:hAnsi="宋体" w:cs="宋体"/>
          <w:color w:val="auto"/>
          <w:sz w:val="28"/>
          <w:szCs w:val="28"/>
          <w:highlight w:val="none"/>
        </w:rPr>
      </w:pPr>
      <w:r>
        <w:rPr>
          <w:rFonts w:hint="eastAsia" w:hAnsi="宋体" w:cs="宋体"/>
          <w:color w:val="auto"/>
          <w:sz w:val="28"/>
          <w:szCs w:val="28"/>
          <w:highlight w:val="none"/>
        </w:rPr>
        <w:t>需要年审的证件到期未年审，不能提供有关行政主管部门未组织年审的说明；</w:t>
      </w:r>
    </w:p>
    <w:p>
      <w:pPr>
        <w:pStyle w:val="25"/>
        <w:numPr>
          <w:ilvl w:val="0"/>
          <w:numId w:val="9"/>
        </w:numPr>
        <w:tabs>
          <w:tab w:val="left" w:pos="1260"/>
          <w:tab w:val="left" w:pos="2280"/>
          <w:tab w:val="left" w:pos="2334"/>
        </w:tabs>
        <w:spacing w:before="60" w:after="60" w:line="520" w:lineRule="exact"/>
        <w:ind w:left="0" w:firstLine="560"/>
        <w:rPr>
          <w:rFonts w:hAnsi="宋体" w:cs="宋体"/>
          <w:color w:val="auto"/>
          <w:sz w:val="28"/>
          <w:szCs w:val="28"/>
          <w:highlight w:val="none"/>
        </w:rPr>
      </w:pPr>
      <w:r>
        <w:rPr>
          <w:rFonts w:hint="eastAsia" w:hAnsi="宋体" w:cs="宋体"/>
          <w:color w:val="auto"/>
          <w:sz w:val="28"/>
          <w:szCs w:val="28"/>
          <w:highlight w:val="none"/>
        </w:rPr>
        <w:t>招标文件中注明要求签字盖章却没有按要求签字盖章的；</w:t>
      </w:r>
    </w:p>
    <w:p>
      <w:pPr>
        <w:pStyle w:val="25"/>
        <w:numPr>
          <w:ilvl w:val="0"/>
          <w:numId w:val="9"/>
        </w:numPr>
        <w:tabs>
          <w:tab w:val="left" w:pos="1260"/>
          <w:tab w:val="left" w:pos="2280"/>
          <w:tab w:val="left" w:pos="2334"/>
        </w:tabs>
        <w:spacing w:before="60" w:after="60" w:line="520" w:lineRule="exact"/>
        <w:ind w:left="0" w:firstLine="560"/>
        <w:rPr>
          <w:rFonts w:hAnsi="宋体" w:cs="宋体"/>
          <w:color w:val="auto"/>
          <w:sz w:val="28"/>
          <w:szCs w:val="28"/>
          <w:highlight w:val="none"/>
        </w:rPr>
      </w:pPr>
      <w:r>
        <w:rPr>
          <w:rFonts w:hint="eastAsia" w:hAnsi="宋体" w:cs="宋体"/>
          <w:color w:val="auto"/>
          <w:sz w:val="28"/>
          <w:szCs w:val="28"/>
          <w:highlight w:val="none"/>
        </w:rPr>
        <w:t>投标文件载明的招标项目完成期限超过招标文件规定的期限；</w:t>
      </w:r>
    </w:p>
    <w:p>
      <w:pPr>
        <w:pStyle w:val="25"/>
        <w:numPr>
          <w:ilvl w:val="0"/>
          <w:numId w:val="9"/>
        </w:numPr>
        <w:tabs>
          <w:tab w:val="left" w:pos="1260"/>
          <w:tab w:val="left" w:pos="1440"/>
          <w:tab w:val="left" w:pos="1620"/>
          <w:tab w:val="left" w:pos="2280"/>
          <w:tab w:val="left" w:pos="2334"/>
        </w:tabs>
        <w:spacing w:before="60" w:after="60" w:line="520" w:lineRule="exact"/>
        <w:ind w:left="0" w:firstLine="560"/>
        <w:rPr>
          <w:rFonts w:hAnsi="宋体" w:cs="宋体"/>
          <w:color w:val="auto"/>
          <w:sz w:val="28"/>
          <w:szCs w:val="28"/>
          <w:highlight w:val="none"/>
        </w:rPr>
      </w:pPr>
      <w:r>
        <w:rPr>
          <w:rFonts w:hint="eastAsia" w:hAnsi="宋体" w:cs="宋体"/>
          <w:color w:val="auto"/>
          <w:sz w:val="28"/>
          <w:szCs w:val="28"/>
          <w:highlight w:val="none"/>
        </w:rPr>
        <w:t>投标文件附有招标人不能接受的条件；</w:t>
      </w:r>
    </w:p>
    <w:p>
      <w:pPr>
        <w:pStyle w:val="25"/>
        <w:numPr>
          <w:ilvl w:val="0"/>
          <w:numId w:val="9"/>
        </w:numPr>
        <w:tabs>
          <w:tab w:val="left" w:pos="1260"/>
          <w:tab w:val="left" w:pos="1440"/>
          <w:tab w:val="left" w:pos="1620"/>
          <w:tab w:val="left" w:pos="2280"/>
          <w:tab w:val="left" w:pos="2334"/>
        </w:tabs>
        <w:spacing w:before="60" w:after="60" w:line="520" w:lineRule="exact"/>
        <w:ind w:left="0" w:firstLine="560"/>
        <w:rPr>
          <w:rFonts w:hAnsi="宋体" w:cs="宋体"/>
          <w:color w:val="auto"/>
          <w:sz w:val="28"/>
          <w:szCs w:val="28"/>
          <w:highlight w:val="none"/>
        </w:rPr>
      </w:pPr>
      <w:r>
        <w:rPr>
          <w:rFonts w:hint="eastAsia" w:hAnsi="宋体" w:cs="宋体"/>
          <w:color w:val="auto"/>
          <w:sz w:val="28"/>
          <w:szCs w:val="28"/>
          <w:highlight w:val="none"/>
        </w:rPr>
        <w:t>质量等级填报不按招标文件规定填写的；</w:t>
      </w:r>
    </w:p>
    <w:p>
      <w:pPr>
        <w:pStyle w:val="25"/>
        <w:numPr>
          <w:ilvl w:val="0"/>
          <w:numId w:val="9"/>
        </w:numPr>
        <w:tabs>
          <w:tab w:val="left" w:pos="1260"/>
          <w:tab w:val="left" w:pos="1440"/>
          <w:tab w:val="left" w:pos="2280"/>
          <w:tab w:val="left" w:pos="2334"/>
        </w:tabs>
        <w:spacing w:before="60" w:after="60" w:line="520" w:lineRule="exact"/>
        <w:ind w:left="0" w:firstLine="560"/>
        <w:rPr>
          <w:rFonts w:hAnsi="宋体" w:cs="宋体"/>
          <w:color w:val="auto"/>
          <w:sz w:val="28"/>
          <w:szCs w:val="28"/>
          <w:highlight w:val="none"/>
        </w:rPr>
      </w:pPr>
      <w:r>
        <w:rPr>
          <w:rFonts w:hint="eastAsia" w:hAnsi="宋体" w:cs="宋体"/>
          <w:color w:val="auto"/>
          <w:sz w:val="28"/>
          <w:szCs w:val="28"/>
          <w:highlight w:val="none"/>
        </w:rPr>
        <w:t>投标文件没有实质性响应招标文件的；</w:t>
      </w:r>
    </w:p>
    <w:p>
      <w:pPr>
        <w:pStyle w:val="25"/>
        <w:tabs>
          <w:tab w:val="left" w:pos="1440"/>
          <w:tab w:val="left" w:pos="2280"/>
          <w:tab w:val="left" w:pos="2334"/>
        </w:tabs>
        <w:spacing w:before="60" w:after="60" w:line="520" w:lineRule="exact"/>
        <w:ind w:left="560"/>
        <w:rPr>
          <w:rFonts w:hAnsi="宋体"/>
          <w:b/>
          <w:color w:val="auto"/>
          <w:sz w:val="24"/>
          <w:highlight w:val="none"/>
        </w:rPr>
      </w:pPr>
      <w:r>
        <w:rPr>
          <w:rFonts w:hint="eastAsia" w:hAnsi="宋体" w:cs="宋体"/>
          <w:color w:val="auto"/>
          <w:sz w:val="28"/>
          <w:szCs w:val="28"/>
          <w:highlight w:val="none"/>
        </w:rPr>
        <w:t>（7）按照本招标文件第五条第2款“投标文件的组成”中规定，投标文件有缺项的</w:t>
      </w:r>
      <w:r>
        <w:rPr>
          <w:rFonts w:hint="eastAsia" w:hAnsi="宋体"/>
          <w:b/>
          <w:color w:val="auto"/>
          <w:sz w:val="24"/>
          <w:highlight w:val="none"/>
        </w:rPr>
        <w:t>（《商务标综合评分表》中所需提供的证明资料若有缺项的，不作为废标条件，但该项得0分）；</w:t>
      </w:r>
    </w:p>
    <w:p>
      <w:pPr>
        <w:pStyle w:val="25"/>
        <w:tabs>
          <w:tab w:val="left" w:pos="1440"/>
          <w:tab w:val="left" w:pos="2280"/>
          <w:tab w:val="left" w:pos="2334"/>
        </w:tabs>
        <w:spacing w:before="60" w:after="60" w:line="520" w:lineRule="exact"/>
        <w:ind w:left="560"/>
        <w:rPr>
          <w:rFonts w:hAnsi="宋体" w:cs="宋体"/>
          <w:color w:val="auto"/>
          <w:sz w:val="28"/>
          <w:szCs w:val="28"/>
          <w:highlight w:val="none"/>
        </w:rPr>
      </w:pPr>
      <w:r>
        <w:rPr>
          <w:rFonts w:hint="eastAsia" w:hAnsi="宋体" w:cs="宋体"/>
          <w:color w:val="auto"/>
          <w:sz w:val="28"/>
          <w:szCs w:val="28"/>
          <w:highlight w:val="none"/>
        </w:rPr>
        <w:t>（8）违反有关法律法规及规定的；</w:t>
      </w:r>
    </w:p>
    <w:p>
      <w:pPr>
        <w:pStyle w:val="25"/>
        <w:tabs>
          <w:tab w:val="left" w:pos="1440"/>
          <w:tab w:val="left" w:pos="2280"/>
          <w:tab w:val="left" w:pos="2334"/>
        </w:tabs>
        <w:spacing w:before="60" w:after="60" w:line="520" w:lineRule="exact"/>
        <w:ind w:left="560"/>
        <w:rPr>
          <w:rFonts w:hAnsi="宋体" w:cs="宋体"/>
          <w:color w:val="auto"/>
          <w:sz w:val="28"/>
          <w:szCs w:val="28"/>
          <w:highlight w:val="none"/>
        </w:rPr>
      </w:pPr>
      <w:r>
        <w:rPr>
          <w:rFonts w:hint="eastAsia" w:hAnsi="宋体" w:cs="宋体"/>
          <w:color w:val="auto"/>
          <w:sz w:val="28"/>
          <w:szCs w:val="28"/>
          <w:highlight w:val="none"/>
        </w:rPr>
        <w:t>（9）未能按要求提供投标保证金的；</w:t>
      </w:r>
    </w:p>
    <w:p>
      <w:pPr>
        <w:pStyle w:val="25"/>
        <w:spacing w:before="60" w:after="60" w:line="520" w:lineRule="exact"/>
        <w:ind w:firstLine="562" w:firstLineChars="200"/>
        <w:rPr>
          <w:rFonts w:hAnsi="宋体" w:cs="宋体"/>
          <w:b/>
          <w:bCs/>
          <w:color w:val="auto"/>
          <w:sz w:val="28"/>
          <w:szCs w:val="28"/>
          <w:highlight w:val="none"/>
        </w:rPr>
      </w:pPr>
      <w:r>
        <w:rPr>
          <w:rFonts w:hint="eastAsia" w:hAnsi="宋体" w:cs="宋体"/>
          <w:b/>
          <w:bCs/>
          <w:color w:val="auto"/>
          <w:sz w:val="28"/>
          <w:szCs w:val="28"/>
          <w:highlight w:val="none"/>
        </w:rPr>
        <w:t>如果投标文件中存在缺陷或不足，但对投标文件的合法性、有效性不构成影响，评标委员会不得废标。</w:t>
      </w:r>
    </w:p>
    <w:p>
      <w:pPr>
        <w:spacing w:line="520" w:lineRule="exact"/>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5、代理机构当众启封投标文件，当场公布核查结果，宣读并纪录投标文件的主要内容。</w:t>
      </w:r>
    </w:p>
    <w:p>
      <w:pPr>
        <w:pStyle w:val="4"/>
        <w:spacing w:line="520" w:lineRule="exact"/>
        <w:ind w:firstLine="562" w:firstLineChars="200"/>
        <w:rPr>
          <w:rFonts w:ascii="宋体" w:hAnsi="宋体" w:eastAsia="宋体" w:cs="宋体"/>
          <w:color w:val="auto"/>
          <w:sz w:val="28"/>
          <w:szCs w:val="28"/>
          <w:highlight w:val="none"/>
        </w:rPr>
      </w:pPr>
      <w:bookmarkStart w:id="23" w:name="_Toc351629595"/>
      <w:bookmarkStart w:id="24" w:name="_Toc394394061"/>
      <w:bookmarkStart w:id="25" w:name="_Toc349805163"/>
      <w:bookmarkStart w:id="26" w:name="_Toc487755764"/>
      <w:r>
        <w:rPr>
          <w:rFonts w:hint="eastAsia" w:ascii="宋体" w:hAnsi="宋体" w:eastAsia="宋体" w:cs="宋体"/>
          <w:color w:val="auto"/>
          <w:sz w:val="28"/>
          <w:szCs w:val="28"/>
          <w:highlight w:val="none"/>
        </w:rPr>
        <w:t>八、评标与定标办法和原则</w:t>
      </w:r>
      <w:bookmarkEnd w:id="23"/>
      <w:bookmarkEnd w:id="24"/>
      <w:bookmarkEnd w:id="25"/>
      <w:bookmarkEnd w:id="26"/>
    </w:p>
    <w:p>
      <w:pPr>
        <w:pStyle w:val="101"/>
        <w:spacing w:line="66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8.1 评标办法</w:t>
      </w:r>
    </w:p>
    <w:p>
      <w:pPr>
        <w:spacing w:line="560" w:lineRule="exact"/>
        <w:ind w:left="958" w:leftChars="267" w:hanging="397" w:hangingChars="142"/>
        <w:rPr>
          <w:rFonts w:ascii="宋体" w:hAnsi="宋体" w:cs="宋体"/>
          <w:color w:val="auto"/>
          <w:sz w:val="28"/>
          <w:szCs w:val="28"/>
          <w:highlight w:val="none"/>
        </w:rPr>
      </w:pPr>
      <w:r>
        <w:rPr>
          <w:rFonts w:hint="eastAsia" w:ascii="宋体" w:hAnsi="宋体" w:cs="宋体"/>
          <w:color w:val="auto"/>
          <w:sz w:val="28"/>
          <w:szCs w:val="28"/>
          <w:highlight w:val="none"/>
        </w:rPr>
        <w:t>8.1.1本招标工程评标定标办法采用综合评估法。</w:t>
      </w:r>
    </w:p>
    <w:p>
      <w:pPr>
        <w:spacing w:line="560" w:lineRule="exact"/>
        <w:ind w:left="958" w:leftChars="267" w:hanging="397" w:hangingChars="142"/>
        <w:rPr>
          <w:rFonts w:ascii="宋体" w:hAnsi="宋体" w:cs="宋体"/>
          <w:color w:val="auto"/>
          <w:sz w:val="28"/>
          <w:szCs w:val="28"/>
          <w:highlight w:val="none"/>
        </w:rPr>
      </w:pPr>
      <w:r>
        <w:rPr>
          <w:rFonts w:hint="eastAsia" w:ascii="宋体" w:hAnsi="宋体" w:cs="宋体"/>
          <w:color w:val="auto"/>
          <w:sz w:val="28"/>
          <w:szCs w:val="28"/>
          <w:highlight w:val="none"/>
        </w:rPr>
        <w:t>8.1.2评标分项分值权重（满分100分）：</w:t>
      </w:r>
    </w:p>
    <w:p>
      <w:pPr>
        <w:spacing w:line="560" w:lineRule="exact"/>
        <w:ind w:left="958" w:leftChars="267" w:hanging="397" w:hangingChars="142"/>
        <w:rPr>
          <w:rFonts w:ascii="宋体" w:hAnsi="宋体" w:cs="宋体"/>
          <w:color w:val="auto"/>
          <w:sz w:val="28"/>
          <w:szCs w:val="28"/>
          <w:highlight w:val="none"/>
        </w:rPr>
      </w:pPr>
      <w:r>
        <w:rPr>
          <w:rFonts w:hint="eastAsia" w:ascii="宋体" w:hAnsi="宋体" w:cs="宋体"/>
          <w:color w:val="auto"/>
          <w:sz w:val="28"/>
          <w:szCs w:val="28"/>
          <w:highlight w:val="none"/>
        </w:rPr>
        <w:t>①技术标（30分）；</w:t>
      </w:r>
    </w:p>
    <w:p>
      <w:pPr>
        <w:spacing w:line="560" w:lineRule="exact"/>
        <w:ind w:left="958" w:leftChars="267" w:hanging="397" w:hangingChars="142"/>
        <w:rPr>
          <w:rFonts w:ascii="宋体" w:hAnsi="宋体" w:cs="宋体"/>
          <w:color w:val="auto"/>
          <w:sz w:val="28"/>
          <w:szCs w:val="28"/>
          <w:highlight w:val="none"/>
        </w:rPr>
      </w:pPr>
      <w:r>
        <w:rPr>
          <w:rFonts w:hint="eastAsia" w:ascii="宋体" w:hAnsi="宋体" w:cs="宋体"/>
          <w:color w:val="auto"/>
          <w:sz w:val="28"/>
          <w:szCs w:val="28"/>
          <w:highlight w:val="none"/>
        </w:rPr>
        <w:t>②商务标（70分）。</w:t>
      </w:r>
    </w:p>
    <w:p>
      <w:pPr>
        <w:spacing w:line="6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具体评分细则详见（附表一～附表二：综合评分表）。</w:t>
      </w:r>
    </w:p>
    <w:p>
      <w:pPr>
        <w:spacing w:line="660" w:lineRule="exact"/>
        <w:ind w:left="960" w:leftChars="267" w:hanging="399" w:hangingChars="142"/>
        <w:rPr>
          <w:rFonts w:ascii="宋体" w:hAnsi="宋体" w:cs="宋体"/>
          <w:b/>
          <w:color w:val="auto"/>
          <w:sz w:val="28"/>
          <w:szCs w:val="28"/>
          <w:highlight w:val="none"/>
        </w:rPr>
      </w:pPr>
      <w:r>
        <w:rPr>
          <w:rFonts w:hint="eastAsia" w:ascii="宋体" w:hAnsi="宋体" w:cs="宋体"/>
          <w:b/>
          <w:color w:val="auto"/>
          <w:sz w:val="28"/>
          <w:szCs w:val="28"/>
          <w:highlight w:val="none"/>
        </w:rPr>
        <w:t>8.2评标程序</w:t>
      </w:r>
    </w:p>
    <w:p>
      <w:pPr>
        <w:spacing w:line="560" w:lineRule="exact"/>
        <w:ind w:firstLine="548" w:firstLineChars="196"/>
        <w:rPr>
          <w:rFonts w:ascii="宋体" w:hAnsi="宋体" w:cs="宋体"/>
          <w:color w:val="auto"/>
          <w:sz w:val="28"/>
          <w:szCs w:val="28"/>
          <w:highlight w:val="none"/>
        </w:rPr>
      </w:pPr>
      <w:r>
        <w:rPr>
          <w:rFonts w:hint="eastAsia" w:ascii="宋体" w:hAnsi="宋体" w:cs="宋体"/>
          <w:color w:val="auto"/>
          <w:sz w:val="28"/>
          <w:szCs w:val="28"/>
          <w:highlight w:val="none"/>
        </w:rPr>
        <w:t>8.2.1评标委员会成员领取招标文件，阅读招标文件，对招标文件内容有疑问的，由招标人代表或招标代理代表负责澄清。</w:t>
      </w:r>
    </w:p>
    <w:p>
      <w:pPr>
        <w:spacing w:line="660" w:lineRule="exact"/>
        <w:ind w:firstLine="548" w:firstLineChars="196"/>
        <w:rPr>
          <w:rFonts w:ascii="宋体" w:hAnsi="宋体" w:cs="宋体"/>
          <w:color w:val="auto"/>
          <w:sz w:val="28"/>
          <w:szCs w:val="28"/>
          <w:highlight w:val="none"/>
        </w:rPr>
      </w:pPr>
      <w:r>
        <w:rPr>
          <w:rFonts w:hint="eastAsia" w:ascii="宋体" w:hAnsi="宋体" w:cs="宋体"/>
          <w:color w:val="auto"/>
          <w:sz w:val="28"/>
          <w:szCs w:val="28"/>
          <w:highlight w:val="none"/>
        </w:rPr>
        <w:t>8.2.2评标委员会各成员对每个投标人的投标文件进行资格性、符合性评审。只有通过资格性、符合性评审的投标人方可进行技术商务评审。</w:t>
      </w:r>
    </w:p>
    <w:p>
      <w:pPr>
        <w:spacing w:line="660" w:lineRule="exact"/>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8.2.2.1初步评审</w:t>
      </w:r>
    </w:p>
    <w:p>
      <w:pPr>
        <w:spacing w:line="560" w:lineRule="exact"/>
        <w:ind w:firstLine="560" w:firstLineChars="200"/>
        <w:rPr>
          <w:rFonts w:ascii="宋体" w:hAnsi="宋体" w:cs="宋体"/>
          <w:color w:val="auto"/>
          <w:sz w:val="28"/>
          <w:szCs w:val="28"/>
          <w:highlight w:val="none"/>
        </w:rPr>
      </w:pPr>
      <w:r>
        <w:rPr>
          <w:rFonts w:hint="eastAsia" w:ascii="宋体" w:hAnsi="宋体" w:cs="宋体"/>
          <w:bCs/>
          <w:color w:val="auto"/>
          <w:sz w:val="28"/>
          <w:szCs w:val="28"/>
          <w:highlight w:val="none"/>
        </w:rPr>
        <w:t>资格性评审：</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（1）具备有效的营业执照。</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（2）具备有效的安全生产许可证。</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（3）投标人的资质符合招标文件要求。</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（4）投标人拟派项目负责人符合招标文件要求。</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符合性评审：</w:t>
      </w:r>
    </w:p>
    <w:p>
      <w:pPr>
        <w:spacing w:line="520" w:lineRule="exact"/>
        <w:ind w:firstLine="560" w:firstLineChars="200"/>
        <w:rPr>
          <w:rFonts w:ascii="宋体" w:hAnsi="宋体" w:cs="宋体"/>
          <w:b/>
          <w:bCs/>
          <w:color w:val="auto"/>
          <w:sz w:val="28"/>
          <w:szCs w:val="28"/>
          <w:highlight w:val="none"/>
        </w:rPr>
      </w:pPr>
      <w:r>
        <w:rPr>
          <w:rFonts w:hint="eastAsia" w:ascii="宋体" w:hAnsi="宋体" w:cs="宋体"/>
          <w:color w:val="auto"/>
          <w:sz w:val="28"/>
          <w:szCs w:val="28"/>
          <w:highlight w:val="none"/>
        </w:rPr>
        <w:t>（1）投标人的投标报价符合招标文件要求。</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（2）招标文件中注明要求签字盖章的按要求签字盖章。</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（3）未超过招标文件载明的招标项目完成期限。</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（4）质量等级填报按招标文件规定填写。</w:t>
      </w:r>
    </w:p>
    <w:p>
      <w:pPr>
        <w:spacing w:line="52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（5）按要求提供投标保证金。</w:t>
      </w:r>
    </w:p>
    <w:p>
      <w:pPr>
        <w:spacing w:line="520" w:lineRule="exact"/>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8.2.3技术文件评审</w:t>
      </w:r>
    </w:p>
    <w:p>
      <w:pPr>
        <w:spacing w:line="560" w:lineRule="exact"/>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8.2.3.1技术文件评审</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（1）评标委员会各成员对每个投标人的技术文件进行评审，按招标文件的技术标综合评分表（四个等级：优、良、一般、差。）进行独立评分，计算出每个投标单位的技术得分。</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（2）投标单位的技术标最终得分为：所有评委的评分去掉一个最高分和最低分算术平均为投标人的技术标得分（技术标分值四舍五入保留小数点后两位数字）。</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(3)技术文件具体编写内容由投标人结合技术标综合评分表内容自由发挥，若有缺项漏项，不作为废标条件，只作为评分依据。</w:t>
      </w:r>
    </w:p>
    <w:p>
      <w:pPr>
        <w:spacing w:line="560" w:lineRule="exact"/>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8.2.4商务文件评审</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（1）评标委员会各成员对每个投标人的商务文件进行评审，按招标文件的商务标综合评分表进行打分，计算出每个投标单位的商务得分。</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（2）商务部分评审，由所有评委共同评定商务标分值。</w:t>
      </w:r>
    </w:p>
    <w:p>
      <w:pPr>
        <w:spacing w:line="560" w:lineRule="exact"/>
        <w:ind w:firstLine="562" w:firstLineChars="200"/>
        <w:rPr>
          <w:rFonts w:ascii="宋体" w:hAnsi="宋体" w:cs="仿宋_GB2312"/>
          <w:color w:val="auto"/>
          <w:sz w:val="28"/>
          <w:szCs w:val="28"/>
          <w:highlight w:val="none"/>
        </w:rPr>
      </w:pPr>
      <w:r>
        <w:rPr>
          <w:rFonts w:hint="eastAsia" w:ascii="宋体" w:hAnsi="宋体" w:cs="宋体"/>
          <w:b/>
          <w:color w:val="auto"/>
          <w:sz w:val="28"/>
          <w:szCs w:val="28"/>
          <w:highlight w:val="none"/>
        </w:rPr>
        <w:t>8.2.5</w:t>
      </w:r>
      <w:r>
        <w:rPr>
          <w:rFonts w:hint="eastAsia" w:ascii="宋体" w:hAnsi="宋体" w:cs="宋体"/>
          <w:color w:val="auto"/>
          <w:sz w:val="28"/>
          <w:szCs w:val="28"/>
          <w:highlight w:val="none"/>
        </w:rPr>
        <w:t>技术部分和商务部分两者得分相加即为综合得分（所有分值均四舍五入保留小数点后两位数字），根据投标单位得分的高低确定名次。</w:t>
      </w:r>
    </w:p>
    <w:p>
      <w:pPr>
        <w:spacing w:line="560" w:lineRule="exact"/>
        <w:ind w:firstLine="562" w:firstLineChars="200"/>
        <w:rPr>
          <w:rFonts w:ascii="宋体" w:hAnsi="宋体" w:cs="宋体"/>
          <w:color w:val="auto"/>
          <w:sz w:val="28"/>
          <w:szCs w:val="28"/>
          <w:highlight w:val="none"/>
        </w:rPr>
      </w:pPr>
      <w:r>
        <w:rPr>
          <w:rFonts w:hint="eastAsia" w:ascii="宋体" w:hAnsi="宋体" w:cs="宋体"/>
          <w:b/>
          <w:color w:val="auto"/>
          <w:sz w:val="28"/>
          <w:szCs w:val="28"/>
          <w:highlight w:val="none"/>
        </w:rPr>
        <w:t>8.2.6</w:t>
      </w:r>
      <w:r>
        <w:rPr>
          <w:rFonts w:hint="eastAsia" w:ascii="宋体" w:hAnsi="宋体" w:cs="宋体"/>
          <w:color w:val="auto"/>
          <w:sz w:val="28"/>
          <w:szCs w:val="28"/>
          <w:highlight w:val="none"/>
        </w:rPr>
        <w:t>中标候选人排序：评标委员会对所有符合要求的投标文件，根据评标办法进行综合评定，采用百分制进行评分，并按照招标文件中规定的评标办法，推荐综合得分最高的投标人为第一中标候选人，得分次高的投标人为第二中标候选人，依次类推。综合得分相同时以商务得分高的排列在前，再相同，则通过随机抽取的方式确定中标候选人的排序。随机抽取程序为：1、在有关部门监督下，由评标委员会在评标室内通过随机抽取确定投标人的号码；2、从所确定的号码中随机抽取一位投标人作为第一中标候选人，并依此法排列确定其他中标候选人的顺序。</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8.2.7在评标过程中，对于投标人的投标报价明显低于成本、可能影响工程质量、安全和工程进度的，评标委员会应当对其工程量清单报价进行详细评审，必要时应通过变音系统对投标人进行询问。</w:t>
      </w:r>
    </w:p>
    <w:p>
      <w:pPr>
        <w:spacing w:line="560" w:lineRule="exact"/>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8.3编写评标报告</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评标委员会根据评标委员会成员的评审结果，编写评标报告，确定所有投标单位的排名。评标报告由评标委员会全体成员签字，对评标结论持有异议的评标委员会成员可以书面形式阐述其不同意见和理由。评标委员会成员拒绝在评标报告上签字且不陈述其不同意见和理由的，视为同意评标结论，评标委员会应当对此作出书面说明并记录在案。</w:t>
      </w:r>
    </w:p>
    <w:p>
      <w:pPr>
        <w:spacing w:line="560" w:lineRule="exact"/>
        <w:ind w:firstLine="562" w:firstLineChars="200"/>
        <w:rPr>
          <w:rFonts w:ascii="宋体" w:hAnsi="宋体" w:cs="宋体"/>
          <w:b/>
          <w:color w:val="auto"/>
          <w:sz w:val="28"/>
          <w:szCs w:val="28"/>
          <w:highlight w:val="none"/>
        </w:rPr>
      </w:pPr>
      <w:r>
        <w:rPr>
          <w:rFonts w:hint="eastAsia" w:ascii="宋体" w:hAnsi="宋体" w:cs="宋体"/>
          <w:b/>
          <w:color w:val="auto"/>
          <w:sz w:val="28"/>
          <w:szCs w:val="28"/>
          <w:highlight w:val="none"/>
        </w:rPr>
        <w:t>8.4评标委员会的确定</w:t>
      </w:r>
    </w:p>
    <w:p>
      <w:pPr>
        <w:spacing w:line="56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评标委员会由</w:t>
      </w:r>
      <w:r>
        <w:rPr>
          <w:rFonts w:hint="eastAsia" w:ascii="宋体" w:hAnsi="宋体" w:cs="宋体"/>
          <w:color w:val="auto"/>
          <w:sz w:val="28"/>
          <w:szCs w:val="28"/>
          <w:highlight w:val="none"/>
          <w:u w:val="single"/>
        </w:rPr>
        <w:t xml:space="preserve"> 7 </w:t>
      </w:r>
      <w:r>
        <w:rPr>
          <w:rFonts w:hint="eastAsia" w:ascii="宋体" w:hAnsi="宋体" w:cs="宋体"/>
          <w:color w:val="auto"/>
          <w:sz w:val="28"/>
          <w:szCs w:val="28"/>
          <w:highlight w:val="none"/>
        </w:rPr>
        <w:t>人组成， 由招标人委派</w:t>
      </w:r>
      <w:r>
        <w:rPr>
          <w:rFonts w:hint="eastAsia" w:ascii="宋体" w:hAnsi="宋体" w:cs="宋体"/>
          <w:color w:val="auto"/>
          <w:sz w:val="28"/>
          <w:szCs w:val="28"/>
          <w:highlight w:val="none"/>
          <w:u w:val="single"/>
        </w:rPr>
        <w:t>2</w:t>
      </w:r>
      <w:r>
        <w:rPr>
          <w:rFonts w:hint="eastAsia" w:ascii="宋体" w:hAnsi="宋体" w:cs="宋体"/>
          <w:color w:val="auto"/>
          <w:sz w:val="28"/>
          <w:szCs w:val="28"/>
          <w:highlight w:val="none"/>
        </w:rPr>
        <w:t>名作为业主评委，其余</w:t>
      </w:r>
      <w:r>
        <w:rPr>
          <w:rFonts w:hint="eastAsia" w:ascii="宋体" w:hAnsi="宋体" w:cs="宋体"/>
          <w:color w:val="auto"/>
          <w:sz w:val="28"/>
          <w:szCs w:val="28"/>
          <w:highlight w:val="none"/>
          <w:u w:val="single"/>
        </w:rPr>
        <w:t>5</w:t>
      </w:r>
      <w:r>
        <w:rPr>
          <w:rFonts w:hint="eastAsia" w:ascii="宋体" w:hAnsi="宋体" w:cs="宋体"/>
          <w:color w:val="auto"/>
          <w:sz w:val="28"/>
          <w:szCs w:val="28"/>
          <w:highlight w:val="none"/>
        </w:rPr>
        <w:t>名专家在开标前从广东省综合评标评审专家库中随机抽取。</w:t>
      </w:r>
    </w:p>
    <w:p>
      <w:pPr>
        <w:pStyle w:val="4"/>
        <w:spacing w:line="480" w:lineRule="exact"/>
        <w:ind w:firstLine="562" w:firstLineChars="200"/>
        <w:rPr>
          <w:rFonts w:ascii="宋体" w:hAnsi="宋体" w:eastAsia="宋体" w:cs="宋体"/>
          <w:color w:val="auto"/>
          <w:sz w:val="28"/>
          <w:szCs w:val="28"/>
          <w:highlight w:val="none"/>
        </w:rPr>
      </w:pPr>
      <w:bookmarkStart w:id="27" w:name="_Toc351629596"/>
      <w:bookmarkStart w:id="28" w:name="_Toc394394062"/>
      <w:bookmarkStart w:id="29" w:name="_Toc487755765"/>
      <w:bookmarkStart w:id="30" w:name="_Toc349805164"/>
      <w:r>
        <w:rPr>
          <w:rFonts w:hint="eastAsia" w:ascii="宋体" w:hAnsi="宋体" w:eastAsia="宋体" w:cs="宋体"/>
          <w:color w:val="auto"/>
          <w:sz w:val="28"/>
          <w:szCs w:val="28"/>
          <w:highlight w:val="none"/>
        </w:rPr>
        <w:t>九、确定中标单位</w:t>
      </w:r>
      <w:bookmarkEnd w:id="27"/>
      <w:bookmarkEnd w:id="28"/>
      <w:bookmarkEnd w:id="29"/>
      <w:bookmarkEnd w:id="30"/>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招标人根据评标委员会提供的评标报告和推荐的中标候选人排列的先后顺序确定排名第一的中标候选人为中标人，并在广东省招标投标监管网及广州交易集团有限公司（广州公共资源交易中心）网上将中标候选人公示三日，如在公示期间有接到异议的，经核实若存在与本招标文件废标条件相符的，可废除其中标资格；排名第一的中标候选人被废除中标资格的，确定排名第二的中标候选人为中标人。排名第一的中标候选人放弃中标的、因不可抗力提出不能履行合同的，招标人可以确定排名第二的中标候选人为中标人。排名第二的中标候选人出现前款规定同样原因的，招标人可以确定排名第三的中标候选人为中标人。</w:t>
      </w:r>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招标人没有义务向未中标的投标人解释不中标的理由。</w:t>
      </w:r>
    </w:p>
    <w:p>
      <w:pPr>
        <w:pStyle w:val="4"/>
        <w:spacing w:line="480" w:lineRule="exact"/>
        <w:ind w:firstLine="562" w:firstLineChars="200"/>
        <w:rPr>
          <w:rFonts w:ascii="宋体" w:hAnsi="宋体" w:eastAsia="宋体" w:cs="宋体"/>
          <w:color w:val="auto"/>
          <w:sz w:val="28"/>
          <w:szCs w:val="28"/>
          <w:highlight w:val="none"/>
        </w:rPr>
      </w:pPr>
      <w:bookmarkStart w:id="31" w:name="_Toc487755766"/>
      <w:r>
        <w:rPr>
          <w:rFonts w:hint="eastAsia" w:ascii="宋体" w:hAnsi="宋体" w:eastAsia="宋体" w:cs="宋体"/>
          <w:color w:val="auto"/>
          <w:sz w:val="28"/>
          <w:szCs w:val="28"/>
          <w:highlight w:val="none"/>
        </w:rPr>
        <w:t>十、授予合同</w:t>
      </w:r>
      <w:bookmarkEnd w:id="31"/>
    </w:p>
    <w:p>
      <w:pPr>
        <w:pStyle w:val="101"/>
        <w:spacing w:line="480" w:lineRule="exact"/>
        <w:ind w:firstLine="559" w:firstLineChars="199"/>
        <w:rPr>
          <w:rFonts w:ascii="宋体" w:hAnsi="宋体" w:cs="宋体"/>
          <w:color w:val="auto"/>
          <w:sz w:val="28"/>
          <w:szCs w:val="28"/>
          <w:highlight w:val="none"/>
        </w:rPr>
      </w:pPr>
      <w:r>
        <w:rPr>
          <w:rFonts w:hint="eastAsia" w:ascii="宋体" w:hAnsi="宋体" w:cs="宋体"/>
          <w:color w:val="auto"/>
          <w:sz w:val="28"/>
          <w:szCs w:val="28"/>
          <w:highlight w:val="none"/>
        </w:rPr>
        <w:t>1、中标通知书</w:t>
      </w:r>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（1）在开标后，评标结果经过三日公示后，如无异议，招标人将以书面函件的形式向确定为中标的投标人发出中标通知书，中标通知书将成为合同的组成部分。</w:t>
      </w:r>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（2）中标通知书对招标人和中标人均具有法律效力。中标通知书发出后，招标人无合理原因而改变中标结果的，或中标人放弃中标的，应依法承担法律责任。</w:t>
      </w:r>
    </w:p>
    <w:p>
      <w:pPr>
        <w:pStyle w:val="101"/>
        <w:spacing w:line="480" w:lineRule="exact"/>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2、签订合同</w:t>
      </w:r>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（1）在发出中标通知书后的30天内，招标人将邀请中标人派代表前来商议、签订合同。</w:t>
      </w:r>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（2）招标人以本工程招标文件、招标答疑纪要及其补充资料和中标人的投标文件、投标承诺及合同条款为依据与中标人签订施工合同。</w:t>
      </w:r>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（3）中标人在签订合同时对上述文件有异议或增加招标文件外的要求，不愿遵照执行招标文件的条款时，招标人将没收其投标保证金，取消其中标资格，确认评标结果排位第二名的投标人为中标单位。</w:t>
      </w:r>
    </w:p>
    <w:p>
      <w:pPr>
        <w:pStyle w:val="87"/>
        <w:spacing w:line="480" w:lineRule="exact"/>
        <w:ind w:firstLine="560" w:firstLineChars="200"/>
        <w:rPr>
          <w:rFonts w:ascii="宋体" w:hAnsi="宋体" w:cs="宋体"/>
          <w:color w:val="auto"/>
          <w:szCs w:val="28"/>
          <w:highlight w:val="none"/>
          <w:u w:val="single"/>
        </w:rPr>
      </w:pPr>
      <w:r>
        <w:rPr>
          <w:rFonts w:hint="eastAsia" w:ascii="宋体" w:hAnsi="宋体" w:cs="宋体"/>
          <w:color w:val="auto"/>
          <w:szCs w:val="28"/>
          <w:highlight w:val="none"/>
        </w:rPr>
        <w:t>若中标人未能在招标文件规定时间内向招标人提交</w:t>
      </w:r>
      <w:r>
        <w:rPr>
          <w:rFonts w:hint="eastAsia" w:ascii="宋体" w:hAnsi="宋体" w:cs="宋体"/>
          <w:color w:val="auto"/>
          <w:szCs w:val="28"/>
          <w:highlight w:val="none"/>
          <w:u w:val="single"/>
        </w:rPr>
        <w:t>银行</w:t>
      </w:r>
      <w:r>
        <w:rPr>
          <w:rFonts w:hint="eastAsia" w:ascii="宋体" w:hAnsi="宋体" w:cs="宋体"/>
          <w:color w:val="auto"/>
          <w:szCs w:val="28"/>
          <w:highlight w:val="none"/>
        </w:rPr>
        <w:t>出具的资金（履约保证金）转入有效证明时，招标人即取消该中标人的中标资格，没收其投标保证金，并确认排名第二的中标候选人为中标人。</w:t>
      </w:r>
    </w:p>
    <w:p>
      <w:pPr>
        <w:pStyle w:val="87"/>
        <w:spacing w:line="48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招标人和中标人将在自中标通知书发出之日起30日内，按照招标文件和中标人的投标文件订立书面合同，若因中标人原因不能在30天内与招标人签订书面合同，招标人将取消其中标资格，并确认排名第二的投标人为中标人。招标人将通知排名在前3名的投标人要求延长投标有效期30天。</w:t>
      </w:r>
    </w:p>
    <w:p>
      <w:pPr>
        <w:pStyle w:val="4"/>
        <w:spacing w:before="0" w:after="0" w:line="480" w:lineRule="exact"/>
        <w:ind w:firstLine="472" w:firstLineChars="147"/>
        <w:rPr>
          <w:color w:val="auto"/>
          <w:highlight w:val="none"/>
        </w:rPr>
      </w:pPr>
      <w:bookmarkStart w:id="32" w:name="_Toc487755767"/>
    </w:p>
    <w:p>
      <w:pPr>
        <w:pStyle w:val="4"/>
        <w:spacing w:before="0" w:after="0" w:line="480" w:lineRule="exact"/>
        <w:ind w:firstLine="472" w:firstLineChars="147"/>
        <w:rPr>
          <w:rFonts w:ascii="宋体" w:hAnsi="宋体" w:eastAsia="宋体" w:cs="宋体"/>
          <w:color w:val="auto"/>
          <w:sz w:val="28"/>
          <w:szCs w:val="28"/>
          <w:highlight w:val="none"/>
        </w:rPr>
      </w:pPr>
      <w:r>
        <w:rPr>
          <w:rFonts w:hint="eastAsia"/>
          <w:color w:val="auto"/>
          <w:highlight w:val="none"/>
        </w:rPr>
        <w:t>十一、日程安排</w:t>
      </w:r>
      <w:bookmarkEnd w:id="32"/>
    </w:p>
    <w:p>
      <w:pPr>
        <w:pStyle w:val="101"/>
        <w:spacing w:line="480" w:lineRule="exact"/>
        <w:ind w:firstLine="562" w:firstLineChars="200"/>
        <w:rPr>
          <w:rFonts w:ascii="宋体"/>
          <w:color w:val="auto"/>
          <w:sz w:val="28"/>
          <w:szCs w:val="28"/>
          <w:highlight w:val="none"/>
        </w:rPr>
      </w:pPr>
    </w:p>
    <w:p>
      <w:pPr>
        <w:pStyle w:val="101"/>
        <w:spacing w:line="360" w:lineRule="auto"/>
        <w:ind w:firstLine="562" w:firstLineChars="200"/>
        <w:rPr>
          <w:rFonts w:ascii="宋体"/>
          <w:color w:val="auto"/>
          <w:sz w:val="28"/>
          <w:szCs w:val="28"/>
          <w:highlight w:val="none"/>
        </w:rPr>
      </w:pPr>
      <w:r>
        <w:rPr>
          <w:rFonts w:hint="eastAsia" w:ascii="宋体"/>
          <w:color w:val="auto"/>
          <w:sz w:val="28"/>
          <w:szCs w:val="28"/>
          <w:highlight w:val="none"/>
        </w:rPr>
        <w:t>1、踏勘现场</w:t>
      </w:r>
      <w:r>
        <w:rPr>
          <w:rFonts w:hint="eastAsia" w:ascii="宋体"/>
          <w:color w:val="auto"/>
          <w:sz w:val="28"/>
          <w:szCs w:val="28"/>
          <w:highlight w:val="none"/>
        </w:rPr>
        <w:softHyphen/>
      </w:r>
      <w:r>
        <w:rPr>
          <w:rFonts w:hint="eastAsia" w:ascii="宋体"/>
          <w:color w:val="auto"/>
          <w:sz w:val="28"/>
          <w:szCs w:val="28"/>
          <w:highlight w:val="none"/>
        </w:rPr>
        <w:softHyphen/>
      </w:r>
    </w:p>
    <w:p>
      <w:pPr>
        <w:pStyle w:val="87"/>
        <w:spacing w:line="360" w:lineRule="auto"/>
        <w:ind w:firstLine="560" w:firstLineChars="200"/>
        <w:rPr>
          <w:rFonts w:ascii="宋体"/>
          <w:color w:val="auto"/>
          <w:szCs w:val="28"/>
          <w:highlight w:val="none"/>
          <w:u w:val="single"/>
        </w:rPr>
      </w:pPr>
      <w:r>
        <w:rPr>
          <w:rFonts w:hint="eastAsia" w:ascii="宋体"/>
          <w:color w:val="auto"/>
          <w:szCs w:val="28"/>
          <w:highlight w:val="none"/>
        </w:rPr>
        <w:t>工程地点：</w:t>
      </w:r>
      <w:r>
        <w:rPr>
          <w:rFonts w:hint="eastAsia" w:ascii="宋体" w:hAnsi="宋体" w:cs="宋体"/>
          <w:color w:val="auto"/>
          <w:szCs w:val="28"/>
          <w:highlight w:val="none"/>
          <w:u w:val="single"/>
        </w:rPr>
        <w:t>广东广垦华丰糖业有限公司生产区内</w:t>
      </w:r>
      <w:r>
        <w:rPr>
          <w:rFonts w:hint="eastAsia" w:ascii="宋体"/>
          <w:color w:val="auto"/>
          <w:szCs w:val="28"/>
          <w:highlight w:val="none"/>
          <w:u w:val="single"/>
        </w:rPr>
        <w:t>。</w:t>
      </w:r>
    </w:p>
    <w:p>
      <w:pPr>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投标人可自行前往踏勘现场，踏勘过程所产生的费用由投标人承担。</w:t>
      </w:r>
    </w:p>
    <w:p>
      <w:pPr>
        <w:spacing w:line="360" w:lineRule="auto"/>
        <w:ind w:firstLine="562" w:firstLineChars="200"/>
        <w:jc w:val="left"/>
        <w:rPr>
          <w:rFonts w:ascii="宋体" w:hAnsi="宋体" w:cs="宋体"/>
          <w:color w:val="auto"/>
          <w:sz w:val="28"/>
          <w:szCs w:val="28"/>
          <w:highlight w:val="none"/>
        </w:rPr>
      </w:pPr>
      <w:r>
        <w:rPr>
          <w:rFonts w:hint="eastAsia" w:ascii="宋体" w:hAnsi="宋体" w:cs="宋体"/>
          <w:b/>
          <w:color w:val="auto"/>
          <w:sz w:val="28"/>
          <w:szCs w:val="28"/>
          <w:highlight w:val="none"/>
        </w:rPr>
        <w:t>2、招标答疑</w:t>
      </w:r>
      <w:r>
        <w:rPr>
          <w:rFonts w:hint="eastAsia" w:ascii="宋体" w:hAnsi="宋体" w:cs="宋体"/>
          <w:color w:val="auto"/>
          <w:sz w:val="28"/>
          <w:szCs w:val="28"/>
          <w:highlight w:val="none"/>
        </w:rPr>
        <w:t>(在规定的提问截止时间前，若投标单位没对招标文件提出疑问的，则视为其没有疑问,由此所造成的一切后果由投标单位承担。)</w:t>
      </w:r>
    </w:p>
    <w:p>
      <w:pPr>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提问截止时间：</w:t>
      </w:r>
      <w:r>
        <w:rPr>
          <w:rFonts w:hint="eastAsia" w:ascii="宋体" w:hAnsi="宋体" w:cs="宋体"/>
          <w:color w:val="auto"/>
          <w:sz w:val="28"/>
          <w:szCs w:val="28"/>
          <w:highlight w:val="none"/>
          <w:u w:val="single"/>
        </w:rPr>
        <w:t>2024</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日</w:t>
      </w:r>
      <w:r>
        <w:rPr>
          <w:rFonts w:hint="eastAsia" w:ascii="宋体" w:hAnsi="宋体" w:cs="宋体"/>
          <w:color w:val="auto"/>
          <w:sz w:val="28"/>
          <w:szCs w:val="28"/>
          <w:highlight w:val="none"/>
          <w:u w:val="single"/>
        </w:rPr>
        <w:t xml:space="preserve"> 17 </w:t>
      </w:r>
      <w:r>
        <w:rPr>
          <w:rFonts w:hint="eastAsia" w:ascii="宋体" w:hAnsi="宋体" w:cs="宋体"/>
          <w:color w:val="auto"/>
          <w:sz w:val="28"/>
          <w:szCs w:val="28"/>
          <w:highlight w:val="none"/>
        </w:rPr>
        <w:t>时前将需要招标人澄清的问题致函（传真或邮件）到招标代理机构（邮箱地址：gdgmec@163.com），</w:t>
      </w:r>
      <w:r>
        <w:rPr>
          <w:rFonts w:hint="eastAsia" w:ascii="宋体" w:hAnsi="宋体" w:cs="宋体"/>
          <w:color w:val="auto"/>
          <w:spacing w:val="-6"/>
          <w:sz w:val="28"/>
          <w:szCs w:val="28"/>
          <w:highlight w:val="none"/>
        </w:rPr>
        <w:t>提问须加盖投标单位公章</w:t>
      </w:r>
      <w:r>
        <w:rPr>
          <w:rFonts w:hint="eastAsia" w:ascii="宋体" w:hAnsi="宋体" w:cs="宋体"/>
          <w:color w:val="auto"/>
          <w:sz w:val="28"/>
          <w:szCs w:val="28"/>
          <w:highlight w:val="none"/>
        </w:rPr>
        <w:t>。</w:t>
      </w:r>
    </w:p>
    <w:p>
      <w:pPr>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发布答疑时间：</w:t>
      </w:r>
      <w:r>
        <w:rPr>
          <w:rFonts w:hint="eastAsia" w:ascii="宋体" w:hAnsi="宋体" w:cs="宋体"/>
          <w:color w:val="auto"/>
          <w:sz w:val="28"/>
          <w:szCs w:val="28"/>
          <w:highlight w:val="none"/>
          <w:u w:val="single"/>
        </w:rPr>
        <w:t>2024</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日</w:t>
      </w:r>
    </w:p>
    <w:p>
      <w:pPr>
        <w:pStyle w:val="101"/>
        <w:spacing w:line="360" w:lineRule="auto"/>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3、递交投标文件、开标及评标</w:t>
      </w:r>
    </w:p>
    <w:p>
      <w:pPr>
        <w:pStyle w:val="87"/>
        <w:spacing w:line="360" w:lineRule="auto"/>
        <w:ind w:firstLine="560" w:firstLineChars="200"/>
        <w:rPr>
          <w:rFonts w:ascii="宋体" w:hAnsi="宋体" w:cs="宋体"/>
          <w:color w:val="auto"/>
          <w:szCs w:val="28"/>
          <w:highlight w:val="none"/>
          <w:u w:val="single"/>
        </w:rPr>
      </w:pPr>
      <w:bookmarkStart w:id="33" w:name="_Toc382328782"/>
      <w:bookmarkStart w:id="34" w:name="_Toc394394065"/>
      <w:r>
        <w:rPr>
          <w:rFonts w:hint="eastAsia" w:ascii="宋体" w:hAnsi="宋体" w:cs="宋体"/>
          <w:color w:val="auto"/>
          <w:szCs w:val="28"/>
          <w:highlight w:val="none"/>
        </w:rPr>
        <w:t>时间：</w:t>
      </w:r>
      <w:r>
        <w:rPr>
          <w:rFonts w:hint="eastAsia" w:ascii="宋体" w:hAnsi="宋体" w:cs="宋体"/>
          <w:color w:val="auto"/>
          <w:szCs w:val="28"/>
          <w:highlight w:val="none"/>
          <w:u w:val="single"/>
        </w:rPr>
        <w:t>2024</w:t>
      </w:r>
      <w:r>
        <w:rPr>
          <w:rFonts w:hint="eastAsia" w:ascii="宋体" w:hAnsi="宋体" w:cs="宋体"/>
          <w:color w:val="auto"/>
          <w:szCs w:val="28"/>
          <w:highlight w:val="none"/>
        </w:rPr>
        <w:t>年</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日</w:t>
      </w:r>
      <w:r>
        <w:rPr>
          <w:rFonts w:hint="eastAsia" w:ascii="宋体" w:hAnsi="宋体" w:cs="宋体"/>
          <w:color w:val="auto"/>
          <w:szCs w:val="28"/>
          <w:highlight w:val="none"/>
          <w:u w:val="single"/>
          <w:lang w:val="en-US" w:eastAsia="zh-CN"/>
        </w:rPr>
        <w:t xml:space="preserve">   </w:t>
      </w:r>
      <w:r>
        <w:rPr>
          <w:rFonts w:hint="eastAsia" w:ascii="宋体" w:hAnsi="宋体" w:cs="宋体"/>
          <w:color w:val="auto"/>
          <w:szCs w:val="28"/>
          <w:highlight w:val="none"/>
        </w:rPr>
        <w:t>：</w:t>
      </w:r>
      <w:r>
        <w:rPr>
          <w:rFonts w:hint="eastAsia" w:ascii="宋体" w:hAnsi="宋体" w:cs="宋体"/>
          <w:color w:val="auto"/>
          <w:szCs w:val="28"/>
          <w:highlight w:val="none"/>
          <w:u w:val="single"/>
          <w:lang w:val="en-US" w:eastAsia="zh-CN"/>
        </w:rPr>
        <w:t xml:space="preserve">   </w:t>
      </w:r>
      <w:r>
        <w:rPr>
          <w:rFonts w:hint="eastAsia" w:ascii="宋体" w:hAnsi="宋体" w:cs="宋体"/>
          <w:color w:val="auto"/>
          <w:szCs w:val="28"/>
          <w:highlight w:val="none"/>
        </w:rPr>
        <w:t>分至</w:t>
      </w:r>
      <w:r>
        <w:rPr>
          <w:rFonts w:hint="eastAsia" w:ascii="宋体" w:hAnsi="宋体" w:cs="宋体"/>
          <w:color w:val="auto"/>
          <w:szCs w:val="28"/>
          <w:highlight w:val="none"/>
          <w:u w:val="single"/>
          <w:lang w:val="en-US" w:eastAsia="zh-CN"/>
        </w:rPr>
        <w:t xml:space="preserve">   </w:t>
      </w:r>
      <w:r>
        <w:rPr>
          <w:rFonts w:hint="eastAsia" w:ascii="宋体" w:hAnsi="宋体" w:cs="宋体"/>
          <w:color w:val="auto"/>
          <w:szCs w:val="28"/>
          <w:highlight w:val="none"/>
        </w:rPr>
        <w:t>：</w:t>
      </w:r>
      <w:r>
        <w:rPr>
          <w:rFonts w:hint="eastAsia" w:ascii="宋体" w:hAnsi="宋体" w:cs="宋体"/>
          <w:color w:val="auto"/>
          <w:szCs w:val="28"/>
          <w:highlight w:val="none"/>
          <w:u w:val="single"/>
          <w:lang w:val="en-US" w:eastAsia="zh-CN"/>
        </w:rPr>
        <w:t xml:space="preserve">   </w:t>
      </w:r>
      <w:r>
        <w:rPr>
          <w:rFonts w:hint="eastAsia" w:ascii="宋体" w:hAnsi="宋体" w:cs="宋体"/>
          <w:color w:val="auto"/>
          <w:szCs w:val="28"/>
          <w:highlight w:val="none"/>
        </w:rPr>
        <w:t>分</w:t>
      </w:r>
    </w:p>
    <w:p>
      <w:pPr>
        <w:snapToGrid w:val="0"/>
        <w:spacing w:line="360" w:lineRule="auto"/>
        <w:ind w:firstLine="546" w:firstLineChars="195"/>
        <w:rPr>
          <w:rFonts w:ascii="宋体" w:hAnsi="宋体" w:cs="宋体"/>
          <w:color w:val="auto"/>
          <w:sz w:val="28"/>
          <w:szCs w:val="28"/>
          <w:highlight w:val="none"/>
        </w:rPr>
      </w:pPr>
      <w:r>
        <w:rPr>
          <w:rFonts w:hint="eastAsia" w:ascii="宋体" w:hAnsi="宋体" w:cs="宋体"/>
          <w:color w:val="auto"/>
          <w:sz w:val="28"/>
          <w:szCs w:val="28"/>
          <w:highlight w:val="none"/>
        </w:rPr>
        <w:t>地点：广州公共资源交易中心</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号开标室。</w:t>
      </w:r>
    </w:p>
    <w:p>
      <w:pPr>
        <w:pStyle w:val="101"/>
        <w:spacing w:line="360" w:lineRule="auto"/>
        <w:ind w:firstLine="562" w:firstLineChars="200"/>
        <w:rPr>
          <w:rFonts w:ascii="宋体" w:hAnsi="宋体" w:cs="宋体"/>
          <w:color w:val="auto"/>
          <w:sz w:val="28"/>
          <w:szCs w:val="28"/>
          <w:highlight w:val="none"/>
        </w:rPr>
      </w:pPr>
      <w:r>
        <w:rPr>
          <w:rFonts w:hint="eastAsia" w:ascii="宋体" w:hAnsi="宋体" w:cs="宋体"/>
          <w:color w:val="auto"/>
          <w:sz w:val="28"/>
          <w:szCs w:val="28"/>
          <w:highlight w:val="none"/>
        </w:rPr>
        <w:t>4、开标会议</w:t>
      </w:r>
    </w:p>
    <w:p>
      <w:pPr>
        <w:pStyle w:val="101"/>
        <w:spacing w:line="360" w:lineRule="auto"/>
        <w:ind w:firstLine="560" w:firstLineChars="200"/>
        <w:rPr>
          <w:rFonts w:ascii="宋体" w:hAnsi="宋体" w:cs="宋体"/>
          <w:bCs/>
          <w:color w:val="auto"/>
          <w:sz w:val="28"/>
          <w:szCs w:val="28"/>
          <w:highlight w:val="none"/>
        </w:rPr>
      </w:pPr>
      <w:r>
        <w:rPr>
          <w:rFonts w:hint="eastAsia" w:ascii="宋体" w:hAnsi="宋体" w:cs="宋体"/>
          <w:b w:val="0"/>
          <w:bCs/>
          <w:color w:val="auto"/>
          <w:sz w:val="28"/>
          <w:szCs w:val="28"/>
          <w:highlight w:val="none"/>
        </w:rPr>
        <w:t>时间：</w:t>
      </w:r>
      <w:r>
        <w:rPr>
          <w:rFonts w:hint="eastAsia" w:ascii="宋体" w:hAnsi="宋体" w:cs="宋体"/>
          <w:color w:val="auto"/>
          <w:sz w:val="28"/>
          <w:szCs w:val="28"/>
          <w:highlight w:val="none"/>
          <w:u w:val="single"/>
        </w:rPr>
        <w:t>2024</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rPr>
        <w:t>日</w:t>
      </w:r>
      <w:r>
        <w:rPr>
          <w:rFonts w:hint="eastAsia" w:ascii="宋体" w:hAnsi="宋体" w:cs="宋体"/>
          <w:b w:val="0"/>
          <w:bCs/>
          <w:color w:val="auto"/>
          <w:sz w:val="28"/>
          <w:szCs w:val="28"/>
          <w:highlight w:val="none"/>
          <w:u w:val="single"/>
          <w:lang w:val="en-US" w:eastAsia="zh-CN"/>
        </w:rPr>
        <w:t xml:space="preserve">   </w:t>
      </w:r>
      <w:r>
        <w:rPr>
          <w:rFonts w:hint="eastAsia" w:ascii="宋体" w:hAnsi="宋体" w:cs="宋体"/>
          <w:b w:val="0"/>
          <w:bCs/>
          <w:color w:val="auto"/>
          <w:sz w:val="28"/>
          <w:szCs w:val="28"/>
          <w:highlight w:val="none"/>
        </w:rPr>
        <w:t>：</w:t>
      </w:r>
      <w:r>
        <w:rPr>
          <w:rFonts w:hint="eastAsia" w:ascii="宋体" w:hAnsi="宋体" w:cs="宋体"/>
          <w:b w:val="0"/>
          <w:bCs/>
          <w:color w:val="auto"/>
          <w:sz w:val="28"/>
          <w:szCs w:val="28"/>
          <w:highlight w:val="none"/>
          <w:u w:val="single"/>
          <w:lang w:val="en-US" w:eastAsia="zh-CN"/>
        </w:rPr>
        <w:t xml:space="preserve">   </w:t>
      </w:r>
      <w:r>
        <w:rPr>
          <w:rFonts w:hint="eastAsia" w:ascii="宋体" w:hAnsi="宋体" w:cs="宋体"/>
          <w:b w:val="0"/>
          <w:bCs/>
          <w:color w:val="auto"/>
          <w:sz w:val="28"/>
          <w:szCs w:val="28"/>
          <w:highlight w:val="none"/>
        </w:rPr>
        <w:t>分</w:t>
      </w:r>
      <w:r>
        <w:rPr>
          <w:rFonts w:hint="eastAsia" w:ascii="宋体" w:hAnsi="宋体" w:cs="宋体"/>
          <w:bCs/>
          <w:color w:val="auto"/>
          <w:sz w:val="28"/>
          <w:szCs w:val="28"/>
          <w:highlight w:val="none"/>
        </w:rPr>
        <w:t>（签到截止时间）</w:t>
      </w:r>
    </w:p>
    <w:p>
      <w:pPr>
        <w:spacing w:line="360" w:lineRule="auto"/>
        <w:ind w:firstLine="560" w:firstLineChars="200"/>
        <w:rPr>
          <w:rFonts w:ascii="宋体" w:hAnsi="宋体" w:cs="宋体"/>
          <w:color w:val="auto"/>
          <w:sz w:val="28"/>
          <w:szCs w:val="28"/>
          <w:highlight w:val="none"/>
          <w:u w:val="single"/>
        </w:rPr>
      </w:pPr>
      <w:r>
        <w:rPr>
          <w:rFonts w:hint="eastAsia" w:ascii="宋体" w:hAnsi="宋体" w:cs="宋体"/>
          <w:color w:val="auto"/>
          <w:sz w:val="28"/>
          <w:szCs w:val="28"/>
          <w:highlight w:val="none"/>
        </w:rPr>
        <w:t>招标人：</w:t>
      </w:r>
      <w:r>
        <w:rPr>
          <w:rFonts w:hint="eastAsia" w:ascii="宋体" w:hAnsi="宋体" w:cs="宋体"/>
          <w:color w:val="auto"/>
          <w:sz w:val="28"/>
          <w:szCs w:val="28"/>
          <w:highlight w:val="none"/>
          <w:u w:val="single"/>
        </w:rPr>
        <w:t>广东广垦华丰糖业有限公司</w:t>
      </w:r>
    </w:p>
    <w:p>
      <w:pPr>
        <w:spacing w:line="360" w:lineRule="auto"/>
        <w:ind w:firstLine="560" w:firstLineChars="200"/>
        <w:rPr>
          <w:rFonts w:ascii="宋体" w:hAnsi="宋体" w:cs="宋体"/>
          <w:color w:val="auto"/>
          <w:sz w:val="28"/>
          <w:szCs w:val="28"/>
          <w:highlight w:val="none"/>
          <w:u w:val="single"/>
        </w:rPr>
      </w:pPr>
      <w:r>
        <w:rPr>
          <w:rFonts w:hint="eastAsia" w:ascii="宋体" w:hAnsi="宋体" w:cs="宋体"/>
          <w:color w:val="auto"/>
          <w:sz w:val="28"/>
          <w:szCs w:val="28"/>
          <w:highlight w:val="none"/>
        </w:rPr>
        <w:t>联系人：</w:t>
      </w:r>
      <w:r>
        <w:rPr>
          <w:rFonts w:hint="eastAsia" w:ascii="宋体" w:hAnsi="宋体" w:cs="宋体"/>
          <w:color w:val="auto"/>
          <w:sz w:val="28"/>
          <w:szCs w:val="28"/>
          <w:highlight w:val="none"/>
          <w:u w:val="single"/>
        </w:rPr>
        <w:t>杨叫明</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联系电话：</w:t>
      </w:r>
      <w:r>
        <w:rPr>
          <w:rFonts w:hint="eastAsia" w:ascii="宋体" w:hAnsi="宋体" w:cs="宋体"/>
          <w:color w:val="auto"/>
          <w:sz w:val="28"/>
          <w:szCs w:val="28"/>
          <w:highlight w:val="none"/>
          <w:u w:val="single"/>
        </w:rPr>
        <w:t>15812370366</w:t>
      </w:r>
    </w:p>
    <w:p>
      <w:pPr>
        <w:spacing w:line="360" w:lineRule="auto"/>
        <w:ind w:firstLine="560" w:firstLineChars="200"/>
        <w:rPr>
          <w:rFonts w:ascii="宋体" w:hAnsi="宋体" w:cs="宋体"/>
          <w:color w:val="auto"/>
          <w:sz w:val="28"/>
          <w:szCs w:val="28"/>
          <w:highlight w:val="none"/>
          <w:u w:val="single"/>
        </w:rPr>
      </w:pPr>
      <w:r>
        <w:rPr>
          <w:rFonts w:hint="eastAsia" w:ascii="宋体" w:hAnsi="宋体" w:cs="宋体"/>
          <w:color w:val="auto"/>
          <w:sz w:val="28"/>
          <w:szCs w:val="28"/>
          <w:highlight w:val="none"/>
        </w:rPr>
        <w:t>招标代理：</w:t>
      </w:r>
      <w:r>
        <w:rPr>
          <w:rFonts w:hint="eastAsia" w:ascii="宋体" w:hAnsi="宋体" w:cs="宋体"/>
          <w:color w:val="auto"/>
          <w:sz w:val="28"/>
          <w:szCs w:val="28"/>
          <w:highlight w:val="none"/>
          <w:u w:val="single"/>
        </w:rPr>
        <w:t>广东省机电设备招标中心有限公司</w:t>
      </w:r>
    </w:p>
    <w:p>
      <w:pPr>
        <w:spacing w:line="360" w:lineRule="auto"/>
        <w:ind w:firstLine="560" w:firstLineChars="200"/>
        <w:rPr>
          <w:rFonts w:ascii="宋体"/>
          <w:color w:val="auto"/>
          <w:sz w:val="28"/>
          <w:szCs w:val="28"/>
          <w:highlight w:val="none"/>
        </w:rPr>
      </w:pPr>
      <w:r>
        <w:rPr>
          <w:rFonts w:hint="eastAsia" w:ascii="宋体"/>
          <w:color w:val="auto"/>
          <w:sz w:val="28"/>
          <w:szCs w:val="28"/>
          <w:highlight w:val="none"/>
        </w:rPr>
        <w:t>联系人：</w:t>
      </w:r>
      <w:r>
        <w:rPr>
          <w:rFonts w:hint="eastAsia" w:ascii="宋体" w:hAnsi="宋体" w:cs="宋体"/>
          <w:color w:val="auto"/>
          <w:sz w:val="28"/>
          <w:szCs w:val="28"/>
          <w:highlight w:val="none"/>
          <w:u w:val="single"/>
        </w:rPr>
        <w:t xml:space="preserve"> 林龙彬、黄思瑗</w:t>
      </w:r>
    </w:p>
    <w:p>
      <w:pPr>
        <w:spacing w:line="360" w:lineRule="auto"/>
        <w:ind w:firstLine="560" w:firstLineChars="200"/>
        <w:rPr>
          <w:rFonts w:ascii="宋体" w:hAnsi="宋体" w:cs="宋体"/>
          <w:color w:val="auto"/>
          <w:sz w:val="28"/>
          <w:szCs w:val="28"/>
          <w:highlight w:val="none"/>
          <w:u w:val="single"/>
        </w:rPr>
      </w:pPr>
      <w:r>
        <w:rPr>
          <w:rFonts w:hint="eastAsia" w:ascii="宋体"/>
          <w:color w:val="auto"/>
          <w:sz w:val="28"/>
          <w:szCs w:val="28"/>
          <w:highlight w:val="none"/>
        </w:rPr>
        <w:t>联系电话:</w:t>
      </w:r>
      <w:r>
        <w:rPr>
          <w:rFonts w:hint="eastAsia" w:ascii="宋体" w:hAnsi="宋体" w:cs="宋体"/>
          <w:color w:val="auto"/>
          <w:sz w:val="28"/>
          <w:szCs w:val="28"/>
          <w:highlight w:val="none"/>
          <w:u w:val="single"/>
        </w:rPr>
        <w:t xml:space="preserve"> 0759-2324689、0759-2324589 </w:t>
      </w:r>
    </w:p>
    <w:p>
      <w:pPr>
        <w:spacing w:beforeLines="200" w:afterLines="100" w:line="340" w:lineRule="exact"/>
        <w:ind w:left="1120" w:hanging="1120" w:hangingChars="400"/>
        <w:jc w:val="center"/>
        <w:rPr>
          <w:rFonts w:ascii="宋体" w:hAnsi="宋体"/>
          <w:b/>
          <w:color w:val="auto"/>
          <w:sz w:val="36"/>
          <w:szCs w:val="36"/>
          <w:highlight w:val="none"/>
        </w:rPr>
      </w:pPr>
      <w:r>
        <w:rPr>
          <w:rFonts w:hint="eastAsia" w:ascii="宋体" w:hAnsi="宋体" w:cs="宋体"/>
          <w:color w:val="auto"/>
          <w:sz w:val="28"/>
          <w:szCs w:val="28"/>
          <w:highlight w:val="none"/>
          <w:u w:val="single"/>
        </w:rPr>
        <w:br w:type="page"/>
      </w:r>
      <w:r>
        <w:rPr>
          <w:rFonts w:hint="eastAsia" w:ascii="宋体" w:hAnsi="宋体" w:cs="宋体"/>
          <w:b/>
          <w:color w:val="auto"/>
          <w:sz w:val="28"/>
          <w:szCs w:val="28"/>
          <w:highlight w:val="none"/>
        </w:rPr>
        <w:t>技术标综合评分表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821"/>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blHeader/>
          <w:jc w:val="center"/>
        </w:trPr>
        <w:tc>
          <w:tcPr>
            <w:tcW w:w="2388" w:type="dxa"/>
            <w:gridSpan w:val="2"/>
            <w:shd w:val="clear" w:color="auto" w:fill="A6A6A6"/>
            <w:noWrap/>
            <w:vAlign w:val="center"/>
          </w:tcPr>
          <w:p>
            <w:pPr>
              <w:snapToGrid w:val="0"/>
              <w:spacing w:line="360" w:lineRule="auto"/>
              <w:jc w:val="center"/>
              <w:rPr>
                <w:rFonts w:ascii="宋体" w:hAnsi="宋体" w:eastAsia="等线" w:cs="等线"/>
                <w:b/>
                <w:color w:val="auto"/>
                <w:sz w:val="24"/>
                <w:highlight w:val="none"/>
              </w:rPr>
            </w:pPr>
            <w:r>
              <w:rPr>
                <w:rFonts w:hint="eastAsia" w:ascii="宋体" w:hAnsi="宋体" w:eastAsia="等线" w:cs="等线"/>
                <w:b/>
                <w:color w:val="auto"/>
                <w:sz w:val="24"/>
                <w:highlight w:val="none"/>
              </w:rPr>
              <w:t>分项内容</w:t>
            </w:r>
          </w:p>
        </w:tc>
        <w:tc>
          <w:tcPr>
            <w:tcW w:w="7088" w:type="dxa"/>
            <w:shd w:val="clear" w:color="auto" w:fill="A6A6A6"/>
            <w:noWrap/>
            <w:vAlign w:val="center"/>
          </w:tcPr>
          <w:p>
            <w:pPr>
              <w:snapToGrid w:val="0"/>
              <w:spacing w:line="360" w:lineRule="auto"/>
              <w:jc w:val="center"/>
              <w:rPr>
                <w:rFonts w:ascii="宋体" w:hAnsi="宋体" w:eastAsia="等线" w:cs="等线"/>
                <w:b/>
                <w:color w:val="auto"/>
                <w:sz w:val="24"/>
                <w:highlight w:val="none"/>
              </w:rPr>
            </w:pPr>
            <w:r>
              <w:rPr>
                <w:rFonts w:hint="eastAsia" w:ascii="宋体" w:hAnsi="宋体" w:eastAsia="等线" w:cs="等线"/>
                <w:b/>
                <w:color w:val="auto"/>
                <w:sz w:val="24"/>
                <w:highlight w:val="none"/>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567" w:type="dxa"/>
            <w:vMerge w:val="restart"/>
            <w:noWrap/>
            <w:vAlign w:val="center"/>
          </w:tcPr>
          <w:p>
            <w:pPr>
              <w:spacing w:line="360" w:lineRule="auto"/>
              <w:jc w:val="center"/>
              <w:rPr>
                <w:rFonts w:ascii="宋体" w:hAnsi="宋体" w:eastAsia="等线" w:cs="等线"/>
                <w:color w:val="auto"/>
                <w:sz w:val="24"/>
                <w:highlight w:val="none"/>
              </w:rPr>
            </w:pPr>
            <w:r>
              <w:rPr>
                <w:rFonts w:hint="eastAsia" w:ascii="宋体" w:hAnsi="宋体" w:eastAsia="等线" w:cs="等线"/>
                <w:b/>
                <w:color w:val="auto"/>
                <w:sz w:val="28"/>
                <w:szCs w:val="28"/>
                <w:highlight w:val="none"/>
              </w:rPr>
              <w:t>施工组织设计</w:t>
            </w:r>
          </w:p>
        </w:tc>
        <w:tc>
          <w:tcPr>
            <w:tcW w:w="1821" w:type="dxa"/>
            <w:noWrap/>
            <w:vAlign w:val="center"/>
          </w:tcPr>
          <w:p>
            <w:pPr>
              <w:spacing w:line="360" w:lineRule="auto"/>
              <w:jc w:val="center"/>
              <w:rPr>
                <w:rFonts w:ascii="宋体" w:hAnsi="宋体" w:cs="宋体"/>
                <w:color w:val="auto"/>
                <w:highlight w:val="none"/>
              </w:rPr>
            </w:pPr>
            <w:r>
              <w:rPr>
                <w:rFonts w:hint="eastAsia" w:ascii="宋体" w:hAnsi="宋体" w:cs="宋体"/>
                <w:color w:val="auto"/>
                <w:highlight w:val="none"/>
              </w:rPr>
              <w:t>质量管理体系与措施（5分）</w:t>
            </w:r>
          </w:p>
        </w:tc>
        <w:tc>
          <w:tcPr>
            <w:tcW w:w="7088" w:type="dxa"/>
            <w:noWrap/>
            <w:vAlign w:val="center"/>
          </w:tcPr>
          <w:p>
            <w:pPr>
              <w:spacing w:line="360" w:lineRule="auto"/>
              <w:rPr>
                <w:rFonts w:ascii="宋体" w:hAnsi="宋体" w:cs="宋体"/>
                <w:color w:val="auto"/>
                <w:highlight w:val="none"/>
              </w:rPr>
            </w:pPr>
            <w:r>
              <w:rPr>
                <w:rFonts w:hint="eastAsia" w:ascii="宋体" w:hAnsi="宋体" w:cs="宋体"/>
                <w:color w:val="auto"/>
                <w:highlight w:val="none"/>
              </w:rPr>
              <w:t>质量管理体系完善、措施落实得好的得满分，其它按等级打分。</w:t>
            </w:r>
          </w:p>
          <w:p>
            <w:pPr>
              <w:spacing w:line="360" w:lineRule="auto"/>
              <w:rPr>
                <w:rFonts w:ascii="宋体" w:hAnsi="宋体" w:cs="宋体"/>
                <w:color w:val="auto"/>
                <w:highlight w:val="none"/>
              </w:rPr>
            </w:pPr>
            <w:r>
              <w:rPr>
                <w:rFonts w:hint="eastAsia" w:ascii="宋体" w:hAnsi="宋体" w:cs="宋体"/>
                <w:color w:val="auto"/>
                <w:highlight w:val="none"/>
              </w:rPr>
              <w:t>【优】5.0-4.5分。【良】4.5-4.0分。【一般】4.0-3.5分。【差】3.5-1.0，不提供此项内容不得分。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567" w:type="dxa"/>
            <w:vMerge w:val="continue"/>
            <w:noWrap/>
          </w:tcPr>
          <w:p>
            <w:pPr>
              <w:snapToGrid w:val="0"/>
              <w:spacing w:line="360" w:lineRule="auto"/>
              <w:ind w:right="-61" w:rightChars="-29" w:firstLine="480"/>
              <w:jc w:val="center"/>
              <w:rPr>
                <w:rFonts w:ascii="宋体" w:hAnsi="宋体" w:eastAsia="等线" w:cs="等线"/>
                <w:b/>
                <w:bCs/>
                <w:color w:val="auto"/>
                <w:sz w:val="24"/>
                <w:highlight w:val="none"/>
              </w:rPr>
            </w:pPr>
          </w:p>
        </w:tc>
        <w:tc>
          <w:tcPr>
            <w:tcW w:w="1821" w:type="dxa"/>
            <w:noWrap/>
            <w:vAlign w:val="center"/>
          </w:tcPr>
          <w:p>
            <w:pPr>
              <w:spacing w:line="360" w:lineRule="auto"/>
              <w:jc w:val="center"/>
              <w:rPr>
                <w:rFonts w:ascii="宋体" w:hAnsi="宋体" w:cs="宋体"/>
                <w:color w:val="auto"/>
                <w:highlight w:val="none"/>
              </w:rPr>
            </w:pPr>
            <w:r>
              <w:rPr>
                <w:rFonts w:hint="eastAsia" w:ascii="宋体" w:hAnsi="宋体" w:cs="宋体"/>
                <w:color w:val="auto"/>
                <w:highlight w:val="none"/>
              </w:rPr>
              <w:t>安全管理体系与措施（5分）</w:t>
            </w:r>
          </w:p>
        </w:tc>
        <w:tc>
          <w:tcPr>
            <w:tcW w:w="7088" w:type="dxa"/>
            <w:noWrap/>
            <w:vAlign w:val="center"/>
          </w:tcPr>
          <w:p>
            <w:pPr>
              <w:spacing w:line="360" w:lineRule="auto"/>
              <w:rPr>
                <w:rFonts w:ascii="宋体" w:hAnsi="宋体" w:cs="宋体"/>
                <w:color w:val="auto"/>
                <w:highlight w:val="none"/>
              </w:rPr>
            </w:pPr>
            <w:r>
              <w:rPr>
                <w:rFonts w:hint="eastAsia" w:ascii="宋体" w:hAnsi="宋体" w:cs="宋体"/>
                <w:color w:val="auto"/>
                <w:highlight w:val="none"/>
              </w:rPr>
              <w:t>安全管理体系完善、措施落实得好的得满分，其它按等级打分。</w:t>
            </w:r>
          </w:p>
          <w:p>
            <w:pPr>
              <w:spacing w:line="360" w:lineRule="auto"/>
              <w:rPr>
                <w:rFonts w:ascii="宋体" w:hAnsi="宋体" w:cs="宋体"/>
                <w:color w:val="auto"/>
                <w:highlight w:val="none"/>
              </w:rPr>
            </w:pPr>
            <w:r>
              <w:rPr>
                <w:rFonts w:hint="eastAsia" w:ascii="宋体" w:hAnsi="宋体" w:cs="宋体"/>
                <w:color w:val="auto"/>
                <w:highlight w:val="none"/>
              </w:rPr>
              <w:t>【优】5.0-4.5分。【良】4.5-4.0分。【一般】4.0-3.5分。【差】3.5-1.0，不提供此项内容不得分。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567" w:type="dxa"/>
            <w:vMerge w:val="continue"/>
            <w:noWrap/>
          </w:tcPr>
          <w:p>
            <w:pPr>
              <w:snapToGrid w:val="0"/>
              <w:spacing w:line="360" w:lineRule="auto"/>
              <w:ind w:firstLine="480"/>
              <w:jc w:val="center"/>
              <w:rPr>
                <w:rFonts w:ascii="宋体" w:hAnsi="宋体" w:eastAsia="等线" w:cs="等线"/>
                <w:b/>
                <w:bCs/>
                <w:color w:val="auto"/>
                <w:sz w:val="24"/>
                <w:highlight w:val="none"/>
              </w:rPr>
            </w:pPr>
          </w:p>
        </w:tc>
        <w:tc>
          <w:tcPr>
            <w:tcW w:w="1821" w:type="dxa"/>
            <w:noWrap/>
            <w:vAlign w:val="center"/>
          </w:tcPr>
          <w:p>
            <w:pPr>
              <w:spacing w:line="360" w:lineRule="auto"/>
              <w:jc w:val="center"/>
              <w:rPr>
                <w:rFonts w:ascii="宋体" w:hAnsi="宋体" w:cs="宋体"/>
                <w:color w:val="auto"/>
                <w:highlight w:val="none"/>
              </w:rPr>
            </w:pPr>
            <w:r>
              <w:rPr>
                <w:rFonts w:hint="eastAsia" w:ascii="宋体" w:hAnsi="宋体" w:cs="宋体"/>
                <w:color w:val="auto"/>
                <w:highlight w:val="none"/>
              </w:rPr>
              <w:t>环境保护管理体系与措施（5分）</w:t>
            </w:r>
          </w:p>
        </w:tc>
        <w:tc>
          <w:tcPr>
            <w:tcW w:w="7088" w:type="dxa"/>
            <w:noWrap/>
            <w:vAlign w:val="center"/>
          </w:tcPr>
          <w:p>
            <w:pPr>
              <w:spacing w:line="360" w:lineRule="auto"/>
              <w:rPr>
                <w:rFonts w:ascii="宋体" w:hAnsi="宋体" w:cs="宋体"/>
                <w:color w:val="auto"/>
                <w:highlight w:val="none"/>
              </w:rPr>
            </w:pPr>
            <w:r>
              <w:rPr>
                <w:rFonts w:hint="eastAsia" w:ascii="宋体" w:hAnsi="宋体" w:cs="宋体"/>
                <w:color w:val="auto"/>
                <w:highlight w:val="none"/>
              </w:rPr>
              <w:t>环境保护管理体系完善、措施落实得好的得满分，其它按等级打分。</w:t>
            </w:r>
          </w:p>
          <w:p>
            <w:pPr>
              <w:spacing w:line="360" w:lineRule="auto"/>
              <w:rPr>
                <w:rFonts w:ascii="宋体" w:hAnsi="宋体" w:cs="宋体"/>
                <w:color w:val="auto"/>
                <w:highlight w:val="none"/>
              </w:rPr>
            </w:pPr>
            <w:r>
              <w:rPr>
                <w:rFonts w:hint="eastAsia" w:ascii="宋体" w:hAnsi="宋体" w:cs="宋体"/>
                <w:color w:val="auto"/>
                <w:highlight w:val="none"/>
              </w:rPr>
              <w:t>【优】5.0-4.5分。【良】4.5-4.0分。【一般】4.0-3.5分。【差】3.5-1.0，不提供此项内容不得分。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567" w:type="dxa"/>
            <w:vMerge w:val="continue"/>
            <w:noWrap/>
          </w:tcPr>
          <w:p>
            <w:pPr>
              <w:snapToGrid w:val="0"/>
              <w:spacing w:line="360" w:lineRule="auto"/>
              <w:ind w:firstLine="480"/>
              <w:jc w:val="center"/>
              <w:rPr>
                <w:rFonts w:ascii="宋体" w:hAnsi="宋体" w:eastAsia="等线" w:cs="等线"/>
                <w:b/>
                <w:bCs/>
                <w:color w:val="auto"/>
                <w:sz w:val="24"/>
                <w:highlight w:val="none"/>
              </w:rPr>
            </w:pPr>
          </w:p>
        </w:tc>
        <w:tc>
          <w:tcPr>
            <w:tcW w:w="1821" w:type="dxa"/>
            <w:noWrap/>
            <w:vAlign w:val="center"/>
          </w:tcPr>
          <w:p>
            <w:pPr>
              <w:spacing w:line="360" w:lineRule="auto"/>
              <w:jc w:val="center"/>
              <w:rPr>
                <w:rFonts w:ascii="宋体" w:hAnsi="宋体" w:cs="宋体"/>
                <w:color w:val="auto"/>
                <w:highlight w:val="none"/>
              </w:rPr>
            </w:pPr>
            <w:r>
              <w:rPr>
                <w:rFonts w:hint="eastAsia" w:ascii="宋体" w:hAnsi="宋体" w:cs="宋体"/>
                <w:color w:val="auto"/>
                <w:highlight w:val="none"/>
              </w:rPr>
              <w:t>工程建设进度计划与措施（5分）</w:t>
            </w:r>
          </w:p>
        </w:tc>
        <w:tc>
          <w:tcPr>
            <w:tcW w:w="7088" w:type="dxa"/>
            <w:noWrap/>
            <w:vAlign w:val="center"/>
          </w:tcPr>
          <w:p>
            <w:pPr>
              <w:spacing w:line="360" w:lineRule="auto"/>
              <w:rPr>
                <w:rFonts w:ascii="宋体" w:hAnsi="宋体" w:cs="宋体"/>
                <w:color w:val="auto"/>
                <w:highlight w:val="none"/>
              </w:rPr>
            </w:pPr>
            <w:r>
              <w:rPr>
                <w:rFonts w:hint="eastAsia" w:ascii="宋体" w:hAnsi="宋体" w:cs="宋体"/>
                <w:color w:val="auto"/>
                <w:highlight w:val="none"/>
              </w:rPr>
              <w:t>工程建设进度满足招标文件要求，关键线路清晰、准确、完整，计划编制合理、可行，关键节点的控制措施合理的得满分，其它按等级打分。</w:t>
            </w:r>
          </w:p>
          <w:p>
            <w:pPr>
              <w:spacing w:line="360" w:lineRule="auto"/>
              <w:rPr>
                <w:rFonts w:ascii="宋体" w:hAnsi="宋体" w:cs="宋体"/>
                <w:color w:val="auto"/>
                <w:highlight w:val="none"/>
              </w:rPr>
            </w:pPr>
            <w:r>
              <w:rPr>
                <w:rFonts w:hint="eastAsia" w:ascii="宋体" w:hAnsi="宋体" w:cs="宋体"/>
                <w:color w:val="auto"/>
                <w:highlight w:val="none"/>
              </w:rPr>
              <w:t>【优】5.0-4.5分。【良】4.5-4.0分。【一般】4.0-3.5分。【差】3.5-1.0，不提供此项内容不得分。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567" w:type="dxa"/>
            <w:vMerge w:val="continue"/>
            <w:noWrap/>
          </w:tcPr>
          <w:p>
            <w:pPr>
              <w:snapToGrid w:val="0"/>
              <w:spacing w:line="360" w:lineRule="auto"/>
              <w:ind w:firstLine="480"/>
              <w:jc w:val="center"/>
              <w:rPr>
                <w:rFonts w:ascii="宋体" w:hAnsi="宋体" w:eastAsia="等线" w:cs="等线"/>
                <w:b/>
                <w:bCs/>
                <w:color w:val="auto"/>
                <w:sz w:val="24"/>
                <w:highlight w:val="none"/>
              </w:rPr>
            </w:pPr>
          </w:p>
        </w:tc>
        <w:tc>
          <w:tcPr>
            <w:tcW w:w="1821" w:type="dxa"/>
            <w:noWrap/>
            <w:vAlign w:val="center"/>
          </w:tcPr>
          <w:p>
            <w:pPr>
              <w:spacing w:line="360" w:lineRule="auto"/>
              <w:jc w:val="center"/>
              <w:rPr>
                <w:rFonts w:ascii="宋体" w:hAnsi="宋体" w:cs="宋体"/>
                <w:color w:val="auto"/>
                <w:highlight w:val="none"/>
              </w:rPr>
            </w:pPr>
            <w:r>
              <w:rPr>
                <w:rFonts w:hint="eastAsia" w:ascii="宋体" w:hAnsi="宋体" w:cs="宋体"/>
                <w:color w:val="auto"/>
                <w:highlight w:val="none"/>
              </w:rPr>
              <w:t>资源配备计划</w:t>
            </w:r>
          </w:p>
          <w:p>
            <w:pPr>
              <w:spacing w:line="360" w:lineRule="auto"/>
              <w:jc w:val="center"/>
              <w:rPr>
                <w:rFonts w:ascii="宋体" w:hAnsi="宋体" w:cs="宋体"/>
                <w:color w:val="auto"/>
                <w:highlight w:val="none"/>
              </w:rPr>
            </w:pPr>
            <w:r>
              <w:rPr>
                <w:rFonts w:hint="eastAsia" w:ascii="宋体" w:hAnsi="宋体" w:cs="宋体"/>
                <w:color w:val="auto"/>
                <w:highlight w:val="none"/>
              </w:rPr>
              <w:t>（5分）</w:t>
            </w:r>
          </w:p>
        </w:tc>
        <w:tc>
          <w:tcPr>
            <w:tcW w:w="7088" w:type="dxa"/>
            <w:noWrap/>
            <w:vAlign w:val="center"/>
          </w:tcPr>
          <w:p>
            <w:pPr>
              <w:spacing w:line="360" w:lineRule="auto"/>
              <w:rPr>
                <w:rFonts w:ascii="宋体" w:hAnsi="宋体" w:cs="宋体"/>
                <w:color w:val="auto"/>
                <w:highlight w:val="none"/>
              </w:rPr>
            </w:pPr>
            <w:r>
              <w:rPr>
                <w:rFonts w:hint="eastAsia" w:ascii="宋体" w:hAnsi="宋体" w:cs="宋体"/>
                <w:color w:val="auto"/>
                <w:highlight w:val="none"/>
              </w:rPr>
              <w:t>劳动力、材料、机械设备等配备计划完善合理、科学可行的得满分，其它按等级打分。</w:t>
            </w:r>
          </w:p>
          <w:p>
            <w:pPr>
              <w:spacing w:line="360" w:lineRule="auto"/>
              <w:rPr>
                <w:rFonts w:ascii="宋体" w:hAnsi="宋体" w:cs="宋体"/>
                <w:color w:val="auto"/>
                <w:highlight w:val="none"/>
              </w:rPr>
            </w:pPr>
            <w:r>
              <w:rPr>
                <w:rFonts w:hint="eastAsia" w:ascii="宋体" w:hAnsi="宋体" w:cs="宋体"/>
                <w:color w:val="auto"/>
                <w:highlight w:val="none"/>
              </w:rPr>
              <w:t>【优】5.0-4.5分。【良】4.5-4.0分。【一般】4.0-3.5分。【差】3.5-1.0，不提供此项内容不得分。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567" w:type="dxa"/>
            <w:vMerge w:val="continue"/>
            <w:noWrap/>
          </w:tcPr>
          <w:p>
            <w:pPr>
              <w:snapToGrid w:val="0"/>
              <w:spacing w:line="360" w:lineRule="auto"/>
              <w:ind w:firstLine="480"/>
              <w:jc w:val="center"/>
              <w:rPr>
                <w:rFonts w:ascii="宋体" w:hAnsi="宋体" w:eastAsia="等线" w:cs="等线"/>
                <w:b/>
                <w:bCs/>
                <w:color w:val="auto"/>
                <w:sz w:val="24"/>
                <w:highlight w:val="none"/>
              </w:rPr>
            </w:pPr>
          </w:p>
        </w:tc>
        <w:tc>
          <w:tcPr>
            <w:tcW w:w="1821" w:type="dxa"/>
            <w:noWrap/>
            <w:vAlign w:val="center"/>
          </w:tcPr>
          <w:p>
            <w:pPr>
              <w:spacing w:line="360" w:lineRule="auto"/>
              <w:jc w:val="center"/>
              <w:rPr>
                <w:rFonts w:ascii="宋体" w:hAnsi="宋体" w:cs="宋体"/>
                <w:color w:val="auto"/>
                <w:highlight w:val="none"/>
              </w:rPr>
            </w:pPr>
            <w:r>
              <w:rPr>
                <w:rFonts w:hint="eastAsia" w:ascii="宋体" w:hAnsi="宋体" w:cs="宋体"/>
                <w:color w:val="auto"/>
                <w:highlight w:val="none"/>
              </w:rPr>
              <w:t>售后服务及培训方案（5分）</w:t>
            </w:r>
          </w:p>
        </w:tc>
        <w:tc>
          <w:tcPr>
            <w:tcW w:w="7088" w:type="dxa"/>
            <w:noWrap/>
            <w:vAlign w:val="center"/>
          </w:tcPr>
          <w:p>
            <w:pPr>
              <w:spacing w:line="360" w:lineRule="auto"/>
              <w:rPr>
                <w:rFonts w:ascii="宋体" w:hAnsi="宋体" w:cs="宋体"/>
                <w:color w:val="auto"/>
                <w:highlight w:val="none"/>
              </w:rPr>
            </w:pPr>
            <w:r>
              <w:rPr>
                <w:rFonts w:hint="eastAsia" w:ascii="宋体" w:hAnsi="宋体" w:cs="宋体"/>
                <w:color w:val="auto"/>
                <w:highlight w:val="none"/>
              </w:rPr>
              <w:t>根据投标人的售后服务方案进行评审，方案应包含但不限于如下内容：人员配置数量、服务内容、服务响应时间及方式、应急处理预案、对使用方人员的培训计划及方案。根据方案完整性、科学合理性、可操作性综合评价。</w:t>
            </w:r>
          </w:p>
          <w:p>
            <w:pPr>
              <w:spacing w:line="360" w:lineRule="auto"/>
              <w:rPr>
                <w:rFonts w:ascii="宋体" w:hAnsi="宋体" w:cs="宋体"/>
                <w:color w:val="auto"/>
                <w:highlight w:val="none"/>
              </w:rPr>
            </w:pPr>
            <w:r>
              <w:rPr>
                <w:rFonts w:hint="eastAsia" w:ascii="宋体" w:hAnsi="宋体" w:cs="宋体"/>
                <w:color w:val="auto"/>
                <w:highlight w:val="none"/>
              </w:rPr>
              <w:t>【优】5.0-4.5分。【良】4.5-4.0分。【一般】4.0-3.5分。【差】3.5-1.0，不提供此项内容不得分。</w:t>
            </w:r>
          </w:p>
        </w:tc>
      </w:tr>
    </w:tbl>
    <w:p>
      <w:pPr>
        <w:spacing w:line="440" w:lineRule="exact"/>
        <w:rPr>
          <w:rFonts w:ascii="宋体" w:hAnsi="宋体" w:cs="宋体"/>
          <w:b/>
          <w:color w:val="auto"/>
          <w:sz w:val="28"/>
          <w:szCs w:val="28"/>
          <w:highlight w:val="none"/>
        </w:rPr>
      </w:pPr>
      <w:r>
        <w:rPr>
          <w:rFonts w:hint="eastAsia" w:ascii="宋体" w:hAnsi="宋体"/>
          <w:b/>
          <w:color w:val="auto"/>
          <w:sz w:val="24"/>
          <w:highlight w:val="none"/>
        </w:rPr>
        <w:br w:type="page"/>
      </w:r>
      <w:r>
        <w:rPr>
          <w:rFonts w:hint="eastAsia" w:ascii="宋体" w:hAnsi="宋体"/>
          <w:b/>
          <w:color w:val="auto"/>
          <w:sz w:val="24"/>
          <w:highlight w:val="none"/>
        </w:rPr>
        <w:t>附件二：</w:t>
      </w:r>
      <w:r>
        <w:rPr>
          <w:rFonts w:hint="eastAsia" w:ascii="宋体" w:hAnsi="宋体" w:cs="宋体"/>
          <w:b/>
          <w:color w:val="auto"/>
          <w:sz w:val="28"/>
          <w:szCs w:val="28"/>
          <w:highlight w:val="none"/>
        </w:rPr>
        <w:t>商务标综合评分表</w:t>
      </w: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商务标综合评分表（70分）</w:t>
      </w:r>
    </w:p>
    <w:tbl>
      <w:tblPr>
        <w:tblStyle w:val="47"/>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933"/>
        <w:gridCol w:w="6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1824" w:type="dxa"/>
            <w:tcBorders>
              <w:top w:val="single" w:color="auto" w:sz="4" w:space="0"/>
              <w:left w:val="single" w:color="auto" w:sz="4" w:space="0"/>
              <w:bottom w:val="single" w:color="auto" w:sz="4" w:space="0"/>
              <w:right w:val="single" w:color="auto" w:sz="4" w:space="0"/>
            </w:tcBorders>
            <w:shd w:val="clear" w:color="auto" w:fill="C0C0C0"/>
            <w:noWrap/>
            <w:vAlign w:val="center"/>
          </w:tcPr>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分项内容</w:t>
            </w:r>
          </w:p>
        </w:tc>
        <w:tc>
          <w:tcPr>
            <w:tcW w:w="933" w:type="dxa"/>
            <w:tcBorders>
              <w:top w:val="single" w:color="auto" w:sz="4" w:space="0"/>
              <w:left w:val="single" w:color="auto" w:sz="4" w:space="0"/>
              <w:bottom w:val="single" w:color="auto" w:sz="4" w:space="0"/>
              <w:right w:val="single" w:color="auto" w:sz="4" w:space="0"/>
            </w:tcBorders>
            <w:shd w:val="clear" w:color="auto" w:fill="C0C0C0"/>
            <w:noWrap/>
            <w:vAlign w:val="center"/>
          </w:tcPr>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满分</w:t>
            </w:r>
          </w:p>
        </w:tc>
        <w:tc>
          <w:tcPr>
            <w:tcW w:w="6873" w:type="dxa"/>
            <w:tcBorders>
              <w:top w:val="single" w:color="auto" w:sz="4" w:space="0"/>
              <w:left w:val="single" w:color="auto" w:sz="4" w:space="0"/>
              <w:bottom w:val="single" w:color="auto" w:sz="4" w:space="0"/>
              <w:right w:val="single" w:color="auto" w:sz="4" w:space="0"/>
            </w:tcBorders>
            <w:shd w:val="clear" w:color="auto" w:fill="C0C0C0"/>
            <w:noWrap/>
            <w:vAlign w:val="center"/>
          </w:tcPr>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0" w:hRule="atLeast"/>
          <w:jc w:val="center"/>
        </w:trPr>
        <w:tc>
          <w:tcPr>
            <w:tcW w:w="1824"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企业体系</w:t>
            </w:r>
          </w:p>
        </w:tc>
        <w:tc>
          <w:tcPr>
            <w:tcW w:w="933" w:type="dxa"/>
            <w:tcBorders>
              <w:top w:val="single" w:color="auto" w:sz="4" w:space="0"/>
              <w:left w:val="nil"/>
              <w:bottom w:val="single" w:color="auto" w:sz="4" w:space="0"/>
              <w:right w:val="single" w:color="auto" w:sz="4" w:space="0"/>
            </w:tcBorders>
            <w:noWrap/>
            <w:vAlign w:val="center"/>
          </w:tcPr>
          <w:p>
            <w:pPr>
              <w:spacing w:line="360" w:lineRule="auto"/>
              <w:ind w:right="-73"/>
              <w:jc w:val="center"/>
              <w:rPr>
                <w:rFonts w:ascii="宋体" w:hAnsi="宋体" w:cs="宋体"/>
                <w:color w:val="auto"/>
                <w:szCs w:val="21"/>
                <w:highlight w:val="none"/>
              </w:rPr>
            </w:pPr>
            <w:r>
              <w:rPr>
                <w:rFonts w:hint="eastAsia" w:ascii="宋体" w:hAnsi="宋体" w:cs="宋体"/>
                <w:color w:val="auto"/>
                <w:szCs w:val="21"/>
                <w:highlight w:val="none"/>
              </w:rPr>
              <w:t>6分</w:t>
            </w:r>
          </w:p>
        </w:tc>
        <w:tc>
          <w:tcPr>
            <w:tcW w:w="6873" w:type="dxa"/>
            <w:tcBorders>
              <w:top w:val="single" w:color="auto" w:sz="4" w:space="0"/>
              <w:left w:val="nil"/>
              <w:bottom w:val="single" w:color="auto" w:sz="4" w:space="0"/>
              <w:right w:val="single" w:color="auto" w:sz="4" w:space="0"/>
            </w:tcBorders>
            <w:noWrap/>
          </w:tcPr>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投标人需同时具备三项体系认证（环境管理体系认证证书、质量管理体系认证证书、职业健康安全管理体系认证证书）和被省或以上科技主管部门认定为高新技术企业。</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①投标人同时具备三项体系认证和高新技术企业且在有效期内的，得6分。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②投标人仅具备三项体系认证且在有效期内的，得4分。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③投标人仅具备两项或两项以下体系认证证书，不得分。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注：提供证书复印件。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824"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企业业绩</w:t>
            </w:r>
          </w:p>
        </w:tc>
        <w:tc>
          <w:tcPr>
            <w:tcW w:w="933" w:type="dxa"/>
            <w:tcBorders>
              <w:top w:val="single" w:color="auto" w:sz="4" w:space="0"/>
              <w:left w:val="nil"/>
              <w:bottom w:val="single" w:color="auto" w:sz="4" w:space="0"/>
              <w:right w:val="single" w:color="auto" w:sz="4" w:space="0"/>
            </w:tcBorders>
            <w:noWrap/>
            <w:vAlign w:val="center"/>
          </w:tcPr>
          <w:p>
            <w:pPr>
              <w:spacing w:line="360" w:lineRule="auto"/>
              <w:ind w:right="-73"/>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6873" w:type="dxa"/>
            <w:tcBorders>
              <w:top w:val="single" w:color="auto" w:sz="4" w:space="0"/>
              <w:left w:val="nil"/>
              <w:bottom w:val="single" w:color="auto" w:sz="4" w:space="0"/>
              <w:right w:val="single" w:color="auto" w:sz="4" w:space="0"/>
            </w:tcBorders>
            <w:noWrap/>
          </w:tcPr>
          <w:p>
            <w:pPr>
              <w:snapToGrid w:val="0"/>
              <w:spacing w:line="360" w:lineRule="auto"/>
              <w:rPr>
                <w:rFonts w:ascii="宋体" w:hAnsi="宋体" w:cs="宋体"/>
                <w:b/>
                <w:bCs/>
                <w:color w:val="auto"/>
                <w:szCs w:val="21"/>
                <w:highlight w:val="none"/>
              </w:rPr>
            </w:pPr>
            <w:r>
              <w:rPr>
                <w:rFonts w:hint="eastAsia" w:ascii="宋体" w:hAnsi="宋体" w:cs="宋体"/>
                <w:color w:val="auto"/>
                <w:szCs w:val="21"/>
                <w:highlight w:val="none"/>
              </w:rPr>
              <w:t>投标人2021年1月1日至今</w:t>
            </w:r>
            <w:r>
              <w:rPr>
                <w:rFonts w:hint="eastAsia" w:ascii="宋体" w:hAnsi="宋体" w:cs="宋体"/>
                <w:b/>
                <w:bCs/>
                <w:color w:val="auto"/>
                <w:szCs w:val="21"/>
                <w:highlight w:val="none"/>
              </w:rPr>
              <w:t>(以竣工日期为准）</w:t>
            </w:r>
          </w:p>
          <w:p>
            <w:pPr>
              <w:widowControl/>
              <w:numPr>
                <w:ilvl w:val="0"/>
                <w:numId w:val="10"/>
              </w:num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具有5(含)个以上工程造价2000万元（含）以上的机电设备采购或机电设备安装业绩得10分；</w:t>
            </w:r>
          </w:p>
          <w:p>
            <w:pPr>
              <w:widowControl/>
              <w:numPr>
                <w:ilvl w:val="0"/>
                <w:numId w:val="10"/>
              </w:num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具有3-4个工程造价2000万元（含）以上的机电设备采购或机电设备安装业绩得8分；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3、具有2个工程造价2000万元（含）以上的机电设备采购或机电设备安装业绩得6分；</w:t>
            </w:r>
          </w:p>
          <w:p>
            <w:pPr>
              <w:pStyle w:val="14"/>
              <w:snapToGrid w:val="0"/>
              <w:spacing w:line="360" w:lineRule="auto"/>
              <w:ind w:firstLine="0"/>
              <w:rPr>
                <w:rFonts w:ascii="宋体" w:hAnsi="宋体" w:cs="宋体"/>
                <w:color w:val="auto"/>
                <w:szCs w:val="21"/>
                <w:highlight w:val="none"/>
              </w:rPr>
            </w:pPr>
            <w:r>
              <w:rPr>
                <w:rFonts w:hint="eastAsia" w:ascii="宋体" w:hAnsi="宋体" w:cs="宋体"/>
                <w:color w:val="auto"/>
                <w:szCs w:val="21"/>
                <w:highlight w:val="none"/>
              </w:rPr>
              <w:t>4、具有1个工程造价2000万元（含）以上的机电设备采购或机电设备安装业绩得2分；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本项最高得10分。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注：需提供施工合同、竣工验收报告，如前</w:t>
            </w:r>
            <w:r>
              <w:rPr>
                <w:rFonts w:hint="eastAsia" w:ascii="宋体" w:hAnsi="宋体" w:cs="宋体"/>
                <w:color w:val="auto"/>
                <w:szCs w:val="21"/>
                <w:highlight w:val="none"/>
                <w:u w:val="none"/>
              </w:rPr>
              <w:t>述</w:t>
            </w:r>
            <w:r>
              <w:rPr>
                <w:rFonts w:hint="eastAsia" w:ascii="宋体" w:hAnsi="宋体" w:cs="宋体"/>
                <w:color w:val="auto"/>
                <w:szCs w:val="21"/>
                <w:highlight w:val="none"/>
              </w:rPr>
              <w:t>证明材料不能清晰反映有关特征和必要信息的，还须提供该项工程业绩的业主证明并须业主方的联系人及联系电话（业绩限国内业绩）。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5" w:hRule="atLeast"/>
          <w:jc w:val="center"/>
        </w:trPr>
        <w:tc>
          <w:tcPr>
            <w:tcW w:w="1824"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施工团队人员实力</w:t>
            </w:r>
          </w:p>
        </w:tc>
        <w:tc>
          <w:tcPr>
            <w:tcW w:w="933" w:type="dxa"/>
            <w:tcBorders>
              <w:top w:val="single" w:color="auto" w:sz="4" w:space="0"/>
              <w:left w:val="nil"/>
              <w:bottom w:val="single" w:color="auto" w:sz="4" w:space="0"/>
              <w:right w:val="single" w:color="auto" w:sz="4" w:space="0"/>
            </w:tcBorders>
            <w:noWrap/>
            <w:vAlign w:val="center"/>
          </w:tcPr>
          <w:p>
            <w:pPr>
              <w:spacing w:line="360" w:lineRule="auto"/>
              <w:ind w:right="-73"/>
              <w:jc w:val="center"/>
              <w:rPr>
                <w:rFonts w:ascii="宋体" w:hAnsi="宋体" w:cs="宋体"/>
                <w:color w:val="auto"/>
                <w:szCs w:val="21"/>
                <w:highlight w:val="none"/>
              </w:rPr>
            </w:pPr>
            <w:r>
              <w:rPr>
                <w:rFonts w:hint="eastAsia" w:ascii="宋体" w:hAnsi="宋体" w:cs="宋体"/>
                <w:color w:val="auto"/>
                <w:szCs w:val="21"/>
                <w:highlight w:val="none"/>
              </w:rPr>
              <w:t>6分</w:t>
            </w:r>
          </w:p>
        </w:tc>
        <w:tc>
          <w:tcPr>
            <w:tcW w:w="6873" w:type="dxa"/>
            <w:tcBorders>
              <w:top w:val="single" w:color="auto" w:sz="4" w:space="0"/>
              <w:left w:val="nil"/>
              <w:bottom w:val="single" w:color="auto" w:sz="4" w:space="0"/>
              <w:right w:val="single" w:color="auto" w:sz="4" w:space="0"/>
            </w:tcBorders>
            <w:noWrap/>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1.项目负责人: 具有高级工程师（或以上）职称的的，得2分。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2.项目技术负责人: 具有注册二级建造师或中级工程师（或以上）职称的，得2分。</w:t>
            </w:r>
          </w:p>
          <w:p>
            <w:pPr>
              <w:spacing w:line="360" w:lineRule="auto"/>
              <w:rPr>
                <w:rFonts w:ascii="宋体" w:hAnsi="宋体" w:cs="宋体"/>
                <w:strike/>
                <w:color w:val="auto"/>
                <w:szCs w:val="21"/>
                <w:highlight w:val="none"/>
              </w:rPr>
            </w:pPr>
            <w:r>
              <w:rPr>
                <w:rFonts w:hint="eastAsia" w:ascii="宋体" w:hAnsi="宋体" w:cs="宋体"/>
                <w:color w:val="auto"/>
                <w:szCs w:val="21"/>
                <w:highlight w:val="none"/>
              </w:rPr>
              <w:t>3.安全负责人: 具有注册安全工程师、注册二级建造师或中级工程师（或以上），得2分。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注：拟派人员须为本单位在职人员且不同岗位不能为同一人，提供相关注册证或职称证书、身份证复印件以及近三个月社保证明复印件，否则不得分。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824"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企业获奖</w:t>
            </w:r>
          </w:p>
        </w:tc>
        <w:tc>
          <w:tcPr>
            <w:tcW w:w="933" w:type="dxa"/>
            <w:tcBorders>
              <w:top w:val="single" w:color="auto" w:sz="4" w:space="0"/>
              <w:left w:val="nil"/>
              <w:bottom w:val="single" w:color="auto" w:sz="4" w:space="0"/>
              <w:right w:val="single" w:color="auto" w:sz="4" w:space="0"/>
            </w:tcBorders>
            <w:noWrap/>
            <w:vAlign w:val="center"/>
          </w:tcPr>
          <w:p>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6分</w:t>
            </w:r>
          </w:p>
        </w:tc>
        <w:tc>
          <w:tcPr>
            <w:tcW w:w="6873" w:type="dxa"/>
            <w:tcBorders>
              <w:top w:val="single" w:color="auto" w:sz="4" w:space="0"/>
              <w:left w:val="nil"/>
              <w:bottom w:val="single" w:color="auto" w:sz="4" w:space="0"/>
              <w:right w:val="single" w:color="auto" w:sz="4" w:space="0"/>
            </w:tcBorders>
            <w:noWrap/>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pacing w:val="-1"/>
                <w:szCs w:val="21"/>
                <w:highlight w:val="none"/>
              </w:rPr>
              <w:t xml:space="preserve"> 投标人近5年承建的工程项目获得国家级奖项的（安装工程优质奖（安装之星）），</w:t>
            </w:r>
            <w:r>
              <w:rPr>
                <w:rFonts w:hint="eastAsia" w:ascii="宋体" w:hAnsi="宋体" w:cs="宋体"/>
                <w:color w:val="auto"/>
                <w:szCs w:val="21"/>
                <w:highlight w:val="none"/>
              </w:rPr>
              <w:t>得6分；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pacing w:val="-1"/>
                <w:szCs w:val="21"/>
                <w:highlight w:val="none"/>
              </w:rPr>
              <w:t xml:space="preserve"> 投标人近5年承建的工程项目获得全国优秀焊接工程奖，</w:t>
            </w:r>
            <w:r>
              <w:rPr>
                <w:rFonts w:hint="eastAsia" w:ascii="宋体" w:hAnsi="宋体" w:cs="宋体"/>
                <w:color w:val="auto"/>
                <w:szCs w:val="21"/>
                <w:highlight w:val="none"/>
              </w:rPr>
              <w:t>得4分；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pacing w:val="-1"/>
                <w:szCs w:val="21"/>
                <w:highlight w:val="none"/>
              </w:rPr>
              <w:t xml:space="preserve"> 投标人近5年承建的工程项目获得省级奖项的（各省市（自治区）工程质量奖）</w:t>
            </w:r>
            <w:r>
              <w:rPr>
                <w:rFonts w:hint="eastAsia" w:ascii="宋体" w:hAnsi="宋体" w:cs="宋体"/>
                <w:color w:val="auto"/>
                <w:szCs w:val="21"/>
                <w:highlight w:val="none"/>
              </w:rPr>
              <w:t>，得2分。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本项满分6分。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注：需提供获奖证书复印件,不提供不得分。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1824"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企业信誉</w:t>
            </w:r>
          </w:p>
        </w:tc>
        <w:tc>
          <w:tcPr>
            <w:tcW w:w="933" w:type="dxa"/>
            <w:tcBorders>
              <w:top w:val="single" w:color="auto" w:sz="4" w:space="0"/>
              <w:left w:val="nil"/>
              <w:bottom w:val="single" w:color="auto" w:sz="4" w:space="0"/>
              <w:right w:val="single" w:color="auto" w:sz="4" w:space="0"/>
            </w:tcBorders>
            <w:noWrap/>
            <w:vAlign w:val="center"/>
          </w:tcPr>
          <w:p>
            <w:pPr>
              <w:spacing w:line="360" w:lineRule="auto"/>
              <w:ind w:right="-73"/>
              <w:jc w:val="center"/>
              <w:rPr>
                <w:rFonts w:ascii="宋体" w:hAnsi="宋体" w:cs="宋体"/>
                <w:color w:val="auto"/>
                <w:szCs w:val="21"/>
                <w:highlight w:val="none"/>
              </w:rPr>
            </w:pPr>
            <w:r>
              <w:rPr>
                <w:rFonts w:hint="eastAsia" w:ascii="宋体" w:hAnsi="宋体" w:cs="宋体"/>
                <w:color w:val="auto"/>
                <w:szCs w:val="21"/>
                <w:highlight w:val="none"/>
              </w:rPr>
              <w:t>6分</w:t>
            </w:r>
          </w:p>
        </w:tc>
        <w:tc>
          <w:tcPr>
            <w:tcW w:w="6873" w:type="dxa"/>
            <w:tcBorders>
              <w:top w:val="single" w:color="auto" w:sz="4" w:space="0"/>
              <w:left w:val="nil"/>
              <w:bottom w:val="single" w:color="auto" w:sz="4" w:space="0"/>
              <w:right w:val="single" w:color="auto" w:sz="4" w:space="0"/>
            </w:tcBorders>
            <w:noWrap/>
          </w:tcPr>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1.投标人2019年度至今，获得4年度A级纳税信用等级的，得6分；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2.投标人2019年度至今，获得3年度A级纳税信用等级的，得4分；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3.投标人2019年度至今，获得2年度A级纳税信用等级的，得2分；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4.投标人2019年度至今，获得1年度A级纳税信用等级的，得1分；</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注：需提供 “国家税务总局”网站查询页面截图或证书复印件。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color w:val="auto"/>
                <w:kern w:val="0"/>
                <w:szCs w:val="21"/>
                <w:highlight w:val="none"/>
              </w:rPr>
            </w:pPr>
            <w:r>
              <w:rPr>
                <w:rFonts w:hint="eastAsia" w:ascii="宋体" w:hAnsi="宋体" w:cs="宋体"/>
                <w:color w:val="auto"/>
                <w:szCs w:val="21"/>
                <w:highlight w:val="none"/>
              </w:rPr>
              <w:t>财务情况</w:t>
            </w:r>
          </w:p>
        </w:tc>
        <w:tc>
          <w:tcPr>
            <w:tcW w:w="933" w:type="dxa"/>
            <w:tcBorders>
              <w:top w:val="single" w:color="auto" w:sz="4" w:space="0"/>
              <w:left w:val="nil"/>
              <w:bottom w:val="single" w:color="auto" w:sz="4" w:space="0"/>
              <w:right w:val="single" w:color="auto" w:sz="4" w:space="0"/>
            </w:tcBorders>
            <w:noWrap/>
            <w:vAlign w:val="center"/>
          </w:tcPr>
          <w:p>
            <w:pPr>
              <w:snapToGrid w:val="0"/>
              <w:spacing w:line="360" w:lineRule="auto"/>
              <w:ind w:right="-73" w:firstLine="210" w:firstLineChars="100"/>
              <w:rPr>
                <w:rFonts w:ascii="宋体" w:hAnsi="宋体" w:cs="宋体"/>
                <w:color w:val="auto"/>
                <w:szCs w:val="21"/>
                <w:highlight w:val="none"/>
              </w:rPr>
            </w:pPr>
            <w:r>
              <w:rPr>
                <w:rFonts w:hint="eastAsia" w:ascii="宋体" w:hAnsi="宋体" w:cs="宋体"/>
                <w:color w:val="auto"/>
                <w:szCs w:val="21"/>
                <w:highlight w:val="none"/>
              </w:rPr>
              <w:t>6分</w:t>
            </w:r>
          </w:p>
        </w:tc>
        <w:tc>
          <w:tcPr>
            <w:tcW w:w="6873" w:type="dxa"/>
            <w:tcBorders>
              <w:top w:val="single" w:color="auto" w:sz="4" w:space="0"/>
              <w:left w:val="nil"/>
              <w:bottom w:val="single" w:color="auto" w:sz="4" w:space="0"/>
              <w:right w:val="single" w:color="auto" w:sz="4" w:space="0"/>
            </w:tcBorders>
            <w:noWrap/>
          </w:tcPr>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投标人近三年（2020年度、2021年度、2022年度）财务状况:</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1.近三年营业额平均值≥5亿元，且平均净利润≥600万元的，</w:t>
            </w:r>
            <w:r>
              <w:rPr>
                <w:rFonts w:hint="eastAsia" w:ascii="宋体" w:hAnsi="宋体" w:cs="宋体"/>
                <w:color w:val="auto"/>
                <w:szCs w:val="21"/>
                <w:highlight w:val="none"/>
              </w:rPr>
              <w:t>得6分</w:t>
            </w:r>
            <w:r>
              <w:rPr>
                <w:rFonts w:hint="eastAsia" w:ascii="宋体" w:hAnsi="宋体" w:cs="宋体"/>
                <w:color w:val="auto"/>
                <w:kern w:val="0"/>
                <w:szCs w:val="21"/>
                <w:highlight w:val="none"/>
              </w:rPr>
              <w:t>；</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2.近三年营业额平均值≥3亿元，且平均净利润≥600万元的，</w:t>
            </w:r>
            <w:r>
              <w:rPr>
                <w:rFonts w:hint="eastAsia" w:ascii="宋体" w:hAnsi="宋体" w:cs="宋体"/>
                <w:color w:val="auto"/>
                <w:szCs w:val="21"/>
                <w:highlight w:val="none"/>
              </w:rPr>
              <w:t>得4分</w:t>
            </w:r>
            <w:r>
              <w:rPr>
                <w:rFonts w:hint="eastAsia" w:ascii="宋体" w:hAnsi="宋体" w:cs="宋体"/>
                <w:color w:val="auto"/>
                <w:kern w:val="0"/>
                <w:szCs w:val="21"/>
                <w:highlight w:val="none"/>
              </w:rPr>
              <w:t>；</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3.近三年营业额平均值≥2亿元，且平均净利润≥600万元的，</w:t>
            </w:r>
            <w:r>
              <w:rPr>
                <w:rFonts w:hint="eastAsia" w:ascii="宋体" w:hAnsi="宋体" w:cs="宋体"/>
                <w:color w:val="auto"/>
                <w:szCs w:val="21"/>
                <w:highlight w:val="none"/>
              </w:rPr>
              <w:t>得3分</w:t>
            </w:r>
            <w:r>
              <w:rPr>
                <w:rFonts w:hint="eastAsia" w:ascii="宋体" w:hAnsi="宋体" w:cs="宋体"/>
                <w:color w:val="auto"/>
                <w:kern w:val="0"/>
                <w:szCs w:val="21"/>
                <w:highlight w:val="none"/>
              </w:rPr>
              <w:t>；</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4.近三年营业额平均值≥1亿元，且平均净利润≥600万元的，</w:t>
            </w:r>
            <w:r>
              <w:rPr>
                <w:rFonts w:hint="eastAsia" w:ascii="宋体" w:hAnsi="宋体" w:cs="宋体"/>
                <w:color w:val="auto"/>
                <w:szCs w:val="21"/>
                <w:highlight w:val="none"/>
              </w:rPr>
              <w:t>得2分</w:t>
            </w:r>
            <w:r>
              <w:rPr>
                <w:rFonts w:hint="eastAsia" w:ascii="宋体" w:hAnsi="宋体" w:cs="宋体"/>
                <w:color w:val="auto"/>
                <w:kern w:val="0"/>
                <w:szCs w:val="21"/>
                <w:highlight w:val="none"/>
              </w:rPr>
              <w:t>；</w:t>
            </w:r>
          </w:p>
          <w:p>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注：1．需提供2020年度、2021年度、2022年度的财务报表审计报告复印件（或打印件），（成立不足三年的公司按照成立时间起提供年度财务状况进行计分。）2．财务报表审计报告须由第三方出具。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9" w:hRule="atLeast"/>
          <w:jc w:val="center"/>
        </w:trPr>
        <w:tc>
          <w:tcPr>
            <w:tcW w:w="1824"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工程投标</w:t>
            </w:r>
          </w:p>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总报价</w:t>
            </w:r>
          </w:p>
        </w:tc>
        <w:tc>
          <w:tcPr>
            <w:tcW w:w="933" w:type="dxa"/>
            <w:tcBorders>
              <w:top w:val="single" w:color="auto" w:sz="4" w:space="0"/>
              <w:left w:val="nil"/>
              <w:bottom w:val="single" w:color="auto" w:sz="4" w:space="0"/>
              <w:right w:val="single" w:color="auto" w:sz="4" w:space="0"/>
            </w:tcBorders>
            <w:noWrap/>
            <w:vAlign w:val="center"/>
          </w:tcPr>
          <w:p>
            <w:pPr>
              <w:spacing w:line="360" w:lineRule="auto"/>
              <w:ind w:right="-73"/>
              <w:jc w:val="center"/>
              <w:rPr>
                <w:rFonts w:ascii="宋体" w:hAnsi="宋体" w:cs="宋体"/>
                <w:color w:val="auto"/>
                <w:szCs w:val="21"/>
                <w:highlight w:val="none"/>
              </w:rPr>
            </w:pPr>
            <w:r>
              <w:rPr>
                <w:rFonts w:hint="eastAsia" w:ascii="宋体" w:hAnsi="宋体" w:cs="宋体"/>
                <w:color w:val="auto"/>
                <w:szCs w:val="21"/>
                <w:highlight w:val="none"/>
              </w:rPr>
              <w:t>30分</w:t>
            </w:r>
          </w:p>
        </w:tc>
        <w:tc>
          <w:tcPr>
            <w:tcW w:w="6873" w:type="dxa"/>
            <w:tcBorders>
              <w:top w:val="single" w:color="auto" w:sz="4" w:space="0"/>
              <w:left w:val="nil"/>
              <w:bottom w:val="single" w:color="auto" w:sz="4" w:space="0"/>
              <w:right w:val="single" w:color="auto" w:sz="4" w:space="0"/>
            </w:tcBorders>
            <w:noWrap/>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1.评标基准价等于所有的投标报价的算术平均值。当投标报价等于评标基准价时得100分，投标报价每高于评标基准价0.5%，扣1分，每低于评标基准价1%，扣0.5分，扣至0分为止，不足1%的用内插法计算，得分精确到小数点后两位。</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2.报价得分=评标价得分×30%。</w:t>
            </w:r>
          </w:p>
        </w:tc>
      </w:tr>
    </w:tbl>
    <w:p>
      <w:pPr>
        <w:snapToGrid w:val="0"/>
        <w:spacing w:line="340" w:lineRule="exact"/>
        <w:ind w:firstLine="422" w:firstLineChars="200"/>
        <w:rPr>
          <w:color w:val="auto"/>
          <w:highlight w:val="none"/>
        </w:rPr>
      </w:pPr>
      <w:r>
        <w:rPr>
          <w:rFonts w:hint="eastAsia" w:ascii="宋体" w:hAnsi="宋体"/>
          <w:b/>
          <w:color w:val="auto"/>
          <w:szCs w:val="21"/>
          <w:highlight w:val="none"/>
        </w:rPr>
        <w:t>说明：1、投标人根据《商务标综合评分表》中要求提供证明资料复印件，若有缺项不作为废标条件，但该项得0分；</w:t>
      </w:r>
    </w:p>
    <w:p>
      <w:pPr>
        <w:snapToGrid w:val="0"/>
        <w:spacing w:line="480" w:lineRule="auto"/>
        <w:ind w:firstLine="422" w:firstLineChars="200"/>
        <w:jc w:val="center"/>
        <w:rPr>
          <w:rFonts w:ascii="新宋体" w:hAnsi="新宋体" w:eastAsia="微软雅黑"/>
          <w:color w:val="auto"/>
          <w:sz w:val="32"/>
          <w:szCs w:val="32"/>
          <w:highlight w:val="none"/>
        </w:rPr>
      </w:pPr>
      <w:r>
        <w:rPr>
          <w:rFonts w:hint="eastAsia" w:ascii="宋体" w:hAnsi="宋体"/>
          <w:b/>
          <w:color w:val="auto"/>
          <w:szCs w:val="21"/>
          <w:highlight w:val="none"/>
        </w:rPr>
        <w:t>2、本工程成本警示价为招标控制价的85 %。若投标报价低于招标控制价的85 %的，评标委员会应当要求报价低于成本警示价的投标人对其报价作出不低于成本的书面说明并提供相关证明材料（有资质的造价公司出具的材料成本分析表）。投标人不能合理说明或者不能提供相应证明材料的，由评标委员会认定该投标人以低于成本报价竞标，其投标将被否决,并且招标监管部门可以给予不良投标行为通报。</w:t>
      </w:r>
      <w:r>
        <w:rPr>
          <w:rFonts w:hint="eastAsia" w:ascii="宋体" w:hAnsi="宋体" w:cs="宋体"/>
          <w:color w:val="auto"/>
          <w:sz w:val="28"/>
          <w:szCs w:val="28"/>
          <w:highlight w:val="none"/>
          <w:u w:val="single"/>
        </w:rPr>
        <w:br w:type="page"/>
      </w:r>
      <w:r>
        <w:rPr>
          <w:rFonts w:hint="eastAsia" w:ascii="微软雅黑" w:hAnsi="微软雅黑" w:eastAsia="微软雅黑" w:cs="微软雅黑"/>
          <w:bCs/>
          <w:color w:val="auto"/>
          <w:sz w:val="36"/>
          <w:szCs w:val="36"/>
          <w:highlight w:val="none"/>
        </w:rPr>
        <w:t>2023年广东农垦糖蔗产业集群华丰公司压榨机改造及预处理系统配套工程项目需求书</w:t>
      </w:r>
    </w:p>
    <w:bookmarkEnd w:id="33"/>
    <w:bookmarkEnd w:id="34"/>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一、</w:t>
      </w:r>
      <w:r>
        <w:rPr>
          <w:rFonts w:hint="eastAsia" w:ascii="宋体" w:hAnsi="宋体" w:cs="宋体"/>
          <w:color w:val="auto"/>
          <w:sz w:val="28"/>
          <w:szCs w:val="28"/>
          <w:highlight w:val="none"/>
        </w:rPr>
        <w:t>原料处理间输蔗带宽度加大至2000mm，同时配套更新改造撕解机、除铁器等设备。原料处理间由原1段1670mm链板式输蔗机、一条皮带机更换为2段2000mm链板式输蔗机、一条1700mm快速胶带。原1670mm蔗刀机更换为满足配套蔗带规格2000mm蔗刀机，共3台。蔗刀机电机：1#蔗刀机900KW（新增）、2#蔗刀机710KW（新增）、3#蔗刀机710KW（利旧），电压均为6.3KV电机。新增与利旧设备配套冷却润滑装置、管路、法兰、阀门等附件；增加2台行车，分别安装于2#蔗场、蔗带间及压榨间。旧原料间设备基础、房屋拆除，重建与压榨间连通的原料间（总建筑面积：989.00 ㎡，建筑高度：15.825m），设备基础、原料间房屋按施工图。</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二、</w:t>
      </w:r>
      <w:r>
        <w:rPr>
          <w:rFonts w:hint="eastAsia" w:ascii="宋体" w:hAnsi="宋体" w:cs="宋体"/>
          <w:color w:val="auto"/>
          <w:sz w:val="28"/>
          <w:szCs w:val="28"/>
          <w:highlight w:val="none"/>
        </w:rPr>
        <w:t xml:space="preserve">压榨间保留原1#φ850x1700压榨机设备（含双分流齿轮箱、柔性联轴器），新增700Kw的直流电机；2#～6#φ810x1600压榨机替换成全新的五座φ850x1700斜调圆销式压榨机（含高位槽、下送辊）。取消原来的分配箱和开放齿及前辊液压马达系统，更换成扭矩为130吨米的行星减速机和700Kw的直流电机以及柔性联轴器。新增5台耙齿式中输机。新增与利旧设备配套冷却润滑装置、管路、法兰、阀门等附件；在压榨间屋顶或两侧适当位置安装抽风机系统。旧设备基础拆除，新设备基础按施工图。  </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建设后的设备为： 1#、2#、4#、5#、6#压榨机为成套全新的斜调圆销式压榨机（含高位槽、下送辊）、配130吨米的行星减速机和700Kw的直流电机以及柔性联轴器；3#压榨机为利旧1#压榨机（含下送辊、柔性联轴器），减速机利旧1#压榨机双分流齿轮箱，配高位槽（新增）、700Kw的直流电机（新增）；</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三、</w:t>
      </w:r>
      <w:r>
        <w:rPr>
          <w:rFonts w:hint="eastAsia" w:ascii="宋体" w:hAnsi="宋体" w:cs="宋体"/>
          <w:color w:val="auto"/>
          <w:sz w:val="28"/>
          <w:szCs w:val="28"/>
          <w:highlight w:val="none"/>
        </w:rPr>
        <w:t>电器动力：新增整流变压器、电力变压器及配套高低电缆、配电屏、电容补偿屏、有源滤波柜、压榨机和双辊喂料器调速整流柜、动力配电箱、照明箱及灯具、自动电液变阻起动柜、静止式进相补偿装置和原有变配电室改造等，压榨设备取电动力车间高压开关柜利旧改造及均衡进蔗与榨机自动控制等DCS系统、生产作业视频监控系统。配套相关电机、设备的配电柜、起动柜、控制柜，高低压线路、仪表、照明等。</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以上改造配套的基础改造等相关土建工程、拆旧工程（非金属土建废料须运至非需方辖区堆放，其中内含钢筋的混凝土块状废料属于非金属土建废料），恢复拆旧破坏的地面、楼面、墙窗、屋顶、设备设施及管路线路等需方要求的全部内容。</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四、</w:t>
      </w:r>
      <w:r>
        <w:rPr>
          <w:rFonts w:hint="eastAsia" w:ascii="宋体" w:hAnsi="宋体" w:cs="宋体"/>
          <w:color w:val="auto"/>
          <w:sz w:val="28"/>
          <w:szCs w:val="28"/>
          <w:highlight w:val="none"/>
        </w:rPr>
        <w:t xml:space="preserve">主要供货设备清单 </w:t>
      </w:r>
    </w:p>
    <w:tbl>
      <w:tblPr>
        <w:tblStyle w:val="48"/>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091"/>
        <w:gridCol w:w="5632"/>
        <w:gridCol w:w="831"/>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名称</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规格、要求</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电动双梁起重机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Q=16t,LK=22.5m，起升高度12m，操纵室端面入，单钩,车行走速度101.4m/min，A6</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起升电动机380V,50Hz,IP54， 37KW</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小车电动机380V,50Hz,IP54， 4KW</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大车电动机380V,50Hz,IP54，7.5KW×2</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电动双梁起重机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Q=25/5t,LK=25.5m，起升高度12m，操纵室端面入，双钩，大车行走速度101.4m/min，A5</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主起升电动机380V,50Hz,IP54，22KW</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副起升电动机380V,50Hz,IP54，11KW</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小车电动机380V,50Hz,IP54，3.7KW</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大车电动机380V,50Hz,IP54，11KW×2</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1#输蔗机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链板式，倾角:23º 公称宽度2000mm，水平投影长度51.65m 旁板厚度:8mm，链轮节距t=200mm 链板厚度:8mm，链条排数：3排，调速范围：0~17m/min。减速机i=56,路轨使用宽面路轨，主材质Q235上表面40Mn</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ascii="宋体" w:hAnsi="宋体" w:cs="宋体"/>
                <w:color w:val="auto"/>
                <w:sz w:val="28"/>
                <w:szCs w:val="28"/>
                <w:highlight w:val="none"/>
              </w:rPr>
              <w:t>建议链条</w:t>
            </w:r>
            <w:r>
              <w:rPr>
                <w:rFonts w:hint="eastAsia" w:ascii="宋体" w:hAnsi="宋体" w:cs="宋体"/>
                <w:color w:val="auto"/>
                <w:sz w:val="28"/>
                <w:szCs w:val="28"/>
                <w:highlight w:val="none"/>
              </w:rPr>
              <w:t>：益阳百链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变频电动机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380V,50Hz,970rpm,IP54 90kW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1用1备，备用电机不配电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1#蔗屑清扫器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有效宽度:2000mm,回转直径:φ500/159mm,转速:34.7rpm</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减速电动机380V,50Hz,970rpm,IP54，4KW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宽 2000mm,刀尖回转直径 1650mm,转鼓式逆转，转鼓直径1250mm，转鼓外圆面镶8mm不锈钢，旁板、盖板用10mm不锈钢，转鼓轴承使用进口轴承。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6.3KV,50Hz,750rpm,IP54，900kW，机身自带烘机装置，电机使用进口轴承。背包式空水冷。</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宽 2000mm,刀尖回转直径 1650mm，转鼓式逆转，转鼓直径1250mm，转鼓外圆面镶8mm不锈钢，旁板、盖板用10mm不锈钢，转鼓使用进口轴承。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电动机 </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型号YRKK560-8（取与利旧电机相同）机身自带烘机装置，电机使用进口轴承。背包式空水冷。</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6.3KV,50Hz,750rpm,IP54，710kW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宽 2000mm,刀尖回转直径 1650 </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mm，转鼓式逆转，转鼓直径1250mm，转鼓外圆面镶8mm不锈钢，旁板、盖板用10mm不锈钢，转鼓轴承使用进口轴承。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利旧原1</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#撕解机710KW电机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撕解机冷却系统</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三台撕解机轴承冷却系统采用水冷式</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抛掷机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适合内宽：2000mm,不锈钢转鼓，减速电动机18.5KW，与电磁除铁器配用。</w:t>
            </w:r>
            <w:r>
              <w:rPr>
                <w:rFonts w:hint="eastAsia" w:ascii="宋体" w:hAnsi="宋体" w:cs="宋体"/>
                <w:bCs/>
                <w:color w:val="auto"/>
                <w:sz w:val="28"/>
                <w:szCs w:val="28"/>
                <w:highlight w:val="none"/>
              </w:rPr>
              <w:t>型号：P2000</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XTL7系列油冷式蔗层电磁吸铁器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2000mm，油冷,磁感应强度 1000Gs，配安装支架，控制柜，电功率30KW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2#输蔗机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链板式，倾角:23º 公称宽度2000mm，水平投影长度27.383m 旁板厚度:8mm，链轮节距t=200mm 链板厚度:8mm，链条排数：3排，调速范围：0~17m/min。减速机i=56，路轨使用宽面路轨，主材质Q235上表面40Mn</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ascii="宋体" w:hAnsi="宋体" w:cs="宋体"/>
                <w:color w:val="auto"/>
                <w:sz w:val="28"/>
                <w:szCs w:val="28"/>
                <w:highlight w:val="none"/>
              </w:rPr>
              <w:t>建议链条</w:t>
            </w:r>
            <w:r>
              <w:rPr>
                <w:rFonts w:hint="eastAsia" w:ascii="宋体" w:hAnsi="宋体" w:cs="宋体"/>
                <w:color w:val="auto"/>
                <w:sz w:val="28"/>
                <w:szCs w:val="28"/>
                <w:highlight w:val="none"/>
              </w:rPr>
              <w:t>：益阳百链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变频电动机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380V,50Hz,970rpm,IP54 90kW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2#蔗屑清扫器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有效宽度:2000mm,回转直径:400mm,转速:34.7rpm，减速电动机380V,50Hz,970rpm,IP54，4KW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1台 </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匀落器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内宽：2000mm,刀尖回转直径：1000mm 转速：85rpm，减速电动机380V,50Hz,970rpm,IP54，18.5KW，配合快速胶带输送机宽度使用。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快速胶带输送机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公称宽度1700mm，水平投影长度10.7m ，周长21.9m，调速范围：60～90m/min（调速）电磁除铁器下方为无磁不锈钢托辊，减速机变频电动机 380V,50Hz,970rpm,IP54，30Kw ，尼龙输送带NN1400，包边(边高宽度8mm)、6层（3+1.5）。</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电磁除铁器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油冷式，续工作制，励磁功率：15.5KW(20℃)，电磁感应强度：距除铁器下400mm 处&gt;63mT，公称宽度：1700 mm，配控制柜</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斜调式压榨机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ф850×1700mm,斜调式,r=4—10rpm; 配下送辊、高位槽、柔性联轴器 ；榨机榨辊轴瓦采用创新专利技术防水罩以及密封；压榨机压臂采用压臂快速顶紧装置改造，榨机旁板材质用20mm不锈钢板。</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注：利旧压榨机新增榨辊轴瓦采用创新专利技术防水罩以及密封、压榨机压臂采用压臂快速顶紧装置改造（采用技术同其他榨机一致）。</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 座</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5新1旧</w:t>
            </w: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注：配套压榨过桥装置，可以在单座榨机故障时独立处理，整条生产线不停机。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行星减速机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速比：i＝102.5，额定输出扭矩:M=130t•m，最大输出扭矩:M=260tm含润滑站及电控柜，</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稀油站公称压力0.63MPa，公称流量300l/min，电动机380V,50Hz,IP5，11KW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每台稀油站电机及泵1用1备配置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行星减速机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速比：i＝120，额定输出扭矩:M=130t•m，最大输出扭矩:M=260tm含润滑站及电控柜，</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稀油站公称压力0.63MPa，公称流量300l/min，电动机380V,50Hz,IP5，11KW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稀油站电机及泵1用1备配置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功率分流大型减速器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利旧，型号HSG3100H（2），功率700KW，速比i=101.87</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原1#榨机减速机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直流电动机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n=600/1200rpm，660V, 700kw，配电机轴承使用进口轴承，定子测温元件，配电机底座架，直流电机风机7.5KW，机身自带烘机装置。背包式空水冷。</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1#双辊喂料器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∅850x1700mm，配下送辊,与 1#压榨机配用，榨辊轴瓦采用创新专利技术防水罩以及密封。</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 座</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行星减速机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速比：i=102.5，额定输出扭矩:M=60t•m，最大输出扭矩:M=120tm输入转速：n=750～1500rpm，输出转速：n=4～11rpm，配方联轴器。稀油站：公称压力0.63MPa，公称流量300l/min，电动机11KW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稀油站电机及泵1用1备配置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直流电动机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n=750/1500rpm，660V，背包式空水冷，350kw，直流电机风机7.5KW，配电机轴承使用进口轴承，机身自带烘机装置。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 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中间输送机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B=1700mm，耙齿式,线速 30~45m/min。</w:t>
            </w:r>
          </w:p>
          <w:p>
            <w:pPr>
              <w:pStyle w:val="2"/>
              <w:spacing w:line="360" w:lineRule="auto"/>
              <w:jc w:val="both"/>
              <w:rPr>
                <w:rFonts w:ascii="宋体" w:hAnsi="宋体" w:eastAsia="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4台配合 7.5m 榨机座距</w:t>
            </w:r>
          </w:p>
          <w:p>
            <w:pPr>
              <w:pStyle w:val="2"/>
              <w:spacing w:line="360" w:lineRule="auto"/>
              <w:jc w:val="both"/>
              <w:rPr>
                <w:rFonts w:ascii="宋体" w:hAnsi="宋体" w:eastAsia="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1台配合 10m 榨机座距</w:t>
            </w:r>
          </w:p>
          <w:p>
            <w:pPr>
              <w:pStyle w:val="2"/>
              <w:spacing w:line="360" w:lineRule="auto"/>
              <w:jc w:val="both"/>
              <w:rPr>
                <w:rFonts w:ascii="宋体" w:hAnsi="宋体" w:eastAsia="宋体" w:cs="宋体"/>
                <w:color w:val="auto"/>
                <w:sz w:val="28"/>
                <w:szCs w:val="28"/>
                <w:highlight w:val="none"/>
              </w:rPr>
            </w:pP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槽板使用不锈钢，耙齿式链条销使用不锈钢材质。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平行轴减速机及电机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配变频电动机380V,50Hz,970rpm,IP54，30KW。</w:t>
            </w:r>
          </w:p>
          <w:p>
            <w:pPr>
              <w:pStyle w:val="2"/>
              <w:spacing w:line="360" w:lineRule="auto"/>
              <w:jc w:val="both"/>
              <w:rPr>
                <w:rFonts w:ascii="宋体" w:hAnsi="宋体" w:eastAsia="宋体" w:cs="宋体"/>
                <w:color w:val="auto"/>
                <w:sz w:val="28"/>
                <w:szCs w:val="28"/>
                <w:highlight w:val="none"/>
              </w:rPr>
            </w:pPr>
          </w:p>
          <w:p>
            <w:pPr>
              <w:pStyle w:val="2"/>
              <w:spacing w:line="360" w:lineRule="auto"/>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配合中间输送机使用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压榨机油压系统 </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Q=40L/min,P=31.5MPa,包括油压站、管道、阀门，电动机380V,50Hz,1450rpm,IP54，7.5KW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电机、油泵2台1备1用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胶囊蓄能器1#~14#</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公称容积25L，公称压力31.5MPa，垂直安装</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1#~2#为原有利旧，含2备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冲氮小车</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公称压力31.5MPa</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压榨机干油润滑系统 </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Q=585ml/min,P=20MPa,包括成套管路，干油过滤器，压力操纵阀，仪表，配控制箱等;双线给油器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电动泵</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公称压力1 MPa，公称流量200L/h，1KW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电动泵</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公称压力40MPa，给油能力430ml/min，1.5KW</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卸渣溜槽</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钢制，配合榨机，宽1700mm </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1个</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压榨机操作平台</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钢制，栏杆高度符合安全标准，平台、栏杆采用活动式</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渗透汁曲筛</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宽度1700mm，材质：6mm不锈钢板</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汁泵出口：不锈钢管道部分利旧，非不锈钢管道更换不锈钢。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蔗渣皮带输送机</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B=1200mm，长度6.5米，电动机380V,IP54、7.5kw，减速机带动电机，带速1.3~1.6m/s，平带式。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尼龙输送带NN200，包边、6层(3+1.5)</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流体管路</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管路、弯头、阀门、胶管、接头等。管路、管件材质：SS304</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整流变压器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ZS13-4000/10-NX2,4000kVA,6.3</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±2x2.5%/0.6kV，Y,d11, Uk%=7二级能效整流变。高压负荷开关至变压器采用铜排材质。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配电变压器</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S20-2500/6.3-NX2,2500kVA,6.3</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±2x2.5%/0.4kV，D,yn11, Uk%=8 型配电变压器，二级能效。高压负荷开关至变压器采用铜排材质。</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1台</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35</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压榨机调速整流柜</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GGD3，-660V，配700kW控制整流装置，调速装置使用590全数字直流调速装置。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双辊喂料器调速整流柜</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GGD3，-660V，配350kW控制整流装置,调速装置使用590全数字直流调速装置。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37</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DCS控制系统</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集成均匀进榨控制、压榨机列转速控制，电机轴温绕组温度和振动、电流监控，混合汁均匀泵送、汁泵液位控制，渗透水流量、液位、温度控制等控制系统，DCS系统各种类型的测点按20%余量配置，具备手机APP或者WEB访问功能。</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详见（二）DCS控制系统及生产作业视频监控系统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38</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生产作业视频监控系统</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在控制室内设置一套工业电视监控系统。监控覆盖压榨生产线的主要作业面、关键作业点重要场所,视频监控采用数字式。</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1套</w:t>
            </w:r>
          </w:p>
        </w:tc>
        <w:tc>
          <w:tcPr>
            <w:tcW w:w="1118" w:type="dxa"/>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39</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核子秤</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计量精度：0.01规格：配B2000链板输蔗机</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2台</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其中1台两个核源利旧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40</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动力电缆</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根据电机功率进行配置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41</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仪表控制电缆</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要求电缆带屏蔽功能</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桥架</w:t>
            </w:r>
          </w:p>
        </w:tc>
        <w:tc>
          <w:tcPr>
            <w:tcW w:w="5632" w:type="dxa"/>
            <w:shd w:val="clear" w:color="auto" w:fill="auto"/>
            <w:vAlign w:val="center"/>
          </w:tcPr>
          <w:p>
            <w:pPr>
              <w:spacing w:line="360" w:lineRule="auto"/>
              <w:rPr>
                <w:rFonts w:ascii="宋体" w:hAnsi="宋体" w:cs="宋体"/>
                <w:color w:val="auto"/>
                <w:sz w:val="28"/>
                <w:szCs w:val="28"/>
                <w:highlight w:val="none"/>
              </w:rPr>
            </w:pP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按需配置，要求动力电缆桥架和控制电缆桥架分开布置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43</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压缩空气管</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DN25，材质SS304，工况：压缩空气，压榨0.5-1Mpa。</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44</w:t>
            </w:r>
          </w:p>
        </w:tc>
        <w:tc>
          <w:tcPr>
            <w:tcW w:w="109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管道</w:t>
            </w:r>
          </w:p>
        </w:tc>
        <w:tc>
          <w:tcPr>
            <w:tcW w:w="5632"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根据工艺设计进行配置</w:t>
            </w:r>
          </w:p>
        </w:tc>
        <w:tc>
          <w:tcPr>
            <w:tcW w:w="831"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1批</w:t>
            </w:r>
          </w:p>
        </w:tc>
        <w:tc>
          <w:tcPr>
            <w:tcW w:w="1118"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44</w:t>
            </w:r>
          </w:p>
        </w:tc>
        <w:tc>
          <w:tcPr>
            <w:tcW w:w="8672" w:type="dxa"/>
            <w:gridSpan w:val="4"/>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其它电器设备按初步设计要求来配置。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45</w:t>
            </w:r>
          </w:p>
        </w:tc>
        <w:tc>
          <w:tcPr>
            <w:tcW w:w="8672" w:type="dxa"/>
            <w:gridSpan w:val="4"/>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品备件：输蔗机链板100块；3台撕解机蔗刀各一套；压榨机顶、前、后辊、下送辊（含辊套、挡汁环）各一条；面梳、后梳各二把，底梳5把；压榨辊轴瓦座带瓦备3套；双辊喂料器榨辊两条、下送辊、上梳把、下梳把各1件，榨辊轴瓦与轴瓦座1套；</w:t>
            </w:r>
          </w:p>
        </w:tc>
      </w:tr>
    </w:tbl>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备注：不限于表中设备物质，最终需根据承包方以满足最终指标及设计文件要求配套所需要的其他设备物质。</w:t>
      </w: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主要拆旧清单</w:t>
      </w:r>
    </w:p>
    <w:tbl>
      <w:tblPr>
        <w:tblStyle w:val="47"/>
        <w:tblW w:w="4849" w:type="pct"/>
        <w:jc w:val="center"/>
        <w:tblLayout w:type="fixed"/>
        <w:tblCellMar>
          <w:top w:w="0" w:type="dxa"/>
          <w:left w:w="108" w:type="dxa"/>
          <w:bottom w:w="0" w:type="dxa"/>
          <w:right w:w="108" w:type="dxa"/>
        </w:tblCellMar>
      </w:tblPr>
      <w:tblGrid>
        <w:gridCol w:w="588"/>
        <w:gridCol w:w="1355"/>
        <w:gridCol w:w="4107"/>
        <w:gridCol w:w="784"/>
        <w:gridCol w:w="556"/>
        <w:gridCol w:w="489"/>
        <w:gridCol w:w="784"/>
        <w:gridCol w:w="893"/>
      </w:tblGrid>
      <w:tr>
        <w:tblPrEx>
          <w:tblCellMar>
            <w:top w:w="0" w:type="dxa"/>
            <w:left w:w="108" w:type="dxa"/>
            <w:bottom w:w="0" w:type="dxa"/>
            <w:right w:w="108" w:type="dxa"/>
          </w:tblCellMar>
        </w:tblPrEx>
        <w:trPr>
          <w:trHeight w:val="215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设备名称</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型号规格</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计量单位</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材质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重量（T）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CellMar>
            <w:top w:w="0" w:type="dxa"/>
            <w:left w:w="108" w:type="dxa"/>
            <w:bottom w:w="0" w:type="dxa"/>
            <w:right w:w="108" w:type="dxa"/>
          </w:tblCellMar>
        </w:tblPrEx>
        <w:trPr>
          <w:trHeight w:val="57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蔗场原料处理设备</w:t>
            </w:r>
          </w:p>
        </w:tc>
      </w:tr>
      <w:tr>
        <w:tblPrEx>
          <w:tblCellMar>
            <w:top w:w="0" w:type="dxa"/>
            <w:left w:w="108" w:type="dxa"/>
            <w:bottom w:w="0" w:type="dxa"/>
            <w:right w:w="108" w:type="dxa"/>
          </w:tblCellMar>
        </w:tblPrEx>
        <w:trPr>
          <w:trHeight w:val="1887"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1#链板带</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输蔗机1670，内宽：1670mm链板式，水平投影长度：约63M，</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倾角：15度，输蔗带速度：10.75—3M/分，输蔗带节距：150mm</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米</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63</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公称尺寸：φ1200×1670mm，刀的工作宽度：1540mm，刀数：108把。</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1#撕解机开关柜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9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1#撕解机进相柜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静止式进相器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50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公称尺寸：φ1200×1670mm，刀的工作宽度：1540mm，刀数：144把。</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3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JR1410-8T 450KW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485" w:hRule="exac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频敏起动柜 X8P-380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2#撕解机进相柜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静止式进相器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公称尺寸：φ1200×1670mm，刀的工作宽度：1540mm，刀数：120把。</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JR1410-8T 450KW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频敏起动柜 XL-2-026 AC380V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3#撕解机进相柜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静止式进相器</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1#链板带减速箱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JZQ850-40.17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1#链板带启动箱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XJZ-75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抛蔗机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P1670  7.5KW摆线针减速电机</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不锈钢</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电磁吸铁器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XTL7-1670 油冷式 8.9Kw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5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电磁吸铁器电柜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硅整流控制 GLA-20/510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73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扫带机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5.5Kw 电机减速箱</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210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2#胶带输送带</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胶带式B=1800mm，长度：29 M，倾角：21度，带速：0.1—1M/S，</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环型输送胶带：NN200，尼龙，1800×7（3+3），内周长：63米</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米</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29</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2#胶带减速机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JZQ850-40.17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2#胶带电磁调速电机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YCT250-4 45Kw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设备启动电柜箱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XJZ-55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均衡进蔗系统</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电离筒</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电缆一批</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215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至蔗场电力电缆</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保留设备，按要求拆除放置，不能损坏</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部份利旧设备</w:t>
            </w:r>
          </w:p>
        </w:tc>
      </w:tr>
      <w:tr>
        <w:tblPrEx>
          <w:tblCellMar>
            <w:top w:w="0" w:type="dxa"/>
            <w:left w:w="108" w:type="dxa"/>
            <w:bottom w:w="0" w:type="dxa"/>
            <w:right w:w="108" w:type="dxa"/>
          </w:tblCellMar>
        </w:tblPrEx>
        <w:trPr>
          <w:trHeight w:val="1618"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1#2#蔗场双梁桥吊</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跨度：22.5 M，起重量：15 T，JC=60% ，功率：30KW </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3087"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原料间单梁桥吊</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起重量：10T，跨度：13.5m，起升高度：9m，导电型式：滑轮集电型，</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操纵型式：地面操纵。总功率：17.6kw，工作制度：JC=25%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51"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压榨间处理设备</w:t>
            </w:r>
          </w:p>
        </w:tc>
      </w:tr>
      <w:tr>
        <w:tblPrEx>
          <w:tblCellMar>
            <w:top w:w="0" w:type="dxa"/>
            <w:left w:w="108" w:type="dxa"/>
            <w:bottom w:w="0" w:type="dxa"/>
            <w:right w:w="108" w:type="dxa"/>
          </w:tblCellMar>
        </w:tblPrEx>
        <w:trPr>
          <w:trHeight w:val="102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1#斜调式压榨机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107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1#齿轮箱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保留设备，拆除搬至指定点放置</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利旧设备</w:t>
            </w:r>
          </w:p>
        </w:tc>
      </w:tr>
      <w:tr>
        <w:tblPrEx>
          <w:tblCellMar>
            <w:top w:w="0" w:type="dxa"/>
            <w:left w:w="108" w:type="dxa"/>
            <w:bottom w:w="0" w:type="dxa"/>
            <w:right w:w="108" w:type="dxa"/>
          </w:tblCellMar>
        </w:tblPrEx>
        <w:trPr>
          <w:trHeight w:val="104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1#榨机直流电机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ZYZJ-450-32 700KW 440V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145"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恒比式压榨机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TLKφ810×1600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61</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04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榨机分配箱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TF3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03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开放齿</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I=1.92，中心距：1368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145"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2#榨机减速箱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TB4-3,速比：72.84</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33.26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17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3-6#榨机减速箱</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TB4-3,速比：57.27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单体重量</w:t>
            </w: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2-6#减速箱油泵</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电机：JM3160M-6</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44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2-6#减速箱油泵电柜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动力配电箱 XL-21-50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2#榨机直流电机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ZDT450L 400KW 440V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3-6#榨机直流电机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ZD54/45 320KW 440V</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直流机配控制柜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KGSF22T100/440  KMF01-2500/440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618"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2-6座直流电机风机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离心式风机 4-72 8500m3/h JM3-132S2-2 7.5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2-6座直流电机风机电柜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动力配电箱 XL-21-08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2-6#液压马达</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MB800 C N 02 38</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2-6#液压马达油站</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液压马达启动柜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自耦减压起动箱 XJZ-225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液压马达补偿柜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无功功率补偿柜 TDWB-D-100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349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1#中输机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TPC1600耙齿中输机 宽1600，座距7500，i=27/17，线速30-45m/min</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摆线针轮减速机XWT37-11-1/29，37KW 速比：1/29，倾角38度</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663"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2-5#中输机</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耙齿中输机 宽1600 座距7500 渐开线式减速箱 电磁调速电机22.5KW</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29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平送带</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U型蔗渣输送带 带宽1000 水平投影长度：9M </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62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干油站</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5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24</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湿油站</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43"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中输机启动柜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XJZ-37</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29"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26</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汁泵启动柜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 XJD-55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27</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混合汁泵启动柜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自耦减压起动柜 JJ-75</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28</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其他设备电柜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XL-21-50</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82"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29</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压榨车间动力配电柜</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开关柜 P0L2-046 JKT2-03/3K</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706"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30</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电缆一批</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蔗汁曲筛</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部份汁管</w:t>
            </w:r>
          </w:p>
        </w:tc>
        <w:tc>
          <w:tcPr>
            <w:tcW w:w="214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51"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变压器</w:t>
            </w: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电力变压器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S7-1600/6.3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电力变压器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S7-800/6.3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电力变压器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SL-800/6.3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整流变压器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ZS3-1250/6.3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84"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整流变压器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ZB-1500/6.3</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5.36</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01"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变压器</w:t>
            </w:r>
          </w:p>
        </w:tc>
        <w:tc>
          <w:tcPr>
            <w:tcW w:w="2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ZSJ</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备注：拆旧设备不限于表中设备物质，所列内容、数量等工程量与现场实物不符的以现场实物为准。</w:t>
      </w:r>
    </w:p>
    <w:p>
      <w:pPr>
        <w:spacing w:line="360" w:lineRule="auto"/>
        <w:rPr>
          <w:rFonts w:ascii="宋体" w:hAnsi="宋体" w:cs="宋体"/>
          <w:color w:val="auto"/>
          <w:sz w:val="28"/>
          <w:szCs w:val="28"/>
          <w:highlight w:val="none"/>
        </w:rPr>
      </w:pP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五、</w:t>
      </w:r>
      <w:r>
        <w:rPr>
          <w:rFonts w:hint="eastAsia" w:ascii="宋体" w:hAnsi="宋体" w:cs="宋体"/>
          <w:color w:val="auto"/>
          <w:sz w:val="28"/>
          <w:szCs w:val="28"/>
          <w:highlight w:val="none"/>
        </w:rPr>
        <w:t>招标内容及金额：</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所供货物、技术应符合招标文件、设计院设计要求，包含设计、制造、包装、运输（含保险）、搬运装卸、随机零配件、标配工具、安装及调试、培训、质保期服务、质保期内配件、各项税费，并办理报装报检、使用登记证和旧设备拆除搬迁等及合同实施过程中不可预见费用等。</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（2）土建工程：除按图要求施工外，及所有配套项目的施工（构筑物、设备基础、道路、拆除、修复等）须满足招标方要求。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（3）设备及管路、安装、调试：包括非标件制作，调试按国家或行业标准要求。</w:t>
      </w:r>
    </w:p>
    <w:p>
      <w:pPr>
        <w:pStyle w:val="2"/>
        <w:spacing w:line="360" w:lineRule="auto"/>
        <w:ind w:firstLine="560" w:firstLineChars="200"/>
        <w:jc w:val="both"/>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（4）电气、仪表、输送系统的拆除：按华丰公司实际要求。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（5）新旧设备安装、衔接、电气、仪表、泵送系统的恢复：按设计要求，并综合华丰公司的实际情况实施。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（6）验收：按招标方项目管理相关规定验收，并需通过消防验收、防雷验收、安全验收、特种设备的验收。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（7）招标最高限价（含税价）：</w:t>
      </w:r>
      <w:r>
        <w:rPr>
          <w:rFonts w:hint="eastAsia" w:ascii="宋体" w:hAnsi="宋体" w:cs="宋体"/>
          <w:color w:val="auto"/>
          <w:sz w:val="28"/>
          <w:szCs w:val="28"/>
          <w:highlight w:val="none"/>
          <w:lang w:val="en-US" w:eastAsia="zh-CN"/>
        </w:rPr>
        <w:t>4827</w:t>
      </w:r>
      <w:r>
        <w:rPr>
          <w:rFonts w:hint="eastAsia" w:ascii="宋体" w:hAnsi="宋体" w:cs="宋体"/>
          <w:b/>
          <w:color w:val="auto"/>
          <w:sz w:val="28"/>
          <w:szCs w:val="28"/>
          <w:highlight w:val="none"/>
        </w:rPr>
        <w:t>万元</w:t>
      </w:r>
      <w:r>
        <w:rPr>
          <w:rFonts w:hint="eastAsia" w:ascii="宋体" w:hAnsi="宋体" w:cs="宋体"/>
          <w:color w:val="auto"/>
          <w:sz w:val="28"/>
          <w:szCs w:val="28"/>
          <w:highlight w:val="none"/>
        </w:rPr>
        <w:t>。资金来源：中央财政资金及企业自筹。</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六、</w:t>
      </w:r>
      <w:r>
        <w:rPr>
          <w:rFonts w:hint="eastAsia" w:ascii="宋体" w:hAnsi="宋体" w:cs="宋体"/>
          <w:color w:val="auto"/>
          <w:sz w:val="28"/>
          <w:szCs w:val="28"/>
          <w:highlight w:val="none"/>
        </w:rPr>
        <w:t>主要指标要求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 xml:space="preserve">（一） 主要工艺技术指标 </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（1）压榨能力 ≥6000吨/日；</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（2）压榨更正抽出率 ≥96.5%；</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（3）蔗渣水份 ≤48%；　</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（4）甘蔗破碎度 ≥88%；</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（5）榨机干油脂耗用量≤40Kg/万吨蔗。</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（二）DCS控制系统及生产作业视频监控系统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6.2.1、升级原有均衡进榨系统</w:t>
      </w: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drawing>
          <wp:anchor distT="0" distB="0" distL="114300" distR="114300" simplePos="0" relativeHeight="251666432" behindDoc="0" locked="0" layoutInCell="1" allowOverlap="1">
            <wp:simplePos x="0" y="0"/>
            <wp:positionH relativeFrom="column">
              <wp:posOffset>130810</wp:posOffset>
            </wp:positionH>
            <wp:positionV relativeFrom="paragraph">
              <wp:posOffset>59055</wp:posOffset>
            </wp:positionV>
            <wp:extent cx="5398770" cy="2845435"/>
            <wp:effectExtent l="0" t="0" r="11430" b="120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398770" cy="2845435"/>
                    </a:xfrm>
                    <a:prstGeom prst="rect">
                      <a:avLst/>
                    </a:prstGeom>
                    <a:noFill/>
                    <a:ln>
                      <a:noFill/>
                    </a:ln>
                  </pic:spPr>
                </pic:pic>
              </a:graphicData>
            </a:graphic>
          </wp:anchor>
        </w:drawing>
      </w: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（1）在1#、2#输蔗带上各安装一台核子秤，同时分别测量1#、2#输蔗带上的甘蔗流量，并累计榨量；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（2）通过两台核子秤对榨量的在线瞬时监测，连续并精确地控制1#和2#输蔗带的运行速度，实现均衡入榨。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系统检测1#、2#、3#蔗刀机和1#榨机的电流（负荷），并将该四项电流值、两台核子秤测量的甘蔗流量及1#和2#输蔗带线速度同时参与本系统的运算，得出系统最优运行模式，保证生产设备在该运行模式控制下，实现安全、高效生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（4）该系统自动处理各种故障，保护生产设备。当设备发生紧急故障时，蔗带将自动减速或停下。</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（5）具有渗透水、混合汁流量计量及积算功能。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（6）该系统同时自动完成压榨生产计量、管理、统计工作，自动生成和打印报表。生产过程中数据均能采集、显示、存储和查询。</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（7）核子秤的计量根据地磅的重量标定，其显示值既可是标定值，也可根据用户的意愿调整扣杂指标后显示。</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（8）该系统设有手动和全自动两种功能，可随时进行切换。</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（9）由于现场有强电、强磁干扰，系统采用光电隔离工业控制计算机来实现生产数据的采集和控制输出。</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为保证本系统的安全、稳定、高效运行，必须采用如下防雷措施：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①所有现场设备与主控计算机的联系都必须先经过隔离器；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②主控计算机与计量系统的通讯必须全部经隔离器；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③设置一条地线，接地电阻小于4欧;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④采用隔离型防雷稳压器。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升级均衡进榨系统清单：</w:t>
      </w:r>
    </w:p>
    <w:tbl>
      <w:tblPr>
        <w:tblStyle w:val="47"/>
        <w:tblW w:w="9595" w:type="dxa"/>
        <w:jc w:val="center"/>
        <w:tblLayout w:type="autofit"/>
        <w:tblCellMar>
          <w:top w:w="0" w:type="dxa"/>
          <w:left w:w="108" w:type="dxa"/>
          <w:bottom w:w="0" w:type="dxa"/>
          <w:right w:w="108" w:type="dxa"/>
        </w:tblCellMar>
      </w:tblPr>
      <w:tblGrid>
        <w:gridCol w:w="993"/>
        <w:gridCol w:w="2943"/>
        <w:gridCol w:w="2170"/>
        <w:gridCol w:w="1137"/>
        <w:gridCol w:w="1058"/>
        <w:gridCol w:w="1294"/>
      </w:tblGrid>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硬件设备名称</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规格描述</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单位</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机柜系统</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净化机柜系统</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1800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工业控制计算机</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R360</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键盘</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PS/2接口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1.4</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液晶显示器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25’液晶，VGA接口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1.5</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专用低压直流电源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220VAC/24VDC</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信号分配器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4口以上</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1.7</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打印机</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针式，并口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1.8</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蔗料秤信号隔离变送器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1.9</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输蔗带速度信号隔离变送器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切撕机电流信号隔离变送器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GAA-01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榨机电流信号隔离变送器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GDV-01</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渗透水流量信号隔离变送器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混合汁流量信号隔离变送器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1.14</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控制输出信号隔离变送器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GVVS-022-III</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1.15</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稳压电源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0.5Kva</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1.16</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线性电源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相关设备</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液晶显示器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25’液晶，VGA接口</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32"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精密信控/手操调速器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90T5</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测速器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BX-SD</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1#带核源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电离室</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前置信号放大器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SD-AF</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专用高低压电源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SD-PW</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994"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2#带核源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枚</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利用原有</w:t>
            </w: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4.1</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电离室</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前置信号放大器</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SD-AF</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4.3</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专用高低压电源</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SD-PW</w:t>
            </w: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各型号电线电缆</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01"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操作系统RT-OS</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10" w:hRule="atLeast"/>
          <w:jc w:val="center"/>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w:t>
            </w:r>
          </w:p>
        </w:tc>
        <w:tc>
          <w:tcPr>
            <w:tcW w:w="294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控制软件</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c>
          <w:tcPr>
            <w:tcW w:w="11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6.2.2、新增压榨机控制系统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（1）榨机高位槽料位自动控制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每座榨机高位槽上设置1套料位检测装置，正确检测高位槽料位，根据高位槽料位的高低、榨机的负荷情况及其前后座榨机的运转情况建立数学模型，采用模糊控制技术及先进控制算法自动控制榨机转速。采用非接触蔗丝料位传感器，对高位槽内真实料位进行检测，是中国国内首创技术。</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系统主要功能：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检测6座榨机高位槽料位，料位超限报警；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根据每座榨机料位、电流以及前后座榨机运行情况自动控制榨机转速；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系统设有手动和自动两种运行方式，可随时方便地进行切换，并且切换对榨机的运行没有扰动。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（2）轴承温度自动监控、报警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为了保证撕解机、榨机、减速机等生产过程中重要机械的轴承温度，应用轴温监控、报警系统对轴承的温度进行实时在线测量、数据采集、监控管理、超限报警、自动生产历史曲线记录并可随时查询，对安全隐患预先报警，避免重大事故的发生，提高生产安全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集6座榨机轴承（每座榨机左前轴、左后轴、左顶轴、右前轴、右后轴、右顶轴、榨机电机共7个点，6座共42个点）的温度、电机振动；采集3台撕解机（每台撕解机左轴、右轴、撕解机电机共3个点，3台共9个点）的温度、电机振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系统自动生成温度历史曲线图，并具有储存、查询功能；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具有温度超限报警功能。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（3）机械连锁自动控制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在设备上，根据开机从后到前的原则，停机从前到后的原则进行机械设备连锁保护。</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实现链板输送机、胶带机、中输机、压榨机等设备的连锁。</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（4）混合汁箱液位、流量自动控制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根据混合汁箱液位、流量等多个因素，建立数学模型，得出最佳流量输送控制模式，实现混合汁流量均匀泵送。克服人工控制时，常出现抽空现象、流量波动较大的问题；系统按每班组生成一条混合汁流量历史曲线图，并据有储存、查询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（5）渗透水箱液位、温度、流量自动控制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a.渗透水温度、液位</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通过液位变送器连续检测渗透水箱的液位，控制冷水加入量保持渗透水箱液位基本恒定，同时，水位超限，系统自动报警。通过温度变送器连续检测渗透水的温度，并考虑冷水加入量，自动控制热水阀，保持渗透水温度恒定，水温超限，系统自动报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b.渗透水流量控制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通过检测渗透水流量，结合在输送带上测量到的甘蔗输送实时榨量，根据生产需要设置的渗透比，自动控制电动阀的开度，实现水量定量自动添加；系统按每班组生成一条渗透水流量历史曲线图，并据有储存、查询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（6）混合汁缓冲箱液位自动控制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缓冲箱液位自动控制通过液位变送器连续检测混合汁缓冲箱的液位，通过建立数学模型，得出最佳流量输送控制模式，利用变频技术，控制输送泵，保持混合汁缓冲箱不被抽空、不满溢，实现压出汁流量均匀泵送。克服人工控制时，混合汁缓冲箱常出现抽空现象且流量波动较大的问题。</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（7）蔗渣水份在线监测</w:t>
      </w:r>
    </w:p>
    <w:p>
      <w:pPr>
        <w:spacing w:line="360" w:lineRule="auto"/>
        <w:ind w:firstLine="561"/>
        <w:rPr>
          <w:rFonts w:ascii="宋体" w:hAnsi="宋体" w:cs="宋体"/>
          <w:color w:val="auto"/>
          <w:sz w:val="28"/>
          <w:szCs w:val="28"/>
          <w:highlight w:val="none"/>
        </w:rPr>
      </w:pPr>
      <w:r>
        <w:rPr>
          <w:rFonts w:hint="eastAsia" w:ascii="宋体" w:hAnsi="宋体" w:cs="宋体"/>
          <w:b/>
          <w:color w:val="auto"/>
          <w:sz w:val="28"/>
          <w:szCs w:val="28"/>
          <w:highlight w:val="none"/>
          <w:u w:val="single"/>
        </w:rPr>
        <w:t>采用德国进口的HK2水份仪</w:t>
      </w:r>
      <w:r>
        <w:rPr>
          <w:rFonts w:hint="eastAsia" w:ascii="宋体" w:hAnsi="宋体" w:cs="宋体"/>
          <w:color w:val="auto"/>
          <w:sz w:val="28"/>
          <w:szCs w:val="28"/>
          <w:highlight w:val="none"/>
        </w:rPr>
        <w:t>，安装在蔗渣带上，在线实时监控蔗渣水份，并通过软件采用，提供历史曲线、历史数据查询，便于管理及考核。</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基于最新的数字微波技术2.45GHz</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非常简易的“一点校正”功能，大大优越于其他的品牌产品，避免了其他品牌同类设备因长时多点校正而维护量大误差严重的现象。</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彻底解决其他品牌还无法解决的温度对电子元件的影响的大问题，同时也大大的缩小了设备的体积，使安装简易。</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设备具有极易维护及校正的特性，同时测量精度及重复性高。</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（8）磷酸自动控制</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自动控制系统根据甘蔗实时榨量等多个因素，建立数学模型，得出最佳控制模式；通过变频器控制计量泵控制磷酸的加入量，保证自动地、按比例均匀给混合汁加入磷酸，有效地稳定混合汁中磷酸的浓度，为后续的工序操作或控制提供重要的参考数据。</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按比例均匀的给混合汁加入磷酸，有效地稳定混合汁中磷酸的浓度，为后续的工序操作或控制提供重要的参考数据。</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输蔗带停时磷酸计量泵自动停，输蔗带重新启动时磷酸计量泵自动启动。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系统有相应的报警、保护功能。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（9）压榨工艺关键点视频监控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在末座榨机出口、胶带出口、1＃输送机落蔗口、蔗场等安装摄像头，监视物料情况，以便及时发现问题，采用摄像监控可减少巡查，提高效率，减轻工人劳动强度。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新增压榨机控制系统设备清单：</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（1）系统设备清单</w:t>
      </w:r>
    </w:p>
    <w:tbl>
      <w:tblPr>
        <w:tblStyle w:val="47"/>
        <w:tblW w:w="50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2452"/>
        <w:gridCol w:w="4654"/>
        <w:gridCol w:w="578"/>
        <w:gridCol w:w="472"/>
        <w:gridCol w:w="1389"/>
      </w:tblGrid>
      <w:tr>
        <w:tblPrEx>
          <w:tblCellMar>
            <w:top w:w="0" w:type="dxa"/>
            <w:left w:w="108" w:type="dxa"/>
            <w:bottom w:w="0" w:type="dxa"/>
            <w:right w:w="108" w:type="dxa"/>
          </w:tblCellMar>
        </w:tblPrEx>
        <w:trPr>
          <w:trHeight w:val="1153"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名称</w:t>
            </w: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规格型号及描述</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单位</w:t>
            </w:r>
          </w:p>
        </w:tc>
        <w:tc>
          <w:tcPr>
            <w:tcW w:w="69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DCS控制系统</w:t>
            </w:r>
          </w:p>
        </w:tc>
        <w:tc>
          <w:tcPr>
            <w:tcW w:w="2335" w:type="pct"/>
            <w:shd w:val="clear" w:color="auto" w:fill="auto"/>
            <w:noWrap/>
            <w:vAlign w:val="center"/>
          </w:tcPr>
          <w:p>
            <w:pPr>
              <w:spacing w:line="360" w:lineRule="auto"/>
              <w:rPr>
                <w:rFonts w:ascii="宋体" w:hAnsi="宋体" w:cs="宋体"/>
                <w:color w:val="auto"/>
                <w:sz w:val="28"/>
                <w:szCs w:val="28"/>
                <w:highlight w:val="none"/>
              </w:rPr>
            </w:pPr>
          </w:p>
        </w:tc>
        <w:tc>
          <w:tcPr>
            <w:tcW w:w="290" w:type="pct"/>
            <w:shd w:val="clear" w:color="auto" w:fill="auto"/>
            <w:noWrap/>
            <w:vAlign w:val="center"/>
          </w:tcPr>
          <w:p>
            <w:pPr>
              <w:spacing w:line="360" w:lineRule="auto"/>
              <w:rPr>
                <w:rFonts w:ascii="宋体" w:hAnsi="宋体" w:cs="宋体"/>
                <w:color w:val="auto"/>
                <w:sz w:val="28"/>
                <w:szCs w:val="28"/>
                <w:highlight w:val="none"/>
              </w:rPr>
            </w:pPr>
          </w:p>
        </w:tc>
        <w:tc>
          <w:tcPr>
            <w:tcW w:w="237" w:type="pct"/>
            <w:shd w:val="clear" w:color="auto" w:fill="auto"/>
            <w:noWrap/>
            <w:vAlign w:val="center"/>
          </w:tcPr>
          <w:p>
            <w:pPr>
              <w:spacing w:line="360" w:lineRule="auto"/>
              <w:rPr>
                <w:rFonts w:ascii="宋体" w:hAnsi="宋体" w:cs="宋体"/>
                <w:color w:val="auto"/>
                <w:sz w:val="28"/>
                <w:szCs w:val="28"/>
                <w:highlight w:val="none"/>
              </w:rPr>
            </w:pP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具体见（三）</w:t>
            </w:r>
          </w:p>
        </w:tc>
        <w:tc>
          <w:tcPr>
            <w:tcW w:w="2335" w:type="pct"/>
            <w:shd w:val="clear" w:color="auto" w:fill="auto"/>
            <w:noWrap/>
            <w:vAlign w:val="center"/>
          </w:tcPr>
          <w:p>
            <w:pPr>
              <w:spacing w:line="360" w:lineRule="auto"/>
              <w:rPr>
                <w:rFonts w:ascii="宋体" w:hAnsi="宋体" w:cs="宋体"/>
                <w:color w:val="auto"/>
                <w:sz w:val="28"/>
                <w:szCs w:val="28"/>
                <w:highlight w:val="none"/>
              </w:rPr>
            </w:pPr>
          </w:p>
        </w:tc>
        <w:tc>
          <w:tcPr>
            <w:tcW w:w="290" w:type="pct"/>
            <w:shd w:val="clear" w:color="auto" w:fill="auto"/>
            <w:noWrap/>
            <w:vAlign w:val="center"/>
          </w:tcPr>
          <w:p>
            <w:pPr>
              <w:spacing w:line="360" w:lineRule="auto"/>
              <w:rPr>
                <w:rFonts w:ascii="宋体" w:hAnsi="宋体" w:cs="宋体"/>
                <w:color w:val="auto"/>
                <w:sz w:val="28"/>
                <w:szCs w:val="28"/>
                <w:highlight w:val="none"/>
              </w:rPr>
            </w:pPr>
          </w:p>
        </w:tc>
        <w:tc>
          <w:tcPr>
            <w:tcW w:w="237" w:type="pct"/>
            <w:shd w:val="clear" w:color="auto" w:fill="auto"/>
            <w:noWrap/>
            <w:vAlign w:val="center"/>
          </w:tcPr>
          <w:p>
            <w:pPr>
              <w:spacing w:line="360" w:lineRule="auto"/>
              <w:rPr>
                <w:rFonts w:ascii="宋体" w:hAnsi="宋体" w:cs="宋体"/>
                <w:color w:val="auto"/>
                <w:sz w:val="28"/>
                <w:szCs w:val="28"/>
                <w:highlight w:val="none"/>
              </w:rPr>
            </w:pP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123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控制软件包清单</w:t>
            </w:r>
          </w:p>
        </w:tc>
        <w:tc>
          <w:tcPr>
            <w:tcW w:w="2335" w:type="pct"/>
            <w:shd w:val="clear" w:color="auto" w:fill="auto"/>
            <w:noWrap/>
            <w:vAlign w:val="center"/>
          </w:tcPr>
          <w:p>
            <w:pPr>
              <w:spacing w:line="360" w:lineRule="auto"/>
              <w:rPr>
                <w:rFonts w:ascii="宋体" w:hAnsi="宋体" w:cs="宋体"/>
                <w:color w:val="auto"/>
                <w:sz w:val="28"/>
                <w:szCs w:val="28"/>
                <w:highlight w:val="none"/>
              </w:rPr>
            </w:pPr>
          </w:p>
        </w:tc>
        <w:tc>
          <w:tcPr>
            <w:tcW w:w="290" w:type="pct"/>
            <w:shd w:val="clear" w:color="auto" w:fill="auto"/>
            <w:noWrap/>
            <w:vAlign w:val="center"/>
          </w:tcPr>
          <w:p>
            <w:pPr>
              <w:spacing w:line="360" w:lineRule="auto"/>
              <w:rPr>
                <w:rFonts w:ascii="宋体" w:hAnsi="宋体" w:cs="宋体"/>
                <w:color w:val="auto"/>
                <w:sz w:val="28"/>
                <w:szCs w:val="28"/>
                <w:highlight w:val="none"/>
              </w:rPr>
            </w:pPr>
          </w:p>
        </w:tc>
        <w:tc>
          <w:tcPr>
            <w:tcW w:w="237" w:type="pct"/>
            <w:shd w:val="clear" w:color="auto" w:fill="auto"/>
            <w:noWrap/>
            <w:vAlign w:val="center"/>
          </w:tcPr>
          <w:p>
            <w:pPr>
              <w:spacing w:line="360" w:lineRule="auto"/>
              <w:rPr>
                <w:rFonts w:ascii="宋体" w:hAnsi="宋体" w:cs="宋体"/>
                <w:color w:val="auto"/>
                <w:sz w:val="28"/>
                <w:szCs w:val="28"/>
                <w:highlight w:val="none"/>
              </w:rPr>
            </w:pP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restart"/>
            <w:shd w:val="clear" w:color="auto" w:fill="auto"/>
            <w:noWrap/>
            <w:vAlign w:val="center"/>
          </w:tcPr>
          <w:p>
            <w:pPr>
              <w:spacing w:line="360" w:lineRule="auto"/>
              <w:rPr>
                <w:rFonts w:ascii="宋体" w:hAnsi="宋体" w:cs="宋体"/>
                <w:color w:val="auto"/>
                <w:sz w:val="28"/>
                <w:szCs w:val="28"/>
                <w:highlight w:val="none"/>
              </w:rPr>
            </w:pPr>
          </w:p>
        </w:tc>
        <w:tc>
          <w:tcPr>
            <w:tcW w:w="1230" w:type="pct"/>
            <w:vMerge w:val="restar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压榨车间自动控制系统解决方案及策略包(含组态编程、各控制软件策略包、技术服务、培训等)</w:t>
            </w: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均衡进榨计量自动控制策略包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原厂家广西宏智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榨机高位槽料位自动控制策略包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轴承温度自动监控、报警策略包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机械连锁控制策略包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混合汁箱液位、流量自动控制策略包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混合汁箱缓冲箱液位自动控制策略包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渗透水箱液位、温度、流量自动控制策略包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1230" w:type="pct"/>
            <w:vMerge w:val="continue"/>
            <w:shd w:val="clear" w:color="auto" w:fill="auto"/>
            <w:noWrap/>
            <w:vAlign w:val="center"/>
          </w:tcPr>
          <w:p>
            <w:pPr>
              <w:spacing w:line="360" w:lineRule="auto"/>
              <w:rPr>
                <w:rFonts w:ascii="宋体" w:hAnsi="宋体" w:cs="宋体"/>
                <w:color w:val="auto"/>
                <w:sz w:val="28"/>
                <w:szCs w:val="28"/>
                <w:highlight w:val="none"/>
              </w:rPr>
            </w:pPr>
          </w:p>
        </w:tc>
        <w:tc>
          <w:tcPr>
            <w:tcW w:w="2335"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磷酸自动控制策略包</w:t>
            </w:r>
          </w:p>
        </w:tc>
        <w:tc>
          <w:tcPr>
            <w:tcW w:w="290"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noWrap/>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4789" w:type="pct"/>
            <w:gridSpan w:val="5"/>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65寸液晶显示屏</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用于榨面显示视频，控制室显示，支持HDMI高清输入</w:t>
            </w:r>
          </w:p>
        </w:tc>
        <w:tc>
          <w:tcPr>
            <w:tcW w:w="290"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数字摄像头</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标准poe供电 400万像素网络高清全彩夜视，低照度，含支架及护罩</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参照或相当于海康威视、大华、普联tplink、华为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8通道网络数字硬盘录像机</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3T硬盘</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参照或相当于海康威视、大华、普联tplink、华为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视频分屏器</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4口以上，用于榨面显示视频</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6"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6类无氧铜芯网线、高清线、插座、视屏电缆等及其他相应接头配件</w:t>
            </w:r>
          </w:p>
        </w:tc>
        <w:tc>
          <w:tcPr>
            <w:tcW w:w="2335" w:type="pct"/>
            <w:shd w:val="clear" w:color="auto" w:fill="auto"/>
            <w:vAlign w:val="center"/>
          </w:tcPr>
          <w:p>
            <w:pPr>
              <w:spacing w:line="360" w:lineRule="auto"/>
              <w:rPr>
                <w:rFonts w:ascii="宋体" w:hAnsi="宋体" w:cs="宋体"/>
                <w:color w:val="auto"/>
                <w:sz w:val="28"/>
                <w:szCs w:val="28"/>
                <w:highlight w:val="none"/>
              </w:rPr>
            </w:pP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695" w:type="pct"/>
            <w:shd w:val="clear" w:color="auto" w:fill="auto"/>
            <w:vAlign w:val="center"/>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10口千兆POE交换机</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标准PoE供电输出</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w:t>
            </w:r>
            <w:r>
              <w:rPr>
                <w:rFonts w:ascii="宋体" w:hAnsi="宋体" w:cs="宋体"/>
                <w:color w:val="auto"/>
                <w:sz w:val="28"/>
                <w:szCs w:val="28"/>
                <w:highlight w:val="none"/>
              </w:rPr>
              <w:t>TPlink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光纤收发器</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千兆单模单纤</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对</w:t>
            </w:r>
          </w:p>
        </w:tc>
        <w:tc>
          <w:tcPr>
            <w:tcW w:w="69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w:t>
            </w:r>
            <w:r>
              <w:rPr>
                <w:rFonts w:ascii="宋体" w:hAnsi="宋体" w:cs="宋体"/>
                <w:color w:val="auto"/>
                <w:sz w:val="28"/>
                <w:szCs w:val="28"/>
                <w:highlight w:val="none"/>
              </w:rPr>
              <w:t>TPlink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0" w:type="pct"/>
            <w:shd w:val="clear" w:color="auto" w:fill="auto"/>
            <w:vAlign w:val="center"/>
          </w:tcPr>
          <w:p>
            <w:pPr>
              <w:spacing w:line="360" w:lineRule="auto"/>
              <w:rPr>
                <w:rFonts w:ascii="宋体" w:hAnsi="宋体" w:cs="宋体"/>
                <w:color w:val="auto"/>
                <w:sz w:val="28"/>
                <w:szCs w:val="28"/>
                <w:highlight w:val="none"/>
              </w:rPr>
            </w:pPr>
          </w:p>
        </w:tc>
        <w:tc>
          <w:tcPr>
            <w:tcW w:w="123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机柜</w:t>
            </w:r>
          </w:p>
        </w:tc>
        <w:tc>
          <w:tcPr>
            <w:tcW w:w="2335"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9U</w:t>
            </w:r>
          </w:p>
        </w:tc>
        <w:tc>
          <w:tcPr>
            <w:tcW w:w="290" w:type="pct"/>
            <w:shd w:val="clear" w:color="auto" w:fill="auto"/>
            <w:vAlign w:val="bottom"/>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237" w:type="pct"/>
            <w:shd w:val="clear" w:color="auto" w:fill="auto"/>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个</w:t>
            </w:r>
          </w:p>
        </w:tc>
        <w:tc>
          <w:tcPr>
            <w:tcW w:w="695" w:type="pct"/>
            <w:shd w:val="clear" w:color="auto" w:fill="auto"/>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（2）现场设备清单</w:t>
      </w:r>
    </w:p>
    <w:tbl>
      <w:tblPr>
        <w:tblStyle w:val="47"/>
        <w:tblW w:w="5458" w:type="pct"/>
        <w:jc w:val="center"/>
        <w:tblLayout w:type="fixed"/>
        <w:tblCellMar>
          <w:top w:w="0" w:type="dxa"/>
          <w:left w:w="108" w:type="dxa"/>
          <w:bottom w:w="0" w:type="dxa"/>
          <w:right w:w="108" w:type="dxa"/>
        </w:tblCellMar>
      </w:tblPr>
      <w:tblGrid>
        <w:gridCol w:w="558"/>
        <w:gridCol w:w="2085"/>
        <w:gridCol w:w="1459"/>
        <w:gridCol w:w="3122"/>
        <w:gridCol w:w="450"/>
        <w:gridCol w:w="557"/>
        <w:gridCol w:w="2526"/>
      </w:tblGrid>
      <w:tr>
        <w:tblPrEx>
          <w:tblCellMar>
            <w:top w:w="0" w:type="dxa"/>
            <w:left w:w="108" w:type="dxa"/>
            <w:bottom w:w="0" w:type="dxa"/>
            <w:right w:w="108" w:type="dxa"/>
          </w:tblCellMar>
        </w:tblPrEx>
        <w:trPr>
          <w:trHeight w:val="705" w:hRule="atLeast"/>
          <w:jc w:val="center"/>
        </w:trPr>
        <w:tc>
          <w:tcPr>
            <w:tcW w:w="260" w:type="pct"/>
            <w:tcBorders>
              <w:top w:val="single" w:color="auto" w:sz="8" w:space="0"/>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969"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用  途</w:t>
            </w:r>
          </w:p>
        </w:tc>
        <w:tc>
          <w:tcPr>
            <w:tcW w:w="678"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名    称</w:t>
            </w:r>
          </w:p>
        </w:tc>
        <w:tc>
          <w:tcPr>
            <w:tcW w:w="1451"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型  号  及  规  格</w:t>
            </w:r>
          </w:p>
        </w:tc>
        <w:tc>
          <w:tcPr>
            <w:tcW w:w="209"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单位</w:t>
            </w:r>
          </w:p>
        </w:tc>
        <w:tc>
          <w:tcPr>
            <w:tcW w:w="259" w:type="pct"/>
            <w:tcBorders>
              <w:top w:val="single" w:color="auto" w:sz="8" w:space="0"/>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数量</w:t>
            </w:r>
          </w:p>
        </w:tc>
        <w:tc>
          <w:tcPr>
            <w:tcW w:w="1170" w:type="pct"/>
            <w:tcBorders>
              <w:top w:val="single" w:color="auto" w:sz="8" w:space="0"/>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品牌</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温度、振动测量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渗透水箱进水温度</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Pt100,插入深度：150mm</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渗透水箱水温</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Pt100,插入深度：250mm</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1#~6#榨机轴瓦温度</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端面Pt100，M6*10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36</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1#~6#榨机电机温度、振动</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1#~3#切撕机轴瓦温度</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铂热电阻</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端面Pt100，M6*10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1#~3#切撕机电机温度、振动</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电流测量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6#榨机电机电流</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霍尔电流传感器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0-2000ADC/4-20mADC,24V供电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支</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料位测量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6#榨机高位槽料位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专用料位检测装置</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LT-05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流量测量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渗透水流量</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电磁流量计</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DN65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参照或相当于罗斯蒙特、横河、科隆</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混合汁箱出口流量</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电磁流量计</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DN200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参照或相当于罗斯蒙特、横河、科隆</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液位测量</w:t>
            </w:r>
          </w:p>
        </w:tc>
      </w:tr>
      <w:tr>
        <w:tblPrEx>
          <w:tblCellMar>
            <w:top w:w="0" w:type="dxa"/>
            <w:left w:w="108" w:type="dxa"/>
            <w:bottom w:w="0" w:type="dxa"/>
            <w:right w:w="108" w:type="dxa"/>
          </w:tblCellMar>
        </w:tblPrEx>
        <w:trPr>
          <w:trHeight w:val="1663"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混合汁箱液位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法兰安装式液位变送器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0~4000mm，带HART</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参照或相当于罗斯蒙特、EJA、美国霍尼韦尔</w:t>
            </w:r>
          </w:p>
        </w:tc>
      </w:tr>
      <w:tr>
        <w:tblPrEx>
          <w:tblCellMar>
            <w:top w:w="0" w:type="dxa"/>
            <w:left w:w="108" w:type="dxa"/>
            <w:bottom w:w="0" w:type="dxa"/>
            <w:right w:w="108" w:type="dxa"/>
          </w:tblCellMar>
        </w:tblPrEx>
        <w:trPr>
          <w:trHeight w:val="1663"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混合汁缓冲箱液位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法兰安装式液位变送器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0~4000mm，带HART</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参照或相当于罗斯蒙特、EJA、美国霍尼韦尔</w:t>
            </w:r>
          </w:p>
        </w:tc>
      </w:tr>
      <w:tr>
        <w:tblPrEx>
          <w:tblCellMar>
            <w:top w:w="0" w:type="dxa"/>
            <w:left w:w="108" w:type="dxa"/>
            <w:bottom w:w="0" w:type="dxa"/>
            <w:right w:w="108" w:type="dxa"/>
          </w:tblCellMar>
        </w:tblPrEx>
        <w:trPr>
          <w:trHeight w:val="1663"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渗透水箱液位</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法兰安装式液位变送器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0~4000mm，带HART</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参照或相当于罗斯蒙特、EJA、美国霍尼韦尔</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蔗渣水份测量</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蔗渣水份</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水份在线监测仪器</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HK2，0~100%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参照或相当于德国哈尔卡森</w:t>
            </w: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渗透水温度调节阀</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三通合流气动调节阀</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DN80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渗透水流量调节阀</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气动调节蝶阀</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DN65</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进渗透水箱液位调节阀</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气动调节蝶阀</w:t>
            </w: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DN80</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磷酸控制</w:t>
            </w: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控制机箱</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含端子、线槽、断路器等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变频器</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配套计量泵</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674"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信号转换模块</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含7017信号转换模块</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674"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通讯模块</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含8520通讯模块等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5</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计量泵</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含安装底座、其他配件等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112"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6</w:t>
            </w: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磷酸管路</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含止回阀、Y型过滤器等</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套</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60" w:hRule="atLeast"/>
          <w:jc w:val="center"/>
        </w:trPr>
        <w:tc>
          <w:tcPr>
            <w:tcW w:w="5000" w:type="pct"/>
            <w:gridSpan w:val="7"/>
            <w:tcBorders>
              <w:top w:val="single" w:color="auto" w:sz="4" w:space="0"/>
              <w:left w:val="single" w:color="auto" w:sz="8" w:space="0"/>
              <w:bottom w:val="single" w:color="auto" w:sz="4" w:space="0"/>
              <w:right w:val="single" w:color="000000" w:sz="8"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安装材料</w:t>
            </w:r>
          </w:p>
        </w:tc>
      </w:tr>
      <w:tr>
        <w:tblPrEx>
          <w:tblCellMar>
            <w:top w:w="0" w:type="dxa"/>
            <w:left w:w="108" w:type="dxa"/>
            <w:bottom w:w="0" w:type="dxa"/>
            <w:right w:w="108" w:type="dxa"/>
          </w:tblCellMar>
        </w:tblPrEx>
        <w:trPr>
          <w:trHeight w:val="560"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安装材料</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满足现场需要</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rPr>
          <w:trHeight w:val="560" w:hRule="atLeast"/>
          <w:jc w:val="center"/>
        </w:trPr>
        <w:tc>
          <w:tcPr>
            <w:tcW w:w="260" w:type="pct"/>
            <w:tcBorders>
              <w:top w:val="nil"/>
              <w:left w:val="single" w:color="auto" w:sz="8" w:space="0"/>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96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电线电缆</w:t>
            </w:r>
          </w:p>
        </w:tc>
        <w:tc>
          <w:tcPr>
            <w:tcW w:w="678"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满足现场需要</w:t>
            </w:r>
          </w:p>
        </w:tc>
        <w:tc>
          <w:tcPr>
            <w:tcW w:w="20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批</w:t>
            </w:r>
          </w:p>
        </w:tc>
        <w:tc>
          <w:tcPr>
            <w:tcW w:w="259" w:type="pct"/>
            <w:tcBorders>
              <w:top w:val="nil"/>
              <w:left w:val="nil"/>
              <w:bottom w:val="single" w:color="auto" w:sz="4"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4"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r>
        <w:tblPrEx>
          <w:tblCellMar>
            <w:top w:w="0" w:type="dxa"/>
            <w:left w:w="108" w:type="dxa"/>
            <w:bottom w:w="0" w:type="dxa"/>
            <w:right w:w="108" w:type="dxa"/>
          </w:tblCellMar>
        </w:tblPrEx>
        <w:trPr>
          <w:trHeight w:val="580" w:hRule="atLeast"/>
          <w:jc w:val="center"/>
        </w:trPr>
        <w:tc>
          <w:tcPr>
            <w:tcW w:w="260" w:type="pct"/>
            <w:tcBorders>
              <w:top w:val="nil"/>
              <w:left w:val="single" w:color="auto" w:sz="8" w:space="0"/>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969"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气水分离器</w:t>
            </w:r>
          </w:p>
        </w:tc>
        <w:tc>
          <w:tcPr>
            <w:tcW w:w="678"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p>
        </w:tc>
        <w:tc>
          <w:tcPr>
            <w:tcW w:w="1451"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20L</w:t>
            </w:r>
          </w:p>
        </w:tc>
        <w:tc>
          <w:tcPr>
            <w:tcW w:w="209"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台</w:t>
            </w:r>
          </w:p>
        </w:tc>
        <w:tc>
          <w:tcPr>
            <w:tcW w:w="259" w:type="pct"/>
            <w:tcBorders>
              <w:top w:val="nil"/>
              <w:left w:val="nil"/>
              <w:bottom w:val="single" w:color="auto" w:sz="8" w:space="0"/>
              <w:right w:val="single" w:color="auto" w:sz="4" w:space="0"/>
            </w:tcBorders>
            <w:shd w:val="clear" w:color="000000" w:fill="FFFFFF"/>
            <w:noWrap/>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170" w:type="pct"/>
            <w:tcBorders>
              <w:top w:val="nil"/>
              <w:left w:val="nil"/>
              <w:bottom w:val="single" w:color="auto" w:sz="8" w:space="0"/>
              <w:right w:val="single" w:color="auto" w:sz="8" w:space="0"/>
            </w:tcBorders>
            <w:shd w:val="clear" w:color="000000" w:fill="FFFFFF"/>
            <w:noWrap/>
            <w:vAlign w:val="center"/>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（三）DCS控制系统</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1.货物需求表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680"/>
        <w:gridCol w:w="1314"/>
        <w:gridCol w:w="1637"/>
        <w:gridCol w:w="1155"/>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序号</w:t>
            </w:r>
          </w:p>
        </w:tc>
        <w:tc>
          <w:tcPr>
            <w:tcW w:w="4631" w:type="dxa"/>
            <w:gridSpan w:val="3"/>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信号类型</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I/O点数</w:t>
            </w:r>
          </w:p>
        </w:tc>
        <w:tc>
          <w:tcPr>
            <w:tcW w:w="1951"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vMerge w:val="restart"/>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1</w:t>
            </w:r>
          </w:p>
        </w:tc>
        <w:tc>
          <w:tcPr>
            <w:tcW w:w="1680" w:type="dxa"/>
            <w:vMerge w:val="restart"/>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模拟量输入（AI）</w:t>
            </w:r>
          </w:p>
        </w:tc>
        <w:tc>
          <w:tcPr>
            <w:tcW w:w="1314" w:type="dxa"/>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AI</w:t>
            </w:r>
          </w:p>
        </w:tc>
        <w:tc>
          <w:tcPr>
            <w:tcW w:w="1637"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4～20mA</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vMerge w:val="continue"/>
            <w:vAlign w:val="center"/>
          </w:tcPr>
          <w:p>
            <w:pPr>
              <w:spacing w:line="360" w:lineRule="auto"/>
              <w:rPr>
                <w:rFonts w:ascii="宋体" w:hAnsi="宋体" w:cs="宋体"/>
                <w:color w:val="auto"/>
                <w:sz w:val="28"/>
                <w:szCs w:val="28"/>
                <w:highlight w:val="none"/>
              </w:rPr>
            </w:pPr>
          </w:p>
        </w:tc>
        <w:tc>
          <w:tcPr>
            <w:tcW w:w="1680" w:type="dxa"/>
            <w:vMerge w:val="continue"/>
            <w:vAlign w:val="center"/>
          </w:tcPr>
          <w:p>
            <w:pPr>
              <w:spacing w:line="360" w:lineRule="auto"/>
              <w:rPr>
                <w:rFonts w:ascii="宋体" w:hAnsi="宋体" w:cs="宋体"/>
                <w:color w:val="auto"/>
                <w:sz w:val="28"/>
                <w:szCs w:val="28"/>
                <w:highlight w:val="none"/>
              </w:rPr>
            </w:pPr>
          </w:p>
        </w:tc>
        <w:tc>
          <w:tcPr>
            <w:tcW w:w="1314" w:type="dxa"/>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热电阻</w:t>
            </w:r>
          </w:p>
        </w:tc>
        <w:tc>
          <w:tcPr>
            <w:tcW w:w="1637"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PT100</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w:t>
            </w: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模拟量输出（AO）</w:t>
            </w:r>
          </w:p>
        </w:tc>
        <w:tc>
          <w:tcPr>
            <w:tcW w:w="1637" w:type="dxa"/>
            <w:vAlign w:val="center"/>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4～20mA</w:t>
            </w: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3</w:t>
            </w: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开关量输入（DI）</w:t>
            </w:r>
          </w:p>
        </w:tc>
        <w:tc>
          <w:tcPr>
            <w:tcW w:w="1637" w:type="dxa"/>
          </w:tcPr>
          <w:p>
            <w:pPr>
              <w:spacing w:line="360" w:lineRule="auto"/>
              <w:rPr>
                <w:rFonts w:ascii="宋体" w:hAnsi="宋体" w:cs="宋体"/>
                <w:color w:val="auto"/>
                <w:sz w:val="28"/>
                <w:szCs w:val="28"/>
                <w:highlight w:val="none"/>
              </w:rPr>
            </w:pP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4</w:t>
            </w: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开关量输出（DO）</w:t>
            </w:r>
          </w:p>
        </w:tc>
        <w:tc>
          <w:tcPr>
            <w:tcW w:w="1637" w:type="dxa"/>
          </w:tcPr>
          <w:p>
            <w:pPr>
              <w:spacing w:line="360" w:lineRule="auto"/>
              <w:rPr>
                <w:rFonts w:ascii="宋体" w:hAnsi="宋体" w:cs="宋体"/>
                <w:color w:val="auto"/>
                <w:sz w:val="28"/>
                <w:szCs w:val="28"/>
                <w:highlight w:val="none"/>
              </w:rPr>
            </w:pP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3" w:type="dxa"/>
          </w:tcPr>
          <w:p>
            <w:pPr>
              <w:spacing w:line="360" w:lineRule="auto"/>
              <w:rPr>
                <w:rFonts w:ascii="宋体" w:hAnsi="宋体" w:cs="宋体"/>
                <w:color w:val="auto"/>
                <w:sz w:val="28"/>
                <w:szCs w:val="28"/>
                <w:highlight w:val="none"/>
              </w:rPr>
            </w:pPr>
          </w:p>
        </w:tc>
        <w:tc>
          <w:tcPr>
            <w:tcW w:w="2994" w:type="dxa"/>
            <w:gridSpan w:val="2"/>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总计</w:t>
            </w:r>
          </w:p>
        </w:tc>
        <w:tc>
          <w:tcPr>
            <w:tcW w:w="1637" w:type="dxa"/>
          </w:tcPr>
          <w:p>
            <w:pPr>
              <w:spacing w:line="360" w:lineRule="auto"/>
              <w:rPr>
                <w:rFonts w:ascii="宋体" w:hAnsi="宋体" w:cs="宋体"/>
                <w:color w:val="auto"/>
                <w:sz w:val="28"/>
                <w:szCs w:val="28"/>
                <w:highlight w:val="none"/>
              </w:rPr>
            </w:pPr>
          </w:p>
        </w:tc>
        <w:tc>
          <w:tcPr>
            <w:tcW w:w="1155" w:type="dxa"/>
          </w:tcPr>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按需</w:t>
            </w:r>
          </w:p>
        </w:tc>
        <w:tc>
          <w:tcPr>
            <w:tcW w:w="1951" w:type="dxa"/>
          </w:tcPr>
          <w:p>
            <w:pPr>
              <w:spacing w:line="360" w:lineRule="auto"/>
              <w:rPr>
                <w:rFonts w:ascii="宋体" w:hAnsi="宋体" w:cs="宋体"/>
                <w:color w:val="auto"/>
                <w:sz w:val="28"/>
                <w:szCs w:val="28"/>
                <w:highlight w:val="none"/>
              </w:rPr>
            </w:pPr>
          </w:p>
        </w:tc>
      </w:tr>
    </w:tbl>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  备注：以上IO点包含20%的富余量，配套UPS(6KVA),控制系统按照标准（接地电阻小于4欧姆）作接地，每个操作站配套操作台和座椅等附带设备，25″寸液晶显示屏，提供控制程序，要求DCS机柜配置空调（按10平方配置一匹的标准），静电地板。</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2.控制系统（DCS）基本要求</w:t>
      </w:r>
    </w:p>
    <w:p>
      <w:pPr>
        <w:spacing w:line="360" w:lineRule="auto"/>
        <w:ind w:firstLine="561"/>
        <w:rPr>
          <w:rFonts w:ascii="宋体" w:hAnsi="宋体" w:cs="宋体"/>
          <w:color w:val="auto"/>
          <w:sz w:val="28"/>
          <w:szCs w:val="28"/>
          <w:highlight w:val="none"/>
        </w:rPr>
      </w:pPr>
      <w:r>
        <w:rPr>
          <w:rFonts w:hint="eastAsia" w:ascii="宋体" w:hAnsi="宋体" w:cs="宋体"/>
          <w:color w:val="auto"/>
          <w:sz w:val="28"/>
          <w:szCs w:val="28"/>
          <w:highlight w:val="none"/>
        </w:rPr>
        <w:t xml:space="preserve"> 2.1系统配置</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本项目配置1个工程师站和2个操作站；</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系统的CPU、网络、软件以及相应的接口等能够满足控制和监控的要求。对每种插件应有5%～10%的机箱空槽和端子排，与之相应的软件也应有足够的余量。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CPU负荷率≤50%。</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内存容量有50%的余量。</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各类I/O点数按照20%的富裕量（硬接点卡件，安装在架柜内并接好线），便于以后系统扩展。</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2.2系统硬件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系统的控制器、网卡、电源模块采用1：1热冗余配置，当运行设备出现故障时，系统应无需人工介入，自动无扰切换至热备用设备（要求1个控制周期内），在操作员站、工程师站的监视画面上能够显示出故障设备，以提醒运行人员，系统则维持原有功能稳定运行。</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操作站与过程站之间直接相连无网关等服务器装置，避免通讯瓶颈。</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所有输入/输出卡件应具备点点隔离功能（光电隔离或电磁隔离），具备带电插拔的功能。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应具有完善的自诊断功能，可以诊断至卡件、通道和通讯网络以及变送器或传感器故障诊断，并能够提供详细的故障信息，以便于系统维护人员在最短的时间排除故障。</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系统应具备离线的实时调试和仿真功能，以缩短系统在现场的调试周期和降低方案实施的风险。</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在投标文件中必须注明各模块卡件的型号、数量、技术指标。</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系统集成所需设备由卖方根据I/O点数量和控制技术要求进行整体设计，机柜必须留有维护、检修空间，同时，柜内布线槽宽度要合适，以保证布线整齐。系统控制柜内电缆和端子应编号排布整齐且应有清晰不可擦抹的标识。除此之外，还要求防尘、防水以及散热性要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2.3 系统软件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提供成熟、丰富的监视操控正版软件,以使系统的各种功能得以实现。系统软件为中文版本。卖方应在投标书列出详细随机所带的软件清单,并对软件的环境及版本加以详细说明。</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应能够在整个系统范围内设置不同级别的口令，如系统工程师、维护人员、操作员等，其权限依次向下递减，从而保证系统的安全性。 </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 xml:space="preserve">2.4 组态软件 </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DCS系统必须配备完整的组态软件，如用户授权管理软件、系统组态软件、语言编程软件、图形化编程软件、流程图制作软件、报表制作软件、二次计算组态软件等。</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2.4.1  实施监控软件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应包含但不限于如下软件：施监控软件、数据服务软件、数据通信软件、报警记录软件、趋势记录软件、ModBus数据连接软件等。</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系统维护软件应包含但不限于如下软件：故障分析软件、时间顺序记录查看软件、定期记录、运行人员操作记录、设备运行记录以及性能计算软件等。</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2.4.2  软件版本</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2.4.3 软件版本应为最新的、成熟的正式版本，附软件资料及版本说明，提供软件安装备份并能终身免费安装（含单机版软件更换电脑时用）。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2.4.4 在合同质保期及以后3年内，卖方应对系统软件、组态软件和固化的软件提供免费的更新升级服务。当系统软件有修改或升级时，应及时通知买方；若系统软件有问题，卖方应负责及时解决或升级。 </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2.4.5卖方必须保证系统配套所有软件为自有知识产权或为正版并获得合法使用授权的软件，如软件有产权或版权纠纷，一切后果由卖方负责，并赔偿由此造成的买方的损失。</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2.5 数据传输</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2.5.1 网络采用1：1冗余总线设计，控制层传输速率应达100Mbps。</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2.5.2当连接在网络上的任一站发生故障时或是脱离网络时不会影响其它站的正常工作。当某一块卡件出现故障时不会影响整个系统的正常运行。</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2.6 系统功能要求</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监视功能：中文窗口化操作平台，具有但不限于满足对蔗渣锅炉和与之配套的辅助设备以及汽轮发电机组的运行状态（生产设备的启动及停止，控制阀的开/关，故障及事故报警等）显示；主要参数显示（如参数测量值、设定值、输出值、主要电机电流等）。</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2.7 控制功能：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2.7.1具有但不限于满足蔗渣锅炉和汽轮发电机组简单和复杂回路的开环和闭环控制、顺序控制、成组及单机控制功能、联锁控制，电磁阀、马达、滑差电机以及执行机构的控制功能等。</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2.7.2当系统出现故障时，过程输出应保持不变或达到预先设置的安全输出值。能进行手-自动无扰动切换。</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3.技术服务资料</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3.1卖方要向买方提供完整的技术资料和技术数据（一式六份）。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3.2设备的设计能力，设备的过载能力，操作参数的变化范围，完整的技术规格，操作规程。</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3.3设备的基础图，设备布置图（包括平面图和剖面图）。</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3.4所有电气、仪表设备的技术资料、包括型号、规格、结构形式、防护等级、生产厂家及合格证书。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3.5系统的电气原理图和接线图。</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3.6系统的使用说明书（操作规程和调试维护方法）。</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4.售后技术服务</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4.1买方或第三方（设备安装公司）在安装、调试整流调速系统期间，若需要卖方提供技术服务的，卖方需派出胜任的、身体健康的技术人员到现场进行技术服务，负责调试至正常生产。</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4.2卖方在收到买方安装、调试传真5天内到达买方项目现场进行调试。</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4.3买方对卖方提供的设备有疑问的，卖方负责24小时内给予答复，买方来人处理的，3天内到买方现场提供服务。</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4.4卖方提供的设备在安装过程中需要安装公司改造的，所需费用由卖方现金支付给安装公司。</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4.5在买方需要时，卖方要向买方提供现场技术培训，使买方维护人员具有熟练的调试能力和一定的维护技能。</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4.6设备到达现场后，卖方需来人会同买方有关部门人员开箱清点，对设备的数量和完好情况进行外观检查。</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4.7卖方必须保证从设备运行之日起的12个月内提供的设备部件功能完善，无任何缺陷。</w:t>
      </w:r>
    </w:p>
    <w:p>
      <w:pPr>
        <w:spacing w:line="360" w:lineRule="auto"/>
        <w:ind w:firstLine="561"/>
        <w:rPr>
          <w:rFonts w:ascii="宋体" w:hAnsi="宋体" w:cs="宋体"/>
          <w:color w:val="auto"/>
          <w:sz w:val="28"/>
          <w:szCs w:val="28"/>
          <w:highlight w:val="none"/>
        </w:rPr>
      </w:pPr>
      <w:r>
        <w:rPr>
          <w:rFonts w:hint="eastAsia" w:ascii="宋体" w:hAnsi="宋体" w:cs="宋体"/>
          <w:color w:val="auto"/>
          <w:sz w:val="28"/>
          <w:szCs w:val="28"/>
          <w:highlight w:val="none"/>
        </w:rPr>
        <w:t>4.8控制系统培训</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系统维护人员培训不少于4人， 培训内容要求掌握系统软件简单开发能力，系统故障维护等能力；操作培训不少于15人，要求掌握基本设备操作技能和操作使用的工具。</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4.9实现对压榨蔗刀机、输蔗机、抛蔗机、电磁吸铁器、扫带机、榨机、耙齿机、渗透汁曲筛以及各种泵浦等的控制和监控，实现对稀油站状态的监控。</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5.其它</w:t>
      </w:r>
    </w:p>
    <w:p>
      <w:pPr>
        <w:pStyle w:val="99"/>
        <w:spacing w:line="360" w:lineRule="auto"/>
        <w:ind w:firstLine="560"/>
        <w:rPr>
          <w:rFonts w:ascii="宋体" w:hAnsi="宋体" w:cs="宋体"/>
          <w:color w:val="auto"/>
          <w:sz w:val="28"/>
          <w:szCs w:val="28"/>
          <w:highlight w:val="none"/>
        </w:rPr>
      </w:pPr>
      <w:r>
        <w:rPr>
          <w:rFonts w:hint="eastAsia" w:ascii="宋体" w:hAnsi="宋体" w:cs="宋体"/>
          <w:bCs/>
          <w:color w:val="auto"/>
          <w:sz w:val="28"/>
          <w:szCs w:val="28"/>
          <w:highlight w:val="none"/>
        </w:rPr>
        <w:t>5.1、</w:t>
      </w:r>
      <w:r>
        <w:rPr>
          <w:rFonts w:hint="eastAsia" w:ascii="宋体" w:hAnsi="宋体" w:cs="宋体"/>
          <w:color w:val="auto"/>
          <w:sz w:val="28"/>
          <w:szCs w:val="28"/>
          <w:highlight w:val="none"/>
        </w:rPr>
        <w:t>项目完成后生产能力及技术要</w:t>
      </w:r>
      <w:r>
        <w:rPr>
          <w:rFonts w:hint="eastAsia" w:ascii="宋体" w:hAnsi="宋体" w:cs="宋体"/>
          <w:bCs/>
          <w:color w:val="auto"/>
          <w:sz w:val="28"/>
          <w:szCs w:val="28"/>
          <w:highlight w:val="none"/>
        </w:rPr>
        <w:t>确保满足初步设计、施工图及需方生产需求。</w:t>
      </w:r>
      <w:r>
        <w:rPr>
          <w:rFonts w:hint="eastAsia" w:ascii="宋体" w:hAnsi="宋体" w:cs="宋体"/>
          <w:color w:val="auto"/>
          <w:sz w:val="28"/>
          <w:szCs w:val="28"/>
          <w:highlight w:val="none"/>
        </w:rPr>
        <w:t>质量符合国家或行业现行标准要求。</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5.2、采用设备是成熟的、先进的、并具有制造相同生产能力的设备、运行成功的经验，不得使用试验性的设计和部件。</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5.3、机械设备结构紧凑、牢固、检修和调校容易，操作方便。</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5.4、确保人员和设备安全。</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5.5、配套的安全防护平台、栏杆、标识及油漆等须按招标人的相关规定进行制作及安装，同时做好安全标识等防护设施。</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5.6、所用钢材料生产厂家，参照或相当于厂家：柳钢、宝钢、鞍钢、太钢，投标人可选用同档次或优于参考厂家品牌。</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5.7、电器类参照或相当于厂家：卧龙电机、江特电机、大洋电机、上海电机，投标人可选用同档次或优于参考厂家品牌。</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5.8、行星减速机参照或相当于：杭州南方通达、重庆永进重机、南高齿。</w:t>
      </w:r>
    </w:p>
    <w:p>
      <w:pPr>
        <w:pStyle w:val="99"/>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5.9、DCS控制系统参照或相当于：浙江中控、杭州优稳、和利时。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5.10、供方需提供项目相关设备的合格证、使用说明，所有设备整套一式两份的纸质图纸及CAD版电子图（整套图纸包括设备总图、装配图、零配件图、主要部件的结构图、安装尺寸、安装施工图、底梳放样图、安装基础图等图纸）。</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5.11、项目完工后，由供方、需方按有关要求以及现行甘蔗制糖行业标准为依据共同验收。 特种设备（电动双梁起重机）安装通过检验并取得使用登记证后交付使用。</w:t>
      </w:r>
    </w:p>
    <w:p>
      <w:pPr>
        <w:pStyle w:val="99"/>
        <w:spacing w:line="360" w:lineRule="auto"/>
        <w:ind w:firstLine="562"/>
        <w:rPr>
          <w:rFonts w:ascii="宋体" w:hAnsi="宋体" w:cs="宋体"/>
          <w:color w:val="auto"/>
          <w:sz w:val="28"/>
          <w:szCs w:val="28"/>
          <w:highlight w:val="none"/>
        </w:rPr>
      </w:pPr>
      <w:r>
        <w:rPr>
          <w:rFonts w:hint="eastAsia" w:ascii="宋体" w:hAnsi="宋体" w:cs="宋体"/>
          <w:b/>
          <w:bCs/>
          <w:color w:val="auto"/>
          <w:sz w:val="28"/>
          <w:szCs w:val="28"/>
          <w:highlight w:val="none"/>
        </w:rPr>
        <w:t>七、</w:t>
      </w:r>
      <w:r>
        <w:rPr>
          <w:rFonts w:hint="eastAsia" w:ascii="宋体" w:hAnsi="宋体" w:cs="宋体"/>
          <w:color w:val="auto"/>
          <w:sz w:val="28"/>
          <w:szCs w:val="28"/>
          <w:highlight w:val="none"/>
        </w:rPr>
        <w:t>电气要求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7.1</w:t>
      </w:r>
      <w:r>
        <w:rPr>
          <w:rFonts w:hint="eastAsia" w:ascii="宋体" w:hAnsi="宋体" w:cs="宋体"/>
          <w:color w:val="auto"/>
          <w:sz w:val="28"/>
          <w:szCs w:val="28"/>
          <w:highlight w:val="none"/>
        </w:rPr>
        <w:tab/>
      </w:r>
      <w:r>
        <w:rPr>
          <w:rFonts w:hint="eastAsia" w:ascii="宋体" w:hAnsi="宋体" w:cs="宋体"/>
          <w:color w:val="auto"/>
          <w:sz w:val="28"/>
          <w:szCs w:val="28"/>
          <w:highlight w:val="none"/>
        </w:rPr>
        <w:t>国家标准及有关行业标准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《供配电系统设计规范》GB50052-2009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《3～110kV 高压配电装置设计规范》GB50060-2008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《20KV 及以下变电所设计规范》GB50053-2013</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《低压配电设计规范》GB50054-2011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《通用用电设备配电设计规范》GB 50055-2011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《电力装置的继电保护和自动装置设计规范》GB 50062-2008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《建筑照明设计标准》GB50034-2014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《电力装置电测量仪表装置设计规范》GB/T 50063-2008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《电力工程电缆设计标准》GB50217-2018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《建筑物防雷设计规范》GB50057-2010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《建筑机电工程抗震设计规范》GB50981-2014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《建筑设计防火规范》GB50016-2014（2018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《消防应急照明和疏散指示系统技术标准》GB51309-2018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《建筑节能与可再生能源利用通用规范》GB55015-2021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《建筑电气与智能化通用规范》GB55024-2022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《建筑防火通用规范》GB55037-2022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《甘蔗糖厂设计规范》QB/T 102G-2022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7.2甲方电源数据</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高压：6.3KV±5%、50 Hz±0.5Hz三相交流电源，连续供电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低压：380V±5%、50Hz±0.5Hz 三相交流电源，连续供电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7.3通用技术要求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7.3.1蔗刀机应为饶线式滑环电机，定子额定电压6.3KV，防护等级不底于IP54，空水冷却。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7.3.2压榨机及双辊喂料器直流电机，电枢额定电压DC660V，防护等级不底于IP54，背包式空-水冷却器。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7.3.3所有电机绝缘等级F级，工作制：S1（连续工作制）。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7.3.4变频电机，防护等级不底于IP55，强迫风冷。</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7.3.5除以上电机及起重机电机、秤喂蔗台饶线式滑环电机，等特殊电机外的普通电机应不低于IE2能效等级。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7.3.6电机启动方式：P≤37kW可采用直接启动；37&lt;P≤90kW可采用星三角启动;；P＞90kW应采用软启动。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7.4配电及设备电气配套技术要求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7.4.1预处理压榨车间传动侧，零米层配置高压配电室及变压器室。</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7.4.2预处理压榨车间变压器室，配置一台6.3/0.4kV的油浸式电力变压器，两台油浸式整流变压器，油浸式变压器应为S13及以上。</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7.4.3预处理压榨高压室内，利用原动力车间的6台高压开关柜，对部分元器件进行改造后，作为三台变压器及三台蔗刀机的高压馈线柜。需增加高压进线柜， PT柜。6.3kV由新的动力车间，通过高压电缆引入高压进线柜。需根据原高压开关柜操作电压配置直流屏。</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7.4.4在高压室内配置三台蔗刀机的液阻启动柜及功率因数补偿装置。三台蔗刀机的启动，从设备及人员安全考虑，只允许在就地操作箱上进行启动操作。</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7.4.5蔗刀机电机的定子高压电缆、转子电缆均通过电缆沟接入高压室相应的高压开关柜、液阻启动柜及功率因数补偿装置，高压电缆应为铜芯铠装型。</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7.4.6在零米层，高压配电室、变压器室与7米层的低压配电室、可控硅室之间设置电缆夹层室，以便于各电缆从低压配电室、可控硅室的各控制柜到各传动电机及就地操作箱。</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7.4.7零米层预处理各传动点、压榨各工艺泵，各电缆通过电缆沟及预埋管再到相应的电机及就地操作箱。</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7.4.8在低压室内，整流变压器出线，配置的MCC柜，应有9个馈线回路及相应的断路器，作为6台压榨机，7台整流柜（其中一台为备用柜）、1台双辊喂料器，2台整流柜（其中一台为备用柜）的供电回路。</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7.4.9七台压榨机整流柜（其中一台为备用柜）、两台双辊喂料器整流柜（其中一台为备用柜），均为扩容型，全数字整流柜并配备切换柜或将切换装置集成于整流柜内。全数字整流柜配置PLC及触摸屏，实现自身系统的电流、料位自动控制压榨机转速。通过PLC的PROFIBUS-DP或PROFINET接口，实现与预处理压榨DCS总线通信控制。压榨机、双辊喂料电机的转速、电流、电压等数据，DCS均由总线通信获取。</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7.4.10低压室内（MCC）配置0.4kV电容功率因数补偿柜，MCC均为MNS或8PT柜型。各输蔗机、中输机等变频柜均采用PROFIBUS-DP或PROFINET接口实现与DCS总线通信控制。电机的转速（频率）、电流数据，DCS均由总线通信获取。</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7.4.11由于压榨各工艺泵均采用原设备，但要实现DCS控制。所以配置新的MCC柜，放置于底压配电室内。MCC配置就地操作按钮盒，可选择就地/远程操作，以便于维修、调试设备和急停设备使用。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7.4.12输蔗机、快速皮带机变频传动点，应配置就地操作箱，可选择就地/远程操作，以便于维修、调试设备和急停设备使用。就地操作的调速应采用三位开关式电动电位器。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7.4.13预处理压榨生产线各主辅设备电气控制柜，应有硬联锁措施；压榨机前后设备电气控制柜也应有硬联锁措施及解联开关，以便于设备调试、维修以及正常生产运行时，联锁功能的有效使用。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7.4.14通过在输蔗机上配置的两套核子秤、输蔗机、快速胶带机变频调速以及压榨料位、电流控制和DCS控制系统，实现整个预处理压榨的原料及负荷均衡压榨控制。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 直流驱动器</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7.5.1选用品牌与档次参照或相当于：美国帕克590+、尼得科CT（原艾默生CT)：MP 系列、西门子 6RA70 。</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7.5.2 在就地监控方式下，通过驱动器装置上的操作面板，可进行就地人工启动、停止驱动装置，可以调整面板转速给定从而改变电机转速，便于工作人员在现场的调试、维护和操作。</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7.5.3 直流驱动器安装于驱动控制柜内，可采用壁挂和透孔安装。</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7.5.4 直流驱动器需具有强大的环境适应能力，可在-10º ~40 ºC的环境温度下正常运行，可在环境湿度&lt;95%的条件下无凝露。</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7.5.5  直流驱动器的输入/输出功能：DI 3个；DO 3个；DI/DO 3个；AI 3个；AO 2个；继电器输出2个；AB增量型编码器反馈接口，测速发电机输入接口，所有输入/输出具有可编程功能。且可进行IO模块的额外扩展。直流驱动器应至少包含以下几种开关量信号和模拟量信号（不限于此）：</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开关量输入：起动、停止、急停、复位、手动/自动转换等信号；</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开关量输出：驱动器准备就绪、驱动器运行、驱动器故障、驱动器停止等信号；</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模拟量输入：转速给定(0-20mA、 4-20mA或-10-10V)；</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模拟量输出：输出转速、输出电流(0-20mA、4-20mA或0-10V)；</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7.5.6 配置mudbusRTU通信协议：变频器应标配RS485串行通信借口，支持Modbus RTU通讯协议，便于用户的集中控制。同时用户还可以通过各种总线卡构成网络系统，能支持Profibus，Profinet，Ethercat，Devicenet，Canopent等网络通讯，具有非常开放的网络通讯能力</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7.5.7为避免电网干扰，驱动器应能承受进线电压波动范围为AC 380 V-15%～480V +10%。必须满载输出。驱动器应具备以下保护：过电流、欠电压、缺相保护、短路保护、失速保护、驱动器过载、电机过载保护、过热保护等多种保护功能。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7.5.8控制回路应有有效的短路保护。过负荷装置应有手动复位。</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7.5.9若直流驱动器所驱动的电机具有冷却风扇，则冷却风扇电机运行必须与驱动器的运行连锁，并应有过负荷保护和短路保护。</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7.5.10信号回路应安全可靠。保护线路应根据工作电流原理工作。</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7.5.11所有的mA信号和其它的调节或控制线路应与其它系统屏蔽。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7.5.12直流驱动器应具备完善的自我保护系统。故障自检系统应易于发现故障。</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7.5.13自检和保护系统应监视和保护整个直流传动系统(包括直流电机)。</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7.5.14直流驱动器具有限制减速过电压、加速过电流功能。</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7.5.15直流驱动器能自动计算电动机阻抗、漏抗等参数。</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7.5.17直流驱动器具有内置板载PLC，可进行运动控制功能扩展。</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7.5.18同功率及电压等级直流驱动器可并联运行。直流驱动器过载能力要求能达到满负荷运行状态下过载150%30秒，124% 60秒。</w:t>
      </w:r>
    </w:p>
    <w:p>
      <w:pPr>
        <w:pStyle w:val="99"/>
        <w:spacing w:line="360" w:lineRule="auto"/>
        <w:ind w:firstLine="562"/>
        <w:rPr>
          <w:rFonts w:ascii="宋体" w:hAnsi="宋体" w:cs="宋体"/>
          <w:color w:val="auto"/>
          <w:sz w:val="28"/>
          <w:szCs w:val="28"/>
          <w:highlight w:val="none"/>
        </w:rPr>
      </w:pPr>
      <w:r>
        <w:rPr>
          <w:rFonts w:hint="eastAsia" w:ascii="宋体" w:hAnsi="宋体" w:cs="宋体"/>
          <w:b/>
          <w:bCs/>
          <w:color w:val="auto"/>
          <w:sz w:val="28"/>
          <w:szCs w:val="28"/>
          <w:highlight w:val="none"/>
        </w:rPr>
        <w:t>八、</w:t>
      </w:r>
      <w:r>
        <w:rPr>
          <w:rFonts w:hint="eastAsia" w:ascii="宋体" w:hAnsi="宋体" w:cs="宋体"/>
          <w:color w:val="auto"/>
          <w:sz w:val="28"/>
          <w:szCs w:val="28"/>
          <w:highlight w:val="none"/>
        </w:rPr>
        <w:t>建筑要求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8.1设计依据和范围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8.1.1设计依据</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a.可行性研究报告；</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b.工艺流程要求及业主其它技术要求；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c.建设地点的水文、气象、地质、用地范围有关情况等资料。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d.建设单位的意见和当地有关情况。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e 水、电、暖通等专业提供的设计资料及要求。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f.参照中国有关设计规范；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《食品企业通用卫生规范》GB14881-2013</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《甘蔗糖厂设计规范》QB_T102G-2022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《建筑设计防火规范》GB50016-2014（2018 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《建筑防火通用规范》GB55037-2022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《建筑内部装修设计防火规范》GB 50222-2017；</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《建筑工程建筑面积计算规范》GB/T 50353-2013；</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《建筑与市政工程防水通用规范》GB55030-2022；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《建筑节能与可再生能源利用通用规范》GB55015-2021；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《建筑环境通用规范》GB55016-2021；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《建筑工程设计文件编制深度规定》(2016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《民用建筑设计统一标准》GB 50352－2019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国家和地方现行的有关国家和地方标准、规范、规程、规定。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8.1.2火灾危险性、耐火等级、使用年限</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土建工程涉及改造部分为原料处理间为单层厂房，火灾危险性为丁类，建筑耐火等级二级，屋面防水等级一级，按 8 度抗震设防。主体结构为钢筋混凝土框架＋钢屋面，设计使用年限为 50 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8.1.3设计范围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本项目为技术改造工程，拆除原旧厂房，在原有位置延长压榨车间，另增加两间配电房、一间操作房。设计范围包括、建筑、结构、工艺、给排水、电气、暖通空调等设计。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8.2设计说明</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8.2.1设计概述</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根据糖厂生产工艺的要求，结合当地风向、日照、雨量及气候特征等情况，对各车间的通风、隔热、遮阳、防潮、防酸、防水、等作了相应措施。建筑设计在满足适用、经济的前提下，适当注意美观。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a）根据糖厂生产工艺的特点，符合适用、安全、经济、美观的原则,建筑设计与附近环境协调统一，强调整齐、简洁有序，具有现代工业厂房特点。</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b）根据生产工艺要求，在压榨车间屋面设置通风气楼，车间的通风、采光、卫生要求和建筑标准按《工业企业设计卫生标准》GBZ1-2010的有关规定执行。</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8.2.2建筑概况及平面设计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1.建筑平面设计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南北长 30.60 米，东西宽 35.40 米，建筑功能为单层丁类厂房，长宽与原压榨车间厂房一致，方便与原有厂房连接及设备利旧。本单体在西侧和北侧设置两个疏散门，满足疏散要求，单体建筑占地面积：1076.75 ㎡，总建筑面积：1076.75 ㎡，建筑高度：15.825m。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2.立面设计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上部采用白色无机耐擦洗涂料，底部采用灰色无机耐擦洗涂料点缀，与现有厂房色彩相呼应，营造简洁、灵动、具有时代气息的色彩氛围。在考虑建筑立面美观的同时，仔细推敲建筑造型和平面功能之间的关系，满足建筑内部功能的具体需求：利用竖向构件的体、块、面、线等多方因素，强调建筑主体的挺拔姿态；同时利用墙面与梁板平台及外墙的凹凸韵律丰富立面层次，营造出简洁明快的厂区形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3.剖面设计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单层建筑，室内外高差为 0.2 米，建筑高度 15.825 米，屋面坡度 10%。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4.外部建筑材料：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（1）墙体：外墙为190厚烧结页岩多孔砖。砌块主规格：240（长）X190（厚）X90（高），强度MU10，孔洞率≥29%，无内墙。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屋面：为轻型钢屋面系统，压型钢板采用双层压型钢板复合保温隔热屋面，屋面保温层采用100厚岩棉（容重120kg/m³）屋面外观和物理性能要求及进场抽样检验要求应符合《屋面工程技术规范》（GB50345-2012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（3）内部建筑材料：地面采用耐磨骨料重载地面（A级），内墙面采用石粉类涂料墙面（A级），设备坑采用防水混凝土，外加两道1.5厚自粘聚合物改性沥青防水卷材。</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（4）门窗：主要门为普通钢质平开门。主要窗为铝合金固定窗+6厚透明玻璃。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（5）室外建筑构造：建筑按规范设计混凝土散水，入口设置重载坡道，屋面天沟接UPVCφ100雨水管。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5.建筑防火设计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本单体总建筑面积:1076.75 ㎡；建筑层数为一层，整栋为一个防火分区。建筑消防高度 15.825 米；火灾危险性类别为丁类，建筑耐火等级为二级，设置两个疏散出口，且疏散距离满足规范要求。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6.建筑节能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根据《工业建筑节能设计统一标准》GB 51245-2017 第 3.1.1 条，本项目属于二类工业建筑，无需节能设计，本项目设置屋面通风天窗，通过自然通风统设计，降低通风能耗。</w:t>
      </w:r>
    </w:p>
    <w:p>
      <w:pPr>
        <w:pStyle w:val="99"/>
        <w:spacing w:line="360" w:lineRule="auto"/>
        <w:ind w:firstLine="562"/>
        <w:rPr>
          <w:rFonts w:ascii="宋体" w:hAnsi="宋体" w:cs="宋体"/>
          <w:color w:val="auto"/>
          <w:sz w:val="28"/>
          <w:szCs w:val="28"/>
          <w:highlight w:val="none"/>
        </w:rPr>
      </w:pPr>
      <w:r>
        <w:rPr>
          <w:rFonts w:hint="eastAsia" w:ascii="宋体" w:hAnsi="宋体" w:cs="宋体"/>
          <w:b/>
          <w:bCs/>
          <w:color w:val="auto"/>
          <w:sz w:val="28"/>
          <w:szCs w:val="28"/>
          <w:highlight w:val="none"/>
        </w:rPr>
        <w:t>九、</w:t>
      </w:r>
      <w:r>
        <w:rPr>
          <w:rFonts w:hint="eastAsia" w:ascii="宋体" w:hAnsi="宋体" w:cs="宋体"/>
          <w:color w:val="auto"/>
          <w:sz w:val="28"/>
          <w:szCs w:val="28"/>
          <w:highlight w:val="none"/>
        </w:rPr>
        <w:t>结构要求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 设计依据和范围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9.1.1 本工程采用的主要设计规范和标准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a.业主提供的本工程标书文件。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b.设计合同、业主和承包单位的要求。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c.参照有关设计规范。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（1）《工程结构通用规范》GB55001-2021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（2）《建筑与市政工程抗震通用规范》GB55002-2021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（3）《建筑与市政地基基础通用规范》GB55003-2021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（4）《钢结构通用规范》GB55006-2021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（5）《砌体结构通用规范》GB55007-2021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（6）《混凝土结构通用规范》GB55006-2021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（7）《工程勘察通用规范》GB55017-2021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（8）《建筑结构可靠性设计统一标准》（GB50068-2018）；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（9）《工程结构可靠性设计统一标准》（GB50153-2008）；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（10）《建筑工程抗震设防分类标准》（GB50223-2008）；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（11）《建筑结构荷载规范》（GB50009-2012）；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（12）《混凝土结构设计规范》（GB50010-2010）2015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（13）《建筑抗震设计规范》（GB50011-2010）2016 年版；</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（14）《中国地震动参数区划图》（GB18306-2015）；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（15）《建筑地基基础设计规范》（GB50007-2011）；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（16）《高层建筑混凝土结构技术规程》（JGJ 3-2010）；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（17）《高层建筑筏形与箱形基础技术规范》（JGJ6-2011）；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（18）《砌体结构设计规范》（GB50003-2011）；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（19）《建筑基坑支护技术规程》（JGJ 120-2012）；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（20）《混凝土结构耐久性设计标准》（GB/T50476-2019）；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（21）《工业防腐蚀设计标准》（GB/T50046-2018）；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（22）《建筑工程抗浮技术标准》（JGJ/476-2019）；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（23）《地下工程防水技术规范》（GB50108-2008）；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（24）《混凝土结构工程施工质量验收规范》（GB50204-2015）；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（25）《建筑变形测量规范》（JGJ 8-2016）；</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（26）《钢结构设计标准》 (GB50017-2017)；</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（27）《门式刚架轻型房屋钢结构技术规范》(GB51022-2015)；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（28）《建筑钢结构防火技术规范》(GB51249-2017)；</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（29）《钢结构防火涂料》(GB14907-2018)；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（30）《钢结构防火涂料应用技术规程》(T/CECS 24-2020)；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（31）《建筑钢结构防腐蚀技术规程》(T/CECS 24-2020) ；</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9.1.2 相应的岩土工程勘察报告及其主要内容包括：</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本项目拟建地点位于广东省湛江市徐闻县曲界镇华丰糖厂内。基本风压按规范取 0.75KN/m。抗震设防烈度为 8 度，设计基本地震加速度值为 0.2g，设计地震分组为第二组。本项目为改造项目，考虑到方便业主安装设备及后期的设备维护，需将原料处理间整体拆除后扩建压榨车间。参考由轻工业部广州设计院 1994 年 7 月设计的原料处理间设计图纸，本工程基础暂按天然地基基础设计考虑。施工图设计时再结合本工程的详细地质勘察报告进行基础设计。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9.1.3 采用的设计荷载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本项目各楼板及屋面荷载将按以下标准值进行计算：</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类别</w:t>
            </w:r>
          </w:p>
        </w:tc>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设计均布活荷载标准值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风荷载</w:t>
            </w:r>
          </w:p>
        </w:tc>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0.75 kN/m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不上人钢屋面</w:t>
            </w:r>
          </w:p>
        </w:tc>
        <w:tc>
          <w:tcPr>
            <w:tcW w:w="4261" w:type="dxa"/>
          </w:tcPr>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0.5kN/m</w:t>
            </w:r>
          </w:p>
        </w:tc>
      </w:tr>
    </w:tbl>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说明：</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1、.其它未尽荷载、各种荷载组合值系数、频遇值系数、准永久值系数将参照国家规范《建筑结构荷载规范》GB50009-2012 及《全国民用建筑工程设计技术措施》规定；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2、设备荷重由生产厂家提供的设备重量资料取值；</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3、风压高度变化系数及建筑物体型系数按《建筑结构荷载规范》GB50009-2012 采用。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9.1.4 建设方对设计提出的符合有关法规、标准的与结构设计有关的要求。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a.符合最新版的技术标准和规范；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b.执行行业标准 QBJS6-2005《轻工业建设项目初步设计编制内容深度规定》；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c.本项目的建筑物的设计工作年限为 50 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9.1.5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本专业的设计范围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本专业的设计范围为糖厂压榨车间从基础到上部结构的整体设计，还包括自卸喂料器及撕解机等设备基础。</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 施工设计说明</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建筑结构的安全等级和设计工作年限、建筑抗震设防烈度（设计基本地震加速度及设计地震分组）和设防类别、结构抗震等级；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按《建筑结构可靠性设计统一标准》，本工程单体设计工作年限均为 50年；安全等级为二级；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按《建筑抗震设防分类标准》本工程单体抗震设防类别均为丙类；</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按《建筑抗震设计规范》本工程地处抗震区，抗震设防烈度为 8 度，设计基本地震加速度值为 0.2g，设计地震分组为第二组。</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9.2.2 上部结构选型</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在符合设计原则条件下，满足安全经济实用。为保证施工质量和加速建厂进度，压榨车间采钢筋混凝土排架结构+轻型钢屋面，以尽可能节省材料，节约建厂投资。</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9.2.3结构设计原则</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9.2.3.1 本工程基础及地面以下与水或者土壤接触的墙、柱、梁、板环境类别为三 b 类，上部结构构件及其余室外构件环境类别为三 a 类，相应混凝土结构的裂缝控制等级为三级（ωlim=0.2mm 及 0.3mm）。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混凝土及钢结构受弯构件（普通受弯构件及吊车梁）的挠度限值将分别按照各自规范取值。</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5.2.3.2 钢筋混凝土框架柱轴压比限值：&lt;=0.8</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受弯构件的挠度控制：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钢筋混凝土屋盖及楼盖，楼梯构件:</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L&lt;7m 时L/200(L/250)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7m&lt;=L&lt;=9m 时L/250(L/300)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L&gt;9m 时L/300(L/400)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括号内数值为对挠度要求高的构件。L 为计算跨度。</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9.2.3.3地基基础设计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 本工程 的地基基础 设计等级： 按《建筑地 基基础设计 规范》</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GB50007-2011 均为丙级。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本工程拟采用独立基础或条形基础。地基承载力特征值暂定为 140 kPa，此值将根据最终地质勘察报告作调整。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9.2.4 地下室的结构做法和抗渗等级</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本工程无地下室，但有设备地坑，设备地坑采用混凝土连续浇筑的方法施工，抗渗等级为 P6。</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9.2.5 伸缩缝、沉降缝和防震缝的设置</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钢筋混凝土上部结构伸缩缝最大间距如下表所示：</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775"/>
        <w:gridCol w:w="2486"/>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905" w:type="dxa"/>
            <w:gridSpan w:val="2"/>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结构类别</w:t>
            </w:r>
          </w:p>
        </w:tc>
        <w:tc>
          <w:tcPr>
            <w:tcW w:w="2486"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室内或土中（m）</w:t>
            </w:r>
          </w:p>
        </w:tc>
        <w:tc>
          <w:tcPr>
            <w:tcW w:w="2131"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露天（m）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排架结构</w:t>
            </w:r>
          </w:p>
        </w:tc>
        <w:tc>
          <w:tcPr>
            <w:tcW w:w="1775"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现浇式</w:t>
            </w:r>
          </w:p>
        </w:tc>
        <w:tc>
          <w:tcPr>
            <w:tcW w:w="2486"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100</w:t>
            </w:r>
          </w:p>
        </w:tc>
        <w:tc>
          <w:tcPr>
            <w:tcW w:w="2131"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地 坑 壁 等 类 结构</w:t>
            </w:r>
          </w:p>
        </w:tc>
        <w:tc>
          <w:tcPr>
            <w:tcW w:w="1775"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现浇式</w:t>
            </w:r>
          </w:p>
          <w:p>
            <w:pPr>
              <w:pStyle w:val="99"/>
              <w:spacing w:line="360" w:lineRule="auto"/>
              <w:ind w:left="240" w:firstLine="560"/>
              <w:jc w:val="center"/>
              <w:rPr>
                <w:rFonts w:ascii="宋体" w:hAnsi="宋体" w:cs="宋体"/>
                <w:color w:val="auto"/>
                <w:sz w:val="28"/>
                <w:szCs w:val="28"/>
                <w:highlight w:val="none"/>
              </w:rPr>
            </w:pPr>
          </w:p>
        </w:tc>
        <w:tc>
          <w:tcPr>
            <w:tcW w:w="2486"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30</w:t>
            </w:r>
          </w:p>
          <w:p>
            <w:pPr>
              <w:pStyle w:val="99"/>
              <w:spacing w:line="360" w:lineRule="auto"/>
              <w:ind w:left="240" w:firstLine="560"/>
              <w:jc w:val="center"/>
              <w:rPr>
                <w:rFonts w:ascii="宋体" w:hAnsi="宋体" w:cs="宋体"/>
                <w:color w:val="auto"/>
                <w:sz w:val="28"/>
                <w:szCs w:val="28"/>
                <w:highlight w:val="none"/>
              </w:rPr>
            </w:pPr>
          </w:p>
        </w:tc>
        <w:tc>
          <w:tcPr>
            <w:tcW w:w="2131" w:type="dxa"/>
          </w:tcPr>
          <w:p>
            <w:pPr>
              <w:pStyle w:val="99"/>
              <w:spacing w:line="360" w:lineRule="auto"/>
              <w:ind w:firstLine="0" w:firstLineChars="0"/>
              <w:jc w:val="center"/>
              <w:rPr>
                <w:rFonts w:ascii="宋体" w:hAnsi="宋体" w:cs="宋体"/>
                <w:color w:val="auto"/>
                <w:sz w:val="28"/>
                <w:szCs w:val="28"/>
                <w:highlight w:val="none"/>
              </w:rPr>
            </w:pPr>
            <w:r>
              <w:rPr>
                <w:rFonts w:hint="eastAsia" w:ascii="宋体" w:hAnsi="宋体" w:cs="宋体"/>
                <w:color w:val="auto"/>
                <w:sz w:val="28"/>
                <w:szCs w:val="28"/>
                <w:highlight w:val="none"/>
              </w:rPr>
              <w:t>20</w:t>
            </w:r>
          </w:p>
          <w:p>
            <w:pPr>
              <w:pStyle w:val="99"/>
              <w:spacing w:line="360" w:lineRule="auto"/>
              <w:ind w:left="240" w:firstLine="560"/>
              <w:jc w:val="center"/>
              <w:rPr>
                <w:rFonts w:ascii="宋体" w:hAnsi="宋体" w:cs="宋体"/>
                <w:color w:val="auto"/>
                <w:sz w:val="28"/>
                <w:szCs w:val="28"/>
                <w:highlight w:val="none"/>
              </w:rPr>
            </w:pPr>
          </w:p>
        </w:tc>
      </w:tr>
    </w:tbl>
    <w:p>
      <w:pPr>
        <w:pStyle w:val="99"/>
        <w:spacing w:line="360" w:lineRule="auto"/>
        <w:ind w:left="240" w:firstLine="560"/>
        <w:rPr>
          <w:rFonts w:ascii="宋体" w:hAnsi="宋体" w:cs="宋体"/>
          <w:color w:val="auto"/>
          <w:sz w:val="28"/>
          <w:szCs w:val="28"/>
          <w:highlight w:val="none"/>
        </w:rPr>
      </w:pP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9.2.6 特殊使用要求的结构处理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压榨机、撕解机等重要的大块设备基础，具有严格的沉降要求，将采用高强度等级的混凝土，筏板式基础。 而对于置放在地面具有较大振动的设备，例如振动输送机、大型的水泵等，将采用大体积混凝土基础，依靠基础自重来抵消设备产生的振动荷载，并设置防震缝并填充柔性材料来减小振动对地面产生的影响。</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9.2.7 主要结构构件材料的选用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a、钢材：钢筋 HPB300（fy＝210Mpa），HRB335（fy＝300Mpa） ，HRB400E（fy＝360Mpa）,钢板钢材采用 Q235B、Q355B。钢材牌号：型钢、钢板、钢管采用 Q235B 钢。焊条：HPB300 级钢筋、Q235B 钢材焊接采用 E43 系列、Q355B钢材焊接采用 E55 系列；HRB400 级钢筋焊接采用 E55 系列。</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b、混凝土等级： 构造柱、圈过梁均采用 C25 混凝土。</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基础：混凝土等级拟定采用 C30。</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主体柱、梁、板、楼梯混凝土等级详见深化设计图。</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地坑底板和侧壁采用 C30 防水混凝土，其抗渗等级为均 P6。</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（一律按绿色建筑的要求采用商品混凝土和预拌砂浆）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c、砌体墙：框架结构填充墙：建筑物±0.000（地面）内外墙以上采用M7.5 混合砂浆 MU10 页岩多孔砖砌筑。±0.000 （地面）以下砖墙采用 MU15页岩实心砖、M10 水泥砂浆砌筑。</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d、所有钢结构构件涂装：a.表面必须先净化处理使其无油、干燥；b.进行除锈（除锈等级 Sa2.5），c.刷底漆：环氧富锌底涂料，2 遍，干膜总厚度70μm；中间层，环氧云铁，1 遍，干膜总厚度 60μm；d.刷面漆，采用聚氨酯丙烯酸环氧涂料，2 遍，干膜总厚度 150μm。e.钢梁及屋架（包括支撑）≥1.5h 的耐火时间要求刷非膨胀型防火涂料(室内环境选具有低碳环保性能的石膏基质防火涂料，室外环境选水泥基质防火涂料，任何耐火极限下的涂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层厚度均不能低于 15mm，机械喷涂工艺施工，螺栓连接接触面部位和安装焊缝处 60ｍｍ宽范围内不涂漆，安装或焊接后补涂)。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9.2.8 在地震区结构抗震概念设计方面的考虑</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本工程按照 8 度采取抗震构造措施，工程结构地震计算用 8 度，设计基本地震加速度值为 0.2g，设计地震分组为第二组。</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9.2.9危险性较大工程部位</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a、根据《住房城乡建设部办公厅关于实施（危险性较大的分部分项工程安全管理规定）有关问题的通知（建办质（2018）31 号）》的“附件 1、附件 2”，可知本工程涉及的危险性较大工程部位有：基坑支护、高支模、脚手架工程等，超过一定规模的危大工程专项施工方案应进行专项评审。在施工图阶段，再针对该工程涉及的相关内容进行标识。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9.2.10对施工的特殊要求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考虑天然基础的开挖和混凝土基础的施工不在同一时间进行，基底土层在遭遇雨水浸泡会软化，施工中应注意对基坑及时铺设垫层，防止基坑底土软化。</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在拆除旧原料处理间前，应提前做好车间拆除方案，并经过讨论确认可行后，方可进行拆除。在拆除过程中，要做好安全防护措施以及必要的临时支撑等，同时对车间内部原有的设备做好保护措施，避免在拆除过程中造成损坏。</w:t>
      </w:r>
    </w:p>
    <w:p>
      <w:pPr>
        <w:pStyle w:val="99"/>
        <w:spacing w:line="360" w:lineRule="auto"/>
        <w:ind w:left="240" w:firstLine="562"/>
        <w:rPr>
          <w:rFonts w:ascii="宋体" w:hAnsi="宋体" w:cs="宋体"/>
          <w:color w:val="auto"/>
          <w:sz w:val="28"/>
          <w:szCs w:val="28"/>
          <w:highlight w:val="none"/>
        </w:rPr>
      </w:pPr>
      <w:r>
        <w:rPr>
          <w:rFonts w:hint="eastAsia" w:ascii="宋体" w:hAnsi="宋体" w:cs="宋体"/>
          <w:b/>
          <w:bCs/>
          <w:color w:val="auto"/>
          <w:sz w:val="28"/>
          <w:szCs w:val="28"/>
          <w:highlight w:val="none"/>
        </w:rPr>
        <w:t>十、</w:t>
      </w:r>
      <w:r>
        <w:rPr>
          <w:rFonts w:hint="eastAsia" w:ascii="宋体" w:hAnsi="宋体" w:cs="宋体"/>
          <w:color w:val="auto"/>
          <w:sz w:val="28"/>
          <w:szCs w:val="28"/>
          <w:highlight w:val="none"/>
        </w:rPr>
        <w:t>给排水要求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10.1</w:t>
      </w:r>
      <w:r>
        <w:rPr>
          <w:rFonts w:hint="eastAsia" w:ascii="宋体" w:hAnsi="宋体" w:cs="宋体"/>
          <w:color w:val="auto"/>
          <w:sz w:val="28"/>
          <w:szCs w:val="28"/>
          <w:highlight w:val="none"/>
        </w:rPr>
        <w:tab/>
      </w:r>
      <w:r>
        <w:rPr>
          <w:rFonts w:hint="eastAsia" w:ascii="宋体" w:hAnsi="宋体" w:cs="宋体"/>
          <w:color w:val="auto"/>
          <w:sz w:val="28"/>
          <w:szCs w:val="28"/>
          <w:highlight w:val="none"/>
        </w:rPr>
        <w:t>本工程采用的国家现行的有关规范、规定。</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《建筑给水排水与节水通用规范》 GB 55020-202；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《建筑给水排水设计标准》 GB 50015-2019；</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《建筑节能与可再生能源利用通用规范》 GB 55015-2021；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《建筑防火通用规范》 GB 55037-2022；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《消防设施通用规范》 GB 55036-2022；</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《建筑设计防火规范》 GB 50016-2014；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《消防给水及消火栓系统技术规范》GB50974-2014；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《建筑灭火器配置设计规范》 GB 50140-2005；</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《建筑与市政工程抗震通用规范》 GB 55002-2021；</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《建筑机电工程抗震设计规范》 GB 50981-2014。</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10.2本工程的施工范围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原料处理间的屋面雨水系统及室内消防系统， 无生活及生产给排水系统。</w:t>
      </w:r>
    </w:p>
    <w:p>
      <w:pPr>
        <w:pStyle w:val="99"/>
        <w:spacing w:line="360" w:lineRule="auto"/>
        <w:ind w:left="240" w:firstLine="562"/>
        <w:rPr>
          <w:rFonts w:ascii="宋体" w:hAnsi="宋体" w:cs="宋体"/>
          <w:color w:val="auto"/>
          <w:sz w:val="28"/>
          <w:szCs w:val="28"/>
          <w:highlight w:val="none"/>
        </w:rPr>
      </w:pPr>
      <w:r>
        <w:rPr>
          <w:rFonts w:hint="eastAsia" w:ascii="宋体" w:hAnsi="宋体" w:cs="宋体"/>
          <w:b/>
          <w:bCs/>
          <w:color w:val="auto"/>
          <w:sz w:val="28"/>
          <w:szCs w:val="28"/>
          <w:highlight w:val="none"/>
        </w:rPr>
        <w:t>十一、</w:t>
      </w:r>
      <w:r>
        <w:rPr>
          <w:rFonts w:hint="eastAsia" w:ascii="宋体" w:hAnsi="宋体" w:cs="宋体"/>
          <w:color w:val="auto"/>
          <w:sz w:val="28"/>
          <w:szCs w:val="28"/>
          <w:highlight w:val="none"/>
        </w:rPr>
        <w:t>消防要求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11.1建筑概况</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本工程为拆除原有原料处理间并扩建压榨车间，扩建建筑 占地面积1076.75m2，总建筑面积 1076.75m2，建筑高度 15.825m；建筑火灾危险等级丁类，耐火等级二级；抗震设防烈度 8 度。</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11.2消防施工</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11.2.1、本工程无需设室内消火栓，室外消火栓设计流量为 15L/s，新增 1 具室外消火栓，接入厂区现有的室外消火栓管网；若本建筑处于现有的室外消火栓的 150m 保护半径内，则可不新增室外消火栓。</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11.2.2、室外消火栓的保护半径不应超过 150m，间距不应大于120m。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11.2.3、室外消火栓消火栓应布置在消防车易于接近的人行道和绿地等地点， 且不应妨碍交通；距路边不宜小于 0.5m ，并不应大于 2.0m ；距建筑外墙或外墙边缘不宜小于 5.0m ；应避免设置在机械易撞击的地点，确有困难时，应采取防撞措施。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11.2.4、本工程室内按 A 类火灾、轻危险级设置干粉灭火器，以扑灭初起火灾。灭火器设置在位置明显和便于取用的地点，且不得影响安全疏散。</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11.2.5、灭火器的摆放应稳固，其铭牌应朝外。手提式灭火器宜设置在灭火器箱内或挂钩、托架上，其顶部离地面高度不应大于 1.50m；底部离地面高度不宜小于 0.08m。灭火器箱不得上锁。灭火器不得设置在超出其使用温度范围的地点。</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11.3管材及构筑物通用要求</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11.3.1、室外生活及消防给水管采用钢丝网骨架聚乙烯复合管；室内消防给水管采用热镀锌钢管；室内冷热水给水管均采用 PP-R 给水管。</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11.3.2、室内污水管及屋面雨水立管采用 dn160 的 PVC-U 排水管，室外埋地排水管采用环刚度 SN8 的聚乙烯双壁波纹管。室外排水管管顶覆土深度不小于0.7 米。</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11.3.3、排水检查井选用混凝土圆形检查井；化粪池、隔油池选用玻璃钢材质。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11.4</w:t>
      </w:r>
      <w:r>
        <w:rPr>
          <w:rFonts w:hint="eastAsia" w:ascii="宋体" w:hAnsi="宋体" w:cs="宋体"/>
          <w:color w:val="auto"/>
          <w:sz w:val="28"/>
          <w:szCs w:val="28"/>
          <w:highlight w:val="none"/>
        </w:rPr>
        <w:tab/>
      </w:r>
      <w:r>
        <w:rPr>
          <w:rFonts w:hint="eastAsia" w:ascii="宋体" w:hAnsi="宋体" w:cs="宋体"/>
          <w:color w:val="auto"/>
          <w:sz w:val="28"/>
          <w:szCs w:val="28"/>
          <w:highlight w:val="none"/>
        </w:rPr>
        <w:t>节水节能</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1、选用新型管道，推广应用节能型、阻力系数小的塑料管，减少漏水， 清洁及洗涤、卫生器具选用节水型卫生器具，以节约用水。</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2、选用节水型卫生洁具及配水件，所有坐便器、蹲便器均选用自带水封洁具，冲洗水箱有效容积不大于6L。</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3、给水管道采用 PP-R 塑料管，热熔连接，减少水漏损率。给水支管的水流速度采用措施小于1.0m/s，并在直线管段设置胀缩振动传递。</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4、所有地漏的存水弯的水封深度不得小于 50mm。</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11.5</w:t>
      </w:r>
      <w:r>
        <w:rPr>
          <w:rFonts w:hint="eastAsia" w:ascii="宋体" w:hAnsi="宋体" w:cs="宋体"/>
          <w:color w:val="auto"/>
          <w:sz w:val="28"/>
          <w:szCs w:val="28"/>
          <w:highlight w:val="none"/>
        </w:rPr>
        <w:tab/>
      </w:r>
      <w:r>
        <w:rPr>
          <w:rFonts w:hint="eastAsia" w:ascii="宋体" w:hAnsi="宋体" w:cs="宋体"/>
          <w:color w:val="auto"/>
          <w:sz w:val="28"/>
          <w:szCs w:val="28"/>
          <w:highlight w:val="none"/>
        </w:rPr>
        <w:t>抗震</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本工程地震烈度为8度。 </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1、生活给水管、热水管的选用应按按现行国家标准 《建筑给水排水设计 规 范 》 GB50015规定的材质选用；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2、消防给水管、气体灭火输送管道应根据系统工作压力按 消防的现行国家相关规范选用管材并采用相应的连接方式； </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3、重力流排水的污、废水管管材可按现行的国家标准 《建筑给水排水设计规范》GB 50015 规定的管材选用；</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4、应保证设备、设施、构筑物有足够的检修空间；</w:t>
      </w:r>
    </w:p>
    <w:p>
      <w:pPr>
        <w:pStyle w:val="99"/>
        <w:spacing w:line="360" w:lineRule="auto"/>
        <w:ind w:left="240" w:firstLine="562"/>
        <w:rPr>
          <w:rFonts w:ascii="宋体" w:hAnsi="宋体" w:cs="宋体"/>
          <w:color w:val="auto"/>
          <w:sz w:val="28"/>
          <w:szCs w:val="28"/>
          <w:highlight w:val="none"/>
        </w:rPr>
      </w:pPr>
      <w:r>
        <w:rPr>
          <w:rFonts w:hint="eastAsia" w:ascii="宋体" w:hAnsi="宋体" w:cs="宋体"/>
          <w:b/>
          <w:bCs/>
          <w:color w:val="auto"/>
          <w:sz w:val="28"/>
          <w:szCs w:val="28"/>
          <w:highlight w:val="none"/>
        </w:rPr>
        <w:t>十二、</w:t>
      </w:r>
      <w:r>
        <w:rPr>
          <w:rFonts w:hint="eastAsia" w:ascii="宋体" w:hAnsi="宋体" w:cs="宋体"/>
          <w:color w:val="auto"/>
          <w:sz w:val="28"/>
          <w:szCs w:val="28"/>
          <w:highlight w:val="none"/>
        </w:rPr>
        <w:t>油漆和防腐</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12.1所有加工件（除不锈钢外）都对其表面进行除锈处理。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12.2设备装运之前，其所有部件进行全面清洗，清除所有污垢、锈物、油脂及其它杂物，保证产品内外清洁，并在工厂内按制造标准进行涂漆。</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12.3钢结构和设备采用防腐要求的优质油漆，涂刷不少于二底一面。</w:t>
      </w:r>
    </w:p>
    <w:p>
      <w:pPr>
        <w:pStyle w:val="99"/>
        <w:spacing w:line="360" w:lineRule="auto"/>
        <w:ind w:left="240" w:firstLine="560"/>
        <w:rPr>
          <w:rFonts w:ascii="宋体" w:hAnsi="宋体" w:cs="宋体"/>
          <w:color w:val="auto"/>
          <w:sz w:val="28"/>
          <w:szCs w:val="28"/>
          <w:highlight w:val="none"/>
        </w:rPr>
      </w:pPr>
      <w:r>
        <w:rPr>
          <w:rFonts w:hint="eastAsia" w:ascii="宋体" w:hAnsi="宋体" w:cs="宋体"/>
          <w:color w:val="auto"/>
          <w:sz w:val="28"/>
          <w:szCs w:val="28"/>
          <w:highlight w:val="none"/>
        </w:rPr>
        <w:t>12.4对油管道（包括附件）提供必要的防腐保护。</w:t>
      </w:r>
    </w:p>
    <w:p>
      <w:pPr>
        <w:spacing w:line="360" w:lineRule="auto"/>
        <w:ind w:firstLine="843" w:firstLineChars="300"/>
        <w:rPr>
          <w:rFonts w:ascii="宋体" w:hAnsi="宋体" w:cs="宋体"/>
          <w:color w:val="auto"/>
          <w:sz w:val="28"/>
          <w:szCs w:val="28"/>
          <w:highlight w:val="none"/>
        </w:rPr>
      </w:pPr>
      <w:r>
        <w:rPr>
          <w:rFonts w:hint="eastAsia" w:ascii="宋体" w:hAnsi="宋体" w:cs="宋体"/>
          <w:b/>
          <w:bCs/>
          <w:color w:val="auto"/>
          <w:sz w:val="28"/>
          <w:szCs w:val="28"/>
          <w:highlight w:val="none"/>
        </w:rPr>
        <w:t>十三、</w:t>
      </w:r>
      <w:r>
        <w:rPr>
          <w:rFonts w:hint="eastAsia" w:ascii="宋体" w:hAnsi="宋体" w:cs="宋体"/>
          <w:color w:val="auto"/>
          <w:sz w:val="28"/>
          <w:szCs w:val="28"/>
          <w:highlight w:val="none"/>
        </w:rPr>
        <w:t>施工过程、周期及质保期：</w:t>
      </w:r>
    </w:p>
    <w:p>
      <w:pPr>
        <w:spacing w:line="360" w:lineRule="auto"/>
        <w:ind w:firstLine="840" w:firstLineChars="300"/>
        <w:rPr>
          <w:rFonts w:ascii="宋体" w:hAnsi="宋体" w:cs="宋体"/>
          <w:color w:val="auto"/>
          <w:sz w:val="28"/>
          <w:szCs w:val="28"/>
          <w:highlight w:val="none"/>
        </w:rPr>
      </w:pPr>
      <w:r>
        <w:rPr>
          <w:rFonts w:hint="eastAsia" w:ascii="宋体" w:hAnsi="宋体" w:cs="宋体"/>
          <w:bCs/>
          <w:color w:val="auto"/>
          <w:sz w:val="28"/>
          <w:szCs w:val="28"/>
          <w:highlight w:val="none"/>
        </w:rPr>
        <w:t>1、</w:t>
      </w:r>
      <w:r>
        <w:rPr>
          <w:rFonts w:hint="eastAsia" w:ascii="宋体" w:hAnsi="宋体" w:cs="宋体"/>
          <w:color w:val="auto"/>
          <w:sz w:val="28"/>
          <w:szCs w:val="28"/>
          <w:highlight w:val="none"/>
        </w:rPr>
        <w:t>供方应遵守需方的相关管理规章制度。</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2、交货期：150日历天完成安装交付使用。</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3、供方所有供货产品质量保证期限为二年。</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4、供方负责旧设备拆除搬迁，现场清理等相关工作。</w:t>
      </w:r>
    </w:p>
    <w:p>
      <w:pPr>
        <w:spacing w:line="360" w:lineRule="auto"/>
        <w:ind w:firstLine="840" w:firstLineChars="300"/>
        <w:rPr>
          <w:rFonts w:ascii="宋体" w:hAnsi="宋体" w:cs="宋体"/>
          <w:color w:val="auto"/>
          <w:sz w:val="28"/>
          <w:szCs w:val="28"/>
          <w:highlight w:val="none"/>
        </w:rPr>
      </w:pPr>
      <w:r>
        <w:rPr>
          <w:rFonts w:hint="eastAsia" w:ascii="宋体" w:hAnsi="宋体" w:cs="宋体"/>
          <w:color w:val="auto"/>
          <w:sz w:val="28"/>
          <w:szCs w:val="28"/>
          <w:highlight w:val="none"/>
        </w:rPr>
        <w:t>5、承诺设备出现故障，供方接到需方通知后，8小时内派维护人员到现场。</w:t>
      </w:r>
    </w:p>
    <w:p>
      <w:pPr>
        <w:spacing w:line="360" w:lineRule="auto"/>
        <w:ind w:firstLine="562" w:firstLineChars="200"/>
        <w:rPr>
          <w:rFonts w:ascii="宋体" w:hAnsi="宋体" w:cs="宋体"/>
          <w:color w:val="auto"/>
          <w:sz w:val="28"/>
          <w:szCs w:val="28"/>
          <w:highlight w:val="none"/>
        </w:rPr>
      </w:pPr>
      <w:r>
        <w:rPr>
          <w:rFonts w:hint="eastAsia" w:ascii="宋体" w:hAnsi="宋体" w:cs="宋体"/>
          <w:b/>
          <w:bCs/>
          <w:color w:val="auto"/>
          <w:sz w:val="28"/>
          <w:szCs w:val="28"/>
          <w:highlight w:val="none"/>
        </w:rPr>
        <w:t>十四、</w:t>
      </w:r>
      <w:r>
        <w:rPr>
          <w:rFonts w:hint="eastAsia" w:ascii="宋体" w:hAnsi="宋体" w:cs="宋体"/>
          <w:color w:val="auto"/>
          <w:sz w:val="28"/>
          <w:szCs w:val="28"/>
          <w:highlight w:val="none"/>
        </w:rPr>
        <w:t>项目情况介绍</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压榨车间后五座恒比式压榨机为使用多年的旧设备，而且当初设计能力为日榨量2000吨/D，虽然经过多年的小技改提升了一定的生产能力，但其实际能力还没有达到目前日榨量5500吨/D的应有水平。输蔗带最初设计宽度为1670mm，不适应目前榨量，蔗渣水分一般情况下在52%左右，生产安全率低，能耗高，各项生产经济指标不理想。针对以上存在问题进行技术改造升级。</w:t>
      </w:r>
    </w:p>
    <w:p>
      <w:pPr>
        <w:spacing w:line="360" w:lineRule="auto"/>
        <w:ind w:firstLine="562" w:firstLineChars="200"/>
        <w:rPr>
          <w:rFonts w:ascii="宋体" w:hAnsi="宋体" w:cs="宋体"/>
          <w:b/>
          <w:bCs/>
          <w:color w:val="auto"/>
          <w:sz w:val="28"/>
          <w:szCs w:val="28"/>
          <w:highlight w:val="none"/>
        </w:rPr>
      </w:pPr>
      <w:r>
        <w:rPr>
          <w:rFonts w:hint="eastAsia" w:ascii="宋体" w:hAnsi="宋体" w:cs="宋体"/>
          <w:b/>
          <w:color w:val="auto"/>
          <w:sz w:val="28"/>
          <w:szCs w:val="28"/>
          <w:highlight w:val="none"/>
        </w:rPr>
        <w:t>十五、承包方式：</w:t>
      </w:r>
      <w:r>
        <w:rPr>
          <w:rFonts w:hint="eastAsia" w:ascii="宋体" w:hAnsi="宋体" w:cs="宋体"/>
          <w:color w:val="auto"/>
          <w:sz w:val="28"/>
          <w:szCs w:val="28"/>
          <w:highlight w:val="none"/>
        </w:rPr>
        <w:t>总承包工程。包括</w:t>
      </w:r>
      <w:r>
        <w:rPr>
          <w:rFonts w:hint="eastAsia" w:ascii="宋体" w:hAnsi="宋体" w:cs="宋体"/>
          <w:color w:val="auto"/>
          <w:sz w:val="28"/>
          <w:szCs w:val="28"/>
          <w:highlight w:val="none"/>
        </w:rPr>
        <w:t>但不限于</w:t>
      </w:r>
      <w:r>
        <w:rPr>
          <w:rFonts w:hint="eastAsia" w:ascii="宋体" w:hAnsi="宋体" w:cs="宋体"/>
          <w:color w:val="auto"/>
          <w:sz w:val="28"/>
          <w:szCs w:val="28"/>
          <w:highlight w:val="none"/>
        </w:rPr>
        <w:t>设备采购、运输、安装调试（含利旧设备）、检测、试运行、土建工程、旧设备拆除搬迁、工期、安全、质量和其他售后服务等在内的一切应提供的服务。</w:t>
      </w:r>
    </w:p>
    <w:p>
      <w:pPr>
        <w:spacing w:line="520" w:lineRule="exact"/>
        <w:rPr>
          <w:rFonts w:ascii="宋体"/>
          <w:color w:val="auto"/>
          <w:sz w:val="28"/>
          <w:szCs w:val="28"/>
          <w:highlight w:val="none"/>
          <w:u w:val="single"/>
        </w:rPr>
      </w:pPr>
    </w:p>
    <w:p>
      <w:pPr>
        <w:spacing w:line="520" w:lineRule="exact"/>
        <w:rPr>
          <w:rFonts w:ascii="宋体"/>
          <w:color w:val="auto"/>
          <w:sz w:val="28"/>
          <w:szCs w:val="28"/>
          <w:highlight w:val="none"/>
          <w:u w:val="single"/>
        </w:rPr>
      </w:pPr>
    </w:p>
    <w:p>
      <w:pPr>
        <w:spacing w:line="520" w:lineRule="exact"/>
        <w:rPr>
          <w:rFonts w:ascii="宋体"/>
          <w:color w:val="auto"/>
          <w:sz w:val="28"/>
          <w:szCs w:val="28"/>
          <w:highlight w:val="none"/>
          <w:u w:val="single"/>
        </w:rPr>
      </w:pPr>
    </w:p>
    <w:p>
      <w:pPr>
        <w:pStyle w:val="3"/>
        <w:spacing w:line="520" w:lineRule="exact"/>
        <w:ind w:firstLine="881"/>
        <w:jc w:val="center"/>
        <w:rPr>
          <w:rFonts w:ascii="宋体" w:hAnsi="宋体"/>
          <w:color w:val="auto"/>
          <w:sz w:val="44"/>
          <w:szCs w:val="44"/>
          <w:highlight w:val="none"/>
        </w:rPr>
      </w:pPr>
      <w:bookmarkStart w:id="35" w:name="_Toc487755827"/>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p>
    <w:p>
      <w:pPr>
        <w:pStyle w:val="3"/>
        <w:spacing w:line="520" w:lineRule="exact"/>
        <w:ind w:firstLine="881"/>
        <w:jc w:val="center"/>
        <w:rPr>
          <w:rFonts w:ascii="宋体" w:hAnsi="宋体"/>
          <w:color w:val="auto"/>
          <w:sz w:val="44"/>
          <w:szCs w:val="44"/>
          <w:highlight w:val="none"/>
        </w:rPr>
      </w:pPr>
      <w:r>
        <w:rPr>
          <w:rFonts w:hint="eastAsia" w:ascii="宋体" w:hAnsi="宋体"/>
          <w:color w:val="auto"/>
          <w:sz w:val="44"/>
          <w:szCs w:val="44"/>
          <w:highlight w:val="none"/>
        </w:rPr>
        <w:t>第二部分    投标格式</w:t>
      </w:r>
      <w:bookmarkEnd w:id="35"/>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44"/>
        <w:rPr>
          <w:rFonts w:ascii="宋体"/>
          <w:color w:val="auto"/>
          <w:spacing w:val="-4"/>
          <w:szCs w:val="28"/>
          <w:highlight w:val="none"/>
        </w:rPr>
        <w:sectPr>
          <w:footerReference r:id="rId5" w:type="default"/>
          <w:pgSz w:w="11907" w:h="16840"/>
          <w:pgMar w:top="1418" w:right="851" w:bottom="1418" w:left="851" w:header="851" w:footer="992" w:gutter="567"/>
          <w:cols w:space="720" w:num="1"/>
          <w:docGrid w:linePitch="312" w:charSpace="0"/>
        </w:sectPr>
      </w:pPr>
    </w:p>
    <w:p>
      <w:pPr>
        <w:pStyle w:val="4"/>
        <w:spacing w:before="0" w:after="0" w:line="600" w:lineRule="exact"/>
        <w:ind w:left="3486" w:hanging="3486" w:hangingChars="1240"/>
        <w:rPr>
          <w:rFonts w:ascii="宋体" w:hAnsi="宋体" w:eastAsia="宋体"/>
          <w:bCs w:val="0"/>
          <w:color w:val="auto"/>
          <w:sz w:val="28"/>
          <w:szCs w:val="28"/>
          <w:highlight w:val="none"/>
        </w:rPr>
      </w:pPr>
      <w:bookmarkStart w:id="36" w:name="_Toc252979587"/>
      <w:bookmarkStart w:id="37" w:name="_Toc487755829"/>
      <w:r>
        <w:rPr>
          <w:rFonts w:hint="eastAsia" w:ascii="宋体" w:hAnsi="宋体" w:eastAsia="宋体"/>
          <w:bCs w:val="0"/>
          <w:color w:val="auto"/>
          <w:sz w:val="28"/>
          <w:szCs w:val="28"/>
          <w:highlight w:val="none"/>
        </w:rPr>
        <w:t>投标格式</w:t>
      </w:r>
      <w:bookmarkEnd w:id="36"/>
      <w:bookmarkStart w:id="38" w:name="_Hlt251332089"/>
      <w:bookmarkEnd w:id="38"/>
      <w:r>
        <w:rPr>
          <w:rFonts w:hint="eastAsia" w:ascii="宋体" w:hAnsi="宋体" w:eastAsia="宋体"/>
          <w:bCs w:val="0"/>
          <w:color w:val="auto"/>
          <w:sz w:val="28"/>
          <w:szCs w:val="28"/>
          <w:highlight w:val="none"/>
        </w:rPr>
        <w:t>一</w:t>
      </w:r>
    </w:p>
    <w:p>
      <w:pPr>
        <w:ind w:firstLine="560"/>
        <w:rPr>
          <w:color w:val="auto"/>
          <w:highlight w:val="none"/>
        </w:rPr>
      </w:pPr>
    </w:p>
    <w:p>
      <w:pPr>
        <w:ind w:firstLine="560"/>
        <w:rPr>
          <w:color w:val="auto"/>
          <w:highlight w:val="none"/>
        </w:rPr>
      </w:pPr>
    </w:p>
    <w:p>
      <w:pPr>
        <w:ind w:firstLine="560"/>
        <w:rPr>
          <w:color w:val="auto"/>
          <w:highlight w:val="none"/>
        </w:rPr>
      </w:pPr>
    </w:p>
    <w:p>
      <w:pPr>
        <w:pStyle w:val="4"/>
        <w:spacing w:before="0" w:after="0" w:line="600" w:lineRule="exact"/>
        <w:ind w:left="3486" w:hanging="3486" w:hangingChars="1240"/>
        <w:rPr>
          <w:rFonts w:ascii="宋体" w:hAnsi="宋体" w:eastAsia="宋体"/>
          <w:bCs w:val="0"/>
          <w:color w:val="auto"/>
          <w:sz w:val="28"/>
          <w:szCs w:val="28"/>
          <w:highlight w:val="none"/>
        </w:rPr>
      </w:pPr>
      <w:r>
        <w:rPr>
          <w:rFonts w:hint="eastAsia" w:ascii="宋体" w:hAnsi="宋体" w:eastAsia="宋体"/>
          <w:bCs w:val="0"/>
          <w:color w:val="auto"/>
          <w:sz w:val="28"/>
          <w:szCs w:val="28"/>
          <w:highlight w:val="none"/>
        </w:rPr>
        <w:t>投 标 报 价 书</w:t>
      </w:r>
      <w:bookmarkEnd w:id="37"/>
    </w:p>
    <w:p>
      <w:pPr>
        <w:pStyle w:val="108"/>
        <w:spacing w:line="520" w:lineRule="exact"/>
        <w:ind w:left="-115" w:leftChars="-171" w:hanging="244" w:hangingChars="81"/>
        <w:rPr>
          <w:rFonts w:ascii="宋体"/>
          <w:color w:val="auto"/>
          <w:sz w:val="30"/>
          <w:szCs w:val="30"/>
          <w:highlight w:val="none"/>
        </w:rPr>
      </w:pPr>
    </w:p>
    <w:p>
      <w:pPr>
        <w:spacing w:line="540" w:lineRule="exact"/>
        <w:ind w:firstLine="561"/>
        <w:rPr>
          <w:rFonts w:ascii="宋体"/>
          <w:color w:val="auto"/>
          <w:sz w:val="28"/>
          <w:szCs w:val="28"/>
          <w:highlight w:val="none"/>
        </w:rPr>
      </w:pPr>
      <w:r>
        <w:rPr>
          <w:rFonts w:hint="eastAsia" w:ascii="宋体" w:hAnsi="宋体"/>
          <w:b/>
          <w:color w:val="auto"/>
          <w:sz w:val="28"/>
          <w:szCs w:val="28"/>
          <w:highlight w:val="none"/>
        </w:rPr>
        <w:t>致招标人：</w:t>
      </w:r>
      <w:r>
        <w:rPr>
          <w:rFonts w:hint="eastAsia" w:ascii="宋体" w:hAnsi="宋体"/>
          <w:color w:val="auto"/>
          <w:sz w:val="28"/>
          <w:szCs w:val="28"/>
          <w:highlight w:val="none"/>
          <w:u w:val="single"/>
        </w:rPr>
        <w:t>广东广垦华丰糖业有限公司</w:t>
      </w:r>
    </w:p>
    <w:p>
      <w:pPr>
        <w:pStyle w:val="87"/>
        <w:spacing w:line="540" w:lineRule="exact"/>
        <w:ind w:left="-120" w:leftChars="-57" w:firstLine="560" w:firstLineChars="200"/>
        <w:rPr>
          <w:rFonts w:ascii="宋体"/>
          <w:color w:val="auto"/>
          <w:szCs w:val="28"/>
          <w:highlight w:val="none"/>
          <w:u w:val="single"/>
        </w:rPr>
      </w:pPr>
      <w:r>
        <w:rPr>
          <w:rFonts w:hint="eastAsia" w:ascii="宋体"/>
          <w:color w:val="auto"/>
          <w:szCs w:val="28"/>
          <w:highlight w:val="none"/>
        </w:rPr>
        <w:t>一、根据你方工程的招标文件，经考察工程现场研究上述工程招标文件所有条款后，现投送该工程投标文件，我方愿以</w:t>
      </w:r>
      <w:r>
        <w:rPr>
          <w:rFonts w:hint="eastAsia" w:ascii="宋体" w:hAnsi="宋体"/>
          <w:color w:val="auto"/>
          <w:szCs w:val="28"/>
          <w:highlight w:val="none"/>
        </w:rPr>
        <w:t>投标总报价</w:t>
      </w:r>
      <w:r>
        <w:rPr>
          <w:rFonts w:hint="eastAsia" w:ascii="宋体"/>
          <w:color w:val="auto"/>
          <w:szCs w:val="28"/>
          <w:highlight w:val="none"/>
        </w:rPr>
        <w:t>人民币</w:t>
      </w:r>
      <w:r>
        <w:rPr>
          <w:rFonts w:hint="eastAsia" w:ascii="宋体"/>
          <w:color w:val="auto"/>
          <w:szCs w:val="28"/>
          <w:highlight w:val="none"/>
          <w:u w:val="single"/>
        </w:rPr>
        <w:t xml:space="preserve">（大写）                                             </w:t>
      </w:r>
    </w:p>
    <w:p>
      <w:pPr>
        <w:pStyle w:val="87"/>
        <w:spacing w:line="540" w:lineRule="exact"/>
        <w:ind w:left="-120" w:leftChars="-57" w:firstLine="560"/>
        <w:rPr>
          <w:rFonts w:ascii="宋体"/>
          <w:color w:val="auto"/>
          <w:szCs w:val="28"/>
          <w:highlight w:val="none"/>
          <w:u w:val="single"/>
        </w:rPr>
      </w:pPr>
      <w:r>
        <w:rPr>
          <w:rFonts w:hint="eastAsia" w:ascii="宋体"/>
          <w:color w:val="auto"/>
          <w:szCs w:val="28"/>
          <w:highlight w:val="none"/>
        </w:rPr>
        <w:t>（￥）的报价投标，按招标文件之规定范围与条件以及投标文件所有条款的承诺，承担责任。</w:t>
      </w:r>
    </w:p>
    <w:p>
      <w:pPr>
        <w:pStyle w:val="87"/>
        <w:spacing w:line="540" w:lineRule="exact"/>
        <w:ind w:left="-120" w:leftChars="-57" w:firstLine="560" w:firstLineChars="200"/>
        <w:rPr>
          <w:rFonts w:ascii="宋体"/>
          <w:color w:val="auto"/>
          <w:szCs w:val="28"/>
          <w:highlight w:val="none"/>
          <w:u w:val="single"/>
        </w:rPr>
      </w:pPr>
      <w:r>
        <w:rPr>
          <w:rFonts w:hint="eastAsia" w:ascii="宋体"/>
          <w:color w:val="auto"/>
          <w:szCs w:val="28"/>
          <w:highlight w:val="none"/>
        </w:rPr>
        <w:t>二、一旦我公司中标，我方保证在接到开工令后在要求时间内开工，在限定工期日历天内完成并移交合同规定的全部工程。</w:t>
      </w:r>
    </w:p>
    <w:p>
      <w:pPr>
        <w:pStyle w:val="87"/>
        <w:spacing w:line="540" w:lineRule="exact"/>
        <w:ind w:left="-120" w:leftChars="-57" w:firstLine="560" w:firstLineChars="200"/>
        <w:rPr>
          <w:rFonts w:ascii="宋体"/>
          <w:color w:val="auto"/>
          <w:szCs w:val="28"/>
          <w:highlight w:val="none"/>
          <w:u w:val="single"/>
        </w:rPr>
      </w:pPr>
      <w:r>
        <w:rPr>
          <w:rFonts w:hint="eastAsia" w:ascii="宋体"/>
          <w:color w:val="auto"/>
          <w:szCs w:val="28"/>
          <w:highlight w:val="none"/>
        </w:rPr>
        <w:t>三、除非另外达成协议并生效，你方的中标通知书和本投标书将构成约束我们双方的合同。</w:t>
      </w:r>
    </w:p>
    <w:p>
      <w:pPr>
        <w:pStyle w:val="87"/>
        <w:spacing w:line="540" w:lineRule="exact"/>
        <w:ind w:left="-120" w:leftChars="-57" w:firstLine="560" w:firstLineChars="200"/>
        <w:rPr>
          <w:rFonts w:ascii="宋体"/>
          <w:color w:val="auto"/>
          <w:szCs w:val="28"/>
          <w:highlight w:val="none"/>
          <w:u w:val="single"/>
        </w:rPr>
      </w:pPr>
      <w:r>
        <w:rPr>
          <w:rFonts w:hint="eastAsia" w:ascii="宋体"/>
          <w:color w:val="auto"/>
          <w:szCs w:val="28"/>
          <w:highlight w:val="none"/>
        </w:rPr>
        <w:t>四、我方理解：你方不必一定授标给最低报价的投标或收到的某一投标。</w:t>
      </w:r>
    </w:p>
    <w:p>
      <w:pPr>
        <w:spacing w:line="500" w:lineRule="exact"/>
        <w:ind w:firstLine="560"/>
        <w:rPr>
          <w:rFonts w:ascii="宋体"/>
          <w:color w:val="auto"/>
          <w:sz w:val="28"/>
          <w:szCs w:val="28"/>
          <w:highlight w:val="none"/>
        </w:rPr>
      </w:pPr>
    </w:p>
    <w:p>
      <w:pPr>
        <w:spacing w:line="500" w:lineRule="exact"/>
        <w:ind w:firstLine="560"/>
        <w:rPr>
          <w:rFonts w:ascii="宋体"/>
          <w:color w:val="auto"/>
          <w:sz w:val="28"/>
          <w:szCs w:val="28"/>
          <w:highlight w:val="none"/>
        </w:rPr>
      </w:pPr>
    </w:p>
    <w:p>
      <w:pPr>
        <w:spacing w:line="500" w:lineRule="exact"/>
        <w:ind w:firstLine="560"/>
        <w:rPr>
          <w:rFonts w:ascii="宋体"/>
          <w:color w:val="auto"/>
          <w:sz w:val="28"/>
          <w:szCs w:val="28"/>
          <w:highlight w:val="none"/>
        </w:rPr>
      </w:pPr>
    </w:p>
    <w:p>
      <w:pPr>
        <w:spacing w:line="500" w:lineRule="exact"/>
        <w:ind w:firstLine="560"/>
        <w:rPr>
          <w:rFonts w:ascii="宋体"/>
          <w:color w:val="auto"/>
          <w:sz w:val="28"/>
          <w:szCs w:val="28"/>
          <w:highlight w:val="none"/>
        </w:rPr>
      </w:pPr>
    </w:p>
    <w:p>
      <w:pPr>
        <w:spacing w:line="700" w:lineRule="exact"/>
        <w:ind w:firstLine="4387" w:firstLineChars="1567"/>
        <w:rPr>
          <w:rFonts w:ascii="宋体"/>
          <w:color w:val="auto"/>
          <w:sz w:val="28"/>
          <w:szCs w:val="28"/>
          <w:highlight w:val="none"/>
        </w:rPr>
      </w:pPr>
      <w:r>
        <w:rPr>
          <w:rFonts w:hint="eastAsia" w:ascii="宋体"/>
          <w:color w:val="auto"/>
          <w:sz w:val="28"/>
          <w:szCs w:val="28"/>
          <w:highlight w:val="none"/>
        </w:rPr>
        <w:t>投标人：（盖章）</w:t>
      </w:r>
    </w:p>
    <w:p>
      <w:pPr>
        <w:spacing w:line="700" w:lineRule="exact"/>
        <w:ind w:firstLine="4393" w:firstLineChars="1569"/>
        <w:rPr>
          <w:rFonts w:ascii="宋体"/>
          <w:color w:val="auto"/>
          <w:sz w:val="28"/>
          <w:szCs w:val="28"/>
          <w:highlight w:val="none"/>
          <w:u w:val="single"/>
        </w:rPr>
      </w:pPr>
      <w:r>
        <w:rPr>
          <w:rFonts w:hint="eastAsia" w:ascii="宋体"/>
          <w:color w:val="auto"/>
          <w:sz w:val="28"/>
          <w:szCs w:val="28"/>
          <w:highlight w:val="none"/>
        </w:rPr>
        <w:t>法定代表人或委托人：（签名）</w:t>
      </w:r>
    </w:p>
    <w:p>
      <w:pPr>
        <w:spacing w:line="700" w:lineRule="exact"/>
        <w:ind w:firstLine="4393" w:firstLineChars="1569"/>
        <w:rPr>
          <w:rFonts w:ascii="宋体"/>
          <w:color w:val="auto"/>
          <w:sz w:val="28"/>
          <w:szCs w:val="28"/>
          <w:highlight w:val="none"/>
        </w:rPr>
      </w:pPr>
      <w:r>
        <w:rPr>
          <w:rFonts w:hint="eastAsia" w:ascii="宋体"/>
          <w:color w:val="auto"/>
          <w:sz w:val="28"/>
          <w:szCs w:val="28"/>
          <w:highlight w:val="none"/>
        </w:rPr>
        <w:t>日  期：年月日</w:t>
      </w:r>
    </w:p>
    <w:p>
      <w:pPr>
        <w:spacing w:line="700" w:lineRule="exact"/>
        <w:ind w:firstLine="4393" w:firstLineChars="1569"/>
        <w:rPr>
          <w:rFonts w:ascii="宋体"/>
          <w:color w:val="auto"/>
          <w:sz w:val="28"/>
          <w:szCs w:val="28"/>
          <w:highlight w:val="none"/>
        </w:rPr>
      </w:pPr>
    </w:p>
    <w:p>
      <w:pPr>
        <w:spacing w:line="700" w:lineRule="exact"/>
        <w:ind w:firstLine="4393" w:firstLineChars="1569"/>
        <w:rPr>
          <w:rFonts w:ascii="宋体"/>
          <w:color w:val="auto"/>
          <w:sz w:val="28"/>
          <w:szCs w:val="28"/>
          <w:highlight w:val="none"/>
        </w:rPr>
      </w:pPr>
    </w:p>
    <w:p>
      <w:pPr>
        <w:pStyle w:val="4"/>
        <w:spacing w:before="0" w:after="0" w:line="600" w:lineRule="exact"/>
        <w:ind w:left="3983" w:hanging="3984" w:hangingChars="1240"/>
        <w:rPr>
          <w:rFonts w:ascii="宋体" w:hAnsi="宋体" w:eastAsia="宋体"/>
          <w:bCs w:val="0"/>
          <w:color w:val="auto"/>
          <w:sz w:val="28"/>
          <w:szCs w:val="28"/>
          <w:highlight w:val="none"/>
        </w:rPr>
      </w:pPr>
      <w:r>
        <w:rPr>
          <w:rFonts w:hint="eastAsia"/>
          <w:color w:val="auto"/>
          <w:highlight w:val="none"/>
        </w:rPr>
        <w:br w:type="page"/>
      </w:r>
      <w:bookmarkStart w:id="39" w:name="_Toc252979588"/>
      <w:bookmarkStart w:id="40" w:name="_Toc487755830"/>
      <w:r>
        <w:rPr>
          <w:rFonts w:hint="eastAsia" w:ascii="宋体" w:hAnsi="宋体" w:eastAsia="宋体"/>
          <w:bCs w:val="0"/>
          <w:color w:val="auto"/>
          <w:sz w:val="28"/>
          <w:szCs w:val="28"/>
          <w:highlight w:val="none"/>
        </w:rPr>
        <w:t>投标格式</w:t>
      </w:r>
      <w:bookmarkEnd w:id="39"/>
      <w:r>
        <w:rPr>
          <w:rFonts w:hint="eastAsia" w:ascii="宋体" w:hAnsi="宋体" w:eastAsia="宋体"/>
          <w:bCs w:val="0"/>
          <w:color w:val="auto"/>
          <w:sz w:val="28"/>
          <w:szCs w:val="28"/>
          <w:highlight w:val="none"/>
        </w:rPr>
        <w:t>二</w:t>
      </w:r>
    </w:p>
    <w:p>
      <w:pPr>
        <w:ind w:firstLine="560"/>
        <w:rPr>
          <w:color w:val="auto"/>
          <w:highlight w:val="none"/>
        </w:rPr>
      </w:pPr>
    </w:p>
    <w:p>
      <w:pPr>
        <w:ind w:firstLine="560"/>
        <w:rPr>
          <w:color w:val="auto"/>
          <w:highlight w:val="none"/>
        </w:rPr>
      </w:pPr>
    </w:p>
    <w:p>
      <w:pPr>
        <w:ind w:firstLine="560"/>
        <w:rPr>
          <w:color w:val="auto"/>
          <w:highlight w:val="none"/>
        </w:rPr>
      </w:pPr>
    </w:p>
    <w:p>
      <w:pPr>
        <w:pStyle w:val="4"/>
        <w:spacing w:before="0" w:after="0" w:line="600" w:lineRule="exact"/>
        <w:ind w:left="3486" w:hanging="3486" w:hangingChars="1240"/>
        <w:rPr>
          <w:rFonts w:ascii="宋体" w:hAnsi="宋体" w:eastAsia="宋体"/>
          <w:bCs w:val="0"/>
          <w:color w:val="auto"/>
          <w:sz w:val="28"/>
          <w:szCs w:val="28"/>
          <w:highlight w:val="none"/>
        </w:rPr>
      </w:pPr>
      <w:r>
        <w:rPr>
          <w:rFonts w:hint="eastAsia" w:ascii="宋体" w:hAnsi="宋体" w:eastAsia="宋体"/>
          <w:bCs w:val="0"/>
          <w:color w:val="auto"/>
          <w:sz w:val="28"/>
          <w:szCs w:val="28"/>
          <w:highlight w:val="none"/>
        </w:rPr>
        <w:t>投 标 保 证 书</w:t>
      </w:r>
      <w:bookmarkEnd w:id="40"/>
    </w:p>
    <w:p>
      <w:pPr>
        <w:pStyle w:val="108"/>
        <w:spacing w:line="520" w:lineRule="exact"/>
        <w:ind w:firstLine="561"/>
        <w:rPr>
          <w:rFonts w:ascii="宋体" w:hAnsi="宋体"/>
          <w:color w:val="auto"/>
          <w:sz w:val="28"/>
          <w:szCs w:val="28"/>
          <w:highlight w:val="none"/>
        </w:rPr>
      </w:pPr>
    </w:p>
    <w:p>
      <w:pPr>
        <w:pStyle w:val="108"/>
        <w:spacing w:line="520" w:lineRule="exact"/>
        <w:ind w:firstLine="561"/>
        <w:rPr>
          <w:rFonts w:ascii="宋体"/>
          <w:color w:val="auto"/>
          <w:sz w:val="28"/>
          <w:szCs w:val="28"/>
          <w:highlight w:val="none"/>
        </w:rPr>
      </w:pPr>
    </w:p>
    <w:p>
      <w:pPr>
        <w:spacing w:line="560" w:lineRule="exact"/>
        <w:ind w:firstLine="561"/>
        <w:rPr>
          <w:rFonts w:ascii="宋体"/>
          <w:color w:val="auto"/>
          <w:sz w:val="28"/>
          <w:szCs w:val="28"/>
          <w:highlight w:val="none"/>
          <w:u w:val="single"/>
        </w:rPr>
      </w:pPr>
      <w:r>
        <w:rPr>
          <w:rFonts w:hint="eastAsia" w:ascii="宋体" w:hAnsi="宋体"/>
          <w:b/>
          <w:color w:val="auto"/>
          <w:sz w:val="28"/>
          <w:szCs w:val="28"/>
          <w:highlight w:val="none"/>
        </w:rPr>
        <w:t>致招标人：</w:t>
      </w:r>
      <w:r>
        <w:rPr>
          <w:rFonts w:hint="eastAsia" w:ascii="宋体" w:hAnsi="宋体"/>
          <w:color w:val="auto"/>
          <w:sz w:val="28"/>
          <w:szCs w:val="28"/>
          <w:highlight w:val="none"/>
          <w:u w:val="single"/>
        </w:rPr>
        <w:t>广东广垦华丰糖业有限公司</w:t>
      </w:r>
    </w:p>
    <w:p>
      <w:pPr>
        <w:pStyle w:val="87"/>
        <w:spacing w:line="560" w:lineRule="exact"/>
        <w:ind w:firstLine="560" w:firstLineChars="200"/>
        <w:rPr>
          <w:rFonts w:ascii="宋体"/>
          <w:color w:val="auto"/>
          <w:szCs w:val="28"/>
          <w:highlight w:val="none"/>
        </w:rPr>
      </w:pPr>
      <w:r>
        <w:rPr>
          <w:rFonts w:hint="eastAsia" w:ascii="宋体"/>
          <w:color w:val="auto"/>
          <w:szCs w:val="28"/>
          <w:highlight w:val="none"/>
        </w:rPr>
        <w:t>我方同意从确定的接受投标之日起至投标有效期满止，在此期间的任何时间，本投标保证书和投标文件一直对我方具有约束力，我方将承担以下责任：</w:t>
      </w:r>
    </w:p>
    <w:p>
      <w:pPr>
        <w:pStyle w:val="87"/>
        <w:spacing w:line="560" w:lineRule="exact"/>
        <w:ind w:firstLine="560" w:firstLineChars="200"/>
        <w:rPr>
          <w:rFonts w:ascii="宋体"/>
          <w:color w:val="auto"/>
          <w:szCs w:val="28"/>
          <w:highlight w:val="none"/>
        </w:rPr>
      </w:pPr>
      <w:r>
        <w:rPr>
          <w:rFonts w:hint="eastAsia" w:ascii="宋体"/>
          <w:color w:val="auto"/>
          <w:szCs w:val="28"/>
          <w:highlight w:val="none"/>
        </w:rPr>
        <w:t>一、按时递交投标文件；</w:t>
      </w:r>
    </w:p>
    <w:p>
      <w:pPr>
        <w:pStyle w:val="87"/>
        <w:spacing w:line="560" w:lineRule="exact"/>
        <w:ind w:firstLine="560" w:firstLineChars="200"/>
        <w:rPr>
          <w:rFonts w:ascii="宋体"/>
          <w:color w:val="auto"/>
          <w:szCs w:val="28"/>
          <w:highlight w:val="none"/>
        </w:rPr>
      </w:pPr>
      <w:r>
        <w:rPr>
          <w:rFonts w:hint="eastAsia" w:ascii="宋体"/>
          <w:color w:val="auto"/>
          <w:szCs w:val="28"/>
          <w:highlight w:val="none"/>
        </w:rPr>
        <w:t>二、不撤回本投标文件；</w:t>
      </w:r>
    </w:p>
    <w:p>
      <w:pPr>
        <w:pStyle w:val="87"/>
        <w:spacing w:line="560" w:lineRule="exact"/>
        <w:ind w:firstLine="560" w:firstLineChars="200"/>
        <w:rPr>
          <w:rFonts w:ascii="宋体"/>
          <w:color w:val="auto"/>
          <w:szCs w:val="28"/>
          <w:highlight w:val="none"/>
        </w:rPr>
      </w:pPr>
      <w:r>
        <w:rPr>
          <w:rFonts w:hint="eastAsia" w:ascii="宋体"/>
          <w:color w:val="auto"/>
          <w:szCs w:val="28"/>
          <w:highlight w:val="none"/>
        </w:rPr>
        <w:t>三、按要求不损坏及如数返还设计图纸：</w:t>
      </w:r>
    </w:p>
    <w:p>
      <w:pPr>
        <w:pStyle w:val="87"/>
        <w:spacing w:line="560" w:lineRule="exact"/>
        <w:ind w:firstLine="560" w:firstLineChars="200"/>
        <w:rPr>
          <w:rFonts w:ascii="华文行楷" w:eastAsia="华文行楷"/>
          <w:color w:val="auto"/>
          <w:szCs w:val="28"/>
          <w:highlight w:val="none"/>
        </w:rPr>
      </w:pPr>
      <w:r>
        <w:rPr>
          <w:rFonts w:hint="eastAsia" w:ascii="宋体"/>
          <w:color w:val="auto"/>
          <w:szCs w:val="28"/>
          <w:highlight w:val="none"/>
        </w:rPr>
        <w:t>四、随时接受中标，在接到中标通知书后按照招标文件规定办理有关手续向贵方提交履约保证金。</w:t>
      </w:r>
    </w:p>
    <w:p>
      <w:pPr>
        <w:pStyle w:val="87"/>
        <w:spacing w:line="560" w:lineRule="exact"/>
        <w:ind w:firstLine="560" w:firstLineChars="200"/>
        <w:rPr>
          <w:rFonts w:ascii="宋体"/>
          <w:color w:val="auto"/>
          <w:szCs w:val="28"/>
          <w:highlight w:val="none"/>
        </w:rPr>
      </w:pPr>
      <w:r>
        <w:rPr>
          <w:rFonts w:hint="eastAsia" w:ascii="宋体"/>
          <w:color w:val="auto"/>
          <w:szCs w:val="28"/>
          <w:highlight w:val="none"/>
        </w:rPr>
        <w:t>五、随时接受中标，在接到中标通知书后按规定期限与你方签订工程建设施工合同。</w:t>
      </w:r>
    </w:p>
    <w:p>
      <w:pPr>
        <w:pStyle w:val="87"/>
        <w:spacing w:line="560" w:lineRule="exact"/>
        <w:ind w:firstLine="560" w:firstLineChars="200"/>
        <w:rPr>
          <w:rFonts w:ascii="宋体"/>
          <w:color w:val="auto"/>
          <w:szCs w:val="28"/>
          <w:highlight w:val="none"/>
        </w:rPr>
      </w:pPr>
      <w:r>
        <w:rPr>
          <w:rFonts w:hint="eastAsia" w:ascii="宋体"/>
          <w:color w:val="auto"/>
          <w:szCs w:val="28"/>
          <w:highlight w:val="none"/>
        </w:rPr>
        <w:t>在投标期间，若我方违反上述责任中的任何一款或招标文件中的要求，你方有权在本次招标结束后没收我们交纳的投标保证金，我方愿意承担由此所造成给发包人一切损失的费用。</w:t>
      </w:r>
    </w:p>
    <w:p>
      <w:pPr>
        <w:pStyle w:val="87"/>
        <w:spacing w:line="520" w:lineRule="exact"/>
        <w:ind w:firstLine="560"/>
        <w:rPr>
          <w:rFonts w:ascii="宋体"/>
          <w:color w:val="auto"/>
          <w:szCs w:val="28"/>
          <w:highlight w:val="none"/>
        </w:rPr>
      </w:pPr>
    </w:p>
    <w:p>
      <w:pPr>
        <w:spacing w:line="520" w:lineRule="exact"/>
        <w:ind w:firstLine="560"/>
        <w:rPr>
          <w:rFonts w:ascii="宋体"/>
          <w:color w:val="auto"/>
          <w:sz w:val="28"/>
          <w:szCs w:val="28"/>
          <w:highlight w:val="none"/>
        </w:rPr>
      </w:pPr>
    </w:p>
    <w:p>
      <w:pPr>
        <w:spacing w:line="700" w:lineRule="exact"/>
        <w:ind w:firstLine="4250" w:firstLineChars="1518"/>
        <w:rPr>
          <w:rFonts w:ascii="宋体"/>
          <w:color w:val="auto"/>
          <w:sz w:val="28"/>
          <w:szCs w:val="28"/>
          <w:highlight w:val="none"/>
        </w:rPr>
      </w:pPr>
      <w:r>
        <w:rPr>
          <w:rFonts w:hint="eastAsia" w:ascii="宋体"/>
          <w:color w:val="auto"/>
          <w:sz w:val="28"/>
          <w:szCs w:val="28"/>
          <w:highlight w:val="none"/>
        </w:rPr>
        <w:t>投标人：（盖章）</w:t>
      </w:r>
    </w:p>
    <w:p>
      <w:pPr>
        <w:spacing w:line="700" w:lineRule="exact"/>
        <w:ind w:firstLine="4250" w:firstLineChars="1518"/>
        <w:rPr>
          <w:rFonts w:ascii="宋体"/>
          <w:color w:val="auto"/>
          <w:sz w:val="28"/>
          <w:szCs w:val="28"/>
          <w:highlight w:val="none"/>
          <w:u w:val="single"/>
        </w:rPr>
      </w:pPr>
      <w:r>
        <w:rPr>
          <w:rFonts w:hint="eastAsia" w:ascii="宋体"/>
          <w:color w:val="auto"/>
          <w:sz w:val="28"/>
          <w:szCs w:val="28"/>
          <w:highlight w:val="none"/>
        </w:rPr>
        <w:t>法定代表人或委托人：（签名）</w:t>
      </w:r>
    </w:p>
    <w:p>
      <w:pPr>
        <w:spacing w:line="700" w:lineRule="exact"/>
        <w:ind w:firstLine="4250" w:firstLineChars="1518"/>
        <w:rPr>
          <w:rFonts w:ascii="宋体"/>
          <w:color w:val="auto"/>
          <w:sz w:val="28"/>
          <w:szCs w:val="28"/>
          <w:highlight w:val="none"/>
        </w:rPr>
        <w:sectPr>
          <w:pgSz w:w="11907" w:h="16840"/>
          <w:pgMar w:top="1418" w:right="851" w:bottom="1418" w:left="851" w:header="851" w:footer="992" w:gutter="567"/>
          <w:cols w:space="720" w:num="1"/>
          <w:docGrid w:linePitch="312" w:charSpace="0"/>
        </w:sectPr>
      </w:pPr>
      <w:r>
        <w:rPr>
          <w:rFonts w:hint="eastAsia" w:ascii="宋体"/>
          <w:color w:val="auto"/>
          <w:sz w:val="28"/>
          <w:szCs w:val="28"/>
          <w:highlight w:val="none"/>
        </w:rPr>
        <w:t>日  期：年月日</w:t>
      </w:r>
    </w:p>
    <w:p>
      <w:pPr>
        <w:pStyle w:val="4"/>
        <w:spacing w:before="0" w:after="0" w:line="600" w:lineRule="exact"/>
        <w:ind w:left="5453" w:hanging="5453" w:hangingChars="1940"/>
        <w:rPr>
          <w:rFonts w:ascii="宋体" w:hAnsi="宋体" w:eastAsia="宋体"/>
          <w:bCs w:val="0"/>
          <w:color w:val="auto"/>
          <w:sz w:val="28"/>
          <w:szCs w:val="28"/>
          <w:highlight w:val="none"/>
        </w:rPr>
      </w:pPr>
      <w:bookmarkStart w:id="41" w:name="_Toc252979589"/>
      <w:bookmarkStart w:id="42" w:name="_Toc487755831"/>
      <w:r>
        <w:rPr>
          <w:rFonts w:hint="eastAsia" w:ascii="宋体" w:hAnsi="宋体" w:eastAsia="宋体"/>
          <w:bCs w:val="0"/>
          <w:color w:val="auto"/>
          <w:sz w:val="28"/>
          <w:szCs w:val="28"/>
          <w:highlight w:val="none"/>
        </w:rPr>
        <w:t>投标格式</w:t>
      </w:r>
      <w:bookmarkEnd w:id="41"/>
      <w:r>
        <w:rPr>
          <w:rFonts w:hint="eastAsia" w:ascii="宋体" w:hAnsi="宋体" w:eastAsia="宋体"/>
          <w:bCs w:val="0"/>
          <w:color w:val="auto"/>
          <w:sz w:val="28"/>
          <w:szCs w:val="28"/>
          <w:highlight w:val="none"/>
        </w:rPr>
        <w:t>三</w:t>
      </w:r>
    </w:p>
    <w:p>
      <w:pPr>
        <w:ind w:firstLine="560"/>
        <w:rPr>
          <w:color w:val="auto"/>
          <w:highlight w:val="none"/>
        </w:rPr>
      </w:pPr>
    </w:p>
    <w:p>
      <w:pPr>
        <w:ind w:firstLine="560"/>
        <w:rPr>
          <w:color w:val="auto"/>
          <w:highlight w:val="none"/>
        </w:rPr>
      </w:pPr>
    </w:p>
    <w:p>
      <w:pPr>
        <w:ind w:firstLine="560"/>
        <w:rPr>
          <w:color w:val="auto"/>
          <w:highlight w:val="none"/>
        </w:rPr>
      </w:pPr>
    </w:p>
    <w:p>
      <w:pPr>
        <w:pStyle w:val="4"/>
        <w:spacing w:before="0" w:after="0" w:line="600" w:lineRule="exact"/>
        <w:ind w:left="5453" w:hanging="5453" w:hangingChars="1940"/>
        <w:rPr>
          <w:rFonts w:ascii="宋体" w:hAnsi="宋体" w:eastAsia="宋体"/>
          <w:bCs w:val="0"/>
          <w:color w:val="auto"/>
          <w:highlight w:val="none"/>
        </w:rPr>
      </w:pPr>
      <w:r>
        <w:rPr>
          <w:rFonts w:hint="eastAsia" w:ascii="宋体" w:hAnsi="宋体" w:eastAsia="宋体"/>
          <w:bCs w:val="0"/>
          <w:color w:val="auto"/>
          <w:sz w:val="28"/>
          <w:szCs w:val="28"/>
          <w:highlight w:val="none"/>
        </w:rPr>
        <w:t>工 程 开 标 一 览 表</w:t>
      </w:r>
      <w:bookmarkEnd w:id="42"/>
    </w:p>
    <w:p>
      <w:pPr>
        <w:pStyle w:val="106"/>
        <w:spacing w:line="520" w:lineRule="exact"/>
        <w:ind w:firstLine="561"/>
        <w:rPr>
          <w:rFonts w:ascii="宋体"/>
          <w:color w:val="auto"/>
          <w:sz w:val="28"/>
          <w:szCs w:val="28"/>
          <w:highlight w:val="none"/>
        </w:rPr>
      </w:pPr>
    </w:p>
    <w:tbl>
      <w:tblPr>
        <w:tblStyle w:val="47"/>
        <w:tblW w:w="9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9"/>
        <w:gridCol w:w="1398"/>
        <w:gridCol w:w="1173"/>
        <w:gridCol w:w="1184"/>
        <w:gridCol w:w="1332"/>
        <w:gridCol w:w="1110"/>
        <w:gridCol w:w="1259"/>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1" w:hRule="atLeast"/>
        </w:trPr>
        <w:tc>
          <w:tcPr>
            <w:tcW w:w="1499" w:type="dxa"/>
            <w:vMerge w:val="restart"/>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投标人名称</w:t>
            </w:r>
          </w:p>
        </w:tc>
        <w:tc>
          <w:tcPr>
            <w:tcW w:w="1398" w:type="dxa"/>
            <w:vMerge w:val="restart"/>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 xml:space="preserve">总报价    </w:t>
            </w:r>
          </w:p>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（元）</w:t>
            </w:r>
          </w:p>
        </w:tc>
        <w:tc>
          <w:tcPr>
            <w:tcW w:w="1173" w:type="dxa"/>
            <w:vMerge w:val="restart"/>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 xml:space="preserve">工期     </w:t>
            </w:r>
          </w:p>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（日历天）</w:t>
            </w:r>
          </w:p>
        </w:tc>
        <w:tc>
          <w:tcPr>
            <w:tcW w:w="1184" w:type="dxa"/>
            <w:vMerge w:val="restart"/>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质量等级</w:t>
            </w:r>
          </w:p>
        </w:tc>
        <w:tc>
          <w:tcPr>
            <w:tcW w:w="3701" w:type="dxa"/>
            <w:gridSpan w:val="3"/>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项目负责人</w:t>
            </w:r>
          </w:p>
        </w:tc>
        <w:tc>
          <w:tcPr>
            <w:tcW w:w="962" w:type="dxa"/>
            <w:vMerge w:val="restart"/>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0" w:hRule="atLeast"/>
        </w:trPr>
        <w:tc>
          <w:tcPr>
            <w:tcW w:w="1499" w:type="dxa"/>
            <w:vMerge w:val="continue"/>
            <w:noWrap/>
          </w:tcPr>
          <w:p>
            <w:pPr>
              <w:ind w:firstLine="560"/>
              <w:rPr>
                <w:rFonts w:ascii="等线" w:hAnsi="等线" w:eastAsia="等线" w:cs="等线"/>
                <w:b/>
                <w:bCs/>
                <w:color w:val="auto"/>
                <w:sz w:val="32"/>
                <w:highlight w:val="none"/>
              </w:rPr>
            </w:pPr>
          </w:p>
        </w:tc>
        <w:tc>
          <w:tcPr>
            <w:tcW w:w="1398" w:type="dxa"/>
            <w:vMerge w:val="continue"/>
            <w:noWrap/>
          </w:tcPr>
          <w:p>
            <w:pPr>
              <w:ind w:firstLine="560"/>
              <w:rPr>
                <w:rFonts w:ascii="等线" w:hAnsi="等线" w:eastAsia="等线" w:cs="等线"/>
                <w:b/>
                <w:bCs/>
                <w:color w:val="auto"/>
                <w:sz w:val="32"/>
                <w:highlight w:val="none"/>
              </w:rPr>
            </w:pPr>
          </w:p>
        </w:tc>
        <w:tc>
          <w:tcPr>
            <w:tcW w:w="1173" w:type="dxa"/>
            <w:vMerge w:val="continue"/>
            <w:noWrap/>
          </w:tcPr>
          <w:p>
            <w:pPr>
              <w:ind w:firstLine="560"/>
              <w:rPr>
                <w:rFonts w:ascii="等线" w:hAnsi="等线" w:eastAsia="等线" w:cs="等线"/>
                <w:b/>
                <w:bCs/>
                <w:color w:val="auto"/>
                <w:sz w:val="32"/>
                <w:highlight w:val="none"/>
              </w:rPr>
            </w:pPr>
          </w:p>
        </w:tc>
        <w:tc>
          <w:tcPr>
            <w:tcW w:w="1184" w:type="dxa"/>
            <w:vMerge w:val="continue"/>
            <w:noWrap/>
          </w:tcPr>
          <w:p>
            <w:pPr>
              <w:ind w:firstLine="560"/>
              <w:rPr>
                <w:rFonts w:ascii="等线" w:hAnsi="等线" w:eastAsia="等线" w:cs="等线"/>
                <w:b/>
                <w:bCs/>
                <w:color w:val="auto"/>
                <w:sz w:val="32"/>
                <w:highlight w:val="none"/>
              </w:rPr>
            </w:pPr>
          </w:p>
        </w:tc>
        <w:tc>
          <w:tcPr>
            <w:tcW w:w="1332" w:type="dxa"/>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资格等级</w:t>
            </w:r>
          </w:p>
        </w:tc>
        <w:tc>
          <w:tcPr>
            <w:tcW w:w="1110" w:type="dxa"/>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技术职称</w:t>
            </w:r>
          </w:p>
        </w:tc>
        <w:tc>
          <w:tcPr>
            <w:tcW w:w="1259" w:type="dxa"/>
            <w:noWrap/>
            <w:vAlign w:val="center"/>
          </w:tcPr>
          <w:p>
            <w:pPr>
              <w:spacing w:line="52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姓 名</w:t>
            </w:r>
          </w:p>
        </w:tc>
        <w:tc>
          <w:tcPr>
            <w:tcW w:w="962" w:type="dxa"/>
            <w:vMerge w:val="continue"/>
            <w:noWrap/>
          </w:tcPr>
          <w:p>
            <w:pPr>
              <w:ind w:firstLine="560"/>
              <w:rPr>
                <w:rFonts w:ascii="等线" w:hAnsi="等线" w:eastAsia="等线" w:cs="等线"/>
                <w:b/>
                <w:bCs/>
                <w:color w:val="auto"/>
                <w:sz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499" w:type="dxa"/>
            <w:noWrap/>
          </w:tcPr>
          <w:p>
            <w:pPr>
              <w:spacing w:line="520" w:lineRule="exact"/>
              <w:rPr>
                <w:rFonts w:ascii="宋体" w:hAnsi="等线" w:eastAsia="等线" w:cs="等线"/>
                <w:color w:val="auto"/>
                <w:sz w:val="28"/>
                <w:szCs w:val="28"/>
                <w:highlight w:val="none"/>
              </w:rPr>
            </w:pPr>
          </w:p>
          <w:p>
            <w:pPr>
              <w:spacing w:line="520" w:lineRule="exact"/>
              <w:rPr>
                <w:rFonts w:ascii="宋体" w:hAnsi="等线" w:eastAsia="等线" w:cs="等线"/>
                <w:color w:val="auto"/>
                <w:sz w:val="28"/>
                <w:szCs w:val="28"/>
                <w:highlight w:val="none"/>
              </w:rPr>
            </w:pPr>
          </w:p>
          <w:p>
            <w:pPr>
              <w:spacing w:line="520" w:lineRule="exact"/>
              <w:rPr>
                <w:rFonts w:ascii="宋体" w:hAnsi="等线" w:eastAsia="等线" w:cs="等线"/>
                <w:color w:val="auto"/>
                <w:sz w:val="28"/>
                <w:szCs w:val="28"/>
                <w:highlight w:val="none"/>
              </w:rPr>
            </w:pPr>
          </w:p>
        </w:tc>
        <w:tc>
          <w:tcPr>
            <w:tcW w:w="1398" w:type="dxa"/>
            <w:noWrap/>
          </w:tcPr>
          <w:p>
            <w:pPr>
              <w:spacing w:line="520" w:lineRule="exact"/>
              <w:rPr>
                <w:rFonts w:ascii="宋体" w:hAnsi="等线" w:eastAsia="等线" w:cs="等线"/>
                <w:color w:val="auto"/>
                <w:sz w:val="28"/>
                <w:szCs w:val="28"/>
                <w:highlight w:val="none"/>
              </w:rPr>
            </w:pPr>
          </w:p>
        </w:tc>
        <w:tc>
          <w:tcPr>
            <w:tcW w:w="1173" w:type="dxa"/>
            <w:noWrap/>
          </w:tcPr>
          <w:p>
            <w:pPr>
              <w:spacing w:line="520" w:lineRule="exact"/>
              <w:rPr>
                <w:rFonts w:ascii="宋体" w:hAnsi="等线" w:eastAsia="等线" w:cs="等线"/>
                <w:color w:val="auto"/>
                <w:sz w:val="28"/>
                <w:szCs w:val="28"/>
                <w:highlight w:val="none"/>
              </w:rPr>
            </w:pPr>
          </w:p>
        </w:tc>
        <w:tc>
          <w:tcPr>
            <w:tcW w:w="1184" w:type="dxa"/>
            <w:noWrap/>
          </w:tcPr>
          <w:p>
            <w:pPr>
              <w:spacing w:line="520" w:lineRule="exact"/>
              <w:rPr>
                <w:rFonts w:ascii="宋体" w:hAnsi="等线" w:eastAsia="等线" w:cs="等线"/>
                <w:color w:val="auto"/>
                <w:sz w:val="28"/>
                <w:szCs w:val="28"/>
                <w:highlight w:val="none"/>
              </w:rPr>
            </w:pPr>
          </w:p>
        </w:tc>
        <w:tc>
          <w:tcPr>
            <w:tcW w:w="1332" w:type="dxa"/>
            <w:noWrap/>
          </w:tcPr>
          <w:p>
            <w:pPr>
              <w:spacing w:line="520" w:lineRule="exact"/>
              <w:rPr>
                <w:rFonts w:ascii="宋体" w:hAnsi="等线" w:eastAsia="等线" w:cs="等线"/>
                <w:color w:val="auto"/>
                <w:sz w:val="28"/>
                <w:szCs w:val="28"/>
                <w:highlight w:val="none"/>
              </w:rPr>
            </w:pPr>
          </w:p>
        </w:tc>
        <w:tc>
          <w:tcPr>
            <w:tcW w:w="1110" w:type="dxa"/>
            <w:noWrap/>
          </w:tcPr>
          <w:p>
            <w:pPr>
              <w:spacing w:line="520" w:lineRule="exact"/>
              <w:rPr>
                <w:rFonts w:ascii="宋体" w:hAnsi="等线" w:eastAsia="等线" w:cs="等线"/>
                <w:color w:val="auto"/>
                <w:sz w:val="28"/>
                <w:szCs w:val="28"/>
                <w:highlight w:val="none"/>
              </w:rPr>
            </w:pPr>
          </w:p>
        </w:tc>
        <w:tc>
          <w:tcPr>
            <w:tcW w:w="1259" w:type="dxa"/>
            <w:noWrap/>
          </w:tcPr>
          <w:p>
            <w:pPr>
              <w:spacing w:line="520" w:lineRule="exact"/>
              <w:rPr>
                <w:rFonts w:ascii="宋体" w:hAnsi="等线" w:eastAsia="等线" w:cs="等线"/>
                <w:color w:val="auto"/>
                <w:sz w:val="28"/>
                <w:szCs w:val="28"/>
                <w:highlight w:val="none"/>
              </w:rPr>
            </w:pPr>
          </w:p>
        </w:tc>
        <w:tc>
          <w:tcPr>
            <w:tcW w:w="962" w:type="dxa"/>
            <w:noWrap/>
          </w:tcPr>
          <w:p>
            <w:pPr>
              <w:spacing w:line="520" w:lineRule="exact"/>
              <w:rPr>
                <w:rFonts w:ascii="宋体" w:hAnsi="等线" w:eastAsia="等线" w:cs="等线"/>
                <w:color w:val="auto"/>
                <w:sz w:val="28"/>
                <w:szCs w:val="28"/>
                <w:highlight w:val="none"/>
              </w:rPr>
            </w:pPr>
          </w:p>
        </w:tc>
      </w:tr>
    </w:tbl>
    <w:p>
      <w:pPr>
        <w:spacing w:line="460" w:lineRule="exact"/>
        <w:ind w:firstLine="4387" w:firstLineChars="1567"/>
        <w:rPr>
          <w:rFonts w:ascii="宋体"/>
          <w:color w:val="auto"/>
          <w:sz w:val="28"/>
          <w:szCs w:val="28"/>
          <w:highlight w:val="none"/>
        </w:rPr>
      </w:pPr>
    </w:p>
    <w:p>
      <w:pPr>
        <w:spacing w:line="460" w:lineRule="exact"/>
        <w:ind w:firstLine="4387" w:firstLineChars="1567"/>
        <w:rPr>
          <w:rFonts w:ascii="宋体"/>
          <w:color w:val="auto"/>
          <w:sz w:val="28"/>
          <w:szCs w:val="28"/>
          <w:highlight w:val="none"/>
        </w:rPr>
      </w:pPr>
    </w:p>
    <w:p>
      <w:pPr>
        <w:spacing w:line="660" w:lineRule="exact"/>
        <w:jc w:val="center"/>
        <w:rPr>
          <w:rFonts w:ascii="宋体"/>
          <w:color w:val="auto"/>
          <w:sz w:val="28"/>
          <w:szCs w:val="28"/>
          <w:highlight w:val="none"/>
        </w:rPr>
      </w:pPr>
      <w:r>
        <w:rPr>
          <w:rFonts w:hint="eastAsia" w:ascii="宋体"/>
          <w:color w:val="auto"/>
          <w:sz w:val="28"/>
          <w:szCs w:val="28"/>
          <w:highlight w:val="none"/>
        </w:rPr>
        <w:t xml:space="preserve">                    投标人：（盖章）</w:t>
      </w:r>
    </w:p>
    <w:p>
      <w:pPr>
        <w:spacing w:line="660" w:lineRule="exact"/>
        <w:jc w:val="center"/>
        <w:rPr>
          <w:rFonts w:ascii="宋体"/>
          <w:color w:val="auto"/>
          <w:sz w:val="28"/>
          <w:szCs w:val="28"/>
          <w:highlight w:val="none"/>
          <w:u w:val="single"/>
        </w:rPr>
      </w:pPr>
      <w:r>
        <w:rPr>
          <w:rFonts w:hint="eastAsia" w:ascii="宋体"/>
          <w:color w:val="auto"/>
          <w:sz w:val="28"/>
          <w:szCs w:val="28"/>
          <w:highlight w:val="none"/>
        </w:rPr>
        <w:t xml:space="preserve">        法定代表人或委托人：（签名）</w:t>
      </w:r>
    </w:p>
    <w:p>
      <w:pPr>
        <w:pStyle w:val="87"/>
        <w:spacing w:line="660" w:lineRule="exact"/>
        <w:ind w:firstLine="560"/>
        <w:jc w:val="right"/>
        <w:rPr>
          <w:rFonts w:ascii="宋体"/>
          <w:color w:val="auto"/>
          <w:szCs w:val="28"/>
          <w:highlight w:val="none"/>
        </w:rPr>
      </w:pPr>
      <w:r>
        <w:rPr>
          <w:rFonts w:hint="eastAsia" w:ascii="宋体"/>
          <w:color w:val="auto"/>
          <w:szCs w:val="28"/>
          <w:highlight w:val="none"/>
        </w:rPr>
        <w:t>日  期：年月日</w:t>
      </w:r>
    </w:p>
    <w:p>
      <w:pPr>
        <w:pStyle w:val="87"/>
        <w:spacing w:line="520" w:lineRule="exact"/>
        <w:ind w:firstLine="560"/>
        <w:rPr>
          <w:rFonts w:ascii="宋体"/>
          <w:color w:val="auto"/>
          <w:szCs w:val="28"/>
          <w:highlight w:val="none"/>
        </w:rPr>
        <w:sectPr>
          <w:footerReference r:id="rId6" w:type="default"/>
          <w:footerReference r:id="rId7" w:type="even"/>
          <w:pgSz w:w="11907" w:h="16840"/>
          <w:pgMar w:top="1418" w:right="851" w:bottom="1418" w:left="851" w:header="851" w:footer="992" w:gutter="567"/>
          <w:cols w:space="720" w:num="1"/>
          <w:titlePg/>
          <w:docGrid w:linePitch="312" w:charSpace="0"/>
        </w:sectPr>
      </w:pPr>
    </w:p>
    <w:p>
      <w:pPr>
        <w:pStyle w:val="4"/>
        <w:spacing w:before="0" w:after="0" w:line="600" w:lineRule="exact"/>
        <w:ind w:left="3486" w:hanging="3486" w:hangingChars="1240"/>
        <w:rPr>
          <w:rFonts w:ascii="宋体" w:hAnsi="宋体" w:eastAsia="宋体"/>
          <w:bCs w:val="0"/>
          <w:color w:val="auto"/>
          <w:sz w:val="28"/>
          <w:szCs w:val="28"/>
          <w:highlight w:val="none"/>
        </w:rPr>
      </w:pPr>
      <w:bookmarkStart w:id="43" w:name="_Toc252979590"/>
      <w:bookmarkStart w:id="44" w:name="_Toc487755832"/>
      <w:r>
        <w:rPr>
          <w:rFonts w:hint="eastAsia" w:ascii="宋体" w:hAnsi="宋体" w:eastAsia="宋体"/>
          <w:bCs w:val="0"/>
          <w:color w:val="auto"/>
          <w:sz w:val="28"/>
          <w:szCs w:val="28"/>
          <w:highlight w:val="none"/>
        </w:rPr>
        <w:t>投标格式</w:t>
      </w:r>
      <w:bookmarkEnd w:id="43"/>
      <w:r>
        <w:rPr>
          <w:rFonts w:hint="eastAsia" w:ascii="宋体" w:hAnsi="宋体" w:eastAsia="宋体"/>
          <w:bCs w:val="0"/>
          <w:color w:val="auto"/>
          <w:sz w:val="28"/>
          <w:szCs w:val="28"/>
          <w:highlight w:val="none"/>
        </w:rPr>
        <w:t>四</w:t>
      </w:r>
    </w:p>
    <w:p>
      <w:pPr>
        <w:ind w:firstLine="560"/>
        <w:rPr>
          <w:color w:val="auto"/>
          <w:highlight w:val="none"/>
        </w:rPr>
      </w:pPr>
    </w:p>
    <w:p>
      <w:pPr>
        <w:ind w:firstLine="560"/>
        <w:rPr>
          <w:color w:val="auto"/>
          <w:highlight w:val="none"/>
        </w:rPr>
      </w:pPr>
    </w:p>
    <w:p>
      <w:pPr>
        <w:ind w:firstLine="560"/>
        <w:rPr>
          <w:color w:val="auto"/>
          <w:highlight w:val="none"/>
        </w:rPr>
      </w:pPr>
    </w:p>
    <w:p>
      <w:pPr>
        <w:pStyle w:val="4"/>
        <w:spacing w:before="0" w:after="0" w:line="600" w:lineRule="exact"/>
        <w:ind w:left="3486" w:hanging="3486" w:hangingChars="1240"/>
        <w:rPr>
          <w:rFonts w:ascii="宋体" w:hAnsi="宋体" w:eastAsia="宋体"/>
          <w:bCs w:val="0"/>
          <w:color w:val="auto"/>
          <w:sz w:val="28"/>
          <w:szCs w:val="28"/>
          <w:highlight w:val="none"/>
        </w:rPr>
      </w:pPr>
      <w:r>
        <w:rPr>
          <w:rFonts w:hint="eastAsia" w:ascii="宋体" w:hAnsi="宋体" w:eastAsia="宋体"/>
          <w:bCs w:val="0"/>
          <w:color w:val="auto"/>
          <w:sz w:val="28"/>
          <w:szCs w:val="28"/>
          <w:highlight w:val="none"/>
        </w:rPr>
        <w:t>派驻本项目人员数量表</w:t>
      </w:r>
      <w:bookmarkEnd w:id="44"/>
    </w:p>
    <w:p>
      <w:pPr>
        <w:pStyle w:val="36"/>
        <w:spacing w:before="200" w:after="200" w:line="520" w:lineRule="exact"/>
        <w:ind w:firstLine="689" w:firstLineChars="245"/>
        <w:rPr>
          <w:rFonts w:ascii="宋体"/>
          <w:color w:val="auto"/>
          <w:sz w:val="28"/>
          <w:szCs w:val="28"/>
          <w:highlight w:val="none"/>
        </w:rPr>
      </w:pPr>
      <w:r>
        <w:rPr>
          <w:rFonts w:hint="eastAsia" w:ascii="宋体"/>
          <w:b/>
          <w:color w:val="auto"/>
          <w:sz w:val="28"/>
          <w:szCs w:val="28"/>
          <w:highlight w:val="none"/>
        </w:rPr>
        <w:t>工程名称：</w:t>
      </w:r>
      <w:r>
        <w:rPr>
          <w:rFonts w:hint="eastAsia" w:ascii="宋体"/>
          <w:color w:val="auto"/>
          <w:sz w:val="28"/>
          <w:szCs w:val="28"/>
          <w:highlight w:val="none"/>
          <w:u w:val="single"/>
        </w:rPr>
        <w:t>2023年广东农垦糖蔗产业集群华丰公司压榨机改造及预处理系统配套工程项目</w:t>
      </w:r>
    </w:p>
    <w:tbl>
      <w:tblPr>
        <w:tblStyle w:val="47"/>
        <w:tblW w:w="0" w:type="auto"/>
        <w:tblInd w:w="45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394"/>
        <w:gridCol w:w="49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12" w:space="0"/>
              <w:bottom w:val="single" w:color="auto" w:sz="6" w:space="0"/>
              <w:right w:val="single" w:color="auto" w:sz="6" w:space="0"/>
            </w:tcBorders>
            <w:noWrap/>
            <w:vAlign w:val="center"/>
          </w:tcPr>
          <w:p>
            <w:pPr>
              <w:spacing w:line="400" w:lineRule="exact"/>
              <w:ind w:firstLine="1541" w:firstLineChars="550"/>
              <w:rPr>
                <w:rFonts w:ascii="宋体" w:hAnsi="等线" w:eastAsia="等线" w:cs="等线"/>
                <w:b/>
                <w:color w:val="auto"/>
                <w:sz w:val="28"/>
                <w:szCs w:val="28"/>
                <w:highlight w:val="none"/>
              </w:rPr>
            </w:pPr>
            <w:r>
              <w:rPr>
                <w:rFonts w:hint="eastAsia" w:ascii="宋体" w:hAnsi="等线" w:eastAsia="等线" w:cs="等线"/>
                <w:b/>
                <w:color w:val="auto"/>
                <w:sz w:val="28"/>
                <w:szCs w:val="28"/>
                <w:highlight w:val="none"/>
              </w:rPr>
              <w:t>岗位名称</w:t>
            </w:r>
          </w:p>
        </w:tc>
        <w:tc>
          <w:tcPr>
            <w:tcW w:w="4961" w:type="dxa"/>
            <w:tcBorders>
              <w:top w:val="single" w:color="auto" w:sz="4" w:space="0"/>
              <w:left w:val="single" w:color="auto" w:sz="6" w:space="0"/>
              <w:bottom w:val="single" w:color="auto" w:sz="6" w:space="0"/>
            </w:tcBorders>
            <w:noWrap/>
            <w:vAlign w:val="center"/>
          </w:tcPr>
          <w:p>
            <w:pPr>
              <w:spacing w:line="400" w:lineRule="exact"/>
              <w:jc w:val="center"/>
              <w:rPr>
                <w:rFonts w:ascii="宋体" w:hAnsi="等线" w:eastAsia="等线" w:cs="等线"/>
                <w:b/>
                <w:color w:val="auto"/>
                <w:sz w:val="28"/>
                <w:szCs w:val="28"/>
                <w:highlight w:val="none"/>
              </w:rPr>
            </w:pPr>
            <w:r>
              <w:rPr>
                <w:rFonts w:hint="eastAsia" w:ascii="宋体" w:hAnsi="等线" w:eastAsia="等线" w:cs="等线"/>
                <w:b/>
                <w:color w:val="auto"/>
                <w:sz w:val="28"/>
                <w:szCs w:val="28"/>
                <w:highlight w:val="none"/>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6" w:space="0"/>
              <w:bottom w:val="single" w:color="auto" w:sz="6" w:space="0"/>
              <w:right w:val="single" w:color="auto" w:sz="4" w:space="0"/>
            </w:tcBorders>
            <w:noWrap/>
            <w:vAlign w:val="center"/>
          </w:tcPr>
          <w:p>
            <w:pPr>
              <w:spacing w:line="400" w:lineRule="exact"/>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项目负责人</w:t>
            </w:r>
          </w:p>
        </w:tc>
        <w:tc>
          <w:tcPr>
            <w:tcW w:w="4961" w:type="dxa"/>
            <w:tcBorders>
              <w:top w:val="single" w:color="auto" w:sz="6" w:space="0"/>
              <w:left w:val="single" w:color="auto" w:sz="4" w:space="0"/>
              <w:bottom w:val="single" w:color="auto" w:sz="6" w:space="0"/>
            </w:tcBorders>
            <w:noWrap/>
            <w:vAlign w:val="center"/>
          </w:tcPr>
          <w:p>
            <w:pPr>
              <w:spacing w:line="400" w:lineRule="exact"/>
              <w:jc w:val="center"/>
              <w:rPr>
                <w:rFonts w:ascii="华文行楷" w:hAnsi="等线" w:eastAsia="华文行楷" w:cs="等线"/>
                <w:color w:val="auto"/>
                <w:sz w:val="28"/>
                <w:szCs w:val="28"/>
                <w:highlight w:val="none"/>
              </w:rPr>
            </w:pPr>
            <w:r>
              <w:rPr>
                <w:rFonts w:hint="eastAsia" w:ascii="华文行楷" w:hAnsi="等线" w:eastAsia="华文行楷" w:cs="等线"/>
                <w:color w:val="auto"/>
                <w:sz w:val="28"/>
                <w:szCs w:val="28"/>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6" w:space="0"/>
              <w:bottom w:val="single" w:color="auto" w:sz="4" w:space="0"/>
              <w:right w:val="single" w:color="auto" w:sz="4" w:space="0"/>
            </w:tcBorders>
            <w:noWrap/>
            <w:vAlign w:val="center"/>
          </w:tcPr>
          <w:p>
            <w:pPr>
              <w:spacing w:line="400" w:lineRule="exact"/>
              <w:ind w:left="72"/>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项目技术负责人</w:t>
            </w:r>
          </w:p>
        </w:tc>
        <w:tc>
          <w:tcPr>
            <w:tcW w:w="4961" w:type="dxa"/>
            <w:tcBorders>
              <w:top w:val="single" w:color="auto" w:sz="6" w:space="0"/>
              <w:left w:val="single" w:color="auto" w:sz="4" w:space="0"/>
              <w:bottom w:val="single" w:color="auto" w:sz="4" w:space="0"/>
            </w:tcBorders>
            <w:noWrap/>
            <w:vAlign w:val="center"/>
          </w:tcPr>
          <w:p>
            <w:pPr>
              <w:spacing w:line="400" w:lineRule="exact"/>
              <w:jc w:val="center"/>
              <w:rPr>
                <w:rFonts w:ascii="华文行楷" w:hAnsi="等线" w:eastAsia="华文行楷" w:cs="等线"/>
                <w:color w:val="auto"/>
                <w:sz w:val="28"/>
                <w:szCs w:val="28"/>
                <w:highlight w:val="none"/>
              </w:rPr>
            </w:pPr>
            <w:r>
              <w:rPr>
                <w:rFonts w:hint="eastAsia" w:ascii="华文行楷" w:hAnsi="等线" w:eastAsia="华文行楷" w:cs="等线"/>
                <w:color w:val="auto"/>
                <w:sz w:val="28"/>
                <w:szCs w:val="28"/>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4" w:space="0"/>
              <w:bottom w:val="single" w:color="auto" w:sz="6" w:space="0"/>
              <w:right w:val="single" w:color="auto" w:sz="4" w:space="0"/>
            </w:tcBorders>
            <w:noWrap/>
            <w:vAlign w:val="center"/>
          </w:tcPr>
          <w:p>
            <w:pPr>
              <w:spacing w:line="400" w:lineRule="exact"/>
              <w:ind w:left="72"/>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施工员</w:t>
            </w:r>
          </w:p>
        </w:tc>
        <w:tc>
          <w:tcPr>
            <w:tcW w:w="4961" w:type="dxa"/>
            <w:tcBorders>
              <w:top w:val="single" w:color="auto" w:sz="4" w:space="0"/>
              <w:left w:val="single" w:color="auto" w:sz="4" w:space="0"/>
              <w:bottom w:val="single" w:color="auto" w:sz="6" w:space="0"/>
            </w:tcBorders>
            <w:noWrap/>
            <w:vAlign w:val="center"/>
          </w:tcPr>
          <w:p>
            <w:pPr>
              <w:spacing w:line="400" w:lineRule="exact"/>
              <w:jc w:val="center"/>
              <w:rPr>
                <w:rFonts w:ascii="华文行楷" w:hAnsi="等线" w:eastAsia="华文行楷" w:cs="等线"/>
                <w:color w:val="auto"/>
                <w:sz w:val="28"/>
                <w:szCs w:val="28"/>
                <w:highlight w:val="none"/>
              </w:rPr>
            </w:pPr>
            <w:r>
              <w:rPr>
                <w:rFonts w:hint="eastAsia" w:ascii="华文行楷" w:hAnsi="等线" w:eastAsia="华文行楷" w:cs="等线"/>
                <w:color w:val="auto"/>
                <w:sz w:val="28"/>
                <w:szCs w:val="28"/>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6" w:space="0"/>
              <w:bottom w:val="single" w:color="auto" w:sz="4" w:space="0"/>
              <w:right w:val="single" w:color="auto" w:sz="6" w:space="0"/>
            </w:tcBorders>
            <w:noWrap/>
            <w:vAlign w:val="center"/>
          </w:tcPr>
          <w:p>
            <w:pPr>
              <w:spacing w:line="400" w:lineRule="exact"/>
              <w:ind w:left="72"/>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安全员</w:t>
            </w:r>
          </w:p>
        </w:tc>
        <w:tc>
          <w:tcPr>
            <w:tcW w:w="4961" w:type="dxa"/>
            <w:tcBorders>
              <w:top w:val="single" w:color="auto" w:sz="6" w:space="0"/>
              <w:left w:val="single" w:color="auto" w:sz="6" w:space="0"/>
              <w:bottom w:val="single" w:color="auto" w:sz="4" w:space="0"/>
            </w:tcBorders>
            <w:noWrap/>
            <w:vAlign w:val="center"/>
          </w:tcPr>
          <w:p>
            <w:pPr>
              <w:spacing w:line="400" w:lineRule="exact"/>
              <w:jc w:val="center"/>
              <w:rPr>
                <w:rFonts w:ascii="华文行楷" w:hAnsi="等线" w:eastAsia="华文行楷" w:cs="等线"/>
                <w:color w:val="auto"/>
                <w:sz w:val="28"/>
                <w:szCs w:val="28"/>
                <w:highlight w:val="none"/>
              </w:rPr>
            </w:pPr>
            <w:r>
              <w:rPr>
                <w:rFonts w:hint="eastAsia" w:ascii="华文行楷" w:hAnsi="等线" w:eastAsia="华文行楷" w:cs="等线"/>
                <w:color w:val="auto"/>
                <w:sz w:val="28"/>
                <w:szCs w:val="28"/>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4" w:space="0"/>
              <w:bottom w:val="single" w:color="auto" w:sz="4" w:space="0"/>
              <w:right w:val="single" w:color="auto" w:sz="6" w:space="0"/>
            </w:tcBorders>
            <w:noWrap/>
            <w:vAlign w:val="center"/>
          </w:tcPr>
          <w:p>
            <w:pPr>
              <w:spacing w:line="400" w:lineRule="exact"/>
              <w:ind w:left="72"/>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质检员</w:t>
            </w:r>
          </w:p>
        </w:tc>
        <w:tc>
          <w:tcPr>
            <w:tcW w:w="4961" w:type="dxa"/>
            <w:tcBorders>
              <w:top w:val="single" w:color="auto" w:sz="4" w:space="0"/>
              <w:left w:val="single" w:color="auto" w:sz="6" w:space="0"/>
              <w:bottom w:val="single" w:color="auto" w:sz="4" w:space="0"/>
            </w:tcBorders>
            <w:noWrap/>
            <w:vAlign w:val="center"/>
          </w:tcPr>
          <w:p>
            <w:pPr>
              <w:spacing w:line="400" w:lineRule="exact"/>
              <w:jc w:val="center"/>
              <w:rPr>
                <w:rFonts w:ascii="华文行楷" w:hAnsi="等线" w:eastAsia="华文行楷" w:cs="等线"/>
                <w:color w:val="auto"/>
                <w:sz w:val="28"/>
                <w:szCs w:val="28"/>
                <w:highlight w:val="none"/>
              </w:rPr>
            </w:pPr>
            <w:r>
              <w:rPr>
                <w:rFonts w:hint="eastAsia" w:ascii="华文行楷" w:hAnsi="等线" w:eastAsia="华文行楷" w:cs="等线"/>
                <w:color w:val="auto"/>
                <w:sz w:val="28"/>
                <w:szCs w:val="28"/>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4" w:space="0"/>
              <w:bottom w:val="single" w:color="auto" w:sz="4" w:space="0"/>
              <w:right w:val="single" w:color="auto" w:sz="6" w:space="0"/>
            </w:tcBorders>
            <w:noWrap/>
            <w:vAlign w:val="center"/>
          </w:tcPr>
          <w:p>
            <w:pPr>
              <w:spacing w:line="400" w:lineRule="exact"/>
              <w:ind w:left="72"/>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材料员</w:t>
            </w:r>
          </w:p>
        </w:tc>
        <w:tc>
          <w:tcPr>
            <w:tcW w:w="4961" w:type="dxa"/>
            <w:tcBorders>
              <w:top w:val="single" w:color="auto" w:sz="4" w:space="0"/>
              <w:left w:val="single" w:color="auto" w:sz="6" w:space="0"/>
              <w:bottom w:val="single" w:color="auto" w:sz="4" w:space="0"/>
            </w:tcBorders>
            <w:noWrap/>
            <w:vAlign w:val="center"/>
          </w:tcPr>
          <w:p>
            <w:pPr>
              <w:spacing w:line="400" w:lineRule="exact"/>
              <w:jc w:val="center"/>
              <w:rPr>
                <w:rFonts w:ascii="华文行楷" w:hAnsi="等线" w:eastAsia="华文行楷" w:cs="等线"/>
                <w:color w:val="auto"/>
                <w:sz w:val="28"/>
                <w:szCs w:val="28"/>
                <w:highlight w:val="none"/>
              </w:rPr>
            </w:pPr>
            <w:r>
              <w:rPr>
                <w:rFonts w:hint="eastAsia" w:ascii="华文行楷" w:hAnsi="等线" w:eastAsia="华文行楷" w:cs="等线"/>
                <w:color w:val="auto"/>
                <w:sz w:val="28"/>
                <w:szCs w:val="28"/>
                <w:highlight w:val="non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4" w:hRule="exact"/>
        </w:trPr>
        <w:tc>
          <w:tcPr>
            <w:tcW w:w="4394" w:type="dxa"/>
            <w:tcBorders>
              <w:top w:val="single" w:color="auto" w:sz="4" w:space="0"/>
              <w:bottom w:val="single" w:color="auto" w:sz="4" w:space="0"/>
              <w:right w:val="single" w:color="auto" w:sz="6" w:space="0"/>
            </w:tcBorders>
            <w:noWrap/>
            <w:vAlign w:val="center"/>
          </w:tcPr>
          <w:p>
            <w:pPr>
              <w:spacing w:line="400" w:lineRule="exact"/>
              <w:ind w:left="72"/>
              <w:jc w:val="center"/>
              <w:rPr>
                <w:rFonts w:ascii="宋体" w:hAnsi="等线" w:eastAsia="等线" w:cs="等线"/>
                <w:color w:val="auto"/>
                <w:sz w:val="28"/>
                <w:szCs w:val="28"/>
                <w:highlight w:val="none"/>
              </w:rPr>
            </w:pPr>
            <w:r>
              <w:rPr>
                <w:rFonts w:hint="eastAsia" w:ascii="宋体" w:hAnsi="等线" w:eastAsia="等线" w:cs="等线"/>
                <w:color w:val="auto"/>
                <w:sz w:val="28"/>
                <w:szCs w:val="28"/>
                <w:highlight w:val="none"/>
              </w:rPr>
              <w:t>资料员</w:t>
            </w:r>
          </w:p>
        </w:tc>
        <w:tc>
          <w:tcPr>
            <w:tcW w:w="4961" w:type="dxa"/>
            <w:tcBorders>
              <w:top w:val="single" w:color="auto" w:sz="4" w:space="0"/>
              <w:left w:val="single" w:color="auto" w:sz="6" w:space="0"/>
              <w:bottom w:val="single" w:color="auto" w:sz="4" w:space="0"/>
            </w:tcBorders>
            <w:noWrap/>
            <w:vAlign w:val="center"/>
          </w:tcPr>
          <w:p>
            <w:pPr>
              <w:spacing w:line="400" w:lineRule="exact"/>
              <w:jc w:val="center"/>
              <w:rPr>
                <w:rFonts w:ascii="华文行楷" w:hAnsi="等线" w:eastAsia="华文行楷" w:cs="等线"/>
                <w:color w:val="auto"/>
                <w:sz w:val="28"/>
                <w:szCs w:val="28"/>
                <w:highlight w:val="none"/>
              </w:rPr>
            </w:pPr>
            <w:r>
              <w:rPr>
                <w:rFonts w:hint="eastAsia" w:ascii="华文行楷" w:hAnsi="等线" w:eastAsia="华文行楷" w:cs="等线"/>
                <w:color w:val="auto"/>
                <w:sz w:val="28"/>
                <w:szCs w:val="28"/>
                <w:highlight w:val="none"/>
              </w:rPr>
              <w:t>1</w:t>
            </w:r>
          </w:p>
        </w:tc>
      </w:tr>
    </w:tbl>
    <w:p>
      <w:pPr>
        <w:spacing w:line="520" w:lineRule="exact"/>
        <w:ind w:firstLine="5040" w:firstLineChars="2100"/>
        <w:rPr>
          <w:rFonts w:ascii="宋体"/>
          <w:color w:val="auto"/>
          <w:sz w:val="24"/>
          <w:highlight w:val="none"/>
        </w:rPr>
      </w:pPr>
    </w:p>
    <w:p>
      <w:pPr>
        <w:spacing w:line="520" w:lineRule="exact"/>
        <w:ind w:firstLine="5040" w:firstLineChars="2100"/>
        <w:rPr>
          <w:rFonts w:ascii="宋体"/>
          <w:color w:val="auto"/>
          <w:sz w:val="24"/>
          <w:highlight w:val="none"/>
        </w:rPr>
      </w:pPr>
    </w:p>
    <w:p>
      <w:pPr>
        <w:spacing w:line="520" w:lineRule="exact"/>
        <w:ind w:firstLine="5040" w:firstLineChars="2100"/>
        <w:rPr>
          <w:rFonts w:ascii="宋体"/>
          <w:color w:val="auto"/>
          <w:sz w:val="24"/>
          <w:highlight w:val="none"/>
        </w:rPr>
      </w:pPr>
    </w:p>
    <w:p>
      <w:pPr>
        <w:spacing w:line="520" w:lineRule="exact"/>
        <w:ind w:firstLine="5040" w:firstLineChars="2100"/>
        <w:rPr>
          <w:rFonts w:ascii="宋体"/>
          <w:color w:val="auto"/>
          <w:sz w:val="24"/>
          <w:highlight w:val="none"/>
        </w:rPr>
      </w:pPr>
    </w:p>
    <w:p>
      <w:pPr>
        <w:spacing w:line="520" w:lineRule="exact"/>
        <w:ind w:firstLine="5180" w:firstLineChars="1850"/>
        <w:rPr>
          <w:rFonts w:ascii="宋体"/>
          <w:color w:val="auto"/>
          <w:sz w:val="28"/>
          <w:szCs w:val="28"/>
          <w:highlight w:val="none"/>
        </w:rPr>
      </w:pPr>
      <w:r>
        <w:rPr>
          <w:rFonts w:hint="eastAsia" w:ascii="宋体"/>
          <w:color w:val="auto"/>
          <w:sz w:val="28"/>
          <w:szCs w:val="28"/>
          <w:highlight w:val="none"/>
        </w:rPr>
        <w:t>投标人：（盖章）</w:t>
      </w:r>
    </w:p>
    <w:p>
      <w:pPr>
        <w:spacing w:line="520" w:lineRule="exact"/>
        <w:ind w:firstLine="5180" w:firstLineChars="1850"/>
        <w:rPr>
          <w:rFonts w:ascii="宋体"/>
          <w:color w:val="auto"/>
          <w:sz w:val="28"/>
          <w:szCs w:val="28"/>
          <w:highlight w:val="none"/>
        </w:rPr>
      </w:pPr>
      <w:r>
        <w:rPr>
          <w:rFonts w:hint="eastAsia" w:ascii="宋体"/>
          <w:color w:val="auto"/>
          <w:sz w:val="28"/>
          <w:szCs w:val="28"/>
          <w:highlight w:val="none"/>
        </w:rPr>
        <w:t>法定代表人或委托人：（签名）</w:t>
      </w:r>
    </w:p>
    <w:p>
      <w:pPr>
        <w:pStyle w:val="87"/>
        <w:spacing w:line="660" w:lineRule="exact"/>
        <w:ind w:firstLine="560"/>
        <w:jc w:val="right"/>
        <w:rPr>
          <w:rFonts w:ascii="宋体"/>
          <w:color w:val="auto"/>
          <w:szCs w:val="28"/>
          <w:highlight w:val="none"/>
        </w:rPr>
      </w:pPr>
      <w:bookmarkStart w:id="45" w:name="_Toc252979591"/>
      <w:r>
        <w:rPr>
          <w:rFonts w:hint="eastAsia" w:ascii="宋体"/>
          <w:color w:val="auto"/>
          <w:szCs w:val="28"/>
          <w:highlight w:val="none"/>
        </w:rPr>
        <w:t>日  期：年月日</w:t>
      </w:r>
    </w:p>
    <w:p>
      <w:pPr>
        <w:pStyle w:val="106"/>
        <w:spacing w:line="520" w:lineRule="exact"/>
        <w:ind w:firstLine="561"/>
        <w:rPr>
          <w:color w:val="auto"/>
          <w:sz w:val="28"/>
          <w:szCs w:val="28"/>
          <w:highlight w:val="none"/>
        </w:rPr>
      </w:pPr>
    </w:p>
    <w:p>
      <w:pPr>
        <w:pStyle w:val="106"/>
        <w:spacing w:line="520" w:lineRule="exact"/>
        <w:ind w:firstLine="561"/>
        <w:rPr>
          <w:color w:val="auto"/>
          <w:sz w:val="28"/>
          <w:szCs w:val="28"/>
          <w:highlight w:val="none"/>
        </w:rPr>
      </w:pPr>
    </w:p>
    <w:p>
      <w:pPr>
        <w:pStyle w:val="106"/>
        <w:spacing w:line="520" w:lineRule="exact"/>
        <w:ind w:firstLine="561"/>
        <w:rPr>
          <w:color w:val="auto"/>
          <w:sz w:val="28"/>
          <w:szCs w:val="28"/>
          <w:highlight w:val="none"/>
        </w:rPr>
      </w:pPr>
    </w:p>
    <w:p>
      <w:pPr>
        <w:pStyle w:val="4"/>
        <w:spacing w:before="0" w:after="0" w:line="600" w:lineRule="exact"/>
        <w:ind w:left="3486" w:hanging="3486" w:hangingChars="1240"/>
        <w:rPr>
          <w:rFonts w:ascii="宋体" w:hAnsi="宋体" w:eastAsia="宋体"/>
          <w:bCs w:val="0"/>
          <w:color w:val="auto"/>
          <w:sz w:val="28"/>
          <w:szCs w:val="28"/>
          <w:highlight w:val="none"/>
        </w:rPr>
      </w:pPr>
      <w:bookmarkStart w:id="46" w:name="_Toc487755833"/>
      <w:r>
        <w:rPr>
          <w:rFonts w:hint="eastAsia" w:ascii="宋体" w:hAnsi="宋体" w:eastAsia="宋体"/>
          <w:bCs w:val="0"/>
          <w:color w:val="auto"/>
          <w:sz w:val="28"/>
          <w:szCs w:val="28"/>
          <w:highlight w:val="none"/>
        </w:rPr>
        <w:t>投标格式</w:t>
      </w:r>
      <w:bookmarkEnd w:id="45"/>
      <w:r>
        <w:rPr>
          <w:rFonts w:hint="eastAsia" w:ascii="宋体" w:hAnsi="宋体" w:eastAsia="宋体"/>
          <w:bCs w:val="0"/>
          <w:color w:val="auto"/>
          <w:sz w:val="28"/>
          <w:szCs w:val="28"/>
          <w:highlight w:val="none"/>
        </w:rPr>
        <w:t>五</w:t>
      </w:r>
    </w:p>
    <w:p>
      <w:pPr>
        <w:ind w:firstLine="560"/>
        <w:rPr>
          <w:color w:val="auto"/>
          <w:highlight w:val="none"/>
        </w:rPr>
      </w:pPr>
    </w:p>
    <w:p>
      <w:pPr>
        <w:ind w:firstLine="560"/>
        <w:rPr>
          <w:color w:val="auto"/>
          <w:highlight w:val="none"/>
        </w:rPr>
      </w:pPr>
    </w:p>
    <w:p>
      <w:pPr>
        <w:ind w:firstLine="560"/>
        <w:rPr>
          <w:color w:val="auto"/>
          <w:highlight w:val="none"/>
        </w:rPr>
      </w:pPr>
    </w:p>
    <w:p>
      <w:pPr>
        <w:pStyle w:val="4"/>
        <w:spacing w:before="0" w:after="0" w:line="600" w:lineRule="exact"/>
        <w:ind w:left="3486" w:hanging="3486" w:hangingChars="1240"/>
        <w:rPr>
          <w:rFonts w:ascii="宋体" w:hAnsi="宋体" w:eastAsia="宋体"/>
          <w:bCs w:val="0"/>
          <w:color w:val="auto"/>
          <w:sz w:val="28"/>
          <w:szCs w:val="28"/>
          <w:highlight w:val="none"/>
        </w:rPr>
      </w:pPr>
      <w:r>
        <w:rPr>
          <w:rFonts w:hint="eastAsia" w:ascii="宋体" w:hAnsi="宋体" w:eastAsia="宋体"/>
          <w:bCs w:val="0"/>
          <w:color w:val="auto"/>
          <w:sz w:val="28"/>
          <w:szCs w:val="28"/>
          <w:highlight w:val="none"/>
        </w:rPr>
        <w:t>履 约 保 证 金 承 诺 书</w:t>
      </w:r>
      <w:bookmarkEnd w:id="46"/>
    </w:p>
    <w:p>
      <w:pPr>
        <w:pStyle w:val="106"/>
        <w:spacing w:line="520" w:lineRule="exact"/>
        <w:ind w:firstLine="601"/>
        <w:jc w:val="center"/>
        <w:rPr>
          <w:rFonts w:ascii="宋体"/>
          <w:color w:val="auto"/>
          <w:sz w:val="30"/>
          <w:szCs w:val="30"/>
          <w:highlight w:val="none"/>
        </w:rPr>
      </w:pPr>
    </w:p>
    <w:p>
      <w:pPr>
        <w:pStyle w:val="106"/>
        <w:spacing w:line="520" w:lineRule="exact"/>
        <w:ind w:firstLine="601"/>
        <w:jc w:val="center"/>
        <w:rPr>
          <w:rFonts w:ascii="宋体"/>
          <w:color w:val="auto"/>
          <w:sz w:val="30"/>
          <w:szCs w:val="30"/>
          <w:highlight w:val="none"/>
        </w:rPr>
      </w:pPr>
    </w:p>
    <w:p>
      <w:pPr>
        <w:pStyle w:val="106"/>
        <w:spacing w:line="560" w:lineRule="exact"/>
        <w:ind w:firstLine="561"/>
        <w:rPr>
          <w:rFonts w:ascii="宋体"/>
          <w:color w:val="auto"/>
          <w:sz w:val="28"/>
          <w:szCs w:val="28"/>
          <w:highlight w:val="none"/>
        </w:rPr>
      </w:pPr>
      <w:r>
        <w:rPr>
          <w:rFonts w:hint="eastAsia" w:ascii="宋体" w:hAnsi="宋体"/>
          <w:color w:val="auto"/>
          <w:sz w:val="28"/>
          <w:szCs w:val="28"/>
          <w:highlight w:val="none"/>
        </w:rPr>
        <w:t>致招标人：</w:t>
      </w:r>
      <w:r>
        <w:rPr>
          <w:rFonts w:hint="eastAsia" w:ascii="宋体" w:hAnsi="宋体"/>
          <w:b w:val="0"/>
          <w:color w:val="auto"/>
          <w:sz w:val="28"/>
          <w:szCs w:val="28"/>
          <w:highlight w:val="none"/>
          <w:u w:val="single"/>
        </w:rPr>
        <w:t>广东广垦华丰糖业有限公司</w:t>
      </w:r>
    </w:p>
    <w:p>
      <w:pPr>
        <w:pStyle w:val="106"/>
        <w:spacing w:line="560" w:lineRule="exact"/>
        <w:ind w:firstLine="567" w:firstLineChars="225"/>
        <w:rPr>
          <w:rFonts w:ascii="宋体"/>
          <w:b w:val="0"/>
          <w:color w:val="auto"/>
          <w:sz w:val="28"/>
          <w:szCs w:val="28"/>
          <w:highlight w:val="none"/>
          <w:u w:val="single"/>
        </w:rPr>
      </w:pPr>
      <w:r>
        <w:rPr>
          <w:rFonts w:hint="eastAsia" w:ascii="宋体"/>
          <w:b w:val="0"/>
          <w:color w:val="auto"/>
          <w:spacing w:val="-14"/>
          <w:sz w:val="28"/>
          <w:szCs w:val="28"/>
          <w:highlight w:val="none"/>
        </w:rPr>
        <w:t>为保证</w:t>
      </w:r>
      <w:r>
        <w:rPr>
          <w:rFonts w:hint="eastAsia" w:ascii="宋体"/>
          <w:b w:val="0"/>
          <w:color w:val="auto"/>
          <w:spacing w:val="-14"/>
          <w:sz w:val="28"/>
          <w:szCs w:val="28"/>
          <w:highlight w:val="none"/>
          <w:u w:val="single"/>
        </w:rPr>
        <w:t>　　　　　　　　　　　</w:t>
      </w:r>
      <w:r>
        <w:rPr>
          <w:rFonts w:hint="eastAsia" w:ascii="宋体"/>
          <w:b w:val="0"/>
          <w:color w:val="auto"/>
          <w:spacing w:val="-14"/>
          <w:sz w:val="28"/>
          <w:szCs w:val="28"/>
          <w:highlight w:val="none"/>
        </w:rPr>
        <w:t>建设工程施工顺利进行，我</w:t>
      </w:r>
      <w:r>
        <w:rPr>
          <w:rFonts w:hint="eastAsia" w:ascii="宋体"/>
          <w:b w:val="0"/>
          <w:color w:val="auto"/>
          <w:sz w:val="28"/>
          <w:szCs w:val="28"/>
          <w:highlight w:val="none"/>
        </w:rPr>
        <w:t>们</w:t>
      </w:r>
    </w:p>
    <w:p>
      <w:pPr>
        <w:pStyle w:val="106"/>
        <w:spacing w:line="560" w:lineRule="exact"/>
        <w:ind w:firstLine="560"/>
        <w:rPr>
          <w:rFonts w:ascii="宋体"/>
          <w:b w:val="0"/>
          <w:color w:val="auto"/>
          <w:sz w:val="28"/>
          <w:szCs w:val="28"/>
          <w:highlight w:val="none"/>
          <w:u w:val="single"/>
        </w:rPr>
      </w:pPr>
      <w:r>
        <w:rPr>
          <w:rFonts w:hint="eastAsia" w:ascii="宋体"/>
          <w:b w:val="0"/>
          <w:color w:val="auto"/>
          <w:sz w:val="28"/>
          <w:szCs w:val="28"/>
          <w:highlight w:val="none"/>
        </w:rPr>
        <w:t>（投标人名称）现作出如下承诺：</w:t>
      </w:r>
    </w:p>
    <w:p>
      <w:pPr>
        <w:pStyle w:val="106"/>
        <w:spacing w:line="560" w:lineRule="exact"/>
        <w:ind w:firstLine="560" w:firstLineChars="200"/>
        <w:rPr>
          <w:rFonts w:ascii="华文行楷" w:eastAsia="华文行楷"/>
          <w:b w:val="0"/>
          <w:color w:val="auto"/>
          <w:sz w:val="28"/>
          <w:szCs w:val="28"/>
          <w:highlight w:val="none"/>
        </w:rPr>
      </w:pPr>
      <w:r>
        <w:rPr>
          <w:rFonts w:hint="eastAsia" w:ascii="宋体"/>
          <w:b w:val="0"/>
          <w:color w:val="auto"/>
          <w:sz w:val="28"/>
          <w:szCs w:val="28"/>
          <w:highlight w:val="none"/>
        </w:rPr>
        <w:t>一、我们承诺为该工程项目提供施工</w:t>
      </w:r>
      <w:r>
        <w:rPr>
          <w:rFonts w:hint="eastAsia" w:ascii="华文行楷" w:eastAsia="华文行楷"/>
          <w:b w:val="0"/>
          <w:color w:val="auto"/>
          <w:sz w:val="28"/>
          <w:szCs w:val="28"/>
          <w:highlight w:val="none"/>
          <w:u w:val="single"/>
        </w:rPr>
        <w:t>合同总金额5%</w:t>
      </w:r>
      <w:r>
        <w:rPr>
          <w:rFonts w:hint="eastAsia" w:ascii="宋体"/>
          <w:b w:val="0"/>
          <w:color w:val="auto"/>
          <w:sz w:val="28"/>
          <w:szCs w:val="28"/>
          <w:highlight w:val="none"/>
        </w:rPr>
        <w:t>元人民币履约保证金，于贵方发出中标通知书确定我们为中标人后，按照招标文件规定办理有关手续将履约保证金转到招标人指定帐户。</w:t>
      </w:r>
    </w:p>
    <w:p>
      <w:pPr>
        <w:pStyle w:val="106"/>
        <w:spacing w:line="560" w:lineRule="exact"/>
        <w:ind w:firstLine="560" w:firstLineChars="200"/>
        <w:rPr>
          <w:rFonts w:ascii="宋体"/>
          <w:b w:val="0"/>
          <w:color w:val="auto"/>
          <w:sz w:val="28"/>
          <w:szCs w:val="28"/>
          <w:highlight w:val="none"/>
        </w:rPr>
      </w:pPr>
      <w:r>
        <w:rPr>
          <w:rFonts w:hint="eastAsia" w:ascii="宋体"/>
          <w:b w:val="0"/>
          <w:color w:val="auto"/>
          <w:sz w:val="28"/>
          <w:szCs w:val="28"/>
          <w:highlight w:val="none"/>
        </w:rPr>
        <w:t>二、我们承诺在该工程竣工验收通过前不得动用上述资金。</w:t>
      </w:r>
    </w:p>
    <w:p>
      <w:pPr>
        <w:pStyle w:val="106"/>
        <w:spacing w:line="560" w:lineRule="exact"/>
        <w:ind w:firstLine="560" w:firstLineChars="200"/>
        <w:rPr>
          <w:rFonts w:ascii="宋体"/>
          <w:b w:val="0"/>
          <w:color w:val="auto"/>
          <w:sz w:val="28"/>
          <w:szCs w:val="28"/>
          <w:highlight w:val="none"/>
        </w:rPr>
      </w:pPr>
      <w:r>
        <w:rPr>
          <w:rFonts w:hint="eastAsia" w:ascii="宋体"/>
          <w:b w:val="0"/>
          <w:color w:val="auto"/>
          <w:sz w:val="28"/>
          <w:szCs w:val="28"/>
          <w:highlight w:val="none"/>
        </w:rPr>
        <w:t>三、我们承诺在该工程施工合同履行过程中我方有违约行为时，贵方全权处置该履约保证金。</w:t>
      </w:r>
    </w:p>
    <w:p>
      <w:pPr>
        <w:pStyle w:val="106"/>
        <w:spacing w:line="560" w:lineRule="exact"/>
        <w:ind w:firstLine="560"/>
        <w:rPr>
          <w:rFonts w:ascii="宋体"/>
          <w:b w:val="0"/>
          <w:color w:val="auto"/>
          <w:sz w:val="28"/>
          <w:szCs w:val="28"/>
          <w:highlight w:val="none"/>
        </w:rPr>
      </w:pPr>
      <w:r>
        <w:rPr>
          <w:rFonts w:hint="eastAsia" w:ascii="宋体"/>
          <w:b w:val="0"/>
          <w:color w:val="auto"/>
          <w:sz w:val="28"/>
          <w:szCs w:val="28"/>
          <w:highlight w:val="none"/>
        </w:rPr>
        <w:t>四、我方同意若我方没有在招标书规定时间内完成有关手续将履约保证金转到贵方指定帐户或完成的有关手续不符合招标文件有关要求时，贵方有权取消我方中标资格而另行确定中标人。</w:t>
      </w:r>
    </w:p>
    <w:p>
      <w:pPr>
        <w:pStyle w:val="106"/>
        <w:spacing w:line="500" w:lineRule="exact"/>
        <w:ind w:firstLine="560"/>
        <w:rPr>
          <w:rFonts w:ascii="宋体"/>
          <w:b w:val="0"/>
          <w:color w:val="auto"/>
          <w:sz w:val="28"/>
          <w:szCs w:val="28"/>
          <w:highlight w:val="none"/>
        </w:rPr>
      </w:pPr>
    </w:p>
    <w:p>
      <w:pPr>
        <w:pStyle w:val="106"/>
        <w:spacing w:line="500" w:lineRule="exact"/>
        <w:ind w:firstLine="560"/>
        <w:rPr>
          <w:rFonts w:ascii="宋体"/>
          <w:b w:val="0"/>
          <w:color w:val="auto"/>
          <w:sz w:val="28"/>
          <w:szCs w:val="28"/>
          <w:highlight w:val="none"/>
        </w:rPr>
      </w:pPr>
    </w:p>
    <w:p>
      <w:pPr>
        <w:spacing w:line="700" w:lineRule="exact"/>
        <w:ind w:firstLine="4536" w:firstLineChars="1620"/>
        <w:rPr>
          <w:rFonts w:ascii="宋体"/>
          <w:color w:val="auto"/>
          <w:sz w:val="28"/>
          <w:szCs w:val="28"/>
          <w:highlight w:val="none"/>
        </w:rPr>
      </w:pPr>
      <w:r>
        <w:rPr>
          <w:rFonts w:hint="eastAsia" w:ascii="宋体"/>
          <w:color w:val="auto"/>
          <w:sz w:val="28"/>
          <w:szCs w:val="28"/>
          <w:highlight w:val="none"/>
        </w:rPr>
        <w:t>投标人：（盖章）</w:t>
      </w:r>
    </w:p>
    <w:p>
      <w:pPr>
        <w:spacing w:line="700" w:lineRule="exact"/>
        <w:ind w:firstLine="4480" w:firstLineChars="1600"/>
        <w:rPr>
          <w:rFonts w:ascii="宋体"/>
          <w:color w:val="auto"/>
          <w:sz w:val="28"/>
          <w:szCs w:val="28"/>
          <w:highlight w:val="none"/>
          <w:u w:val="single"/>
        </w:rPr>
      </w:pPr>
      <w:r>
        <w:rPr>
          <w:rFonts w:hint="eastAsia" w:ascii="宋体"/>
          <w:color w:val="auto"/>
          <w:sz w:val="28"/>
          <w:szCs w:val="28"/>
          <w:highlight w:val="none"/>
        </w:rPr>
        <w:t>法定代表人或委托人：（签名）</w:t>
      </w:r>
    </w:p>
    <w:p>
      <w:pPr>
        <w:pStyle w:val="106"/>
        <w:spacing w:line="700" w:lineRule="exact"/>
        <w:ind w:firstLine="4480" w:firstLineChars="1600"/>
        <w:rPr>
          <w:rFonts w:ascii="宋体"/>
          <w:b w:val="0"/>
          <w:color w:val="auto"/>
          <w:sz w:val="28"/>
          <w:szCs w:val="28"/>
          <w:highlight w:val="none"/>
        </w:rPr>
      </w:pPr>
      <w:r>
        <w:rPr>
          <w:rFonts w:hint="eastAsia" w:ascii="宋体"/>
          <w:b w:val="0"/>
          <w:color w:val="auto"/>
          <w:sz w:val="28"/>
          <w:szCs w:val="28"/>
          <w:highlight w:val="none"/>
        </w:rPr>
        <w:t>日  期：年月日</w:t>
      </w:r>
    </w:p>
    <w:p>
      <w:pPr>
        <w:spacing w:line="520" w:lineRule="exact"/>
        <w:jc w:val="center"/>
        <w:rPr>
          <w:rFonts w:ascii="宋体"/>
          <w:color w:val="auto"/>
          <w:sz w:val="28"/>
          <w:szCs w:val="28"/>
          <w:highlight w:val="none"/>
        </w:rPr>
      </w:pPr>
    </w:p>
    <w:p>
      <w:pPr>
        <w:pStyle w:val="106"/>
        <w:spacing w:line="340" w:lineRule="exact"/>
        <w:ind w:firstLine="641"/>
        <w:rPr>
          <w:color w:val="auto"/>
          <w:highlight w:val="none"/>
        </w:rPr>
      </w:pPr>
    </w:p>
    <w:p>
      <w:pPr>
        <w:pStyle w:val="4"/>
        <w:ind w:left="2698" w:hanging="2699" w:hangingChars="896"/>
        <w:rPr>
          <w:rFonts w:ascii="宋体" w:hAnsi="宋体" w:eastAsia="宋体"/>
          <w:color w:val="auto"/>
          <w:sz w:val="30"/>
          <w:szCs w:val="30"/>
          <w:highlight w:val="none"/>
        </w:rPr>
      </w:pPr>
      <w:bookmarkStart w:id="47" w:name="_Toc487755841"/>
      <w:bookmarkStart w:id="48" w:name="_Toc252979593"/>
      <w:r>
        <w:rPr>
          <w:rFonts w:hint="eastAsia" w:ascii="宋体" w:hAnsi="宋体" w:eastAsia="宋体"/>
          <w:color w:val="auto"/>
          <w:sz w:val="30"/>
          <w:szCs w:val="30"/>
          <w:highlight w:val="none"/>
        </w:rPr>
        <w:t>投标格式</w:t>
      </w:r>
      <w:bookmarkEnd w:id="47"/>
      <w:bookmarkEnd w:id="48"/>
      <w:r>
        <w:rPr>
          <w:rFonts w:hint="eastAsia" w:ascii="宋体" w:hAnsi="宋体" w:eastAsia="宋体"/>
          <w:color w:val="auto"/>
          <w:sz w:val="30"/>
          <w:szCs w:val="30"/>
          <w:highlight w:val="none"/>
        </w:rPr>
        <w:t xml:space="preserve">六  </w:t>
      </w:r>
    </w:p>
    <w:p>
      <w:pPr>
        <w:pStyle w:val="106"/>
        <w:spacing w:line="520" w:lineRule="exact"/>
        <w:ind w:firstLine="561"/>
        <w:rPr>
          <w:rFonts w:ascii="宋体"/>
          <w:color w:val="auto"/>
          <w:sz w:val="28"/>
          <w:szCs w:val="28"/>
          <w:highlight w:val="none"/>
          <w:u w:val="single"/>
        </w:rPr>
      </w:pPr>
    </w:p>
    <w:p>
      <w:pPr>
        <w:pStyle w:val="106"/>
        <w:spacing w:line="520" w:lineRule="exact"/>
        <w:ind w:firstLine="561"/>
        <w:rPr>
          <w:rFonts w:ascii="宋体"/>
          <w:color w:val="auto"/>
          <w:sz w:val="28"/>
          <w:szCs w:val="28"/>
          <w:highlight w:val="none"/>
          <w:u w:val="single"/>
        </w:rPr>
      </w:pPr>
    </w:p>
    <w:p>
      <w:pPr>
        <w:spacing w:line="520" w:lineRule="exact"/>
        <w:ind w:firstLine="880"/>
        <w:jc w:val="center"/>
        <w:rPr>
          <w:rFonts w:ascii="宋体"/>
          <w:b/>
          <w:bCs/>
          <w:color w:val="auto"/>
          <w:sz w:val="44"/>
          <w:szCs w:val="44"/>
          <w:highlight w:val="none"/>
        </w:rPr>
      </w:pPr>
      <w:r>
        <w:rPr>
          <w:rFonts w:hint="eastAsia" w:ascii="宋体"/>
          <w:b/>
          <w:bCs/>
          <w:color w:val="auto"/>
          <w:sz w:val="44"/>
          <w:szCs w:val="44"/>
          <w:highlight w:val="none"/>
        </w:rPr>
        <w:t>工程</w:t>
      </w:r>
    </w:p>
    <w:p>
      <w:pPr>
        <w:spacing w:line="520" w:lineRule="exact"/>
        <w:ind w:firstLine="880"/>
        <w:rPr>
          <w:rFonts w:ascii="宋体"/>
          <w:color w:val="auto"/>
          <w:sz w:val="44"/>
          <w:szCs w:val="44"/>
          <w:highlight w:val="none"/>
        </w:rPr>
      </w:pPr>
    </w:p>
    <w:p>
      <w:pPr>
        <w:spacing w:line="520" w:lineRule="exact"/>
        <w:ind w:firstLine="880"/>
        <w:rPr>
          <w:rFonts w:ascii="宋体"/>
          <w:color w:val="auto"/>
          <w:sz w:val="44"/>
          <w:szCs w:val="44"/>
          <w:highlight w:val="none"/>
        </w:rPr>
      </w:pPr>
    </w:p>
    <w:p>
      <w:pPr>
        <w:spacing w:line="520" w:lineRule="exact"/>
        <w:ind w:firstLine="880"/>
        <w:rPr>
          <w:rFonts w:ascii="宋体"/>
          <w:color w:val="auto"/>
          <w:sz w:val="44"/>
          <w:szCs w:val="44"/>
          <w:highlight w:val="none"/>
        </w:rPr>
      </w:pPr>
    </w:p>
    <w:p>
      <w:pPr>
        <w:pStyle w:val="108"/>
        <w:spacing w:line="520" w:lineRule="exact"/>
        <w:ind w:firstLine="881"/>
        <w:rPr>
          <w:rFonts w:ascii="宋体"/>
          <w:bCs/>
          <w:color w:val="auto"/>
          <w:szCs w:val="44"/>
          <w:highlight w:val="none"/>
        </w:rPr>
      </w:pPr>
      <w:r>
        <w:rPr>
          <w:rFonts w:hint="eastAsia" w:ascii="宋体"/>
          <w:bCs/>
          <w:color w:val="auto"/>
          <w:szCs w:val="44"/>
          <w:highlight w:val="none"/>
        </w:rPr>
        <w:t>工程量清单报价表</w:t>
      </w:r>
    </w:p>
    <w:p>
      <w:pPr>
        <w:spacing w:line="520" w:lineRule="exact"/>
        <w:ind w:firstLine="880"/>
        <w:rPr>
          <w:rFonts w:ascii="宋体"/>
          <w:color w:val="auto"/>
          <w:sz w:val="44"/>
          <w:szCs w:val="44"/>
          <w:highlight w:val="none"/>
        </w:rPr>
      </w:pPr>
    </w:p>
    <w:p>
      <w:pPr>
        <w:spacing w:line="520" w:lineRule="exact"/>
        <w:ind w:firstLine="880"/>
        <w:rPr>
          <w:rFonts w:ascii="宋体"/>
          <w:color w:val="auto"/>
          <w:sz w:val="44"/>
          <w:szCs w:val="44"/>
          <w:highlight w:val="none"/>
        </w:rPr>
      </w:pPr>
    </w:p>
    <w:p>
      <w:pPr>
        <w:spacing w:line="520" w:lineRule="exact"/>
        <w:rPr>
          <w:rFonts w:ascii="宋体"/>
          <w:color w:val="auto"/>
          <w:sz w:val="28"/>
          <w:szCs w:val="28"/>
          <w:highlight w:val="none"/>
        </w:rPr>
      </w:pPr>
    </w:p>
    <w:p>
      <w:pPr>
        <w:spacing w:line="520" w:lineRule="exact"/>
        <w:rPr>
          <w:rFonts w:ascii="宋体"/>
          <w:color w:val="auto"/>
          <w:sz w:val="28"/>
          <w:szCs w:val="28"/>
          <w:highlight w:val="none"/>
        </w:rPr>
      </w:pPr>
    </w:p>
    <w:p>
      <w:pPr>
        <w:spacing w:line="520" w:lineRule="exact"/>
        <w:rPr>
          <w:rFonts w:ascii="宋体"/>
          <w:color w:val="auto"/>
          <w:sz w:val="28"/>
          <w:szCs w:val="28"/>
          <w:highlight w:val="none"/>
        </w:rPr>
      </w:pPr>
    </w:p>
    <w:p>
      <w:pPr>
        <w:spacing w:line="520" w:lineRule="exact"/>
        <w:rPr>
          <w:rFonts w:ascii="宋体"/>
          <w:color w:val="auto"/>
          <w:sz w:val="28"/>
          <w:szCs w:val="28"/>
          <w:highlight w:val="none"/>
        </w:rPr>
      </w:pPr>
    </w:p>
    <w:p>
      <w:pPr>
        <w:spacing w:line="660" w:lineRule="exact"/>
        <w:ind w:firstLine="422" w:firstLineChars="150"/>
        <w:rPr>
          <w:rFonts w:ascii="宋体"/>
          <w:b/>
          <w:color w:val="auto"/>
          <w:sz w:val="28"/>
          <w:szCs w:val="28"/>
          <w:highlight w:val="none"/>
          <w:u w:val="single"/>
        </w:rPr>
      </w:pPr>
      <w:r>
        <w:rPr>
          <w:rFonts w:hint="eastAsia" w:ascii="宋体"/>
          <w:b/>
          <w:color w:val="auto"/>
          <w:sz w:val="28"/>
          <w:szCs w:val="28"/>
          <w:highlight w:val="none"/>
        </w:rPr>
        <w:t>投  标  人：（单位盖章）</w:t>
      </w:r>
    </w:p>
    <w:p>
      <w:pPr>
        <w:spacing w:line="660" w:lineRule="exact"/>
        <w:ind w:firstLine="561"/>
        <w:rPr>
          <w:rFonts w:ascii="宋体"/>
          <w:b/>
          <w:color w:val="auto"/>
          <w:sz w:val="28"/>
          <w:szCs w:val="28"/>
          <w:highlight w:val="none"/>
        </w:rPr>
      </w:pPr>
    </w:p>
    <w:p>
      <w:pPr>
        <w:spacing w:line="660" w:lineRule="exact"/>
        <w:ind w:firstLine="422" w:firstLineChars="150"/>
        <w:rPr>
          <w:rFonts w:ascii="宋体"/>
          <w:b/>
          <w:color w:val="auto"/>
          <w:sz w:val="28"/>
          <w:szCs w:val="28"/>
          <w:highlight w:val="none"/>
        </w:rPr>
      </w:pPr>
      <w:r>
        <w:rPr>
          <w:rFonts w:hint="eastAsia" w:ascii="宋体"/>
          <w:b/>
          <w:color w:val="auto"/>
          <w:sz w:val="28"/>
          <w:szCs w:val="28"/>
          <w:highlight w:val="none"/>
        </w:rPr>
        <w:t>法定代表人或委托人：（签名）</w:t>
      </w:r>
    </w:p>
    <w:p>
      <w:pPr>
        <w:spacing w:line="660" w:lineRule="exact"/>
        <w:ind w:firstLine="561"/>
        <w:rPr>
          <w:rFonts w:ascii="宋体"/>
          <w:b/>
          <w:color w:val="auto"/>
          <w:sz w:val="28"/>
          <w:szCs w:val="28"/>
          <w:highlight w:val="none"/>
        </w:rPr>
      </w:pPr>
    </w:p>
    <w:p>
      <w:pPr>
        <w:spacing w:line="660" w:lineRule="exact"/>
        <w:ind w:firstLine="422" w:firstLineChars="150"/>
        <w:rPr>
          <w:rFonts w:ascii="宋体"/>
          <w:color w:val="auto"/>
          <w:sz w:val="28"/>
          <w:szCs w:val="28"/>
          <w:highlight w:val="none"/>
        </w:rPr>
      </w:pPr>
      <w:r>
        <w:rPr>
          <w:rFonts w:hint="eastAsia" w:ascii="宋体"/>
          <w:b/>
          <w:color w:val="auto"/>
          <w:sz w:val="28"/>
          <w:szCs w:val="28"/>
          <w:highlight w:val="none"/>
        </w:rPr>
        <w:t>造价师：（签名）</w:t>
      </w:r>
    </w:p>
    <w:p>
      <w:pPr>
        <w:spacing w:line="660" w:lineRule="exact"/>
        <w:rPr>
          <w:rFonts w:ascii="宋体"/>
          <w:color w:val="auto"/>
          <w:sz w:val="28"/>
          <w:szCs w:val="28"/>
          <w:highlight w:val="none"/>
        </w:rPr>
      </w:pPr>
    </w:p>
    <w:p>
      <w:pPr>
        <w:spacing w:line="660" w:lineRule="exact"/>
        <w:ind w:firstLine="422" w:firstLineChars="150"/>
        <w:rPr>
          <w:rFonts w:ascii="宋体"/>
          <w:color w:val="auto"/>
          <w:sz w:val="28"/>
          <w:szCs w:val="28"/>
          <w:highlight w:val="none"/>
          <w:u w:val="single"/>
        </w:rPr>
      </w:pPr>
      <w:r>
        <w:rPr>
          <w:rFonts w:hint="eastAsia" w:ascii="宋体"/>
          <w:b/>
          <w:color w:val="auto"/>
          <w:sz w:val="28"/>
          <w:szCs w:val="28"/>
          <w:highlight w:val="none"/>
        </w:rPr>
        <w:t>编制时间：年月日</w:t>
      </w:r>
    </w:p>
    <w:p>
      <w:pPr>
        <w:pStyle w:val="4"/>
        <w:ind w:left="2698" w:hanging="2699" w:hangingChars="896"/>
        <w:rPr>
          <w:rFonts w:ascii="宋体" w:hAnsi="宋体" w:eastAsia="宋体"/>
          <w:color w:val="auto"/>
          <w:sz w:val="30"/>
          <w:szCs w:val="30"/>
          <w:highlight w:val="none"/>
        </w:rPr>
      </w:pPr>
      <w:bookmarkStart w:id="49" w:name="_Toc487755842"/>
      <w:bookmarkStart w:id="50" w:name="_Toc252979594"/>
      <w:r>
        <w:rPr>
          <w:rFonts w:hint="eastAsia" w:ascii="宋体" w:hAnsi="宋体" w:eastAsia="宋体"/>
          <w:color w:val="auto"/>
          <w:sz w:val="30"/>
          <w:szCs w:val="30"/>
          <w:highlight w:val="none"/>
        </w:rPr>
        <w:br w:type="page"/>
      </w:r>
      <w:r>
        <w:rPr>
          <w:rFonts w:hint="eastAsia" w:ascii="宋体" w:hAnsi="宋体" w:eastAsia="宋体"/>
          <w:color w:val="auto"/>
          <w:sz w:val="30"/>
          <w:szCs w:val="30"/>
          <w:highlight w:val="none"/>
        </w:rPr>
        <w:t>投标格式</w:t>
      </w:r>
      <w:bookmarkEnd w:id="49"/>
      <w:bookmarkEnd w:id="50"/>
      <w:r>
        <w:rPr>
          <w:rFonts w:hint="eastAsia" w:ascii="宋体" w:hAnsi="宋体" w:eastAsia="宋体"/>
          <w:color w:val="auto"/>
          <w:sz w:val="30"/>
          <w:szCs w:val="30"/>
          <w:highlight w:val="none"/>
        </w:rPr>
        <w:t xml:space="preserve">七  </w:t>
      </w:r>
    </w:p>
    <w:p>
      <w:pPr>
        <w:pStyle w:val="25"/>
        <w:spacing w:afterLines="50" w:line="440" w:lineRule="exact"/>
        <w:rPr>
          <w:bCs/>
          <w:color w:val="auto"/>
          <w:sz w:val="28"/>
          <w:szCs w:val="28"/>
          <w:highlight w:val="none"/>
        </w:rPr>
      </w:pPr>
    </w:p>
    <w:p>
      <w:pPr>
        <w:pStyle w:val="25"/>
        <w:spacing w:afterLines="50" w:line="520" w:lineRule="exact"/>
        <w:ind w:firstLine="881"/>
        <w:jc w:val="center"/>
        <w:rPr>
          <w:b/>
          <w:bCs/>
          <w:color w:val="auto"/>
          <w:sz w:val="44"/>
          <w:szCs w:val="44"/>
          <w:highlight w:val="none"/>
        </w:rPr>
      </w:pPr>
      <w:r>
        <w:rPr>
          <w:rFonts w:hint="eastAsia"/>
          <w:b/>
          <w:bCs/>
          <w:color w:val="auto"/>
          <w:sz w:val="44"/>
          <w:szCs w:val="44"/>
          <w:highlight w:val="none"/>
        </w:rPr>
        <w:t xml:space="preserve"> 投 标 总 价</w:t>
      </w:r>
    </w:p>
    <w:p>
      <w:pPr>
        <w:pStyle w:val="25"/>
        <w:spacing w:line="520" w:lineRule="exact"/>
        <w:jc w:val="center"/>
        <w:rPr>
          <w:color w:val="auto"/>
          <w:sz w:val="28"/>
          <w:szCs w:val="28"/>
          <w:highlight w:val="none"/>
        </w:rPr>
      </w:pPr>
    </w:p>
    <w:p>
      <w:pPr>
        <w:pStyle w:val="25"/>
        <w:spacing w:afterLines="50" w:line="520" w:lineRule="exact"/>
        <w:ind w:firstLine="560" w:firstLineChars="200"/>
        <w:rPr>
          <w:color w:val="auto"/>
          <w:sz w:val="28"/>
          <w:szCs w:val="28"/>
          <w:highlight w:val="none"/>
        </w:rPr>
      </w:pPr>
    </w:p>
    <w:p>
      <w:pPr>
        <w:pStyle w:val="25"/>
        <w:spacing w:afterLines="50" w:line="520" w:lineRule="exact"/>
        <w:ind w:firstLine="700" w:firstLineChars="249"/>
        <w:rPr>
          <w:b/>
          <w:color w:val="auto"/>
          <w:sz w:val="28"/>
          <w:szCs w:val="28"/>
          <w:highlight w:val="none"/>
        </w:rPr>
      </w:pPr>
      <w:r>
        <w:rPr>
          <w:rFonts w:hint="eastAsia"/>
          <w:b/>
          <w:color w:val="auto"/>
          <w:sz w:val="28"/>
          <w:szCs w:val="28"/>
          <w:highlight w:val="none"/>
        </w:rPr>
        <w:t>建设单位：</w:t>
      </w:r>
    </w:p>
    <w:p>
      <w:pPr>
        <w:pStyle w:val="25"/>
        <w:spacing w:afterLines="50" w:line="520" w:lineRule="exact"/>
        <w:ind w:firstLine="1968" w:firstLineChars="700"/>
        <w:rPr>
          <w:b/>
          <w:color w:val="auto"/>
          <w:sz w:val="28"/>
          <w:szCs w:val="28"/>
          <w:highlight w:val="none"/>
        </w:rPr>
      </w:pPr>
    </w:p>
    <w:p>
      <w:pPr>
        <w:pStyle w:val="25"/>
        <w:spacing w:afterLines="50" w:line="520" w:lineRule="exact"/>
        <w:ind w:firstLine="700" w:firstLineChars="249"/>
        <w:rPr>
          <w:b/>
          <w:color w:val="auto"/>
          <w:sz w:val="28"/>
          <w:szCs w:val="28"/>
          <w:highlight w:val="none"/>
          <w:u w:val="single"/>
        </w:rPr>
      </w:pPr>
      <w:r>
        <w:rPr>
          <w:rFonts w:hint="eastAsia"/>
          <w:b/>
          <w:color w:val="auto"/>
          <w:sz w:val="28"/>
          <w:szCs w:val="28"/>
          <w:highlight w:val="none"/>
        </w:rPr>
        <w:t>工程名称：</w:t>
      </w:r>
    </w:p>
    <w:p>
      <w:pPr>
        <w:pStyle w:val="25"/>
        <w:spacing w:afterLines="50" w:line="520" w:lineRule="exact"/>
        <w:ind w:firstLine="561"/>
        <w:rPr>
          <w:b/>
          <w:color w:val="auto"/>
          <w:sz w:val="28"/>
          <w:szCs w:val="28"/>
          <w:highlight w:val="none"/>
        </w:rPr>
      </w:pPr>
    </w:p>
    <w:p>
      <w:pPr>
        <w:pStyle w:val="25"/>
        <w:spacing w:afterLines="50" w:line="520" w:lineRule="exact"/>
        <w:ind w:firstLine="700" w:firstLineChars="249"/>
        <w:rPr>
          <w:b/>
          <w:color w:val="auto"/>
          <w:sz w:val="28"/>
          <w:szCs w:val="28"/>
          <w:highlight w:val="none"/>
          <w:u w:val="single"/>
        </w:rPr>
      </w:pPr>
      <w:r>
        <w:rPr>
          <w:rFonts w:hint="eastAsia"/>
          <w:b/>
          <w:color w:val="auto"/>
          <w:sz w:val="28"/>
          <w:szCs w:val="28"/>
          <w:highlight w:val="none"/>
        </w:rPr>
        <w:t>投标总价（小写）：</w:t>
      </w:r>
    </w:p>
    <w:p>
      <w:pPr>
        <w:pStyle w:val="25"/>
        <w:spacing w:afterLines="50" w:line="520" w:lineRule="exact"/>
        <w:ind w:firstLine="1687" w:firstLineChars="600"/>
        <w:rPr>
          <w:b/>
          <w:color w:val="auto"/>
          <w:sz w:val="28"/>
          <w:szCs w:val="28"/>
          <w:highlight w:val="none"/>
        </w:rPr>
      </w:pPr>
    </w:p>
    <w:p>
      <w:pPr>
        <w:pStyle w:val="25"/>
        <w:spacing w:afterLines="50" w:line="520" w:lineRule="exact"/>
        <w:ind w:firstLine="1827" w:firstLineChars="650"/>
        <w:rPr>
          <w:b/>
          <w:color w:val="auto"/>
          <w:sz w:val="28"/>
          <w:szCs w:val="28"/>
          <w:highlight w:val="none"/>
        </w:rPr>
      </w:pPr>
      <w:r>
        <w:rPr>
          <w:rFonts w:hint="eastAsia"/>
          <w:b/>
          <w:color w:val="auto"/>
          <w:sz w:val="28"/>
          <w:szCs w:val="28"/>
          <w:highlight w:val="none"/>
        </w:rPr>
        <w:t>（大写）：</w:t>
      </w:r>
    </w:p>
    <w:p>
      <w:pPr>
        <w:pStyle w:val="25"/>
        <w:spacing w:afterLines="50" w:line="600" w:lineRule="exact"/>
        <w:ind w:firstLine="562" w:firstLineChars="200"/>
        <w:rPr>
          <w:b/>
          <w:color w:val="auto"/>
          <w:sz w:val="28"/>
          <w:szCs w:val="28"/>
          <w:highlight w:val="none"/>
        </w:rPr>
      </w:pPr>
    </w:p>
    <w:p>
      <w:pPr>
        <w:pStyle w:val="25"/>
        <w:spacing w:afterLines="50" w:line="600" w:lineRule="exact"/>
        <w:ind w:firstLine="562" w:firstLineChars="200"/>
        <w:rPr>
          <w:b/>
          <w:color w:val="auto"/>
          <w:sz w:val="28"/>
          <w:szCs w:val="28"/>
          <w:highlight w:val="none"/>
        </w:rPr>
      </w:pPr>
    </w:p>
    <w:p>
      <w:pPr>
        <w:pStyle w:val="25"/>
        <w:spacing w:afterLines="50" w:line="500" w:lineRule="exact"/>
        <w:ind w:firstLine="697" w:firstLineChars="248"/>
        <w:rPr>
          <w:b/>
          <w:color w:val="auto"/>
          <w:sz w:val="28"/>
          <w:szCs w:val="28"/>
          <w:highlight w:val="none"/>
        </w:rPr>
      </w:pPr>
      <w:r>
        <w:rPr>
          <w:rFonts w:hint="eastAsia"/>
          <w:b/>
          <w:color w:val="auto"/>
          <w:sz w:val="28"/>
          <w:szCs w:val="28"/>
          <w:highlight w:val="none"/>
        </w:rPr>
        <w:t>投  标  人：（单位盖章）</w:t>
      </w:r>
    </w:p>
    <w:p>
      <w:pPr>
        <w:pStyle w:val="25"/>
        <w:spacing w:afterLines="50" w:line="500" w:lineRule="exact"/>
        <w:ind w:firstLine="281" w:firstLineChars="100"/>
        <w:rPr>
          <w:b/>
          <w:color w:val="auto"/>
          <w:sz w:val="28"/>
          <w:szCs w:val="28"/>
          <w:highlight w:val="none"/>
        </w:rPr>
      </w:pPr>
    </w:p>
    <w:p>
      <w:pPr>
        <w:pStyle w:val="25"/>
        <w:spacing w:afterLines="50" w:line="500" w:lineRule="exact"/>
        <w:ind w:firstLine="697" w:firstLineChars="248"/>
        <w:rPr>
          <w:b/>
          <w:color w:val="auto"/>
          <w:sz w:val="28"/>
          <w:szCs w:val="28"/>
          <w:highlight w:val="none"/>
        </w:rPr>
      </w:pPr>
      <w:r>
        <w:rPr>
          <w:rFonts w:hint="eastAsia"/>
          <w:b/>
          <w:color w:val="auto"/>
          <w:sz w:val="28"/>
          <w:szCs w:val="28"/>
          <w:highlight w:val="none"/>
        </w:rPr>
        <w:t>法定代表人或委托人：（签名）</w:t>
      </w:r>
    </w:p>
    <w:p>
      <w:pPr>
        <w:pStyle w:val="25"/>
        <w:spacing w:afterLines="50" w:line="500" w:lineRule="exact"/>
        <w:ind w:firstLine="281" w:firstLineChars="100"/>
        <w:rPr>
          <w:b/>
          <w:color w:val="auto"/>
          <w:sz w:val="28"/>
          <w:szCs w:val="28"/>
          <w:highlight w:val="none"/>
        </w:rPr>
      </w:pPr>
    </w:p>
    <w:p>
      <w:pPr>
        <w:pStyle w:val="25"/>
        <w:spacing w:afterLines="50" w:line="500" w:lineRule="exact"/>
        <w:ind w:firstLine="697" w:firstLineChars="248"/>
        <w:rPr>
          <w:b/>
          <w:color w:val="auto"/>
          <w:sz w:val="28"/>
          <w:szCs w:val="28"/>
          <w:highlight w:val="none"/>
        </w:rPr>
      </w:pPr>
      <w:r>
        <w:rPr>
          <w:rFonts w:hint="eastAsia"/>
          <w:b/>
          <w:color w:val="auto"/>
          <w:sz w:val="28"/>
          <w:szCs w:val="28"/>
          <w:highlight w:val="none"/>
        </w:rPr>
        <w:t>编制时间：年月日</w:t>
      </w:r>
    </w:p>
    <w:p>
      <w:pPr>
        <w:pStyle w:val="4"/>
        <w:spacing w:before="0" w:after="0" w:line="520" w:lineRule="exact"/>
        <w:ind w:firstLine="562"/>
        <w:rPr>
          <w:rFonts w:ascii="宋体" w:hAnsi="宋体" w:eastAsia="宋体"/>
          <w:color w:val="auto"/>
          <w:sz w:val="28"/>
          <w:szCs w:val="28"/>
          <w:highlight w:val="none"/>
        </w:rPr>
      </w:pPr>
      <w:bookmarkStart w:id="51" w:name="_Toc394394085"/>
      <w:bookmarkStart w:id="52" w:name="_Toc205170616"/>
      <w:bookmarkStart w:id="53" w:name="_Toc252979597"/>
    </w:p>
    <w:p>
      <w:pPr>
        <w:pStyle w:val="4"/>
        <w:spacing w:before="0" w:after="0" w:line="520" w:lineRule="exact"/>
        <w:ind w:firstLine="562"/>
        <w:rPr>
          <w:rFonts w:ascii="宋体" w:hAnsi="宋体" w:eastAsia="宋体"/>
          <w:color w:val="auto"/>
          <w:sz w:val="28"/>
          <w:szCs w:val="28"/>
          <w:highlight w:val="none"/>
        </w:rPr>
      </w:pPr>
      <w:bookmarkStart w:id="54" w:name="_Toc487755843"/>
      <w:r>
        <w:rPr>
          <w:rFonts w:ascii="宋体" w:hAnsi="宋体" w:eastAsia="宋体"/>
          <w:color w:val="auto"/>
          <w:sz w:val="28"/>
          <w:szCs w:val="28"/>
          <w:highlight w:val="none"/>
        </w:rPr>
        <w:br w:type="page"/>
      </w:r>
      <w:r>
        <w:rPr>
          <w:rFonts w:hint="eastAsia" w:ascii="宋体" w:hAnsi="宋体" w:eastAsia="宋体"/>
          <w:color w:val="auto"/>
          <w:sz w:val="28"/>
          <w:szCs w:val="28"/>
          <w:highlight w:val="none"/>
        </w:rPr>
        <w:t>附件1：技术文件（正本）封面</w:t>
      </w:r>
      <w:bookmarkEnd w:id="51"/>
      <w:bookmarkEnd w:id="54"/>
    </w:p>
    <w:p>
      <w:pPr>
        <w:spacing w:line="700" w:lineRule="exact"/>
        <w:ind w:firstLine="961"/>
        <w:jc w:val="center"/>
        <w:rPr>
          <w:rFonts w:ascii="宋体" w:hAnsi="宋体"/>
          <w:b/>
          <w:color w:val="auto"/>
          <w:sz w:val="48"/>
          <w:szCs w:val="48"/>
          <w:highlight w:val="none"/>
        </w:rPr>
      </w:pPr>
      <w:r>
        <w:rPr>
          <w:rFonts w:hint="eastAsia" w:ascii="宋体" w:hAnsi="宋体"/>
          <w:b/>
          <w:color w:val="auto"/>
          <w:sz w:val="48"/>
          <w:szCs w:val="48"/>
          <w:highlight w:val="none"/>
        </w:rPr>
        <w:t>2023年广东农垦糖蔗产业集群华丰公司压榨机改造及预处理系统配套工程项目施工投标</w:t>
      </w:r>
    </w:p>
    <w:p>
      <w:pPr>
        <w:spacing w:line="520" w:lineRule="exact"/>
        <w:ind w:firstLine="561"/>
        <w:jc w:val="center"/>
        <w:rPr>
          <w:rFonts w:ascii="宋体" w:hAnsi="宋体"/>
          <w:b/>
          <w:color w:val="auto"/>
          <w:sz w:val="28"/>
          <w:szCs w:val="28"/>
          <w:highlight w:val="none"/>
        </w:rPr>
      </w:pPr>
    </w:p>
    <w:p>
      <w:pPr>
        <w:spacing w:line="520" w:lineRule="exact"/>
        <w:ind w:firstLine="561"/>
        <w:jc w:val="center"/>
        <w:rPr>
          <w:rFonts w:ascii="宋体" w:hAnsi="宋体"/>
          <w:b/>
          <w:color w:val="auto"/>
          <w:sz w:val="28"/>
          <w:szCs w:val="2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技</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术</w:t>
      </w:r>
    </w:p>
    <w:p>
      <w:pPr>
        <w:spacing w:line="520" w:lineRule="exact"/>
        <w:ind w:firstLine="1225"/>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文</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件</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正</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本</w:t>
      </w:r>
    </w:p>
    <w:p>
      <w:pPr>
        <w:spacing w:line="500" w:lineRule="exact"/>
        <w:ind w:firstLine="561"/>
        <w:jc w:val="center"/>
        <w:rPr>
          <w:rFonts w:ascii="宋体" w:hAnsi="宋体"/>
          <w:b/>
          <w:color w:val="auto"/>
          <w:sz w:val="28"/>
          <w:szCs w:val="28"/>
          <w:highlight w:val="none"/>
        </w:rPr>
      </w:pPr>
    </w:p>
    <w:p>
      <w:pPr>
        <w:spacing w:line="500" w:lineRule="exact"/>
        <w:ind w:firstLine="561"/>
        <w:jc w:val="center"/>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投  标  人：（单位盖章）</w:t>
      </w:r>
    </w:p>
    <w:p>
      <w:pPr>
        <w:spacing w:line="520" w:lineRule="exact"/>
        <w:ind w:firstLine="561"/>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法定代表人或委托人 ：</w:t>
      </w:r>
      <w:r>
        <w:rPr>
          <w:rFonts w:hint="eastAsia" w:ascii="宋体" w:hAnsi="宋体"/>
          <w:b/>
          <w:color w:val="auto"/>
          <w:sz w:val="28"/>
          <w:szCs w:val="28"/>
          <w:highlight w:val="none"/>
          <w:u w:val="single"/>
        </w:rPr>
        <w:tab/>
      </w:r>
      <w:r>
        <w:rPr>
          <w:rFonts w:hint="eastAsia" w:ascii="宋体" w:hAnsi="宋体"/>
          <w:b/>
          <w:color w:val="auto"/>
          <w:sz w:val="28"/>
          <w:szCs w:val="28"/>
          <w:highlight w:val="none"/>
        </w:rPr>
        <w:t>（签名）</w:t>
      </w:r>
    </w:p>
    <w:p>
      <w:pPr>
        <w:spacing w:line="520" w:lineRule="exact"/>
        <w:ind w:left="838" w:firstLine="561"/>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 xml:space="preserve">日  期 ： </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年</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月 日</w:t>
      </w:r>
    </w:p>
    <w:p>
      <w:pPr>
        <w:spacing w:line="500" w:lineRule="exact"/>
        <w:ind w:firstLine="561"/>
        <w:jc w:val="center"/>
        <w:rPr>
          <w:rFonts w:ascii="宋体" w:hAnsi="宋体"/>
          <w:b/>
          <w:color w:val="auto"/>
          <w:sz w:val="28"/>
          <w:szCs w:val="28"/>
          <w:highlight w:val="none"/>
        </w:rPr>
      </w:pPr>
    </w:p>
    <w:p>
      <w:pPr>
        <w:pStyle w:val="4"/>
        <w:spacing w:before="0" w:after="0" w:line="520" w:lineRule="exact"/>
        <w:ind w:firstLine="562"/>
        <w:rPr>
          <w:rFonts w:ascii="宋体" w:hAnsi="宋体" w:eastAsia="宋体"/>
          <w:color w:val="auto"/>
          <w:sz w:val="28"/>
          <w:szCs w:val="28"/>
          <w:highlight w:val="none"/>
        </w:rPr>
      </w:pPr>
      <w:bookmarkStart w:id="55" w:name="_Toc487755844"/>
      <w:bookmarkStart w:id="56" w:name="_Toc394394086"/>
      <w:r>
        <w:rPr>
          <w:rFonts w:ascii="宋体" w:hAnsi="宋体" w:eastAsia="宋体"/>
          <w:color w:val="auto"/>
          <w:sz w:val="28"/>
          <w:szCs w:val="28"/>
          <w:highlight w:val="none"/>
        </w:rPr>
        <w:br w:type="page"/>
      </w:r>
      <w:bookmarkEnd w:id="52"/>
      <w:bookmarkEnd w:id="53"/>
      <w:bookmarkEnd w:id="55"/>
      <w:bookmarkEnd w:id="56"/>
      <w:bookmarkStart w:id="57" w:name="_Hlt251227299"/>
      <w:bookmarkEnd w:id="57"/>
      <w:bookmarkStart w:id="58" w:name="_Hlt251225430"/>
      <w:bookmarkEnd w:id="58"/>
      <w:r>
        <w:rPr>
          <w:rFonts w:hint="eastAsia" w:ascii="宋体" w:hAnsi="宋体" w:eastAsia="宋体"/>
          <w:color w:val="auto"/>
          <w:sz w:val="28"/>
          <w:szCs w:val="28"/>
          <w:highlight w:val="none"/>
        </w:rPr>
        <w:t>附件2：技术文件（副本）封面</w:t>
      </w:r>
    </w:p>
    <w:p>
      <w:pPr>
        <w:spacing w:line="700" w:lineRule="exact"/>
        <w:ind w:firstLine="961"/>
        <w:jc w:val="center"/>
        <w:rPr>
          <w:rFonts w:ascii="宋体" w:hAnsi="宋体"/>
          <w:b/>
          <w:color w:val="auto"/>
          <w:sz w:val="48"/>
          <w:szCs w:val="48"/>
          <w:highlight w:val="none"/>
        </w:rPr>
      </w:pPr>
      <w:r>
        <w:rPr>
          <w:rFonts w:hint="eastAsia" w:ascii="宋体" w:hAnsi="宋体"/>
          <w:b/>
          <w:color w:val="auto"/>
          <w:sz w:val="48"/>
          <w:szCs w:val="48"/>
          <w:highlight w:val="none"/>
        </w:rPr>
        <w:t>2023年广东农垦糖蔗产业集群华丰公司压榨机改造及预处理系统配套工程项目施工投标</w:t>
      </w:r>
    </w:p>
    <w:p>
      <w:pPr>
        <w:spacing w:line="520" w:lineRule="exact"/>
        <w:ind w:firstLine="561"/>
        <w:jc w:val="center"/>
        <w:rPr>
          <w:rFonts w:ascii="宋体" w:hAnsi="宋体"/>
          <w:b/>
          <w:color w:val="auto"/>
          <w:sz w:val="28"/>
          <w:szCs w:val="28"/>
          <w:highlight w:val="none"/>
        </w:rPr>
      </w:pPr>
    </w:p>
    <w:p>
      <w:pPr>
        <w:spacing w:line="520" w:lineRule="exact"/>
        <w:ind w:firstLine="561"/>
        <w:jc w:val="center"/>
        <w:rPr>
          <w:rFonts w:ascii="宋体" w:hAnsi="宋体"/>
          <w:b/>
          <w:color w:val="auto"/>
          <w:sz w:val="28"/>
          <w:szCs w:val="2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技</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术</w:t>
      </w:r>
    </w:p>
    <w:p>
      <w:pPr>
        <w:spacing w:line="520" w:lineRule="exact"/>
        <w:ind w:firstLine="1225"/>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文</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件</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副</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本</w:t>
      </w:r>
    </w:p>
    <w:p>
      <w:pPr>
        <w:spacing w:line="500" w:lineRule="exact"/>
        <w:ind w:firstLine="561"/>
        <w:jc w:val="center"/>
        <w:rPr>
          <w:rFonts w:ascii="宋体" w:hAnsi="宋体"/>
          <w:b/>
          <w:color w:val="auto"/>
          <w:sz w:val="28"/>
          <w:szCs w:val="28"/>
          <w:highlight w:val="none"/>
        </w:rPr>
      </w:pPr>
    </w:p>
    <w:p>
      <w:pPr>
        <w:spacing w:line="500" w:lineRule="exact"/>
        <w:ind w:firstLine="561"/>
        <w:jc w:val="center"/>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投  标  人：（单位盖章）</w:t>
      </w:r>
    </w:p>
    <w:p>
      <w:pPr>
        <w:spacing w:line="520" w:lineRule="exact"/>
        <w:ind w:firstLine="561"/>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法定代表人或委托人 ：</w:t>
      </w:r>
      <w:r>
        <w:rPr>
          <w:rFonts w:hint="eastAsia" w:ascii="宋体" w:hAnsi="宋体"/>
          <w:b/>
          <w:color w:val="auto"/>
          <w:sz w:val="28"/>
          <w:szCs w:val="28"/>
          <w:highlight w:val="none"/>
          <w:u w:val="single"/>
        </w:rPr>
        <w:tab/>
      </w:r>
      <w:r>
        <w:rPr>
          <w:rFonts w:hint="eastAsia" w:ascii="宋体" w:hAnsi="宋体"/>
          <w:b/>
          <w:color w:val="auto"/>
          <w:sz w:val="28"/>
          <w:szCs w:val="28"/>
          <w:highlight w:val="none"/>
        </w:rPr>
        <w:t>（签名）</w:t>
      </w:r>
    </w:p>
    <w:p>
      <w:pPr>
        <w:spacing w:line="520" w:lineRule="exact"/>
        <w:ind w:left="838" w:firstLine="561"/>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 xml:space="preserve">日  期 ： </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年</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月 日</w:t>
      </w:r>
    </w:p>
    <w:p>
      <w:pPr>
        <w:pStyle w:val="4"/>
        <w:spacing w:before="0" w:after="0" w:line="520" w:lineRule="exact"/>
        <w:rPr>
          <w:rFonts w:ascii="宋体" w:hAnsi="宋体" w:eastAsia="宋体"/>
          <w:color w:val="auto"/>
          <w:sz w:val="28"/>
          <w:szCs w:val="28"/>
          <w:highlight w:val="none"/>
        </w:rPr>
      </w:pPr>
      <w:r>
        <w:rPr>
          <w:rFonts w:ascii="宋体" w:hAnsi="宋体"/>
          <w:b w:val="0"/>
          <w:color w:val="auto"/>
          <w:sz w:val="28"/>
          <w:szCs w:val="28"/>
          <w:highlight w:val="none"/>
        </w:rPr>
        <w:br w:type="page"/>
      </w:r>
      <w:bookmarkStart w:id="59" w:name="_Toc23396"/>
      <w:bookmarkStart w:id="60" w:name="_Toc32489"/>
      <w:bookmarkStart w:id="61" w:name="_Toc5012"/>
      <w:bookmarkStart w:id="62" w:name="_Toc28656"/>
      <w:bookmarkStart w:id="63" w:name="_Toc438028566"/>
      <w:r>
        <w:rPr>
          <w:rFonts w:hint="eastAsia" w:ascii="宋体" w:hAnsi="宋体" w:eastAsia="宋体"/>
          <w:color w:val="auto"/>
          <w:sz w:val="28"/>
          <w:szCs w:val="28"/>
          <w:highlight w:val="none"/>
        </w:rPr>
        <w:t>附件3：商务文件（正本）封面</w:t>
      </w:r>
    </w:p>
    <w:p>
      <w:pPr>
        <w:spacing w:line="700" w:lineRule="exact"/>
        <w:ind w:firstLine="961"/>
        <w:jc w:val="center"/>
        <w:rPr>
          <w:rFonts w:ascii="宋体" w:hAnsi="宋体"/>
          <w:b/>
          <w:color w:val="auto"/>
          <w:sz w:val="48"/>
          <w:szCs w:val="48"/>
          <w:highlight w:val="none"/>
        </w:rPr>
      </w:pPr>
      <w:r>
        <w:rPr>
          <w:rFonts w:hint="eastAsia" w:ascii="宋体" w:hAnsi="宋体"/>
          <w:b/>
          <w:color w:val="auto"/>
          <w:sz w:val="48"/>
          <w:szCs w:val="48"/>
          <w:highlight w:val="none"/>
        </w:rPr>
        <w:t>2023年广东农垦糖蔗产业集群华丰公司压榨机改造及预处理系统配套工程项目施工投标</w:t>
      </w:r>
    </w:p>
    <w:p>
      <w:pPr>
        <w:spacing w:line="520" w:lineRule="exact"/>
        <w:ind w:firstLine="561"/>
        <w:jc w:val="center"/>
        <w:rPr>
          <w:rFonts w:ascii="宋体" w:hAnsi="宋体"/>
          <w:b/>
          <w:color w:val="auto"/>
          <w:sz w:val="28"/>
          <w:szCs w:val="28"/>
          <w:highlight w:val="none"/>
        </w:rPr>
      </w:pPr>
    </w:p>
    <w:p>
      <w:pPr>
        <w:spacing w:line="520" w:lineRule="exact"/>
        <w:ind w:firstLine="561"/>
        <w:jc w:val="center"/>
        <w:rPr>
          <w:rFonts w:ascii="宋体" w:hAnsi="宋体"/>
          <w:b/>
          <w:color w:val="auto"/>
          <w:sz w:val="28"/>
          <w:szCs w:val="2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商</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务</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文</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件</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正</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本</w:t>
      </w:r>
    </w:p>
    <w:p>
      <w:pPr>
        <w:spacing w:line="500" w:lineRule="exact"/>
        <w:ind w:firstLine="561"/>
        <w:jc w:val="center"/>
        <w:rPr>
          <w:rFonts w:ascii="宋体" w:hAnsi="宋体"/>
          <w:b/>
          <w:color w:val="auto"/>
          <w:sz w:val="28"/>
          <w:szCs w:val="28"/>
          <w:highlight w:val="none"/>
        </w:rPr>
      </w:pPr>
    </w:p>
    <w:p>
      <w:pPr>
        <w:spacing w:line="500" w:lineRule="exact"/>
        <w:ind w:firstLine="561"/>
        <w:jc w:val="center"/>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投  标  人：（单位盖章）</w:t>
      </w:r>
    </w:p>
    <w:p>
      <w:pPr>
        <w:spacing w:line="520" w:lineRule="exact"/>
        <w:ind w:firstLine="561"/>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法定代表人或委托人 ：</w:t>
      </w:r>
      <w:r>
        <w:rPr>
          <w:rFonts w:hint="eastAsia" w:ascii="宋体" w:hAnsi="宋体"/>
          <w:b/>
          <w:color w:val="auto"/>
          <w:sz w:val="28"/>
          <w:szCs w:val="28"/>
          <w:highlight w:val="none"/>
          <w:u w:val="single"/>
        </w:rPr>
        <w:tab/>
      </w:r>
      <w:r>
        <w:rPr>
          <w:rFonts w:hint="eastAsia" w:ascii="宋体" w:hAnsi="宋体"/>
          <w:b/>
          <w:color w:val="auto"/>
          <w:sz w:val="28"/>
          <w:szCs w:val="28"/>
          <w:highlight w:val="none"/>
        </w:rPr>
        <w:t>（签名）</w:t>
      </w:r>
    </w:p>
    <w:p>
      <w:pPr>
        <w:spacing w:line="520" w:lineRule="exact"/>
        <w:ind w:left="838" w:firstLine="561"/>
        <w:rPr>
          <w:rFonts w:ascii="宋体" w:hAnsi="宋体"/>
          <w:b/>
          <w:color w:val="auto"/>
          <w:sz w:val="28"/>
          <w:szCs w:val="28"/>
          <w:highlight w:val="none"/>
        </w:rPr>
      </w:pPr>
    </w:p>
    <w:p>
      <w:pPr>
        <w:autoSpaceDE w:val="0"/>
        <w:autoSpaceDN w:val="0"/>
        <w:spacing w:line="520" w:lineRule="exact"/>
        <w:ind w:firstLine="281" w:firstLineChars="100"/>
        <w:rPr>
          <w:rFonts w:ascii="宋体" w:hAnsi="宋体"/>
          <w:b/>
          <w:color w:val="auto"/>
          <w:sz w:val="28"/>
          <w:szCs w:val="28"/>
          <w:highlight w:val="none"/>
        </w:rPr>
      </w:pPr>
      <w:r>
        <w:rPr>
          <w:rFonts w:hint="eastAsia" w:ascii="宋体" w:hAnsi="宋体"/>
          <w:b/>
          <w:color w:val="auto"/>
          <w:sz w:val="28"/>
          <w:szCs w:val="28"/>
          <w:highlight w:val="none"/>
        </w:rPr>
        <w:t xml:space="preserve">日  期 ： </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年</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月 日</w:t>
      </w:r>
    </w:p>
    <w:p>
      <w:pPr>
        <w:pStyle w:val="4"/>
        <w:spacing w:before="0" w:after="0" w:line="520" w:lineRule="exact"/>
        <w:ind w:firstLine="562"/>
        <w:rPr>
          <w:rFonts w:ascii="宋体" w:hAnsi="宋体" w:eastAsia="宋体"/>
          <w:color w:val="auto"/>
          <w:sz w:val="28"/>
          <w:szCs w:val="28"/>
          <w:highlight w:val="none"/>
        </w:rPr>
      </w:pPr>
      <w:r>
        <w:rPr>
          <w:rFonts w:hint="eastAsia" w:ascii="宋体" w:hAnsi="宋体"/>
          <w:color w:val="auto"/>
          <w:sz w:val="28"/>
          <w:szCs w:val="28"/>
          <w:highlight w:val="none"/>
        </w:rPr>
        <w:br w:type="page"/>
      </w:r>
      <w:r>
        <w:rPr>
          <w:rFonts w:hint="eastAsia" w:ascii="宋体" w:hAnsi="宋体" w:eastAsia="宋体"/>
          <w:color w:val="auto"/>
          <w:sz w:val="28"/>
          <w:szCs w:val="28"/>
          <w:highlight w:val="none"/>
        </w:rPr>
        <w:t>附件4：商务文件（副本）封面</w:t>
      </w:r>
    </w:p>
    <w:p>
      <w:pPr>
        <w:spacing w:line="700" w:lineRule="exact"/>
        <w:ind w:firstLine="961"/>
        <w:jc w:val="center"/>
        <w:rPr>
          <w:rFonts w:ascii="宋体" w:hAnsi="宋体"/>
          <w:b/>
          <w:color w:val="auto"/>
          <w:sz w:val="48"/>
          <w:szCs w:val="48"/>
          <w:highlight w:val="none"/>
        </w:rPr>
      </w:pPr>
      <w:r>
        <w:rPr>
          <w:rFonts w:hint="eastAsia" w:ascii="宋体" w:hAnsi="宋体"/>
          <w:b/>
          <w:color w:val="auto"/>
          <w:sz w:val="48"/>
          <w:szCs w:val="48"/>
          <w:highlight w:val="none"/>
        </w:rPr>
        <w:t>2023年广东农垦糖蔗产业集群华丰公司压榨机改造及预处理系统配套工程项目施工投标</w:t>
      </w:r>
    </w:p>
    <w:p>
      <w:pPr>
        <w:spacing w:line="520" w:lineRule="exact"/>
        <w:ind w:firstLine="561"/>
        <w:jc w:val="center"/>
        <w:rPr>
          <w:rFonts w:ascii="宋体" w:hAnsi="宋体"/>
          <w:b/>
          <w:color w:val="auto"/>
          <w:sz w:val="28"/>
          <w:szCs w:val="28"/>
          <w:highlight w:val="none"/>
        </w:rPr>
      </w:pPr>
    </w:p>
    <w:p>
      <w:pPr>
        <w:spacing w:line="520" w:lineRule="exact"/>
        <w:ind w:firstLine="561"/>
        <w:jc w:val="center"/>
        <w:rPr>
          <w:rFonts w:ascii="宋体" w:hAnsi="宋体"/>
          <w:b/>
          <w:color w:val="auto"/>
          <w:sz w:val="28"/>
          <w:szCs w:val="2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商</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务</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文</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件</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副</w:t>
      </w:r>
    </w:p>
    <w:p>
      <w:pPr>
        <w:spacing w:line="520" w:lineRule="exact"/>
        <w:ind w:firstLine="1225"/>
        <w:jc w:val="center"/>
        <w:rPr>
          <w:rFonts w:ascii="宋体" w:hAnsi="宋体"/>
          <w:b/>
          <w:color w:val="auto"/>
          <w:spacing w:val="66"/>
          <w:sz w:val="48"/>
          <w:szCs w:val="48"/>
          <w:highlight w:val="none"/>
        </w:rPr>
      </w:pPr>
    </w:p>
    <w:p>
      <w:pPr>
        <w:spacing w:line="520" w:lineRule="exact"/>
        <w:ind w:firstLine="1225"/>
        <w:jc w:val="center"/>
        <w:rPr>
          <w:rFonts w:ascii="宋体" w:hAnsi="宋体"/>
          <w:b/>
          <w:color w:val="auto"/>
          <w:spacing w:val="66"/>
          <w:sz w:val="48"/>
          <w:szCs w:val="48"/>
          <w:highlight w:val="none"/>
        </w:rPr>
      </w:pPr>
      <w:r>
        <w:rPr>
          <w:rFonts w:hint="eastAsia" w:ascii="宋体" w:hAnsi="宋体"/>
          <w:b/>
          <w:color w:val="auto"/>
          <w:spacing w:val="66"/>
          <w:sz w:val="48"/>
          <w:szCs w:val="48"/>
          <w:highlight w:val="none"/>
        </w:rPr>
        <w:t>本</w:t>
      </w:r>
    </w:p>
    <w:p>
      <w:pPr>
        <w:spacing w:line="500" w:lineRule="exact"/>
        <w:ind w:firstLine="561"/>
        <w:jc w:val="center"/>
        <w:rPr>
          <w:rFonts w:ascii="宋体" w:hAnsi="宋体"/>
          <w:b/>
          <w:color w:val="auto"/>
          <w:sz w:val="28"/>
          <w:szCs w:val="28"/>
          <w:highlight w:val="none"/>
        </w:rPr>
      </w:pPr>
    </w:p>
    <w:p>
      <w:pPr>
        <w:spacing w:line="500" w:lineRule="exact"/>
        <w:ind w:firstLine="561"/>
        <w:jc w:val="center"/>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投  标  人：（单位盖章）</w:t>
      </w:r>
    </w:p>
    <w:p>
      <w:pPr>
        <w:spacing w:line="520" w:lineRule="exact"/>
        <w:ind w:firstLine="561"/>
        <w:rPr>
          <w:rFonts w:ascii="宋体" w:hAnsi="宋体"/>
          <w:b/>
          <w:color w:val="auto"/>
          <w:sz w:val="28"/>
          <w:szCs w:val="28"/>
          <w:highlight w:val="none"/>
        </w:rPr>
      </w:pPr>
    </w:p>
    <w:p>
      <w:pPr>
        <w:spacing w:line="520" w:lineRule="exact"/>
        <w:ind w:firstLine="275" w:firstLineChars="98"/>
        <w:rPr>
          <w:rFonts w:ascii="宋体" w:hAnsi="宋体"/>
          <w:b/>
          <w:color w:val="auto"/>
          <w:sz w:val="28"/>
          <w:szCs w:val="28"/>
          <w:highlight w:val="none"/>
        </w:rPr>
      </w:pPr>
      <w:r>
        <w:rPr>
          <w:rFonts w:hint="eastAsia" w:ascii="宋体" w:hAnsi="宋体"/>
          <w:b/>
          <w:color w:val="auto"/>
          <w:sz w:val="28"/>
          <w:szCs w:val="28"/>
          <w:highlight w:val="none"/>
        </w:rPr>
        <w:t>法定代表人或委托人 ：</w:t>
      </w:r>
      <w:r>
        <w:rPr>
          <w:rFonts w:hint="eastAsia" w:ascii="宋体" w:hAnsi="宋体"/>
          <w:b/>
          <w:color w:val="auto"/>
          <w:sz w:val="28"/>
          <w:szCs w:val="28"/>
          <w:highlight w:val="none"/>
          <w:u w:val="single"/>
        </w:rPr>
        <w:tab/>
      </w:r>
      <w:r>
        <w:rPr>
          <w:rFonts w:hint="eastAsia" w:ascii="宋体" w:hAnsi="宋体"/>
          <w:b/>
          <w:color w:val="auto"/>
          <w:sz w:val="28"/>
          <w:szCs w:val="28"/>
          <w:highlight w:val="none"/>
        </w:rPr>
        <w:t>（签名）</w:t>
      </w:r>
    </w:p>
    <w:p>
      <w:pPr>
        <w:spacing w:line="520" w:lineRule="exact"/>
        <w:ind w:left="838" w:firstLine="561"/>
        <w:rPr>
          <w:rFonts w:ascii="宋体" w:hAnsi="宋体"/>
          <w:b/>
          <w:color w:val="auto"/>
          <w:sz w:val="28"/>
          <w:szCs w:val="28"/>
          <w:highlight w:val="none"/>
        </w:rPr>
      </w:pPr>
    </w:p>
    <w:p>
      <w:pPr>
        <w:autoSpaceDE w:val="0"/>
        <w:autoSpaceDN w:val="0"/>
        <w:spacing w:line="520" w:lineRule="exact"/>
        <w:ind w:firstLine="281" w:firstLineChars="100"/>
        <w:rPr>
          <w:rFonts w:ascii="宋体" w:hAnsi="宋体"/>
          <w:b/>
          <w:color w:val="auto"/>
          <w:sz w:val="28"/>
          <w:szCs w:val="28"/>
          <w:highlight w:val="none"/>
        </w:rPr>
      </w:pPr>
      <w:r>
        <w:rPr>
          <w:rFonts w:hint="eastAsia" w:ascii="宋体" w:hAnsi="宋体"/>
          <w:b/>
          <w:color w:val="auto"/>
          <w:sz w:val="28"/>
          <w:szCs w:val="28"/>
          <w:highlight w:val="none"/>
        </w:rPr>
        <w:t xml:space="preserve">日  期 ： </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年</w:t>
      </w:r>
      <w:r>
        <w:rPr>
          <w:rFonts w:hint="eastAsia" w:ascii="宋体" w:hAnsi="宋体"/>
          <w:b/>
          <w:color w:val="auto"/>
          <w:sz w:val="28"/>
          <w:szCs w:val="28"/>
          <w:highlight w:val="none"/>
          <w:u w:val="single"/>
        </w:rPr>
        <w:tab/>
      </w:r>
      <w:r>
        <w:rPr>
          <w:rFonts w:hint="eastAsia" w:ascii="宋体" w:hAnsi="宋体"/>
          <w:b/>
          <w:color w:val="auto"/>
          <w:sz w:val="28"/>
          <w:szCs w:val="28"/>
          <w:highlight w:val="none"/>
        </w:rPr>
        <w:t xml:space="preserve"> 月 日</w:t>
      </w:r>
    </w:p>
    <w:p>
      <w:pPr>
        <w:autoSpaceDE w:val="0"/>
        <w:autoSpaceDN w:val="0"/>
        <w:spacing w:line="520" w:lineRule="exact"/>
        <w:ind w:firstLine="601"/>
        <w:rPr>
          <w:rFonts w:ascii="宋体" w:hAnsi="宋体"/>
          <w:color w:val="auto"/>
          <w:sz w:val="30"/>
          <w:szCs w:val="30"/>
          <w:highlight w:val="none"/>
        </w:rPr>
      </w:pPr>
      <w:r>
        <w:rPr>
          <w:rFonts w:hint="eastAsia" w:ascii="宋体" w:hAnsi="宋体"/>
          <w:b/>
          <w:bCs/>
          <w:color w:val="auto"/>
          <w:sz w:val="30"/>
          <w:szCs w:val="30"/>
          <w:highlight w:val="none"/>
        </w:rPr>
        <w:br w:type="page"/>
      </w:r>
      <w:r>
        <w:rPr>
          <w:rFonts w:hint="eastAsia" w:ascii="宋体" w:hAnsi="宋体"/>
          <w:b/>
          <w:bCs/>
          <w:color w:val="auto"/>
          <w:sz w:val="30"/>
          <w:szCs w:val="30"/>
          <w:highlight w:val="none"/>
        </w:rPr>
        <w:t>附件5：</w:t>
      </w:r>
    </w:p>
    <w:p>
      <w:pPr>
        <w:autoSpaceDE w:val="0"/>
        <w:autoSpaceDN w:val="0"/>
        <w:spacing w:line="520" w:lineRule="exact"/>
        <w:ind w:firstLine="2530" w:firstLineChars="900"/>
        <w:rPr>
          <w:rFonts w:ascii="宋体" w:hAnsi="宋体" w:cs="宋体"/>
          <w:color w:val="auto"/>
          <w:sz w:val="28"/>
          <w:szCs w:val="28"/>
          <w:highlight w:val="none"/>
        </w:rPr>
      </w:pPr>
      <w:r>
        <w:rPr>
          <w:rFonts w:hint="eastAsia" w:ascii="宋体" w:hAnsi="宋体" w:cs="宋体"/>
          <w:b/>
          <w:color w:val="auto"/>
          <w:sz w:val="28"/>
          <w:szCs w:val="28"/>
          <w:highlight w:val="none"/>
        </w:rPr>
        <w:t>投标保证金银行保函（仅供参考）</w:t>
      </w:r>
    </w:p>
    <w:p>
      <w:pPr>
        <w:autoSpaceDE w:val="0"/>
        <w:autoSpaceDN w:val="0"/>
        <w:spacing w:line="500" w:lineRule="exact"/>
        <w:jc w:val="left"/>
        <w:rPr>
          <w:rFonts w:ascii="宋体" w:hAnsi="宋体" w:cs="仿宋_GB2312"/>
          <w:color w:val="auto"/>
          <w:sz w:val="28"/>
          <w:szCs w:val="28"/>
          <w:highlight w:val="none"/>
        </w:rPr>
      </w:pPr>
      <w:r>
        <w:rPr>
          <w:rFonts w:hint="eastAsia" w:ascii="宋体" w:hAnsi="宋体" w:cs="仿宋_GB2312"/>
          <w:color w:val="auto"/>
          <w:sz w:val="28"/>
          <w:szCs w:val="28"/>
          <w:highlight w:val="none"/>
        </w:rPr>
        <w:t>：                      保函编号：</w:t>
      </w:r>
    </w:p>
    <w:p>
      <w:pPr>
        <w:autoSpaceDE w:val="0"/>
        <w:autoSpaceDN w:val="0"/>
        <w:spacing w:line="500" w:lineRule="exact"/>
        <w:ind w:firstLine="560"/>
        <w:jc w:val="left"/>
        <w:rPr>
          <w:rFonts w:ascii="宋体" w:hAnsi="宋体" w:cs="仿宋_GB2312"/>
          <w:color w:val="auto"/>
          <w:sz w:val="28"/>
          <w:szCs w:val="28"/>
          <w:highlight w:val="none"/>
        </w:rPr>
      </w:pPr>
      <w:r>
        <w:rPr>
          <w:rFonts w:hint="eastAsia" w:ascii="宋体" w:hAnsi="宋体" w:cs="仿宋_GB2312"/>
          <w:color w:val="auto"/>
          <w:sz w:val="28"/>
          <w:szCs w:val="28"/>
          <w:highlight w:val="none"/>
        </w:rPr>
        <w:t>兹有（以下称“投标人”）在</w:t>
      </w:r>
      <w:r>
        <w:rPr>
          <w:rFonts w:hint="eastAsia" w:ascii="宋体" w:hAnsi="宋体" w:cs="仿宋_GB2312"/>
          <w:color w:val="auto"/>
          <w:spacing w:val="3"/>
          <w:sz w:val="28"/>
          <w:szCs w:val="28"/>
          <w:highlight w:val="none"/>
        </w:rPr>
        <w:t>（以下</w:t>
      </w:r>
      <w:r>
        <w:rPr>
          <w:rFonts w:hint="eastAsia" w:ascii="宋体" w:hAnsi="宋体" w:cs="仿宋_GB2312"/>
          <w:color w:val="auto"/>
          <w:sz w:val="28"/>
          <w:szCs w:val="28"/>
          <w:highlight w:val="none"/>
        </w:rPr>
        <w:t>简</w:t>
      </w:r>
      <w:r>
        <w:rPr>
          <w:rFonts w:hint="eastAsia" w:ascii="宋体" w:hAnsi="宋体" w:cs="仿宋_GB2312"/>
          <w:color w:val="auto"/>
          <w:spacing w:val="3"/>
          <w:sz w:val="28"/>
          <w:szCs w:val="28"/>
          <w:highlight w:val="none"/>
        </w:rPr>
        <w:t>称“我方”）</w:t>
      </w:r>
      <w:r>
        <w:rPr>
          <w:rFonts w:hint="eastAsia" w:ascii="宋体" w:hAnsi="宋体" w:cs="仿宋_GB2312"/>
          <w:color w:val="auto"/>
          <w:sz w:val="28"/>
          <w:szCs w:val="28"/>
          <w:highlight w:val="none"/>
        </w:rPr>
        <w:t>开</w:t>
      </w:r>
      <w:r>
        <w:rPr>
          <w:rFonts w:hint="eastAsia" w:ascii="宋体" w:hAnsi="宋体" w:cs="仿宋_GB2312"/>
          <w:color w:val="auto"/>
          <w:spacing w:val="3"/>
          <w:sz w:val="28"/>
          <w:szCs w:val="28"/>
          <w:highlight w:val="none"/>
        </w:rPr>
        <w:t>设基本存款账</w:t>
      </w:r>
      <w:r>
        <w:rPr>
          <w:rFonts w:hint="eastAsia" w:ascii="宋体" w:hAnsi="宋体" w:cs="仿宋_GB2312"/>
          <w:color w:val="auto"/>
          <w:sz w:val="28"/>
          <w:szCs w:val="28"/>
          <w:highlight w:val="none"/>
        </w:rPr>
        <w:t>户</w:t>
      </w:r>
      <w:r>
        <w:rPr>
          <w:rFonts w:hint="eastAsia" w:ascii="宋体" w:hAnsi="宋体" w:cs="仿宋_GB2312"/>
          <w:color w:val="auto"/>
          <w:spacing w:val="3"/>
          <w:sz w:val="28"/>
          <w:szCs w:val="28"/>
          <w:highlight w:val="none"/>
        </w:rPr>
        <w:t>，其账号为</w:t>
      </w:r>
      <w:r>
        <w:rPr>
          <w:rFonts w:hint="eastAsia" w:ascii="宋体" w:hAnsi="宋体" w:cs="仿宋_GB2312"/>
          <w:color w:val="auto"/>
          <w:sz w:val="28"/>
          <w:szCs w:val="28"/>
          <w:highlight w:val="none"/>
        </w:rPr>
        <w:t>：</w:t>
      </w:r>
      <w:r>
        <w:rPr>
          <w:rFonts w:hint="eastAsia" w:ascii="宋体" w:hAnsi="宋体" w:cs="仿宋_GB2312"/>
          <w:color w:val="auto"/>
          <w:spacing w:val="3"/>
          <w:sz w:val="28"/>
          <w:szCs w:val="28"/>
          <w:highlight w:val="none"/>
        </w:rPr>
        <w:t>。鉴于</w:t>
      </w:r>
      <w:r>
        <w:rPr>
          <w:rFonts w:hint="eastAsia" w:ascii="宋体" w:hAnsi="宋体" w:cs="仿宋_GB2312"/>
          <w:color w:val="auto"/>
          <w:spacing w:val="-18"/>
          <w:sz w:val="28"/>
          <w:szCs w:val="28"/>
          <w:highlight w:val="none"/>
        </w:rPr>
        <w:t>投</w:t>
      </w:r>
      <w:r>
        <w:rPr>
          <w:rFonts w:hint="eastAsia" w:ascii="宋体" w:hAnsi="宋体" w:cs="仿宋_GB2312"/>
          <w:color w:val="auto"/>
          <w:sz w:val="28"/>
          <w:szCs w:val="28"/>
          <w:highlight w:val="none"/>
        </w:rPr>
        <w:t>标人于年月日参加你方 招标的投标</w:t>
      </w:r>
      <w:r>
        <w:rPr>
          <w:rFonts w:hint="eastAsia" w:ascii="宋体" w:hAnsi="宋体" w:cs="仿宋_GB2312"/>
          <w:color w:val="auto"/>
          <w:spacing w:val="-21"/>
          <w:sz w:val="28"/>
          <w:szCs w:val="28"/>
          <w:highlight w:val="none"/>
        </w:rPr>
        <w:t>，</w:t>
      </w:r>
      <w:r>
        <w:rPr>
          <w:rFonts w:hint="eastAsia" w:ascii="宋体" w:hAnsi="宋体" w:cs="仿宋_GB2312"/>
          <w:color w:val="auto"/>
          <w:sz w:val="28"/>
          <w:szCs w:val="28"/>
          <w:highlight w:val="none"/>
        </w:rPr>
        <w:t>我方在此无条件及不可撤销地具结保证并承诺，一旦收到你方提出的下述任何一种情形的书面通知之日起7个工作日内，</w:t>
      </w:r>
      <w:r>
        <w:rPr>
          <w:rFonts w:hint="eastAsia" w:ascii="宋体" w:hAnsi="宋体" w:cs="仿宋_GB2312"/>
          <w:color w:val="auto"/>
          <w:spacing w:val="3"/>
          <w:sz w:val="28"/>
          <w:szCs w:val="28"/>
          <w:highlight w:val="none"/>
        </w:rPr>
        <w:t>我方</w:t>
      </w:r>
      <w:r>
        <w:rPr>
          <w:rFonts w:hint="eastAsia" w:ascii="宋体" w:hAnsi="宋体" w:cs="仿宋_GB2312"/>
          <w:color w:val="auto"/>
          <w:sz w:val="28"/>
          <w:szCs w:val="28"/>
          <w:highlight w:val="none"/>
        </w:rPr>
        <w:t>无条件地向贵方支付人民币（大写）元整 [保证金金额]（（小写）￥元）：</w:t>
      </w:r>
    </w:p>
    <w:p>
      <w:pPr>
        <w:numPr>
          <w:ilvl w:val="0"/>
          <w:numId w:val="11"/>
        </w:numPr>
        <w:tabs>
          <w:tab w:val="left" w:pos="955"/>
        </w:tabs>
        <w:autoSpaceDE w:val="0"/>
        <w:autoSpaceDN w:val="0"/>
        <w:spacing w:line="500" w:lineRule="exact"/>
        <w:ind w:firstLine="560"/>
        <w:rPr>
          <w:rFonts w:ascii="宋体" w:hAnsi="宋体" w:cs="仿宋_GB2312"/>
          <w:color w:val="auto"/>
          <w:sz w:val="28"/>
          <w:szCs w:val="28"/>
          <w:highlight w:val="none"/>
          <w:lang w:val="zh-CN" w:bidi="zh-CN"/>
        </w:rPr>
      </w:pPr>
      <w:r>
        <w:rPr>
          <w:rFonts w:hint="eastAsia" w:ascii="宋体" w:hAnsi="宋体" w:cs="仿宋_GB2312"/>
          <w:color w:val="auto"/>
          <w:sz w:val="28"/>
          <w:szCs w:val="28"/>
          <w:highlight w:val="none"/>
          <w:lang w:val="zh-CN" w:bidi="zh-CN"/>
        </w:rPr>
        <w:t>若投标人在投标有效期内撤销投标文件；</w:t>
      </w:r>
    </w:p>
    <w:p>
      <w:pPr>
        <w:numPr>
          <w:ilvl w:val="0"/>
          <w:numId w:val="11"/>
        </w:numPr>
        <w:tabs>
          <w:tab w:val="left" w:pos="955"/>
        </w:tabs>
        <w:autoSpaceDE w:val="0"/>
        <w:autoSpaceDN w:val="0"/>
        <w:spacing w:line="500" w:lineRule="exact"/>
        <w:ind w:firstLine="560"/>
        <w:rPr>
          <w:rFonts w:ascii="宋体" w:hAnsi="宋体" w:cs="仿宋_GB2312"/>
          <w:color w:val="auto"/>
          <w:sz w:val="28"/>
          <w:szCs w:val="28"/>
          <w:highlight w:val="none"/>
          <w:lang w:val="zh-CN" w:bidi="zh-CN"/>
        </w:rPr>
      </w:pPr>
      <w:r>
        <w:rPr>
          <w:rFonts w:hint="eastAsia" w:ascii="宋体" w:hAnsi="宋体" w:cs="仿宋_GB2312"/>
          <w:color w:val="auto"/>
          <w:sz w:val="28"/>
          <w:szCs w:val="28"/>
          <w:highlight w:val="none"/>
          <w:lang w:val="zh-CN" w:bidi="zh-CN"/>
        </w:rPr>
        <w:t>中标后无正当理由不与招标人订立合同；</w:t>
      </w:r>
    </w:p>
    <w:p>
      <w:pPr>
        <w:numPr>
          <w:ilvl w:val="0"/>
          <w:numId w:val="11"/>
        </w:numPr>
        <w:tabs>
          <w:tab w:val="left" w:pos="955"/>
        </w:tabs>
        <w:autoSpaceDE w:val="0"/>
        <w:autoSpaceDN w:val="0"/>
        <w:spacing w:line="500" w:lineRule="exact"/>
        <w:ind w:firstLine="560"/>
        <w:rPr>
          <w:rFonts w:ascii="宋体" w:hAnsi="宋体" w:cs="仿宋_GB2312"/>
          <w:color w:val="auto"/>
          <w:sz w:val="28"/>
          <w:szCs w:val="28"/>
          <w:highlight w:val="none"/>
          <w:lang w:val="zh-CN" w:bidi="zh-CN"/>
        </w:rPr>
      </w:pPr>
      <w:r>
        <w:rPr>
          <w:rFonts w:hint="eastAsia" w:ascii="宋体" w:hAnsi="宋体" w:cs="仿宋_GB2312"/>
          <w:color w:val="auto"/>
          <w:sz w:val="28"/>
          <w:szCs w:val="28"/>
          <w:highlight w:val="none"/>
          <w:lang w:val="zh-CN" w:bidi="zh-CN"/>
        </w:rPr>
        <w:t>在签订合同时向招标人提出附加条件；</w:t>
      </w:r>
    </w:p>
    <w:p>
      <w:pPr>
        <w:numPr>
          <w:ilvl w:val="0"/>
          <w:numId w:val="11"/>
        </w:numPr>
        <w:tabs>
          <w:tab w:val="left" w:pos="955"/>
        </w:tabs>
        <w:autoSpaceDE w:val="0"/>
        <w:autoSpaceDN w:val="0"/>
        <w:spacing w:line="500" w:lineRule="exact"/>
        <w:ind w:firstLine="560"/>
        <w:rPr>
          <w:rFonts w:ascii="宋体" w:hAnsi="宋体" w:cs="仿宋_GB2312"/>
          <w:color w:val="auto"/>
          <w:sz w:val="28"/>
          <w:szCs w:val="28"/>
          <w:highlight w:val="none"/>
          <w:lang w:val="zh-CN" w:bidi="zh-CN"/>
        </w:rPr>
      </w:pPr>
      <w:r>
        <w:rPr>
          <w:rFonts w:hint="eastAsia" w:ascii="宋体" w:hAnsi="宋体" w:cs="仿宋_GB2312"/>
          <w:color w:val="auto"/>
          <w:sz w:val="28"/>
          <w:szCs w:val="28"/>
          <w:highlight w:val="none"/>
          <w:lang w:val="zh-CN" w:bidi="zh-CN"/>
        </w:rPr>
        <w:t>不按照招标文件要求提交履约保证金；</w:t>
      </w:r>
    </w:p>
    <w:p>
      <w:pPr>
        <w:numPr>
          <w:ilvl w:val="0"/>
          <w:numId w:val="11"/>
        </w:numPr>
        <w:tabs>
          <w:tab w:val="left" w:pos="955"/>
        </w:tabs>
        <w:autoSpaceDE w:val="0"/>
        <w:autoSpaceDN w:val="0"/>
        <w:spacing w:line="500" w:lineRule="exact"/>
        <w:ind w:firstLine="560"/>
        <w:rPr>
          <w:rFonts w:ascii="宋体" w:hAnsi="宋体" w:cs="仿宋_GB2312"/>
          <w:color w:val="auto"/>
          <w:sz w:val="28"/>
          <w:szCs w:val="28"/>
          <w:highlight w:val="none"/>
          <w:lang w:val="zh-CN" w:bidi="zh-CN"/>
        </w:rPr>
      </w:pPr>
      <w:r>
        <w:rPr>
          <w:rFonts w:hint="eastAsia" w:ascii="宋体" w:hAnsi="宋体" w:cs="仿宋_GB2312"/>
          <w:color w:val="auto"/>
          <w:sz w:val="28"/>
          <w:szCs w:val="28"/>
          <w:highlight w:val="none"/>
          <w:lang w:val="zh-CN" w:bidi="zh-CN"/>
        </w:rPr>
        <w:t>发生招标文件明确规定可以不予退还投标保证金的其他情形。</w:t>
      </w:r>
    </w:p>
    <w:p>
      <w:pPr>
        <w:tabs>
          <w:tab w:val="left" w:pos="2353"/>
          <w:tab w:val="left" w:pos="4313"/>
        </w:tabs>
        <w:autoSpaceDE w:val="0"/>
        <w:autoSpaceDN w:val="0"/>
        <w:spacing w:line="500" w:lineRule="exact"/>
        <w:ind w:firstLine="560" w:firstLineChars="200"/>
        <w:jc w:val="left"/>
        <w:rPr>
          <w:rFonts w:ascii="宋体" w:hAnsi="宋体" w:cs="仿宋_GB2312"/>
          <w:color w:val="auto"/>
          <w:sz w:val="28"/>
          <w:szCs w:val="28"/>
          <w:highlight w:val="none"/>
        </w:rPr>
      </w:pPr>
      <w:r>
        <w:rPr>
          <w:rFonts w:hint="eastAsia" w:ascii="宋体" w:hAnsi="宋体" w:cs="仿宋_GB2312"/>
          <w:color w:val="auto"/>
          <w:sz w:val="28"/>
          <w:szCs w:val="28"/>
          <w:highlight w:val="none"/>
        </w:rPr>
        <w:t>本保函自开具之日起生效，有效期截止日期为年月日(注：有效期截止日期不得少于本项目的投标有效期)。到期后，无论你方是否将保函正本退回我方，本保函均自动失效。要求我方承担保</w:t>
      </w:r>
      <w:r>
        <w:rPr>
          <w:rFonts w:hint="eastAsia" w:ascii="宋体" w:hAnsi="宋体" w:cs="仿宋_GB2312"/>
          <w:color w:val="auto"/>
          <w:spacing w:val="-18"/>
          <w:sz w:val="28"/>
          <w:szCs w:val="28"/>
          <w:highlight w:val="none"/>
        </w:rPr>
        <w:t>证</w:t>
      </w:r>
      <w:r>
        <w:rPr>
          <w:rFonts w:hint="eastAsia" w:ascii="宋体" w:hAnsi="宋体" w:cs="仿宋_GB2312"/>
          <w:color w:val="auto"/>
          <w:sz w:val="28"/>
          <w:szCs w:val="28"/>
          <w:highlight w:val="none"/>
        </w:rPr>
        <w:t>责任的通知应在本保函有效期内送达我方。</w:t>
      </w:r>
    </w:p>
    <w:p>
      <w:pPr>
        <w:autoSpaceDE w:val="0"/>
        <w:autoSpaceDN w:val="0"/>
        <w:spacing w:line="500" w:lineRule="exact"/>
        <w:jc w:val="left"/>
        <w:rPr>
          <w:rFonts w:ascii="宋体" w:hAnsi="宋体" w:cs="仿宋_GB2312"/>
          <w:color w:val="auto"/>
          <w:sz w:val="28"/>
          <w:szCs w:val="28"/>
          <w:highlight w:val="none"/>
          <w:u w:val="single"/>
        </w:rPr>
      </w:pPr>
      <w:r>
        <w:rPr>
          <w:rFonts w:hint="eastAsia" w:ascii="宋体" w:hAnsi="宋体" w:cs="仿宋_GB2312"/>
          <w:color w:val="auto"/>
          <w:sz w:val="28"/>
          <w:szCs w:val="28"/>
          <w:highlight w:val="none"/>
        </w:rPr>
        <w:t>担保人名称（投标人基本存款账户开户银行）（盖单位公章）</w:t>
      </w:r>
      <w:r>
        <w:rPr>
          <w:rFonts w:hint="eastAsia" w:ascii="宋体" w:hAnsi="宋体" w:cs="仿宋_GB2312"/>
          <w:color w:val="auto"/>
          <w:spacing w:val="-18"/>
          <w:sz w:val="28"/>
          <w:szCs w:val="28"/>
          <w:highlight w:val="none"/>
        </w:rPr>
        <w:t>：</w:t>
      </w:r>
    </w:p>
    <w:p>
      <w:pPr>
        <w:tabs>
          <w:tab w:val="left" w:pos="2353"/>
          <w:tab w:val="left" w:pos="4313"/>
        </w:tabs>
        <w:autoSpaceDE w:val="0"/>
        <w:autoSpaceDN w:val="0"/>
        <w:spacing w:line="500" w:lineRule="exact"/>
        <w:jc w:val="left"/>
        <w:rPr>
          <w:rFonts w:ascii="宋体" w:hAnsi="宋体" w:cs="仿宋_GB2312"/>
          <w:color w:val="auto"/>
          <w:spacing w:val="-9"/>
          <w:sz w:val="28"/>
          <w:szCs w:val="28"/>
          <w:highlight w:val="none"/>
        </w:rPr>
      </w:pPr>
      <w:r>
        <w:rPr>
          <w:rFonts w:hint="eastAsia" w:ascii="宋体" w:hAnsi="宋体" w:cs="仿宋_GB2312"/>
          <w:color w:val="auto"/>
          <w:sz w:val="28"/>
          <w:szCs w:val="28"/>
          <w:highlight w:val="none"/>
        </w:rPr>
        <w:t>担保人法定代表人或委托代理人（签字</w:t>
      </w:r>
      <w:r>
        <w:rPr>
          <w:rFonts w:hint="eastAsia" w:ascii="宋体" w:hAnsi="宋体" w:cs="仿宋_GB2312"/>
          <w:color w:val="auto"/>
          <w:spacing w:val="-9"/>
          <w:sz w:val="28"/>
          <w:szCs w:val="28"/>
          <w:highlight w:val="none"/>
        </w:rPr>
        <w:t>）：</w:t>
      </w:r>
    </w:p>
    <w:p>
      <w:pPr>
        <w:autoSpaceDE w:val="0"/>
        <w:autoSpaceDN w:val="0"/>
        <w:spacing w:line="500" w:lineRule="exact"/>
        <w:jc w:val="left"/>
        <w:rPr>
          <w:rFonts w:ascii="宋体" w:hAnsi="宋体" w:cs="仿宋_GB2312"/>
          <w:color w:val="auto"/>
          <w:sz w:val="28"/>
          <w:szCs w:val="28"/>
          <w:highlight w:val="none"/>
        </w:rPr>
      </w:pPr>
      <w:r>
        <w:rPr>
          <w:rFonts w:hint="eastAsia" w:ascii="宋体" w:hAnsi="宋体" w:cs="仿宋_GB2312"/>
          <w:color w:val="auto"/>
          <w:sz w:val="28"/>
          <w:szCs w:val="28"/>
          <w:highlight w:val="none"/>
        </w:rPr>
        <w:t>日期：   年   月   日</w:t>
      </w:r>
    </w:p>
    <w:p>
      <w:pPr>
        <w:autoSpaceDE w:val="0"/>
        <w:autoSpaceDN w:val="0"/>
        <w:spacing w:line="500" w:lineRule="exact"/>
        <w:jc w:val="left"/>
        <w:rPr>
          <w:rFonts w:ascii="宋体" w:hAnsi="宋体" w:cs="仿宋_GB2312"/>
          <w:color w:val="auto"/>
          <w:sz w:val="28"/>
          <w:szCs w:val="28"/>
          <w:highlight w:val="none"/>
        </w:rPr>
      </w:pPr>
      <w:r>
        <w:rPr>
          <w:rFonts w:hint="eastAsia" w:ascii="宋体" w:hAnsi="宋体" w:cs="仿宋_GB2312"/>
          <w:color w:val="auto"/>
          <w:sz w:val="28"/>
          <w:szCs w:val="28"/>
          <w:highlight w:val="none"/>
        </w:rPr>
        <w:t>担保人地址：</w:t>
      </w:r>
    </w:p>
    <w:p>
      <w:pPr>
        <w:autoSpaceDE w:val="0"/>
        <w:autoSpaceDN w:val="0"/>
        <w:spacing w:line="500" w:lineRule="exact"/>
        <w:jc w:val="left"/>
        <w:rPr>
          <w:rFonts w:ascii="宋体" w:hAnsi="宋体" w:cs="仿宋_GB2312"/>
          <w:color w:val="auto"/>
          <w:sz w:val="28"/>
          <w:szCs w:val="28"/>
          <w:highlight w:val="none"/>
        </w:rPr>
      </w:pPr>
      <w:r>
        <w:rPr>
          <w:rFonts w:hint="eastAsia" w:ascii="宋体" w:hAnsi="宋体" w:cs="仿宋_GB2312"/>
          <w:color w:val="auto"/>
          <w:sz w:val="28"/>
          <w:szCs w:val="28"/>
          <w:highlight w:val="none"/>
        </w:rPr>
        <w:t>邮政编码：</w:t>
      </w:r>
    </w:p>
    <w:p>
      <w:pPr>
        <w:autoSpaceDE w:val="0"/>
        <w:autoSpaceDN w:val="0"/>
        <w:spacing w:line="500" w:lineRule="exact"/>
        <w:jc w:val="left"/>
        <w:rPr>
          <w:rFonts w:ascii="宋体" w:hAnsi="宋体" w:cs="仿宋_GB2312"/>
          <w:color w:val="auto"/>
          <w:sz w:val="28"/>
          <w:szCs w:val="28"/>
          <w:highlight w:val="none"/>
        </w:rPr>
      </w:pPr>
      <w:r>
        <w:rPr>
          <w:rFonts w:hint="eastAsia" w:ascii="宋体" w:hAnsi="宋体" w:cs="仿宋_GB2312"/>
          <w:color w:val="auto"/>
          <w:sz w:val="28"/>
          <w:szCs w:val="28"/>
          <w:highlight w:val="none"/>
        </w:rPr>
        <w:t>联 系 人：</w:t>
      </w:r>
    </w:p>
    <w:p>
      <w:pPr>
        <w:autoSpaceDE w:val="0"/>
        <w:autoSpaceDN w:val="0"/>
        <w:spacing w:line="500" w:lineRule="exact"/>
        <w:jc w:val="left"/>
        <w:rPr>
          <w:rFonts w:ascii="宋体" w:hAnsi="宋体" w:cs="宋体"/>
          <w:color w:val="auto"/>
          <w:sz w:val="28"/>
          <w:szCs w:val="28"/>
          <w:highlight w:val="none"/>
        </w:rPr>
      </w:pPr>
      <w:r>
        <w:rPr>
          <w:rFonts w:hint="eastAsia" w:ascii="宋体" w:hAnsi="宋体" w:cs="仿宋_GB2312"/>
          <w:color w:val="auto"/>
          <w:sz w:val="28"/>
          <w:szCs w:val="28"/>
          <w:highlight w:val="none"/>
        </w:rPr>
        <w:t>联系电话（手机）：</w:t>
      </w:r>
    </w:p>
    <w:p>
      <w:pPr>
        <w:autoSpaceDE w:val="0"/>
        <w:autoSpaceDN w:val="0"/>
        <w:spacing w:line="340" w:lineRule="atLeast"/>
        <w:ind w:firstLine="560"/>
        <w:jc w:val="left"/>
        <w:rPr>
          <w:rFonts w:ascii="宋体" w:hAnsi="宋体" w:cs="楷体_GB2312"/>
          <w:color w:val="auto"/>
          <w:szCs w:val="21"/>
          <w:highlight w:val="none"/>
        </w:rPr>
      </w:pPr>
      <w:r>
        <w:rPr>
          <w:rFonts w:hint="eastAsia" w:ascii="宋体" w:hAnsi="宋体" w:cs="楷体_GB2312"/>
          <w:color w:val="auto"/>
          <w:szCs w:val="21"/>
          <w:highlight w:val="none"/>
        </w:rPr>
        <w:t>注：1、本投标保证金银行保函为参考样本，各投标人可使用本参考样本或按其基本户开户银行出具的投标保证金银行保函样本（须涵盖本参考样本的所涉信息及要求）。</w:t>
      </w:r>
    </w:p>
    <w:p>
      <w:pPr>
        <w:autoSpaceDE w:val="0"/>
        <w:autoSpaceDN w:val="0"/>
        <w:spacing w:line="340" w:lineRule="atLeast"/>
        <w:ind w:firstLine="560"/>
        <w:jc w:val="left"/>
        <w:rPr>
          <w:rFonts w:ascii="宋体" w:hAnsi="宋体" w:cs="楷体_GB2312"/>
          <w:color w:val="auto"/>
          <w:szCs w:val="21"/>
          <w:highlight w:val="none"/>
        </w:rPr>
      </w:pPr>
      <w:r>
        <w:rPr>
          <w:rFonts w:hint="eastAsia" w:ascii="宋体" w:hAnsi="宋体" w:cs="楷体_GB2312"/>
          <w:color w:val="auto"/>
          <w:szCs w:val="21"/>
          <w:highlight w:val="none"/>
        </w:rPr>
        <w:t>2、各投标人须从其基本户开户银行出具投标保证金银行保函为招标人对本项目投标保证金银行保函的要求。</w:t>
      </w: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jc w:val="center"/>
        <w:rPr>
          <w:rFonts w:ascii="宋体" w:hAnsi="宋体"/>
          <w:b w:val="0"/>
          <w:color w:val="auto"/>
          <w:sz w:val="28"/>
          <w:szCs w:val="28"/>
          <w:highlight w:val="none"/>
        </w:rPr>
      </w:pPr>
    </w:p>
    <w:p>
      <w:pPr>
        <w:pStyle w:val="3"/>
        <w:spacing w:line="520" w:lineRule="exact"/>
        <w:ind w:firstLine="880"/>
        <w:jc w:val="center"/>
        <w:rPr>
          <w:rFonts w:ascii="微软雅黑" w:hAnsi="微软雅黑" w:eastAsia="微软雅黑" w:cs="微软雅黑"/>
          <w:b w:val="0"/>
          <w:bCs w:val="0"/>
          <w:color w:val="auto"/>
          <w:sz w:val="44"/>
          <w:szCs w:val="44"/>
          <w:highlight w:val="none"/>
        </w:rPr>
      </w:pPr>
      <w:r>
        <w:rPr>
          <w:rFonts w:hint="eastAsia" w:ascii="宋体" w:hAnsi="宋体" w:cs="宋体"/>
          <w:b w:val="0"/>
          <w:bCs w:val="0"/>
          <w:color w:val="auto"/>
          <w:sz w:val="44"/>
          <w:szCs w:val="44"/>
          <w:highlight w:val="none"/>
        </w:rPr>
        <w:t xml:space="preserve">第三部分  </w:t>
      </w:r>
      <w:bookmarkEnd w:id="59"/>
      <w:bookmarkEnd w:id="60"/>
      <w:bookmarkEnd w:id="61"/>
      <w:bookmarkEnd w:id="62"/>
      <w:r>
        <w:rPr>
          <w:rFonts w:hint="eastAsia" w:ascii="宋体" w:hAnsi="宋体" w:cs="宋体"/>
          <w:b w:val="0"/>
          <w:bCs w:val="0"/>
          <w:color w:val="auto"/>
          <w:sz w:val="44"/>
          <w:szCs w:val="44"/>
          <w:highlight w:val="none"/>
        </w:rPr>
        <w:t>施工合同条款</w:t>
      </w:r>
    </w:p>
    <w:p>
      <w:pPr>
        <w:pStyle w:val="3"/>
        <w:spacing w:line="520" w:lineRule="exact"/>
        <w:ind w:firstLine="643"/>
        <w:jc w:val="center"/>
        <w:rPr>
          <w:rFonts w:ascii="微软雅黑" w:hAnsi="微软雅黑" w:eastAsia="微软雅黑" w:cs="微软雅黑"/>
          <w:b w:val="0"/>
          <w:bCs w:val="0"/>
          <w:color w:val="auto"/>
          <w:sz w:val="44"/>
          <w:szCs w:val="44"/>
          <w:highlight w:val="none"/>
        </w:rPr>
      </w:pPr>
      <w:r>
        <w:rPr>
          <w:rFonts w:eastAsia="仿宋_GB2312"/>
          <w:bCs w:val="0"/>
          <w:color w:val="auto"/>
          <w:szCs w:val="32"/>
          <w:highlight w:val="none"/>
        </w:rPr>
        <w:br w:type="page"/>
      </w:r>
    </w:p>
    <w:bookmarkEnd w:id="63"/>
    <w:p>
      <w:pPr>
        <w:rPr>
          <w:rFonts w:eastAsia="仿宋_GB2312"/>
          <w:color w:val="auto"/>
          <w:sz w:val="24"/>
          <w:highlight w:val="none"/>
          <w:u w:val="single"/>
        </w:rPr>
      </w:pPr>
      <w:r>
        <w:rPr>
          <w:rFonts w:eastAsia="仿宋_GB2312"/>
          <w:color w:val="auto"/>
          <w:sz w:val="24"/>
          <w:highlight w:val="none"/>
        </w:rPr>
        <w:t>GF-2020-0216                               编号：</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71"/>
        <w:spacing w:after="120"/>
        <w:rPr>
          <w:rFonts w:ascii="Times New Roman" w:hAnsi="Times New Roman" w:eastAsia="方正小标宋简体"/>
          <w:b w:val="0"/>
          <w:bCs/>
          <w:color w:val="auto"/>
          <w:sz w:val="52"/>
          <w:szCs w:val="52"/>
          <w:highlight w:val="none"/>
        </w:rPr>
      </w:pPr>
      <w:r>
        <w:rPr>
          <w:rFonts w:ascii="Times New Roman" w:hAnsi="Times New Roman" w:eastAsia="方正小标宋简体"/>
          <w:b w:val="0"/>
          <w:bCs/>
          <w:color w:val="auto"/>
          <w:sz w:val="72"/>
          <w:szCs w:val="72"/>
          <w:highlight w:val="none"/>
        </w:rPr>
        <w:t>建设项目工程总承包合同</w:t>
      </w:r>
    </w:p>
    <w:p>
      <w:pPr>
        <w:pStyle w:val="171"/>
        <w:spacing w:after="120"/>
        <w:rPr>
          <w:rFonts w:ascii="Times New Roman" w:hAnsi="Times New Roman" w:eastAsia="方正小标宋简体"/>
          <w:b w:val="0"/>
          <w:bCs/>
          <w:color w:val="auto"/>
          <w:sz w:val="52"/>
          <w:szCs w:val="52"/>
          <w:highlight w:val="none"/>
          <w:lang w:val="en-US"/>
        </w:rPr>
      </w:pPr>
    </w:p>
    <w:p>
      <w:pPr>
        <w:rPr>
          <w:color w:val="auto"/>
          <w:highlight w:val="none"/>
        </w:rPr>
      </w:pPr>
    </w:p>
    <w:p>
      <w:pPr>
        <w:pStyle w:val="171"/>
        <w:spacing w:after="120"/>
        <w:rPr>
          <w:rFonts w:ascii="Times New Roman" w:hAnsi="Times New Roman" w:eastAsia="华文中宋"/>
          <w:color w:val="auto"/>
          <w:sz w:val="40"/>
          <w:szCs w:val="40"/>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71"/>
        <w:spacing w:after="120"/>
        <w:rPr>
          <w:rFonts w:ascii="Times New Roman" w:hAnsi="Times New Roman" w:eastAsia="宋体"/>
          <w:b w:val="0"/>
          <w:bCs/>
          <w:color w:val="auto"/>
          <w:sz w:val="24"/>
          <w:szCs w:val="24"/>
          <w:highlight w:val="none"/>
        </w:rPr>
      </w:pPr>
      <w:r>
        <w:rPr>
          <w:rFonts w:ascii="Times New Roman" w:hAnsi="Times New Roman" w:eastAsia="宋体"/>
          <w:b w:val="0"/>
          <w:bCs/>
          <w:color w:val="auto"/>
          <w:sz w:val="24"/>
          <w:szCs w:val="24"/>
          <w:highlight w:val="none"/>
        </w:rPr>
        <w:t>（</w:t>
      </w:r>
      <w:r>
        <w:rPr>
          <w:rFonts w:ascii="Times New Roman" w:hAnsi="Times New Roman" w:eastAsia="宋体"/>
          <w:b w:val="0"/>
          <w:bCs/>
          <w:color w:val="auto"/>
          <w:sz w:val="24"/>
          <w:szCs w:val="24"/>
          <w:highlight w:val="none"/>
          <w:lang w:val="en-US"/>
        </w:rPr>
        <w:t>2024年1月第1版</w:t>
      </w:r>
      <w:r>
        <w:rPr>
          <w:rFonts w:ascii="Times New Roman" w:hAnsi="Times New Roman" w:eastAsia="宋体"/>
          <w:b w:val="0"/>
          <w:bCs/>
          <w:color w:val="auto"/>
          <w:sz w:val="24"/>
          <w:szCs w:val="24"/>
          <w:highlight w:val="none"/>
        </w:rPr>
        <w:t>）</w:t>
      </w:r>
    </w:p>
    <w:p>
      <w:pPr>
        <w:ind w:right="2182" w:rightChars="1039"/>
        <w:jc w:val="distribute"/>
        <w:rPr>
          <w:b/>
          <w:bCs/>
          <w:color w:val="auto"/>
          <w:sz w:val="32"/>
          <w:szCs w:val="32"/>
          <w:highlight w:val="none"/>
        </w:rPr>
      </w:pPr>
      <w:r>
        <w:rPr>
          <w:b/>
          <w:bCs/>
          <w:color w:val="auto"/>
          <w:sz w:val="32"/>
          <w:szCs w:val="32"/>
          <w:highlight w:val="none"/>
        </w:rPr>
        <w:pict>
          <v:shape id="文本框 2" o:spid="_x0000_s1027" o:spt="202" type="#_x0000_t202" style="position:absolute;left:0pt;margin-left:311.4pt;margin-top:11.85pt;height:139.55pt;width:59.4pt;z-index:251667456;mso-width-relative:page;mso-height-relative:margin;mso-height-percent:200;"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Bk1C48wBAACRAwAADgAAAGRycy9lMm9Eb2MueG1srVNN&#10;jtMwFN4jcQfLe5o2MLSKmo6AqmwQIA0cwHXsxJL/5Oc26QXgBqzYsOdcPcc8O5kOzGxmMVk49nuf&#10;P7/ve/b6ejCaHEUA5WxNF7M5JcJy1yjb1vT7t92rFSUQmW2YdlbU9CSAXm9evlj3vhKl65xuRCBI&#10;YqHqfU27GH1VFMA7YRjMnBcWk9IFwyIuQ1s0gfXIbnRRzudvi96FxgfHBQBGt2OSTozhKYROSsXF&#10;1vGDETaOrEFoFlESdMoD3eRqpRQ8fpESRCS6pqg05hEPwfk+jcVmzao2MN8pPpXAnlLCA02GKYuH&#10;Xqi2LDJyCOoRlVE8OHAyzrgzxSgkO4IqFvMH3tx0zIusBa0GfzEdno+Wfz5+DUQ1NS0pscxgw8+/&#10;fp5//z3/+UHKZE/voULUjUdcHN67AS/NXRwwmFQPMpj0Rz0E82ju6WKuGCLhGFxevXm9wgzH1GK5&#10;LMvVVaIp7nf7APGjcIakSU0DNi97yo6fII7QO0g6DJxWzU5pnReh3X/QgRwZNnqXv4n9P5i2CWxd&#10;2jYypkiRNI5a0iwO+2ESvnfNCXUffFBthzUtckHg3x0icuSi0o4RNhFhp7Ks6Valq/DvOqPuX9Lm&#10;F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GTULjzAEAAJEDAAAOAAAAAAAAAAEAIAAAACcB&#10;AABkcnMvZTJvRG9jLnhtbFBLBQYAAAAABgAGAFkBAABlBQAAAAA=&#10;">
            <v:path/>
            <v:fill focussize="0,0"/>
            <v:stroke on="f" joinstyle="miter"/>
            <v:imagedata o:title=""/>
            <o:lock v:ext="edit"/>
            <v:textbox style="mso-fit-shape-to-text:t;">
              <w:txbxContent>
                <w:p>
                  <w:pPr>
                    <w:jc w:val="center"/>
                    <w:rPr>
                      <w:b/>
                      <w:bCs/>
                      <w:sz w:val="32"/>
                      <w:szCs w:val="32"/>
                    </w:rPr>
                  </w:pPr>
                  <w:r>
                    <w:rPr>
                      <w:rFonts w:hint="eastAsia"/>
                      <w:b/>
                      <w:bCs/>
                      <w:sz w:val="32"/>
                      <w:szCs w:val="32"/>
                    </w:rPr>
                    <w:t>制定</w:t>
                  </w:r>
                </w:p>
              </w:txbxContent>
            </v:textbox>
          </v:shape>
        </w:pict>
      </w:r>
      <w:r>
        <w:rPr>
          <w:b/>
          <w:bCs/>
          <w:color w:val="auto"/>
          <w:sz w:val="32"/>
          <w:szCs w:val="32"/>
          <w:highlight w:val="none"/>
        </w:rPr>
        <w:t>中华人民共和国住房和城乡建设部</w:t>
      </w:r>
    </w:p>
    <w:p>
      <w:pPr>
        <w:ind w:right="2182" w:rightChars="1039"/>
        <w:jc w:val="distribute"/>
        <w:rPr>
          <w:b/>
          <w:bCs/>
          <w:color w:val="auto"/>
          <w:sz w:val="32"/>
          <w:szCs w:val="32"/>
          <w:highlight w:val="none"/>
        </w:rPr>
        <w:sectPr>
          <w:footerReference r:id="rId8" w:type="default"/>
          <w:footerReference r:id="rId9" w:type="even"/>
          <w:pgSz w:w="11906" w:h="16838"/>
          <w:pgMar w:top="1440" w:right="1800" w:bottom="1440" w:left="1800" w:header="720" w:footer="998" w:gutter="0"/>
          <w:cols w:space="720" w:num="1"/>
          <w:titlePg/>
          <w:docGrid w:linePitch="326" w:charSpace="0"/>
        </w:sectPr>
      </w:pPr>
      <w:r>
        <w:rPr>
          <w:b/>
          <w:color w:val="auto"/>
          <w:sz w:val="32"/>
          <w:szCs w:val="28"/>
          <w:highlight w:val="none"/>
        </w:rPr>
        <w:t xml:space="preserve">     国家</w:t>
      </w:r>
      <w:r>
        <w:rPr>
          <w:b/>
          <w:bCs/>
          <w:color w:val="auto"/>
          <w:sz w:val="32"/>
          <w:szCs w:val="32"/>
          <w:highlight w:val="none"/>
        </w:rPr>
        <w:t>市场监</w:t>
      </w:r>
      <w:r>
        <w:rPr>
          <w:b/>
          <w:color w:val="auto"/>
          <w:sz w:val="32"/>
          <w:szCs w:val="28"/>
          <w:highlight w:val="none"/>
        </w:rPr>
        <w:t>督</w:t>
      </w:r>
      <w:r>
        <w:rPr>
          <w:b/>
          <w:bCs/>
          <w:color w:val="auto"/>
          <w:sz w:val="32"/>
          <w:szCs w:val="32"/>
          <w:highlight w:val="none"/>
        </w:rPr>
        <w:t>管理总局</w:t>
      </w:r>
    </w:p>
    <w:p>
      <w:pPr>
        <w:pStyle w:val="171"/>
        <w:spacing w:afterLines="0"/>
        <w:rPr>
          <w:rFonts w:ascii="Times New Roman" w:hAnsi="Times New Roman" w:eastAsia="华文中宋"/>
          <w:color w:val="auto"/>
          <w:sz w:val="44"/>
          <w:szCs w:val="44"/>
          <w:highlight w:val="none"/>
        </w:rPr>
      </w:pPr>
      <w:bookmarkStart w:id="64" w:name="_Toc523410369"/>
      <w:r>
        <w:rPr>
          <w:rFonts w:ascii="Times New Roman" w:hAnsi="Times New Roman" w:eastAsia="华文中宋"/>
          <w:color w:val="auto"/>
          <w:sz w:val="44"/>
          <w:szCs w:val="44"/>
          <w:highlight w:val="none"/>
        </w:rPr>
        <w:t>说  明</w:t>
      </w:r>
      <w:bookmarkEnd w:id="64"/>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为指导建设项目工程总承包合同当事人的签约行为，维护合同当事人的合法权益，依据《中华人民共和国民法典》、《中华人民共和国建筑法》、《中华人民共和国招标投标法》以及相关法律、法规，住房和城乡建设部、市场监管总局对《建设项目工程总承包合同示范文本（试行）》（GF-2011-0216）进行了修订，制定了《建设项目工程总承包合同（示范文本）》（GF-2020-0216）（以下简称《示范文本》）。现就有关问题说明如下：</w:t>
      </w:r>
    </w:p>
    <w:p>
      <w:pPr>
        <w:pStyle w:val="172"/>
        <w:numPr>
          <w:ilvl w:val="0"/>
          <w:numId w:val="0"/>
        </w:numPr>
        <w:spacing w:after="120" w:line="440" w:lineRule="exact"/>
        <w:ind w:firstLine="480" w:firstLineChars="200"/>
        <w:rPr>
          <w:rFonts w:ascii="Times New Roman" w:hAnsi="Times New Roman"/>
          <w:b w:val="0"/>
          <w:bCs/>
          <w:color w:val="auto"/>
          <w:highlight w:val="none"/>
        </w:rPr>
      </w:pPr>
      <w:bookmarkStart w:id="65" w:name="_Toc521079598"/>
      <w:r>
        <w:rPr>
          <w:rFonts w:ascii="Times New Roman" w:hAnsi="Times New Roman"/>
          <w:b w:val="0"/>
          <w:bCs/>
          <w:color w:val="auto"/>
          <w:highlight w:val="none"/>
        </w:rPr>
        <w:t>一、《示范文本》的组成</w:t>
      </w:r>
      <w:bookmarkEnd w:id="65"/>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《示范文本》由合同协议书、通用合同条件和专用合同条件三部分组成。</w:t>
      </w:r>
    </w:p>
    <w:p>
      <w:pPr>
        <w:widowControl/>
        <w:adjustRightInd w:val="0"/>
        <w:snapToGrid w:val="0"/>
        <w:spacing w:line="440" w:lineRule="exact"/>
        <w:ind w:firstLine="600"/>
        <w:rPr>
          <w:rFonts w:eastAsia="仿宋_GB2312"/>
          <w:color w:val="auto"/>
          <w:sz w:val="24"/>
          <w:highlight w:val="none"/>
        </w:rPr>
      </w:pPr>
      <w:bookmarkStart w:id="66" w:name="_Toc521079599"/>
      <w:r>
        <w:rPr>
          <w:rFonts w:eastAsia="仿宋_GB2312"/>
          <w:color w:val="auto"/>
          <w:sz w:val="24"/>
          <w:highlight w:val="none"/>
        </w:rPr>
        <w:t>（一）合同协议书</w:t>
      </w:r>
      <w:bookmarkEnd w:id="66"/>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示范文本》合同协议书共计11条，主要包括：工程概况、合同工期、质量标准、签约合同价与合同价格形式、工程总承包项目经理、合同文件构成、承诺、订立时间、订立地点、合同生效和合同份数，集中约定了合同当事人基本的合同权利义务。</w:t>
      </w:r>
    </w:p>
    <w:p>
      <w:pPr>
        <w:widowControl/>
        <w:adjustRightInd w:val="0"/>
        <w:snapToGrid w:val="0"/>
        <w:spacing w:line="440" w:lineRule="exact"/>
        <w:ind w:firstLine="600"/>
        <w:rPr>
          <w:rFonts w:eastAsia="仿宋_GB2312"/>
          <w:color w:val="auto"/>
          <w:sz w:val="24"/>
          <w:highlight w:val="none"/>
        </w:rPr>
      </w:pPr>
      <w:bookmarkStart w:id="67" w:name="_Toc521079600"/>
      <w:r>
        <w:rPr>
          <w:rFonts w:eastAsia="仿宋_GB2312"/>
          <w:color w:val="auto"/>
          <w:sz w:val="24"/>
          <w:highlight w:val="none"/>
        </w:rPr>
        <w:t>（二）通用合同条件</w:t>
      </w:r>
      <w:bookmarkEnd w:id="67"/>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通用合同条件是合同当事人根据《中华人民共和国民法典》、《中华人民共和国建筑法》等法律法规的规定，就工程总承包项目的实施及相关事项，对合同当事人的权利义务作出的原则性约定。通用合同条件共计20条，具体条款分别为：</w:t>
      </w:r>
      <w:bookmarkStart w:id="68" w:name="_Hlk54448922"/>
      <w:r>
        <w:rPr>
          <w:rFonts w:eastAsia="仿宋_GB2312"/>
          <w:color w:val="auto"/>
          <w:sz w:val="24"/>
          <w:highlight w:val="none"/>
        </w:rPr>
        <w:t>第1条 一般约定，第2条 发包人，第3条 发包人的管理，第4条 承包人，第5条 设计，第6条 材料、工程设备，第7条 施工，第8条 工期和进度，第9条 竣工试验，第10条 验收和工程接收，第11条 缺陷责任与保修，第12条 竣工后试验，第13条 变更与调整，第14条 合同价格与支付，第15条 违约，第16条 合同解除，第17条 不可抗力，第18条 保险，第19条 索赔，第20条 争议解决。</w:t>
      </w:r>
      <w:bookmarkEnd w:id="68"/>
      <w:r>
        <w:rPr>
          <w:rFonts w:eastAsia="仿宋_GB2312"/>
          <w:color w:val="auto"/>
          <w:sz w:val="24"/>
          <w:highlight w:val="none"/>
        </w:rPr>
        <w:t>前述条款安排既考虑了现行法律法规对工程总承包活动的有关要求，也考虑了工程总承包项目管理的实际需要。</w:t>
      </w:r>
    </w:p>
    <w:p>
      <w:pPr>
        <w:widowControl/>
        <w:adjustRightInd w:val="0"/>
        <w:snapToGrid w:val="0"/>
        <w:spacing w:line="440" w:lineRule="exact"/>
        <w:ind w:firstLine="600"/>
        <w:rPr>
          <w:rFonts w:eastAsia="仿宋_GB2312"/>
          <w:color w:val="auto"/>
          <w:sz w:val="24"/>
          <w:highlight w:val="none"/>
        </w:rPr>
      </w:pPr>
      <w:bookmarkStart w:id="69" w:name="_Toc521079601"/>
      <w:r>
        <w:rPr>
          <w:rFonts w:eastAsia="仿宋_GB2312"/>
          <w:color w:val="auto"/>
          <w:sz w:val="24"/>
          <w:highlight w:val="none"/>
        </w:rPr>
        <w:t>（三）专用合同条件</w:t>
      </w:r>
      <w:bookmarkEnd w:id="69"/>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专用合同条件是合同当事人根据不同建设项目的特点及具体情况，通过双方的谈判、协商对通用合同条件原则性约定细化、完善、补充、修改或另行约定的合同条件。在编写专用合同条件时，应注意以下事项：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1.专用合同条件的编号应与相应的通用合同条件的编号一致；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2.在专用合同条件中有横道线的地方，合同当事人可针对相应的通用合同条件进行细化、完善、补充、修改或另行约定；如无细化、完善、补充、修改或另行约定，则填写“无”或划“/”；</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3.对于在专用合同条件中未列出的通用合同条件中的条款，合同当事人根据建设项目的具体情况认为需要进行细化、完善、补充、修改或另行约定的，可在专用合同条件中，以同一条款号增加相关条款的内容。</w:t>
      </w:r>
    </w:p>
    <w:p>
      <w:pPr>
        <w:pStyle w:val="172"/>
        <w:numPr>
          <w:ilvl w:val="0"/>
          <w:numId w:val="0"/>
        </w:numPr>
        <w:spacing w:after="120" w:line="440" w:lineRule="exact"/>
        <w:rPr>
          <w:rFonts w:ascii="Times New Roman" w:hAnsi="Times New Roman"/>
          <w:b w:val="0"/>
          <w:bCs/>
          <w:color w:val="auto"/>
          <w:highlight w:val="none"/>
        </w:rPr>
      </w:pPr>
      <w:bookmarkStart w:id="70" w:name="_Toc521079602"/>
      <w:r>
        <w:rPr>
          <w:rFonts w:ascii="Times New Roman" w:hAnsi="Times New Roman"/>
          <w:b w:val="0"/>
          <w:bCs/>
          <w:color w:val="auto"/>
          <w:highlight w:val="none"/>
        </w:rPr>
        <w:t>二、《示范文本》的适用范围</w:t>
      </w:r>
      <w:bookmarkEnd w:id="70"/>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《示范文本》适用于房屋建筑和市政基础设施项目工程总承包承发包活动。</w:t>
      </w:r>
    </w:p>
    <w:p>
      <w:pPr>
        <w:pStyle w:val="172"/>
        <w:numPr>
          <w:ilvl w:val="0"/>
          <w:numId w:val="0"/>
        </w:numPr>
        <w:spacing w:after="120" w:line="440" w:lineRule="exact"/>
        <w:rPr>
          <w:rFonts w:ascii="Times New Roman" w:hAnsi="Times New Roman"/>
          <w:b w:val="0"/>
          <w:bCs/>
          <w:color w:val="auto"/>
          <w:highlight w:val="none"/>
        </w:rPr>
      </w:pPr>
      <w:r>
        <w:rPr>
          <w:rFonts w:ascii="Times New Roman" w:hAnsi="Times New Roman"/>
          <w:b w:val="0"/>
          <w:bCs/>
          <w:color w:val="auto"/>
          <w:highlight w:val="none"/>
        </w:rPr>
        <w:t>三、《示范文本》的性质</w:t>
      </w:r>
    </w:p>
    <w:p>
      <w:pPr>
        <w:widowControl/>
        <w:adjustRightInd w:val="0"/>
        <w:snapToGrid w:val="0"/>
        <w:spacing w:line="440" w:lineRule="exact"/>
        <w:ind w:firstLine="600"/>
        <w:rPr>
          <w:rFonts w:eastAsia="仿宋_GB2312"/>
          <w:color w:val="auto"/>
          <w:sz w:val="24"/>
          <w:highlight w:val="none"/>
        </w:rPr>
        <w:sectPr>
          <w:footerReference r:id="rId11" w:type="first"/>
          <w:footerReference r:id="rId10" w:type="default"/>
          <w:pgSz w:w="11906" w:h="16838"/>
          <w:pgMar w:top="1440" w:right="1800" w:bottom="1440" w:left="1800" w:header="720" w:footer="998" w:gutter="0"/>
          <w:cols w:space="720" w:num="1"/>
          <w:titlePg/>
          <w:docGrid w:linePitch="326" w:charSpace="0"/>
        </w:sectPr>
      </w:pPr>
      <w:r>
        <w:rPr>
          <w:rFonts w:eastAsia="仿宋_GB2312"/>
          <w:color w:val="auto"/>
          <w:sz w:val="24"/>
          <w:highlight w:val="none"/>
        </w:rPr>
        <w:t>《示范文本》为推荐使用的非强制性使用文本。合同当事人可结合建设工程具体情况，参照《示范文本》订立合同，并按照法律法规和合同约定承担相应的法律责任及合同权利义务。</w:t>
      </w:r>
    </w:p>
    <w:p>
      <w:pPr>
        <w:ind w:firstLine="600"/>
        <w:rPr>
          <w:rFonts w:eastAsia="仿宋_GB2312"/>
          <w:color w:val="auto"/>
          <w:sz w:val="30"/>
          <w:szCs w:val="30"/>
          <w:highlight w:val="none"/>
        </w:rPr>
        <w:sectPr>
          <w:pgSz w:w="11906" w:h="16838"/>
          <w:pgMar w:top="1440" w:right="1800" w:bottom="1440" w:left="1800" w:header="720" w:footer="998" w:gutter="0"/>
          <w:cols w:space="720" w:num="1"/>
          <w:titlePg/>
          <w:docGrid w:linePitch="326" w:charSpace="0"/>
        </w:sectPr>
      </w:pPr>
    </w:p>
    <w:p>
      <w:pPr>
        <w:pStyle w:val="123"/>
        <w:spacing w:before="0" w:after="50" w:line="360" w:lineRule="auto"/>
        <w:jc w:val="center"/>
        <w:rPr>
          <w:rFonts w:ascii="Times New Roman" w:hAnsi="Times New Roman" w:eastAsia="华文中宋"/>
          <w:b/>
          <w:color w:val="auto"/>
          <w:kern w:val="44"/>
          <w:sz w:val="44"/>
          <w:szCs w:val="44"/>
          <w:highlight w:val="none"/>
          <w:lang w:val="zh-CN"/>
        </w:rPr>
      </w:pPr>
      <w:bookmarkStart w:id="71" w:name="_Toc521267369"/>
      <w:r>
        <w:rPr>
          <w:rFonts w:ascii="Times New Roman" w:hAnsi="Times New Roman" w:eastAsia="华文中宋"/>
          <w:b/>
          <w:color w:val="auto"/>
          <w:kern w:val="44"/>
          <w:sz w:val="44"/>
          <w:szCs w:val="44"/>
          <w:highlight w:val="none"/>
          <w:lang w:val="zh-CN"/>
        </w:rPr>
        <w:t>目录</w:t>
      </w:r>
      <w:bookmarkEnd w:id="71"/>
    </w:p>
    <w:p>
      <w:pPr>
        <w:pStyle w:val="33"/>
        <w:widowControl/>
        <w:tabs>
          <w:tab w:val="right" w:leader="dot" w:pos="8296"/>
        </w:tabs>
        <w:adjustRightInd w:val="0"/>
        <w:snapToGrid w:val="0"/>
        <w:spacing w:line="260" w:lineRule="exact"/>
        <w:ind w:firstLine="560"/>
        <w:rPr>
          <w:b/>
          <w:bCs/>
          <w:color w:val="auto"/>
          <w:sz w:val="22"/>
          <w:szCs w:val="22"/>
          <w:highlight w:val="none"/>
        </w:rPr>
      </w:pPr>
      <w:r>
        <w:rPr>
          <w:color w:val="auto"/>
          <w:sz w:val="22"/>
          <w:szCs w:val="22"/>
          <w:highlight w:val="none"/>
        </w:rPr>
        <w:fldChar w:fldCharType="begin"/>
      </w:r>
      <w:r>
        <w:rPr>
          <w:color w:val="auto"/>
          <w:sz w:val="22"/>
          <w:szCs w:val="22"/>
          <w:highlight w:val="none"/>
        </w:rPr>
        <w:instrText xml:space="preserve"> TOC \o "1-3" \u </w:instrText>
      </w:r>
      <w:r>
        <w:rPr>
          <w:color w:val="auto"/>
          <w:sz w:val="22"/>
          <w:szCs w:val="22"/>
          <w:highlight w:val="none"/>
        </w:rPr>
        <w:fldChar w:fldCharType="separate"/>
      </w:r>
      <w:r>
        <w:rPr>
          <w:b/>
          <w:bCs/>
          <w:color w:val="auto"/>
          <w:sz w:val="22"/>
          <w:szCs w:val="22"/>
          <w:highlight w:val="none"/>
        </w:rPr>
        <w:t>第一部分 合同协议书</w:t>
      </w:r>
      <w:r>
        <w:rPr>
          <w:b/>
          <w:bCs/>
          <w:color w:val="auto"/>
          <w:sz w:val="22"/>
          <w:szCs w:val="22"/>
          <w:highlight w:val="none"/>
        </w:rPr>
        <w:tab/>
      </w:r>
      <w:r>
        <w:rPr>
          <w:b/>
          <w:bCs/>
          <w:color w:val="auto"/>
          <w:sz w:val="22"/>
          <w:szCs w:val="22"/>
          <w:highlight w:val="none"/>
        </w:rPr>
        <w:fldChar w:fldCharType="begin"/>
      </w:r>
      <w:r>
        <w:rPr>
          <w:b/>
          <w:bCs/>
          <w:color w:val="auto"/>
          <w:sz w:val="22"/>
          <w:szCs w:val="22"/>
          <w:highlight w:val="none"/>
        </w:rPr>
        <w:instrText xml:space="preserve"> PAGEREF _Toc54862164 \h </w:instrText>
      </w:r>
      <w:r>
        <w:rPr>
          <w:b/>
          <w:bCs/>
          <w:color w:val="auto"/>
          <w:sz w:val="22"/>
          <w:szCs w:val="22"/>
          <w:highlight w:val="none"/>
        </w:rPr>
        <w:fldChar w:fldCharType="separate"/>
      </w:r>
      <w:r>
        <w:rPr>
          <w:b/>
          <w:bCs/>
          <w:color w:val="auto"/>
          <w:sz w:val="22"/>
          <w:szCs w:val="22"/>
          <w:highlight w:val="none"/>
        </w:rPr>
        <w:t>151</w:t>
      </w:r>
      <w:r>
        <w:rPr>
          <w:b/>
          <w:bCs/>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一、工程概况</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_Toc54862165 \h </w:instrText>
      </w:r>
      <w:r>
        <w:rPr>
          <w:color w:val="auto"/>
          <w:sz w:val="22"/>
          <w:szCs w:val="22"/>
          <w:highlight w:val="none"/>
        </w:rPr>
        <w:fldChar w:fldCharType="separate"/>
      </w:r>
      <w:r>
        <w:rPr>
          <w:color w:val="auto"/>
          <w:sz w:val="22"/>
          <w:szCs w:val="22"/>
          <w:highlight w:val="none"/>
        </w:rPr>
        <w:t>151</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二、合同工期</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_Toc54862166 \h </w:instrText>
      </w:r>
      <w:r>
        <w:rPr>
          <w:color w:val="auto"/>
          <w:sz w:val="22"/>
          <w:szCs w:val="22"/>
          <w:highlight w:val="none"/>
        </w:rPr>
        <w:fldChar w:fldCharType="separate"/>
      </w:r>
      <w:r>
        <w:rPr>
          <w:color w:val="auto"/>
          <w:sz w:val="22"/>
          <w:szCs w:val="22"/>
          <w:highlight w:val="none"/>
        </w:rPr>
        <w:t>151</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三、质量标准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_Toc54862167 \h </w:instrText>
      </w:r>
      <w:r>
        <w:rPr>
          <w:color w:val="auto"/>
          <w:sz w:val="22"/>
          <w:szCs w:val="22"/>
          <w:highlight w:val="none"/>
        </w:rPr>
        <w:fldChar w:fldCharType="separate"/>
      </w:r>
      <w:r>
        <w:rPr>
          <w:color w:val="auto"/>
          <w:sz w:val="22"/>
          <w:szCs w:val="22"/>
          <w:highlight w:val="none"/>
        </w:rPr>
        <w:t>152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四、签约合同价与合同价格形式</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_Toc54862168 \h </w:instrText>
      </w:r>
      <w:r>
        <w:rPr>
          <w:color w:val="auto"/>
          <w:sz w:val="22"/>
          <w:szCs w:val="22"/>
          <w:highlight w:val="none"/>
        </w:rPr>
        <w:fldChar w:fldCharType="separate"/>
      </w:r>
      <w:r>
        <w:rPr>
          <w:color w:val="auto"/>
          <w:sz w:val="22"/>
          <w:szCs w:val="22"/>
          <w:highlight w:val="none"/>
        </w:rPr>
        <w:t>152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五、工程总承包项目经理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_Toc54862169 \h </w:instrText>
      </w:r>
      <w:r>
        <w:rPr>
          <w:color w:val="auto"/>
          <w:sz w:val="22"/>
          <w:szCs w:val="22"/>
          <w:highlight w:val="none"/>
        </w:rPr>
        <w:fldChar w:fldCharType="separate"/>
      </w:r>
      <w:r>
        <w:rPr>
          <w:color w:val="auto"/>
          <w:sz w:val="22"/>
          <w:szCs w:val="22"/>
          <w:highlight w:val="none"/>
        </w:rPr>
        <w:t>152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六、合同文件构成</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_Toc54862170 \h </w:instrText>
      </w:r>
      <w:r>
        <w:rPr>
          <w:color w:val="auto"/>
          <w:sz w:val="22"/>
          <w:szCs w:val="22"/>
          <w:highlight w:val="none"/>
        </w:rPr>
        <w:fldChar w:fldCharType="separate"/>
      </w:r>
      <w:r>
        <w:rPr>
          <w:color w:val="auto"/>
          <w:sz w:val="22"/>
          <w:szCs w:val="22"/>
          <w:highlight w:val="none"/>
        </w:rPr>
        <w:t>153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七、承诺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_Toc54862171 \h </w:instrText>
      </w:r>
      <w:r>
        <w:rPr>
          <w:color w:val="auto"/>
          <w:sz w:val="22"/>
          <w:szCs w:val="22"/>
          <w:highlight w:val="none"/>
        </w:rPr>
        <w:fldChar w:fldCharType="separate"/>
      </w:r>
      <w:r>
        <w:rPr>
          <w:color w:val="auto"/>
          <w:sz w:val="22"/>
          <w:szCs w:val="22"/>
          <w:highlight w:val="none"/>
        </w:rPr>
        <w:t>153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八、订立时间</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_Toc54862172 \h </w:instrText>
      </w:r>
      <w:r>
        <w:rPr>
          <w:color w:val="auto"/>
          <w:sz w:val="22"/>
          <w:szCs w:val="22"/>
          <w:highlight w:val="none"/>
        </w:rPr>
        <w:fldChar w:fldCharType="separate"/>
      </w:r>
      <w:r>
        <w:rPr>
          <w:color w:val="auto"/>
          <w:sz w:val="22"/>
          <w:szCs w:val="22"/>
          <w:highlight w:val="none"/>
        </w:rPr>
        <w:t>153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九、订立地点</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_Toc54862173 \h </w:instrText>
      </w:r>
      <w:r>
        <w:rPr>
          <w:color w:val="auto"/>
          <w:sz w:val="22"/>
          <w:szCs w:val="22"/>
          <w:highlight w:val="none"/>
        </w:rPr>
        <w:fldChar w:fldCharType="separate"/>
      </w:r>
      <w:r>
        <w:rPr>
          <w:color w:val="auto"/>
          <w:sz w:val="22"/>
          <w:szCs w:val="22"/>
          <w:highlight w:val="none"/>
        </w:rPr>
        <w:t>153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十、合同生效</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_Toc54862174 \h </w:instrText>
      </w:r>
      <w:r>
        <w:rPr>
          <w:color w:val="auto"/>
          <w:sz w:val="22"/>
          <w:szCs w:val="22"/>
          <w:highlight w:val="none"/>
        </w:rPr>
        <w:fldChar w:fldCharType="separate"/>
      </w:r>
      <w:r>
        <w:rPr>
          <w:color w:val="auto"/>
          <w:sz w:val="22"/>
          <w:szCs w:val="22"/>
          <w:highlight w:val="none"/>
        </w:rPr>
        <w:t>153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十一、合同份数</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_Toc54862175 \h </w:instrText>
      </w:r>
      <w:r>
        <w:rPr>
          <w:color w:val="auto"/>
          <w:sz w:val="22"/>
          <w:szCs w:val="22"/>
          <w:highlight w:val="none"/>
        </w:rPr>
        <w:fldChar w:fldCharType="separate"/>
      </w:r>
      <w:r>
        <w:rPr>
          <w:color w:val="auto"/>
          <w:sz w:val="22"/>
          <w:szCs w:val="22"/>
          <w:highlight w:val="none"/>
        </w:rPr>
        <w:t>154</w:t>
      </w:r>
      <w:r>
        <w:rPr>
          <w:color w:val="auto"/>
          <w:sz w:val="22"/>
          <w:szCs w:val="22"/>
          <w:highlight w:val="none"/>
        </w:rPr>
        <w:fldChar w:fldCharType="end"/>
      </w:r>
    </w:p>
    <w:p>
      <w:pPr>
        <w:pStyle w:val="33"/>
        <w:widowControl/>
        <w:tabs>
          <w:tab w:val="right" w:leader="dot" w:pos="8296"/>
        </w:tabs>
        <w:adjustRightInd w:val="0"/>
        <w:snapToGrid w:val="0"/>
        <w:spacing w:line="260" w:lineRule="exact"/>
        <w:ind w:firstLine="562"/>
        <w:rPr>
          <w:b/>
          <w:bCs/>
          <w:color w:val="auto"/>
          <w:sz w:val="22"/>
          <w:szCs w:val="22"/>
          <w:highlight w:val="none"/>
        </w:rPr>
      </w:pPr>
      <w:r>
        <w:rPr>
          <w:b/>
          <w:bCs/>
          <w:color w:val="auto"/>
          <w:sz w:val="22"/>
          <w:szCs w:val="22"/>
          <w:highlight w:val="none"/>
        </w:rPr>
        <w:t>第二部分 通用合同条件</w:t>
      </w:r>
      <w:r>
        <w:rPr>
          <w:b/>
          <w:bCs/>
          <w:color w:val="auto"/>
          <w:sz w:val="22"/>
          <w:szCs w:val="22"/>
          <w:highlight w:val="none"/>
        </w:rPr>
        <w:tab/>
      </w:r>
      <w:r>
        <w:rPr>
          <w:b/>
          <w:bCs/>
          <w:color w:val="auto"/>
          <w:sz w:val="22"/>
          <w:szCs w:val="22"/>
          <w:highlight w:val="none"/>
        </w:rPr>
        <w:fldChar w:fldCharType="begin"/>
      </w:r>
      <w:r>
        <w:rPr>
          <w:b/>
          <w:bCs/>
          <w:color w:val="auto"/>
          <w:sz w:val="22"/>
          <w:szCs w:val="22"/>
          <w:highlight w:val="none"/>
        </w:rPr>
        <w:instrText xml:space="preserve"> PAGEREF _Toc54862176 \h </w:instrText>
      </w:r>
      <w:r>
        <w:rPr>
          <w:b/>
          <w:bCs/>
          <w:color w:val="auto"/>
          <w:sz w:val="22"/>
          <w:szCs w:val="22"/>
          <w:highlight w:val="none"/>
        </w:rPr>
        <w:fldChar w:fldCharType="separate"/>
      </w:r>
      <w:r>
        <w:rPr>
          <w:b/>
          <w:bCs/>
          <w:color w:val="auto"/>
          <w:sz w:val="22"/>
          <w:szCs w:val="22"/>
          <w:highlight w:val="none"/>
        </w:rPr>
        <w:t>156</w:t>
      </w:r>
      <w:r>
        <w:rPr>
          <w:b/>
          <w:bCs/>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第1条 一般约定</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_Toc54862177 \h </w:instrText>
      </w:r>
      <w:r>
        <w:rPr>
          <w:color w:val="auto"/>
          <w:sz w:val="22"/>
          <w:szCs w:val="22"/>
          <w:highlight w:val="none"/>
        </w:rPr>
        <w:fldChar w:fldCharType="separate"/>
      </w:r>
      <w:r>
        <w:rPr>
          <w:color w:val="auto"/>
          <w:sz w:val="22"/>
          <w:szCs w:val="22"/>
          <w:highlight w:val="none"/>
        </w:rPr>
        <w:t>156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 词语定义和解释</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_Toc54862178 \h </w:instrText>
      </w:r>
      <w:r>
        <w:rPr>
          <w:color w:val="auto"/>
          <w:sz w:val="22"/>
          <w:szCs w:val="22"/>
          <w:highlight w:val="none"/>
        </w:rPr>
        <w:fldChar w:fldCharType="separate"/>
      </w:r>
      <w:r>
        <w:rPr>
          <w:color w:val="auto"/>
          <w:sz w:val="22"/>
          <w:szCs w:val="22"/>
          <w:highlight w:val="none"/>
        </w:rPr>
        <w:t>156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1.2 语言文字</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_Toc54862179 \h </w:instrText>
      </w:r>
      <w:r>
        <w:rPr>
          <w:color w:val="auto"/>
          <w:sz w:val="22"/>
          <w:szCs w:val="22"/>
          <w:highlight w:val="none"/>
        </w:rPr>
        <w:fldChar w:fldCharType="separate"/>
      </w:r>
      <w:r>
        <w:rPr>
          <w:color w:val="auto"/>
          <w:sz w:val="22"/>
          <w:szCs w:val="22"/>
          <w:highlight w:val="none"/>
        </w:rPr>
        <w:t>160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 法律</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_Toc54862180 \h </w:instrText>
      </w:r>
      <w:r>
        <w:rPr>
          <w:color w:val="auto"/>
          <w:sz w:val="22"/>
          <w:szCs w:val="22"/>
          <w:highlight w:val="none"/>
        </w:rPr>
        <w:fldChar w:fldCharType="separate"/>
      </w:r>
      <w:r>
        <w:rPr>
          <w:color w:val="auto"/>
          <w:sz w:val="22"/>
          <w:szCs w:val="22"/>
          <w:highlight w:val="none"/>
        </w:rPr>
        <w:t>160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 标准和规范</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_Toc54862181 \h </w:instrText>
      </w:r>
      <w:r>
        <w:rPr>
          <w:color w:val="auto"/>
          <w:sz w:val="22"/>
          <w:szCs w:val="22"/>
          <w:highlight w:val="none"/>
        </w:rPr>
        <w:fldChar w:fldCharType="separate"/>
      </w:r>
      <w:r>
        <w:rPr>
          <w:color w:val="auto"/>
          <w:sz w:val="22"/>
          <w:szCs w:val="22"/>
          <w:highlight w:val="none"/>
        </w:rPr>
        <w:t>160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1.5 合同文件的优先顺序</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_Toc54862182 \h </w:instrText>
      </w:r>
      <w:r>
        <w:rPr>
          <w:color w:val="auto"/>
          <w:sz w:val="22"/>
          <w:szCs w:val="22"/>
          <w:highlight w:val="none"/>
        </w:rPr>
        <w:fldChar w:fldCharType="separate"/>
      </w:r>
      <w:r>
        <w:rPr>
          <w:color w:val="auto"/>
          <w:sz w:val="22"/>
          <w:szCs w:val="22"/>
          <w:highlight w:val="none"/>
        </w:rPr>
        <w:t>161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1.6 文件的提供和照管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_Toc54862183 \h </w:instrText>
      </w:r>
      <w:r>
        <w:rPr>
          <w:color w:val="auto"/>
          <w:sz w:val="22"/>
          <w:szCs w:val="22"/>
          <w:highlight w:val="none"/>
        </w:rPr>
        <w:fldChar w:fldCharType="separate"/>
      </w:r>
      <w:r>
        <w:rPr>
          <w:color w:val="auto"/>
          <w:sz w:val="22"/>
          <w:szCs w:val="22"/>
          <w:highlight w:val="none"/>
        </w:rPr>
        <w:t>161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1.7 联络</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_Toc54862184 \h </w:instrText>
      </w:r>
      <w:r>
        <w:rPr>
          <w:color w:val="auto"/>
          <w:sz w:val="22"/>
          <w:szCs w:val="22"/>
          <w:highlight w:val="none"/>
        </w:rPr>
        <w:fldChar w:fldCharType="separate"/>
      </w:r>
      <w:r>
        <w:rPr>
          <w:color w:val="auto"/>
          <w:sz w:val="22"/>
          <w:szCs w:val="22"/>
          <w:highlight w:val="none"/>
        </w:rPr>
        <w:t>162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1.8 严禁贿赂</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_Toc54862185 \h </w:instrText>
      </w:r>
      <w:r>
        <w:rPr>
          <w:color w:val="auto"/>
          <w:sz w:val="22"/>
          <w:szCs w:val="22"/>
          <w:highlight w:val="none"/>
        </w:rPr>
        <w:fldChar w:fldCharType="separate"/>
      </w:r>
      <w:r>
        <w:rPr>
          <w:color w:val="auto"/>
          <w:sz w:val="22"/>
          <w:szCs w:val="22"/>
          <w:highlight w:val="none"/>
        </w:rPr>
        <w:t>162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1.9 化石、文物</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_Toc54862186 \h </w:instrText>
      </w:r>
      <w:r>
        <w:rPr>
          <w:color w:val="auto"/>
          <w:sz w:val="22"/>
          <w:szCs w:val="22"/>
          <w:highlight w:val="none"/>
        </w:rPr>
        <w:fldChar w:fldCharType="separate"/>
      </w:r>
      <w:r>
        <w:rPr>
          <w:color w:val="auto"/>
          <w:sz w:val="22"/>
          <w:szCs w:val="22"/>
          <w:highlight w:val="none"/>
        </w:rPr>
        <w:t>162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1.10 知识产权</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_Toc54862187 \h </w:instrText>
      </w:r>
      <w:r>
        <w:rPr>
          <w:color w:val="auto"/>
          <w:sz w:val="22"/>
          <w:szCs w:val="22"/>
          <w:highlight w:val="none"/>
        </w:rPr>
        <w:fldChar w:fldCharType="separate"/>
      </w:r>
      <w:r>
        <w:rPr>
          <w:color w:val="auto"/>
          <w:sz w:val="22"/>
          <w:szCs w:val="22"/>
          <w:highlight w:val="none"/>
        </w:rPr>
        <w:t>163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1.11 保密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_Toc54862188 \h </w:instrText>
      </w:r>
      <w:r>
        <w:rPr>
          <w:color w:val="auto"/>
          <w:sz w:val="22"/>
          <w:szCs w:val="22"/>
          <w:highlight w:val="none"/>
        </w:rPr>
        <w:fldChar w:fldCharType="separate"/>
      </w:r>
      <w:r>
        <w:rPr>
          <w:color w:val="auto"/>
          <w:sz w:val="22"/>
          <w:szCs w:val="22"/>
          <w:highlight w:val="none"/>
        </w:rPr>
        <w:t>163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1.12 《发包人要求》和基础资料中的错误</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_Toc54862189 \h </w:instrText>
      </w:r>
      <w:r>
        <w:rPr>
          <w:color w:val="auto"/>
          <w:sz w:val="22"/>
          <w:szCs w:val="22"/>
          <w:highlight w:val="none"/>
        </w:rPr>
        <w:fldChar w:fldCharType="separate"/>
      </w:r>
      <w:r>
        <w:rPr>
          <w:color w:val="auto"/>
          <w:sz w:val="22"/>
          <w:szCs w:val="22"/>
          <w:highlight w:val="none"/>
        </w:rPr>
        <w:t>164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1.13 责任限制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_Toc54862190 \h </w:instrText>
      </w:r>
      <w:r>
        <w:rPr>
          <w:color w:val="auto"/>
          <w:sz w:val="22"/>
          <w:szCs w:val="22"/>
          <w:highlight w:val="none"/>
        </w:rPr>
        <w:fldChar w:fldCharType="separate"/>
      </w:r>
      <w:r>
        <w:rPr>
          <w:color w:val="auto"/>
          <w:sz w:val="22"/>
          <w:szCs w:val="22"/>
          <w:highlight w:val="none"/>
        </w:rPr>
        <w:t>164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1.14 建筑信息模型技术的应用</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_Toc54862191 \h </w:instrText>
      </w:r>
      <w:r>
        <w:rPr>
          <w:color w:val="auto"/>
          <w:sz w:val="22"/>
          <w:szCs w:val="22"/>
          <w:highlight w:val="none"/>
        </w:rPr>
        <w:fldChar w:fldCharType="separate"/>
      </w:r>
      <w:r>
        <w:rPr>
          <w:color w:val="auto"/>
          <w:sz w:val="22"/>
          <w:szCs w:val="22"/>
          <w:highlight w:val="none"/>
        </w:rPr>
        <w:t>164</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第2条 发包人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_Toc54862192 \h </w:instrText>
      </w:r>
      <w:r>
        <w:rPr>
          <w:color w:val="auto"/>
          <w:sz w:val="22"/>
          <w:szCs w:val="22"/>
          <w:highlight w:val="none"/>
        </w:rPr>
        <w:fldChar w:fldCharType="separate"/>
      </w:r>
      <w:r>
        <w:rPr>
          <w:color w:val="auto"/>
          <w:sz w:val="22"/>
          <w:szCs w:val="22"/>
          <w:highlight w:val="none"/>
        </w:rPr>
        <w:t>164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2.1 遵守法律</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_Toc54862193 \h </w:instrText>
      </w:r>
      <w:r>
        <w:rPr>
          <w:color w:val="auto"/>
          <w:sz w:val="22"/>
          <w:szCs w:val="22"/>
          <w:highlight w:val="none"/>
        </w:rPr>
        <w:fldChar w:fldCharType="separate"/>
      </w:r>
      <w:r>
        <w:rPr>
          <w:color w:val="auto"/>
          <w:sz w:val="22"/>
          <w:szCs w:val="22"/>
          <w:highlight w:val="none"/>
        </w:rPr>
        <w:t>164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2.2 提供施工现场和工作条件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_Toc54862194 \h </w:instrText>
      </w:r>
      <w:r>
        <w:rPr>
          <w:color w:val="auto"/>
          <w:sz w:val="22"/>
          <w:szCs w:val="22"/>
          <w:highlight w:val="none"/>
        </w:rPr>
        <w:fldChar w:fldCharType="separate"/>
      </w:r>
      <w:r>
        <w:rPr>
          <w:color w:val="auto"/>
          <w:sz w:val="22"/>
          <w:szCs w:val="22"/>
          <w:highlight w:val="none"/>
        </w:rPr>
        <w:t>164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2.3 提供基础资料</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_Toc54862198 \h </w:instrText>
      </w:r>
      <w:r>
        <w:rPr>
          <w:color w:val="auto"/>
          <w:sz w:val="22"/>
          <w:szCs w:val="22"/>
          <w:highlight w:val="none"/>
        </w:rPr>
        <w:fldChar w:fldCharType="separate"/>
      </w:r>
      <w:r>
        <w:rPr>
          <w:color w:val="auto"/>
          <w:sz w:val="22"/>
          <w:szCs w:val="22"/>
          <w:highlight w:val="none"/>
        </w:rPr>
        <w:t>165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2.4 办理许可和批准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_Toc54862199 \h </w:instrText>
      </w:r>
      <w:r>
        <w:rPr>
          <w:color w:val="auto"/>
          <w:sz w:val="22"/>
          <w:szCs w:val="22"/>
          <w:highlight w:val="none"/>
        </w:rPr>
        <w:fldChar w:fldCharType="separate"/>
      </w:r>
      <w:r>
        <w:rPr>
          <w:color w:val="auto"/>
          <w:sz w:val="22"/>
          <w:szCs w:val="22"/>
          <w:highlight w:val="none"/>
        </w:rPr>
        <w:t>165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2.5 支付合同价款</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_Toc54862200 \h </w:instrText>
      </w:r>
      <w:r>
        <w:rPr>
          <w:color w:val="auto"/>
          <w:sz w:val="22"/>
          <w:szCs w:val="22"/>
          <w:highlight w:val="none"/>
        </w:rPr>
        <w:fldChar w:fldCharType="separate"/>
      </w:r>
      <w:r>
        <w:rPr>
          <w:color w:val="auto"/>
          <w:sz w:val="22"/>
          <w:szCs w:val="22"/>
          <w:highlight w:val="none"/>
        </w:rPr>
        <w:t>166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2.6 现场管理配合</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_Toc54862201 \h </w:instrText>
      </w:r>
      <w:r>
        <w:rPr>
          <w:color w:val="auto"/>
          <w:sz w:val="22"/>
          <w:szCs w:val="22"/>
          <w:highlight w:val="none"/>
        </w:rPr>
        <w:fldChar w:fldCharType="separate"/>
      </w:r>
      <w:r>
        <w:rPr>
          <w:color w:val="auto"/>
          <w:sz w:val="22"/>
          <w:szCs w:val="22"/>
          <w:highlight w:val="none"/>
        </w:rPr>
        <w:t>166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2.7 其他义务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_Toc54862202 \h </w:instrText>
      </w:r>
      <w:r>
        <w:rPr>
          <w:color w:val="auto"/>
          <w:sz w:val="22"/>
          <w:szCs w:val="22"/>
          <w:highlight w:val="none"/>
        </w:rPr>
        <w:fldChar w:fldCharType="separate"/>
      </w:r>
      <w:r>
        <w:rPr>
          <w:color w:val="auto"/>
          <w:sz w:val="22"/>
          <w:szCs w:val="22"/>
          <w:highlight w:val="none"/>
        </w:rPr>
        <w:t>166</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第3条 发包人的管理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_Toc54862203 \h </w:instrText>
      </w:r>
      <w:r>
        <w:rPr>
          <w:color w:val="auto"/>
          <w:sz w:val="22"/>
          <w:szCs w:val="22"/>
          <w:highlight w:val="none"/>
        </w:rPr>
        <w:fldChar w:fldCharType="separate"/>
      </w:r>
      <w:r>
        <w:rPr>
          <w:color w:val="auto"/>
          <w:sz w:val="22"/>
          <w:szCs w:val="22"/>
          <w:highlight w:val="none"/>
        </w:rPr>
        <w:t>166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3.1 发包人代表</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_Toc54862204 \h </w:instrText>
      </w:r>
      <w:r>
        <w:rPr>
          <w:color w:val="auto"/>
          <w:sz w:val="22"/>
          <w:szCs w:val="22"/>
          <w:highlight w:val="none"/>
        </w:rPr>
        <w:fldChar w:fldCharType="separate"/>
      </w:r>
      <w:r>
        <w:rPr>
          <w:color w:val="auto"/>
          <w:sz w:val="22"/>
          <w:szCs w:val="22"/>
          <w:highlight w:val="none"/>
        </w:rPr>
        <w:t>166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3.2 发包人人员</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_Toc54862205 \h </w:instrText>
      </w:r>
      <w:r>
        <w:rPr>
          <w:color w:val="auto"/>
          <w:sz w:val="22"/>
          <w:szCs w:val="22"/>
          <w:highlight w:val="none"/>
        </w:rPr>
        <w:fldChar w:fldCharType="separate"/>
      </w:r>
      <w:r>
        <w:rPr>
          <w:color w:val="auto"/>
          <w:sz w:val="22"/>
          <w:szCs w:val="22"/>
          <w:highlight w:val="none"/>
        </w:rPr>
        <w:t>167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3.3 工程师</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_Toc54862206 \h </w:instrText>
      </w:r>
      <w:r>
        <w:rPr>
          <w:color w:val="auto"/>
          <w:sz w:val="22"/>
          <w:szCs w:val="22"/>
          <w:highlight w:val="none"/>
        </w:rPr>
        <w:fldChar w:fldCharType="separate"/>
      </w:r>
      <w:r>
        <w:rPr>
          <w:color w:val="auto"/>
          <w:sz w:val="22"/>
          <w:szCs w:val="22"/>
          <w:highlight w:val="none"/>
        </w:rPr>
        <w:t>167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3.4 任命和授权</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_Toc54862207 \h </w:instrText>
      </w:r>
      <w:r>
        <w:rPr>
          <w:color w:val="auto"/>
          <w:sz w:val="22"/>
          <w:szCs w:val="22"/>
          <w:highlight w:val="none"/>
        </w:rPr>
        <w:fldChar w:fldCharType="separate"/>
      </w:r>
      <w:r>
        <w:rPr>
          <w:color w:val="auto"/>
          <w:sz w:val="22"/>
          <w:szCs w:val="22"/>
          <w:highlight w:val="none"/>
        </w:rPr>
        <w:t>168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3.5 指示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_Toc54862208 \h </w:instrText>
      </w:r>
      <w:r>
        <w:rPr>
          <w:color w:val="auto"/>
          <w:sz w:val="22"/>
          <w:szCs w:val="22"/>
          <w:highlight w:val="none"/>
        </w:rPr>
        <w:fldChar w:fldCharType="separate"/>
      </w:r>
      <w:r>
        <w:rPr>
          <w:color w:val="auto"/>
          <w:sz w:val="22"/>
          <w:szCs w:val="22"/>
          <w:highlight w:val="none"/>
        </w:rPr>
        <w:t>168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3.6 商定或确定</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_Toc54862209 \h </w:instrText>
      </w:r>
      <w:r>
        <w:rPr>
          <w:color w:val="auto"/>
          <w:sz w:val="22"/>
          <w:szCs w:val="22"/>
          <w:highlight w:val="none"/>
        </w:rPr>
        <w:fldChar w:fldCharType="separate"/>
      </w:r>
      <w:r>
        <w:rPr>
          <w:color w:val="auto"/>
          <w:sz w:val="22"/>
          <w:szCs w:val="22"/>
          <w:highlight w:val="none"/>
        </w:rPr>
        <w:t>169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3.7 会议</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_Toc54862210 \h </w:instrText>
      </w:r>
      <w:r>
        <w:rPr>
          <w:color w:val="auto"/>
          <w:sz w:val="22"/>
          <w:szCs w:val="22"/>
          <w:highlight w:val="none"/>
        </w:rPr>
        <w:fldChar w:fldCharType="separate"/>
      </w:r>
      <w:r>
        <w:rPr>
          <w:color w:val="auto"/>
          <w:sz w:val="22"/>
          <w:szCs w:val="22"/>
          <w:highlight w:val="none"/>
        </w:rPr>
        <w:t>169</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第4条 承包人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_Toc54862211 \h </w:instrText>
      </w:r>
      <w:r>
        <w:rPr>
          <w:color w:val="auto"/>
          <w:sz w:val="22"/>
          <w:szCs w:val="22"/>
          <w:highlight w:val="none"/>
        </w:rPr>
        <w:fldChar w:fldCharType="separate"/>
      </w:r>
      <w:r>
        <w:rPr>
          <w:color w:val="auto"/>
          <w:sz w:val="22"/>
          <w:szCs w:val="22"/>
          <w:highlight w:val="none"/>
        </w:rPr>
        <w:t>170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4.1 承包人的一般义务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_Toc54862212 \h </w:instrText>
      </w:r>
      <w:r>
        <w:rPr>
          <w:color w:val="auto"/>
          <w:sz w:val="22"/>
          <w:szCs w:val="22"/>
          <w:highlight w:val="none"/>
        </w:rPr>
        <w:fldChar w:fldCharType="separate"/>
      </w:r>
      <w:r>
        <w:rPr>
          <w:color w:val="auto"/>
          <w:sz w:val="22"/>
          <w:szCs w:val="22"/>
          <w:highlight w:val="none"/>
        </w:rPr>
        <w:t>170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4.2 履约担保</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_Toc54862213 \h </w:instrText>
      </w:r>
      <w:r>
        <w:rPr>
          <w:color w:val="auto"/>
          <w:sz w:val="22"/>
          <w:szCs w:val="22"/>
          <w:highlight w:val="none"/>
        </w:rPr>
        <w:fldChar w:fldCharType="separate"/>
      </w:r>
      <w:r>
        <w:rPr>
          <w:color w:val="auto"/>
          <w:sz w:val="22"/>
          <w:szCs w:val="22"/>
          <w:highlight w:val="none"/>
        </w:rPr>
        <w:t>170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4.3 工程总承包项目经理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_Toc54862214 \h </w:instrText>
      </w:r>
      <w:r>
        <w:rPr>
          <w:color w:val="auto"/>
          <w:sz w:val="22"/>
          <w:szCs w:val="22"/>
          <w:highlight w:val="none"/>
        </w:rPr>
        <w:fldChar w:fldCharType="separate"/>
      </w:r>
      <w:r>
        <w:rPr>
          <w:color w:val="auto"/>
          <w:sz w:val="22"/>
          <w:szCs w:val="22"/>
          <w:highlight w:val="none"/>
        </w:rPr>
        <w:t>171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4.4 承包人人员</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_Toc54862215 \h </w:instrText>
      </w:r>
      <w:r>
        <w:rPr>
          <w:color w:val="auto"/>
          <w:sz w:val="22"/>
          <w:szCs w:val="22"/>
          <w:highlight w:val="none"/>
        </w:rPr>
        <w:fldChar w:fldCharType="separate"/>
      </w:r>
      <w:r>
        <w:rPr>
          <w:color w:val="auto"/>
          <w:sz w:val="22"/>
          <w:szCs w:val="22"/>
          <w:highlight w:val="none"/>
        </w:rPr>
        <w:t>172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4.5 分包</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_Toc54862216 \h </w:instrText>
      </w:r>
      <w:r>
        <w:rPr>
          <w:color w:val="auto"/>
          <w:sz w:val="22"/>
          <w:szCs w:val="22"/>
          <w:highlight w:val="none"/>
        </w:rPr>
        <w:fldChar w:fldCharType="separate"/>
      </w:r>
      <w:r>
        <w:rPr>
          <w:color w:val="auto"/>
          <w:sz w:val="22"/>
          <w:szCs w:val="22"/>
          <w:highlight w:val="none"/>
        </w:rPr>
        <w:t>173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4.6 联合体</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_Toc54862217 \h </w:instrText>
      </w:r>
      <w:r>
        <w:rPr>
          <w:color w:val="auto"/>
          <w:sz w:val="22"/>
          <w:szCs w:val="22"/>
          <w:highlight w:val="none"/>
        </w:rPr>
        <w:fldChar w:fldCharType="separate"/>
      </w:r>
      <w:r>
        <w:rPr>
          <w:color w:val="auto"/>
          <w:sz w:val="22"/>
          <w:szCs w:val="22"/>
          <w:highlight w:val="none"/>
        </w:rPr>
        <w:t>174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4.7 承包人现场查勘</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_Toc54862218 \h </w:instrText>
      </w:r>
      <w:r>
        <w:rPr>
          <w:color w:val="auto"/>
          <w:sz w:val="22"/>
          <w:szCs w:val="22"/>
          <w:highlight w:val="none"/>
        </w:rPr>
        <w:fldChar w:fldCharType="separate"/>
      </w:r>
      <w:r>
        <w:rPr>
          <w:color w:val="auto"/>
          <w:sz w:val="22"/>
          <w:szCs w:val="22"/>
          <w:highlight w:val="none"/>
        </w:rPr>
        <w:t>174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4.8 不可预见的困难</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_Toc54862219 \h </w:instrText>
      </w:r>
      <w:r>
        <w:rPr>
          <w:color w:val="auto"/>
          <w:sz w:val="22"/>
          <w:szCs w:val="22"/>
          <w:highlight w:val="none"/>
        </w:rPr>
        <w:fldChar w:fldCharType="separate"/>
      </w:r>
      <w:r>
        <w:rPr>
          <w:color w:val="auto"/>
          <w:sz w:val="22"/>
          <w:szCs w:val="22"/>
          <w:highlight w:val="none"/>
        </w:rPr>
        <w:t>175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4.9 工程质量管理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_Toc54862220 \h </w:instrText>
      </w:r>
      <w:r>
        <w:rPr>
          <w:color w:val="auto"/>
          <w:sz w:val="22"/>
          <w:szCs w:val="22"/>
          <w:highlight w:val="none"/>
        </w:rPr>
        <w:fldChar w:fldCharType="separate"/>
      </w:r>
      <w:r>
        <w:rPr>
          <w:color w:val="auto"/>
          <w:sz w:val="22"/>
          <w:szCs w:val="22"/>
          <w:highlight w:val="none"/>
        </w:rPr>
        <w:t>175</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第5条 设计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_Toc54862221 \h </w:instrText>
      </w:r>
      <w:r>
        <w:rPr>
          <w:color w:val="auto"/>
          <w:sz w:val="22"/>
          <w:szCs w:val="22"/>
          <w:highlight w:val="none"/>
        </w:rPr>
        <w:fldChar w:fldCharType="separate"/>
      </w:r>
      <w:r>
        <w:rPr>
          <w:color w:val="auto"/>
          <w:sz w:val="22"/>
          <w:szCs w:val="22"/>
          <w:highlight w:val="none"/>
        </w:rPr>
        <w:t>176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5.1 承包人的设计义务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_Toc54862222 \h </w:instrText>
      </w:r>
      <w:r>
        <w:rPr>
          <w:color w:val="auto"/>
          <w:sz w:val="22"/>
          <w:szCs w:val="22"/>
          <w:highlight w:val="none"/>
        </w:rPr>
        <w:fldChar w:fldCharType="separate"/>
      </w:r>
      <w:r>
        <w:rPr>
          <w:color w:val="auto"/>
          <w:sz w:val="22"/>
          <w:szCs w:val="22"/>
          <w:highlight w:val="none"/>
        </w:rPr>
        <w:t>176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5.2 承包人文件审查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_Toc54862223 \h </w:instrText>
      </w:r>
      <w:r>
        <w:rPr>
          <w:color w:val="auto"/>
          <w:sz w:val="22"/>
          <w:szCs w:val="22"/>
          <w:highlight w:val="none"/>
        </w:rPr>
        <w:fldChar w:fldCharType="separate"/>
      </w:r>
      <w:r>
        <w:rPr>
          <w:color w:val="auto"/>
          <w:sz w:val="22"/>
          <w:szCs w:val="22"/>
          <w:highlight w:val="none"/>
        </w:rPr>
        <w:t>176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5.3 培训</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_Toc54862224 \h </w:instrText>
      </w:r>
      <w:r>
        <w:rPr>
          <w:color w:val="auto"/>
          <w:sz w:val="22"/>
          <w:szCs w:val="22"/>
          <w:highlight w:val="none"/>
        </w:rPr>
        <w:fldChar w:fldCharType="separate"/>
      </w:r>
      <w:r>
        <w:rPr>
          <w:color w:val="auto"/>
          <w:sz w:val="22"/>
          <w:szCs w:val="22"/>
          <w:highlight w:val="none"/>
        </w:rPr>
        <w:t>178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5.4 竣工文件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_Toc54862225 \h </w:instrText>
      </w:r>
      <w:r>
        <w:rPr>
          <w:color w:val="auto"/>
          <w:sz w:val="22"/>
          <w:szCs w:val="22"/>
          <w:highlight w:val="none"/>
        </w:rPr>
        <w:fldChar w:fldCharType="separate"/>
      </w:r>
      <w:r>
        <w:rPr>
          <w:color w:val="auto"/>
          <w:sz w:val="22"/>
          <w:szCs w:val="22"/>
          <w:highlight w:val="none"/>
        </w:rPr>
        <w:t>178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5.5 操作和维修手册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_Toc54862226 \h </w:instrText>
      </w:r>
      <w:r>
        <w:rPr>
          <w:color w:val="auto"/>
          <w:sz w:val="22"/>
          <w:szCs w:val="22"/>
          <w:highlight w:val="none"/>
        </w:rPr>
        <w:fldChar w:fldCharType="separate"/>
      </w:r>
      <w:r>
        <w:rPr>
          <w:color w:val="auto"/>
          <w:sz w:val="22"/>
          <w:szCs w:val="22"/>
          <w:highlight w:val="none"/>
        </w:rPr>
        <w:t>178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5.6 承包人文件错误</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_Toc54862227 \h </w:instrText>
      </w:r>
      <w:r>
        <w:rPr>
          <w:color w:val="auto"/>
          <w:sz w:val="22"/>
          <w:szCs w:val="22"/>
          <w:highlight w:val="none"/>
        </w:rPr>
        <w:fldChar w:fldCharType="separate"/>
      </w:r>
      <w:r>
        <w:rPr>
          <w:color w:val="auto"/>
          <w:sz w:val="22"/>
          <w:szCs w:val="22"/>
          <w:highlight w:val="none"/>
        </w:rPr>
        <w:t>179</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第6条 材料、工程设备</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_Toc54862228 \h </w:instrText>
      </w:r>
      <w:r>
        <w:rPr>
          <w:color w:val="auto"/>
          <w:sz w:val="22"/>
          <w:szCs w:val="22"/>
          <w:highlight w:val="none"/>
        </w:rPr>
        <w:fldChar w:fldCharType="separate"/>
      </w:r>
      <w:r>
        <w:rPr>
          <w:color w:val="auto"/>
          <w:sz w:val="22"/>
          <w:szCs w:val="22"/>
          <w:highlight w:val="none"/>
        </w:rPr>
        <w:t>179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6.1 实施方法</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_Toc54862229 \h </w:instrText>
      </w:r>
      <w:r>
        <w:rPr>
          <w:color w:val="auto"/>
          <w:sz w:val="22"/>
          <w:szCs w:val="22"/>
          <w:highlight w:val="none"/>
        </w:rPr>
        <w:fldChar w:fldCharType="separate"/>
      </w:r>
      <w:r>
        <w:rPr>
          <w:color w:val="auto"/>
          <w:sz w:val="22"/>
          <w:szCs w:val="22"/>
          <w:highlight w:val="none"/>
        </w:rPr>
        <w:t>179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6.2 材料和工程设备</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_Toc54862230 \h </w:instrText>
      </w:r>
      <w:r>
        <w:rPr>
          <w:color w:val="auto"/>
          <w:sz w:val="22"/>
          <w:szCs w:val="22"/>
          <w:highlight w:val="none"/>
        </w:rPr>
        <w:fldChar w:fldCharType="separate"/>
      </w:r>
      <w:r>
        <w:rPr>
          <w:color w:val="auto"/>
          <w:sz w:val="22"/>
          <w:szCs w:val="22"/>
          <w:highlight w:val="none"/>
        </w:rPr>
        <w:t>179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6.3 样品</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_Toc54862231 \h </w:instrText>
      </w:r>
      <w:r>
        <w:rPr>
          <w:color w:val="auto"/>
          <w:sz w:val="22"/>
          <w:szCs w:val="22"/>
          <w:highlight w:val="none"/>
        </w:rPr>
        <w:fldChar w:fldCharType="separate"/>
      </w:r>
      <w:r>
        <w:rPr>
          <w:color w:val="auto"/>
          <w:sz w:val="22"/>
          <w:szCs w:val="22"/>
          <w:highlight w:val="none"/>
        </w:rPr>
        <w:t>181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6.4 质量检查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_Toc54862232 \h </w:instrText>
      </w:r>
      <w:r>
        <w:rPr>
          <w:color w:val="auto"/>
          <w:sz w:val="22"/>
          <w:szCs w:val="22"/>
          <w:highlight w:val="none"/>
        </w:rPr>
        <w:fldChar w:fldCharType="separate"/>
      </w:r>
      <w:r>
        <w:rPr>
          <w:color w:val="auto"/>
          <w:sz w:val="22"/>
          <w:szCs w:val="22"/>
          <w:highlight w:val="none"/>
        </w:rPr>
        <w:t>182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6.5 由承包人试验和检验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_Toc54862233 \h </w:instrText>
      </w:r>
      <w:r>
        <w:rPr>
          <w:color w:val="auto"/>
          <w:sz w:val="22"/>
          <w:szCs w:val="22"/>
          <w:highlight w:val="none"/>
        </w:rPr>
        <w:fldChar w:fldCharType="separate"/>
      </w:r>
      <w:r>
        <w:rPr>
          <w:color w:val="auto"/>
          <w:sz w:val="22"/>
          <w:szCs w:val="22"/>
          <w:highlight w:val="none"/>
        </w:rPr>
        <w:t>183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6.6 缺陷和修补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_Toc54862234 \h </w:instrText>
      </w:r>
      <w:r>
        <w:rPr>
          <w:color w:val="auto"/>
          <w:sz w:val="22"/>
          <w:szCs w:val="22"/>
          <w:highlight w:val="none"/>
        </w:rPr>
        <w:fldChar w:fldCharType="separate"/>
      </w:r>
      <w:r>
        <w:rPr>
          <w:color w:val="auto"/>
          <w:sz w:val="22"/>
          <w:szCs w:val="22"/>
          <w:highlight w:val="none"/>
        </w:rPr>
        <w:t>184</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第7条 施工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_Toc54862235 \h </w:instrText>
      </w:r>
      <w:r>
        <w:rPr>
          <w:color w:val="auto"/>
          <w:sz w:val="22"/>
          <w:szCs w:val="22"/>
          <w:highlight w:val="none"/>
        </w:rPr>
        <w:fldChar w:fldCharType="separate"/>
      </w:r>
      <w:r>
        <w:rPr>
          <w:color w:val="auto"/>
          <w:sz w:val="22"/>
          <w:szCs w:val="22"/>
          <w:highlight w:val="none"/>
        </w:rPr>
        <w:t>185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7.1 交通运输</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_Toc54862236 \h </w:instrText>
      </w:r>
      <w:r>
        <w:rPr>
          <w:color w:val="auto"/>
          <w:sz w:val="22"/>
          <w:szCs w:val="22"/>
          <w:highlight w:val="none"/>
        </w:rPr>
        <w:fldChar w:fldCharType="separate"/>
      </w:r>
      <w:r>
        <w:rPr>
          <w:color w:val="auto"/>
          <w:sz w:val="22"/>
          <w:szCs w:val="22"/>
          <w:highlight w:val="none"/>
        </w:rPr>
        <w:t>185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7.2 施工设备和临时设施</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_Toc54862237 \h </w:instrText>
      </w:r>
      <w:r>
        <w:rPr>
          <w:color w:val="auto"/>
          <w:sz w:val="22"/>
          <w:szCs w:val="22"/>
          <w:highlight w:val="none"/>
        </w:rPr>
        <w:fldChar w:fldCharType="separate"/>
      </w:r>
      <w:r>
        <w:rPr>
          <w:color w:val="auto"/>
          <w:sz w:val="22"/>
          <w:szCs w:val="22"/>
          <w:highlight w:val="none"/>
        </w:rPr>
        <w:t>186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7.3 现场合作</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_Toc54862238 \h </w:instrText>
      </w:r>
      <w:r>
        <w:rPr>
          <w:color w:val="auto"/>
          <w:sz w:val="22"/>
          <w:szCs w:val="22"/>
          <w:highlight w:val="none"/>
        </w:rPr>
        <w:fldChar w:fldCharType="separate"/>
      </w:r>
      <w:r>
        <w:rPr>
          <w:color w:val="auto"/>
          <w:sz w:val="22"/>
          <w:szCs w:val="22"/>
          <w:highlight w:val="none"/>
        </w:rPr>
        <w:t>186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7.4 测量放线</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_Toc54862239 \h </w:instrText>
      </w:r>
      <w:r>
        <w:rPr>
          <w:color w:val="auto"/>
          <w:sz w:val="22"/>
          <w:szCs w:val="22"/>
          <w:highlight w:val="none"/>
        </w:rPr>
        <w:fldChar w:fldCharType="separate"/>
      </w:r>
      <w:r>
        <w:rPr>
          <w:color w:val="auto"/>
          <w:sz w:val="22"/>
          <w:szCs w:val="22"/>
          <w:highlight w:val="none"/>
        </w:rPr>
        <w:t>187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7.5 现场劳动用工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_Toc54862240 \h </w:instrText>
      </w:r>
      <w:r>
        <w:rPr>
          <w:color w:val="auto"/>
          <w:sz w:val="22"/>
          <w:szCs w:val="22"/>
          <w:highlight w:val="none"/>
        </w:rPr>
        <w:fldChar w:fldCharType="separate"/>
      </w:r>
      <w:r>
        <w:rPr>
          <w:color w:val="auto"/>
          <w:sz w:val="22"/>
          <w:szCs w:val="22"/>
          <w:highlight w:val="none"/>
        </w:rPr>
        <w:t>187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7.6 安全文明施工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_Toc54862241 \h </w:instrText>
      </w:r>
      <w:r>
        <w:rPr>
          <w:color w:val="auto"/>
          <w:sz w:val="22"/>
          <w:szCs w:val="22"/>
          <w:highlight w:val="none"/>
        </w:rPr>
        <w:fldChar w:fldCharType="separate"/>
      </w:r>
      <w:r>
        <w:rPr>
          <w:color w:val="auto"/>
          <w:sz w:val="22"/>
          <w:szCs w:val="22"/>
          <w:highlight w:val="none"/>
        </w:rPr>
        <w:t>188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7.7 职业健康</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_Toc54862242 \h </w:instrText>
      </w:r>
      <w:r>
        <w:rPr>
          <w:color w:val="auto"/>
          <w:sz w:val="22"/>
          <w:szCs w:val="22"/>
          <w:highlight w:val="none"/>
        </w:rPr>
        <w:fldChar w:fldCharType="separate"/>
      </w:r>
      <w:r>
        <w:rPr>
          <w:color w:val="auto"/>
          <w:sz w:val="22"/>
          <w:szCs w:val="22"/>
          <w:highlight w:val="none"/>
        </w:rPr>
        <w:t>189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7.8 环境保护</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_Toc54862243 \h </w:instrText>
      </w:r>
      <w:r>
        <w:rPr>
          <w:color w:val="auto"/>
          <w:sz w:val="22"/>
          <w:szCs w:val="22"/>
          <w:highlight w:val="none"/>
        </w:rPr>
        <w:fldChar w:fldCharType="separate"/>
      </w:r>
      <w:r>
        <w:rPr>
          <w:color w:val="auto"/>
          <w:sz w:val="22"/>
          <w:szCs w:val="22"/>
          <w:highlight w:val="none"/>
        </w:rPr>
        <w:t>190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7.9 临时性公用设施</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_Toc54862244 \h </w:instrText>
      </w:r>
      <w:r>
        <w:rPr>
          <w:color w:val="auto"/>
          <w:sz w:val="22"/>
          <w:szCs w:val="22"/>
          <w:highlight w:val="none"/>
        </w:rPr>
        <w:fldChar w:fldCharType="separate"/>
      </w:r>
      <w:r>
        <w:rPr>
          <w:color w:val="auto"/>
          <w:sz w:val="22"/>
          <w:szCs w:val="22"/>
          <w:highlight w:val="none"/>
        </w:rPr>
        <w:t>191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7.10 现场安保</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_Toc54862245 \h </w:instrText>
      </w:r>
      <w:r>
        <w:rPr>
          <w:color w:val="auto"/>
          <w:sz w:val="22"/>
          <w:szCs w:val="22"/>
          <w:highlight w:val="none"/>
        </w:rPr>
        <w:fldChar w:fldCharType="separate"/>
      </w:r>
      <w:r>
        <w:rPr>
          <w:color w:val="auto"/>
          <w:sz w:val="22"/>
          <w:szCs w:val="22"/>
          <w:highlight w:val="none"/>
        </w:rPr>
        <w:t>191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7.11 工程照管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_Toc54862246 \h </w:instrText>
      </w:r>
      <w:r>
        <w:rPr>
          <w:color w:val="auto"/>
          <w:sz w:val="22"/>
          <w:szCs w:val="22"/>
          <w:highlight w:val="none"/>
        </w:rPr>
        <w:fldChar w:fldCharType="separate"/>
      </w:r>
      <w:r>
        <w:rPr>
          <w:color w:val="auto"/>
          <w:sz w:val="22"/>
          <w:szCs w:val="22"/>
          <w:highlight w:val="none"/>
        </w:rPr>
        <w:t>192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第8条 工期和进度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_Toc54862247 \h </w:instrText>
      </w:r>
      <w:r>
        <w:rPr>
          <w:color w:val="auto"/>
          <w:sz w:val="22"/>
          <w:szCs w:val="22"/>
          <w:highlight w:val="none"/>
        </w:rPr>
        <w:fldChar w:fldCharType="separate"/>
      </w:r>
      <w:r>
        <w:rPr>
          <w:color w:val="auto"/>
          <w:sz w:val="22"/>
          <w:szCs w:val="22"/>
          <w:highlight w:val="none"/>
        </w:rPr>
        <w:t>192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8.1 开始工作</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_Toc54862248 \h </w:instrText>
      </w:r>
      <w:r>
        <w:rPr>
          <w:color w:val="auto"/>
          <w:sz w:val="22"/>
          <w:szCs w:val="22"/>
          <w:highlight w:val="none"/>
        </w:rPr>
        <w:fldChar w:fldCharType="separate"/>
      </w:r>
      <w:r>
        <w:rPr>
          <w:color w:val="auto"/>
          <w:sz w:val="22"/>
          <w:szCs w:val="22"/>
          <w:highlight w:val="none"/>
        </w:rPr>
        <w:t>192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8.2 竣工日期</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_Toc54862249 \h </w:instrText>
      </w:r>
      <w:r>
        <w:rPr>
          <w:color w:val="auto"/>
          <w:sz w:val="22"/>
          <w:szCs w:val="22"/>
          <w:highlight w:val="none"/>
        </w:rPr>
        <w:fldChar w:fldCharType="separate"/>
      </w:r>
      <w:r>
        <w:rPr>
          <w:color w:val="auto"/>
          <w:sz w:val="22"/>
          <w:szCs w:val="22"/>
          <w:highlight w:val="none"/>
        </w:rPr>
        <w:t>192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8.3 项目实施计划</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_Toc54862250 \h </w:instrText>
      </w:r>
      <w:r>
        <w:rPr>
          <w:color w:val="auto"/>
          <w:sz w:val="22"/>
          <w:szCs w:val="22"/>
          <w:highlight w:val="none"/>
        </w:rPr>
        <w:fldChar w:fldCharType="separate"/>
      </w:r>
      <w:r>
        <w:rPr>
          <w:color w:val="auto"/>
          <w:sz w:val="22"/>
          <w:szCs w:val="22"/>
          <w:highlight w:val="none"/>
        </w:rPr>
        <w:t>192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8.4 项目进度计划</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_Toc54862251 \h </w:instrText>
      </w:r>
      <w:r>
        <w:rPr>
          <w:color w:val="auto"/>
          <w:sz w:val="22"/>
          <w:szCs w:val="22"/>
          <w:highlight w:val="none"/>
        </w:rPr>
        <w:fldChar w:fldCharType="separate"/>
      </w:r>
      <w:r>
        <w:rPr>
          <w:color w:val="auto"/>
          <w:sz w:val="22"/>
          <w:szCs w:val="22"/>
          <w:highlight w:val="none"/>
        </w:rPr>
        <w:t>193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8.5 进度报告</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_Toc54862252 \h </w:instrText>
      </w:r>
      <w:r>
        <w:rPr>
          <w:color w:val="auto"/>
          <w:sz w:val="22"/>
          <w:szCs w:val="22"/>
          <w:highlight w:val="none"/>
        </w:rPr>
        <w:fldChar w:fldCharType="separate"/>
      </w:r>
      <w:r>
        <w:rPr>
          <w:color w:val="auto"/>
          <w:sz w:val="22"/>
          <w:szCs w:val="22"/>
          <w:highlight w:val="none"/>
        </w:rPr>
        <w:t>194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8.6 提前预警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_Toc54862253 \h </w:instrText>
      </w:r>
      <w:r>
        <w:rPr>
          <w:color w:val="auto"/>
          <w:sz w:val="22"/>
          <w:szCs w:val="22"/>
          <w:highlight w:val="none"/>
        </w:rPr>
        <w:fldChar w:fldCharType="separate"/>
      </w:r>
      <w:r>
        <w:rPr>
          <w:color w:val="auto"/>
          <w:sz w:val="22"/>
          <w:szCs w:val="22"/>
          <w:highlight w:val="none"/>
        </w:rPr>
        <w:t>194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8.7 工期延误</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_Toc54862254 \h </w:instrText>
      </w:r>
      <w:r>
        <w:rPr>
          <w:color w:val="auto"/>
          <w:sz w:val="22"/>
          <w:szCs w:val="22"/>
          <w:highlight w:val="none"/>
        </w:rPr>
        <w:fldChar w:fldCharType="separate"/>
      </w:r>
      <w:r>
        <w:rPr>
          <w:color w:val="auto"/>
          <w:sz w:val="22"/>
          <w:szCs w:val="22"/>
          <w:highlight w:val="none"/>
        </w:rPr>
        <w:t>194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8.8 工期提前</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_Toc54862255 \h </w:instrText>
      </w:r>
      <w:r>
        <w:rPr>
          <w:color w:val="auto"/>
          <w:sz w:val="22"/>
          <w:szCs w:val="22"/>
          <w:highlight w:val="none"/>
        </w:rPr>
        <w:fldChar w:fldCharType="separate"/>
      </w:r>
      <w:r>
        <w:rPr>
          <w:color w:val="auto"/>
          <w:sz w:val="22"/>
          <w:szCs w:val="22"/>
          <w:highlight w:val="none"/>
        </w:rPr>
        <w:t>195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8.9 暂停工作</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_Toc54862256 \h </w:instrText>
      </w:r>
      <w:r>
        <w:rPr>
          <w:color w:val="auto"/>
          <w:sz w:val="22"/>
          <w:szCs w:val="22"/>
          <w:highlight w:val="none"/>
        </w:rPr>
        <w:fldChar w:fldCharType="separate"/>
      </w:r>
      <w:r>
        <w:rPr>
          <w:color w:val="auto"/>
          <w:sz w:val="22"/>
          <w:szCs w:val="22"/>
          <w:highlight w:val="none"/>
        </w:rPr>
        <w:t>196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8.10 复工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_Toc54862257 \h </w:instrText>
      </w:r>
      <w:r>
        <w:rPr>
          <w:color w:val="auto"/>
          <w:sz w:val="22"/>
          <w:szCs w:val="22"/>
          <w:highlight w:val="none"/>
        </w:rPr>
        <w:fldChar w:fldCharType="separate"/>
      </w:r>
      <w:r>
        <w:rPr>
          <w:color w:val="auto"/>
          <w:sz w:val="22"/>
          <w:szCs w:val="22"/>
          <w:highlight w:val="none"/>
        </w:rPr>
        <w:t>197</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第9条 竣工试验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_Toc54862258 \h </w:instrText>
      </w:r>
      <w:r>
        <w:rPr>
          <w:color w:val="auto"/>
          <w:sz w:val="22"/>
          <w:szCs w:val="22"/>
          <w:highlight w:val="none"/>
        </w:rPr>
        <w:fldChar w:fldCharType="separate"/>
      </w:r>
      <w:r>
        <w:rPr>
          <w:color w:val="auto"/>
          <w:sz w:val="22"/>
          <w:szCs w:val="22"/>
          <w:highlight w:val="none"/>
        </w:rPr>
        <w:t>197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9.1 竣工试验的义务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_Toc54862259 \h </w:instrText>
      </w:r>
      <w:r>
        <w:rPr>
          <w:color w:val="auto"/>
          <w:sz w:val="22"/>
          <w:szCs w:val="22"/>
          <w:highlight w:val="none"/>
        </w:rPr>
        <w:fldChar w:fldCharType="separate"/>
      </w:r>
      <w:r>
        <w:rPr>
          <w:color w:val="auto"/>
          <w:sz w:val="22"/>
          <w:szCs w:val="22"/>
          <w:highlight w:val="none"/>
        </w:rPr>
        <w:t>197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9.2 延误的试验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_Toc54862260 \h </w:instrText>
      </w:r>
      <w:r>
        <w:rPr>
          <w:color w:val="auto"/>
          <w:sz w:val="22"/>
          <w:szCs w:val="22"/>
          <w:highlight w:val="none"/>
        </w:rPr>
        <w:fldChar w:fldCharType="separate"/>
      </w:r>
      <w:r>
        <w:rPr>
          <w:color w:val="auto"/>
          <w:sz w:val="22"/>
          <w:szCs w:val="22"/>
          <w:highlight w:val="none"/>
        </w:rPr>
        <w:t>198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9.3 重新试验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_Toc54862261 \h </w:instrText>
      </w:r>
      <w:r>
        <w:rPr>
          <w:color w:val="auto"/>
          <w:sz w:val="22"/>
          <w:szCs w:val="22"/>
          <w:highlight w:val="none"/>
        </w:rPr>
        <w:fldChar w:fldCharType="separate"/>
      </w:r>
      <w:r>
        <w:rPr>
          <w:color w:val="auto"/>
          <w:sz w:val="22"/>
          <w:szCs w:val="22"/>
          <w:highlight w:val="none"/>
        </w:rPr>
        <w:t>198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9.4 未能通过竣工试验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_Toc54862262 \h </w:instrText>
      </w:r>
      <w:r>
        <w:rPr>
          <w:color w:val="auto"/>
          <w:sz w:val="22"/>
          <w:szCs w:val="22"/>
          <w:highlight w:val="none"/>
        </w:rPr>
        <w:fldChar w:fldCharType="separate"/>
      </w:r>
      <w:r>
        <w:rPr>
          <w:color w:val="auto"/>
          <w:sz w:val="22"/>
          <w:szCs w:val="22"/>
          <w:highlight w:val="none"/>
        </w:rPr>
        <w:t>199</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第10条 验收和工程接收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_Toc54862263 \h </w:instrText>
      </w:r>
      <w:r>
        <w:rPr>
          <w:color w:val="auto"/>
          <w:sz w:val="22"/>
          <w:szCs w:val="22"/>
          <w:highlight w:val="none"/>
        </w:rPr>
        <w:fldChar w:fldCharType="separate"/>
      </w:r>
      <w:r>
        <w:rPr>
          <w:color w:val="auto"/>
          <w:sz w:val="22"/>
          <w:szCs w:val="22"/>
          <w:highlight w:val="none"/>
        </w:rPr>
        <w:t>199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10.1 竣工验收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_Toc54862264 \h </w:instrText>
      </w:r>
      <w:r>
        <w:rPr>
          <w:color w:val="auto"/>
          <w:sz w:val="22"/>
          <w:szCs w:val="22"/>
          <w:highlight w:val="none"/>
        </w:rPr>
        <w:fldChar w:fldCharType="separate"/>
      </w:r>
      <w:r>
        <w:rPr>
          <w:color w:val="auto"/>
          <w:sz w:val="22"/>
          <w:szCs w:val="22"/>
          <w:highlight w:val="none"/>
        </w:rPr>
        <w:t>199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10.2 单位/区段工程的验收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_Toc54862265 \h </w:instrText>
      </w:r>
      <w:r>
        <w:rPr>
          <w:color w:val="auto"/>
          <w:sz w:val="22"/>
          <w:szCs w:val="22"/>
          <w:highlight w:val="none"/>
        </w:rPr>
        <w:fldChar w:fldCharType="separate"/>
      </w:r>
      <w:r>
        <w:rPr>
          <w:color w:val="auto"/>
          <w:sz w:val="22"/>
          <w:szCs w:val="22"/>
          <w:highlight w:val="none"/>
        </w:rPr>
        <w:t>200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10.3 工程的接收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_Toc54862266 \h </w:instrText>
      </w:r>
      <w:r>
        <w:rPr>
          <w:color w:val="auto"/>
          <w:sz w:val="22"/>
          <w:szCs w:val="22"/>
          <w:highlight w:val="none"/>
        </w:rPr>
        <w:fldChar w:fldCharType="separate"/>
      </w:r>
      <w:r>
        <w:rPr>
          <w:color w:val="auto"/>
          <w:sz w:val="22"/>
          <w:szCs w:val="22"/>
          <w:highlight w:val="none"/>
        </w:rPr>
        <w:t>201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10.4 接收证书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_Toc54862267 \h </w:instrText>
      </w:r>
      <w:r>
        <w:rPr>
          <w:color w:val="auto"/>
          <w:sz w:val="22"/>
          <w:szCs w:val="22"/>
          <w:highlight w:val="none"/>
        </w:rPr>
        <w:fldChar w:fldCharType="separate"/>
      </w:r>
      <w:r>
        <w:rPr>
          <w:color w:val="auto"/>
          <w:sz w:val="22"/>
          <w:szCs w:val="22"/>
          <w:highlight w:val="none"/>
        </w:rPr>
        <w:t>201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10.5 竣工退场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_Toc54862268 \h </w:instrText>
      </w:r>
      <w:r>
        <w:rPr>
          <w:color w:val="auto"/>
          <w:sz w:val="22"/>
          <w:szCs w:val="22"/>
          <w:highlight w:val="none"/>
        </w:rPr>
        <w:fldChar w:fldCharType="separate"/>
      </w:r>
      <w:r>
        <w:rPr>
          <w:color w:val="auto"/>
          <w:sz w:val="22"/>
          <w:szCs w:val="22"/>
          <w:highlight w:val="none"/>
        </w:rPr>
        <w:t>202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第11条 缺陷责任与保修</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_Toc54862269 \h </w:instrText>
      </w:r>
      <w:r>
        <w:rPr>
          <w:color w:val="auto"/>
          <w:sz w:val="22"/>
          <w:szCs w:val="22"/>
          <w:highlight w:val="none"/>
        </w:rPr>
        <w:fldChar w:fldCharType="separate"/>
      </w:r>
      <w:r>
        <w:rPr>
          <w:color w:val="auto"/>
          <w:sz w:val="22"/>
          <w:szCs w:val="22"/>
          <w:highlight w:val="none"/>
        </w:rPr>
        <w:t>202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11.1 工程保修的原则</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_Toc54862270 \h </w:instrText>
      </w:r>
      <w:r>
        <w:rPr>
          <w:color w:val="auto"/>
          <w:sz w:val="22"/>
          <w:szCs w:val="22"/>
          <w:highlight w:val="none"/>
        </w:rPr>
        <w:fldChar w:fldCharType="separate"/>
      </w:r>
      <w:r>
        <w:rPr>
          <w:color w:val="auto"/>
          <w:sz w:val="22"/>
          <w:szCs w:val="22"/>
          <w:highlight w:val="none"/>
        </w:rPr>
        <w:t>202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11.2 缺陷责任期</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_Toc54862271 \h </w:instrText>
      </w:r>
      <w:r>
        <w:rPr>
          <w:color w:val="auto"/>
          <w:sz w:val="22"/>
          <w:szCs w:val="22"/>
          <w:highlight w:val="none"/>
        </w:rPr>
        <w:fldChar w:fldCharType="separate"/>
      </w:r>
      <w:r>
        <w:rPr>
          <w:color w:val="auto"/>
          <w:sz w:val="22"/>
          <w:szCs w:val="22"/>
          <w:highlight w:val="none"/>
        </w:rPr>
        <w:t>203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11.3 缺陷调查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_Toc54862272 \h </w:instrText>
      </w:r>
      <w:r>
        <w:rPr>
          <w:color w:val="auto"/>
          <w:sz w:val="22"/>
          <w:szCs w:val="22"/>
          <w:highlight w:val="none"/>
        </w:rPr>
        <w:fldChar w:fldCharType="separate"/>
      </w:r>
      <w:r>
        <w:rPr>
          <w:color w:val="auto"/>
          <w:sz w:val="22"/>
          <w:szCs w:val="22"/>
          <w:highlight w:val="none"/>
        </w:rPr>
        <w:t>203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11.4 缺陷修复后的进一步试验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_Toc54862273 \h </w:instrText>
      </w:r>
      <w:r>
        <w:rPr>
          <w:color w:val="auto"/>
          <w:sz w:val="22"/>
          <w:szCs w:val="22"/>
          <w:highlight w:val="none"/>
        </w:rPr>
        <w:fldChar w:fldCharType="separate"/>
      </w:r>
      <w:r>
        <w:rPr>
          <w:color w:val="auto"/>
          <w:sz w:val="22"/>
          <w:szCs w:val="22"/>
          <w:highlight w:val="none"/>
        </w:rPr>
        <w:t>204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11.5 承包人出入权</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_Toc54862274 \h </w:instrText>
      </w:r>
      <w:r>
        <w:rPr>
          <w:color w:val="auto"/>
          <w:sz w:val="22"/>
          <w:szCs w:val="22"/>
          <w:highlight w:val="none"/>
        </w:rPr>
        <w:fldChar w:fldCharType="separate"/>
      </w:r>
      <w:r>
        <w:rPr>
          <w:color w:val="auto"/>
          <w:sz w:val="22"/>
          <w:szCs w:val="22"/>
          <w:highlight w:val="none"/>
        </w:rPr>
        <w:t>204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11.6 缺陷责任期终止证书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_Toc54862275 \h </w:instrText>
      </w:r>
      <w:r>
        <w:rPr>
          <w:color w:val="auto"/>
          <w:sz w:val="22"/>
          <w:szCs w:val="22"/>
          <w:highlight w:val="none"/>
        </w:rPr>
        <w:fldChar w:fldCharType="separate"/>
      </w:r>
      <w:r>
        <w:rPr>
          <w:color w:val="auto"/>
          <w:sz w:val="22"/>
          <w:szCs w:val="22"/>
          <w:highlight w:val="none"/>
        </w:rPr>
        <w:t>205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11.7 保修责任</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_Toc54862276 \h </w:instrText>
      </w:r>
      <w:r>
        <w:rPr>
          <w:color w:val="auto"/>
          <w:sz w:val="22"/>
          <w:szCs w:val="22"/>
          <w:highlight w:val="none"/>
        </w:rPr>
        <w:fldChar w:fldCharType="separate"/>
      </w:r>
      <w:r>
        <w:rPr>
          <w:color w:val="auto"/>
          <w:sz w:val="22"/>
          <w:szCs w:val="22"/>
          <w:highlight w:val="none"/>
        </w:rPr>
        <w:t>205</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第12条 竣工后试验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_Toc54862277 \h </w:instrText>
      </w:r>
      <w:r>
        <w:rPr>
          <w:color w:val="auto"/>
          <w:sz w:val="22"/>
          <w:szCs w:val="22"/>
          <w:highlight w:val="none"/>
        </w:rPr>
        <w:fldChar w:fldCharType="separate"/>
      </w:r>
      <w:r>
        <w:rPr>
          <w:color w:val="auto"/>
          <w:sz w:val="22"/>
          <w:szCs w:val="22"/>
          <w:highlight w:val="none"/>
        </w:rPr>
        <w:t>205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12.1 竣工后试验的程序</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_Toc54862278 \h </w:instrText>
      </w:r>
      <w:r>
        <w:rPr>
          <w:color w:val="auto"/>
          <w:sz w:val="22"/>
          <w:szCs w:val="22"/>
          <w:highlight w:val="none"/>
        </w:rPr>
        <w:fldChar w:fldCharType="separate"/>
      </w:r>
      <w:r>
        <w:rPr>
          <w:color w:val="auto"/>
          <w:sz w:val="22"/>
          <w:szCs w:val="22"/>
          <w:highlight w:val="none"/>
        </w:rPr>
        <w:t>205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12.2 延误的试验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_Toc54862279 \h </w:instrText>
      </w:r>
      <w:r>
        <w:rPr>
          <w:color w:val="auto"/>
          <w:sz w:val="22"/>
          <w:szCs w:val="22"/>
          <w:highlight w:val="none"/>
        </w:rPr>
        <w:fldChar w:fldCharType="separate"/>
      </w:r>
      <w:r>
        <w:rPr>
          <w:color w:val="auto"/>
          <w:sz w:val="22"/>
          <w:szCs w:val="22"/>
          <w:highlight w:val="none"/>
        </w:rPr>
        <w:t>206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12.3 重新试验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_Toc54862280 \h </w:instrText>
      </w:r>
      <w:r>
        <w:rPr>
          <w:color w:val="auto"/>
          <w:sz w:val="22"/>
          <w:szCs w:val="22"/>
          <w:highlight w:val="none"/>
        </w:rPr>
        <w:fldChar w:fldCharType="separate"/>
      </w:r>
      <w:r>
        <w:rPr>
          <w:color w:val="auto"/>
          <w:sz w:val="22"/>
          <w:szCs w:val="22"/>
          <w:highlight w:val="none"/>
        </w:rPr>
        <w:t>206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12.4 未能通过竣工后试验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_Toc54862281 \h </w:instrText>
      </w:r>
      <w:r>
        <w:rPr>
          <w:color w:val="auto"/>
          <w:sz w:val="22"/>
          <w:szCs w:val="22"/>
          <w:highlight w:val="none"/>
        </w:rPr>
        <w:fldChar w:fldCharType="separate"/>
      </w:r>
      <w:r>
        <w:rPr>
          <w:color w:val="auto"/>
          <w:sz w:val="22"/>
          <w:szCs w:val="22"/>
          <w:highlight w:val="none"/>
        </w:rPr>
        <w:t>206</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第13条 变更与调整</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_Toc54862282 \h </w:instrText>
      </w:r>
      <w:r>
        <w:rPr>
          <w:color w:val="auto"/>
          <w:sz w:val="22"/>
          <w:szCs w:val="22"/>
          <w:highlight w:val="none"/>
        </w:rPr>
        <w:fldChar w:fldCharType="separate"/>
      </w:r>
      <w:r>
        <w:rPr>
          <w:color w:val="auto"/>
          <w:sz w:val="22"/>
          <w:szCs w:val="22"/>
          <w:highlight w:val="none"/>
        </w:rPr>
        <w:t>206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13.1 发包人变更权</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_Toc54862283 \h </w:instrText>
      </w:r>
      <w:r>
        <w:rPr>
          <w:color w:val="auto"/>
          <w:sz w:val="22"/>
          <w:szCs w:val="22"/>
          <w:highlight w:val="none"/>
        </w:rPr>
        <w:fldChar w:fldCharType="separate"/>
      </w:r>
      <w:r>
        <w:rPr>
          <w:color w:val="auto"/>
          <w:sz w:val="22"/>
          <w:szCs w:val="22"/>
          <w:highlight w:val="none"/>
        </w:rPr>
        <w:t>206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13.2 承包人的合理化建议</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_Toc54862284 \h </w:instrText>
      </w:r>
      <w:r>
        <w:rPr>
          <w:color w:val="auto"/>
          <w:sz w:val="22"/>
          <w:szCs w:val="22"/>
          <w:highlight w:val="none"/>
        </w:rPr>
        <w:fldChar w:fldCharType="separate"/>
      </w:r>
      <w:r>
        <w:rPr>
          <w:color w:val="auto"/>
          <w:sz w:val="22"/>
          <w:szCs w:val="22"/>
          <w:highlight w:val="none"/>
        </w:rPr>
        <w:t>207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13.3 变更程序</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_Toc54862285 \h </w:instrText>
      </w:r>
      <w:r>
        <w:rPr>
          <w:color w:val="auto"/>
          <w:sz w:val="22"/>
          <w:szCs w:val="22"/>
          <w:highlight w:val="none"/>
        </w:rPr>
        <w:fldChar w:fldCharType="separate"/>
      </w:r>
      <w:r>
        <w:rPr>
          <w:color w:val="auto"/>
          <w:sz w:val="22"/>
          <w:szCs w:val="22"/>
          <w:highlight w:val="none"/>
        </w:rPr>
        <w:t>207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13.4 暂估价</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_Toc54862286 \h </w:instrText>
      </w:r>
      <w:r>
        <w:rPr>
          <w:color w:val="auto"/>
          <w:sz w:val="22"/>
          <w:szCs w:val="22"/>
          <w:highlight w:val="none"/>
        </w:rPr>
        <w:fldChar w:fldCharType="separate"/>
      </w:r>
      <w:r>
        <w:rPr>
          <w:color w:val="auto"/>
          <w:sz w:val="22"/>
          <w:szCs w:val="22"/>
          <w:highlight w:val="none"/>
        </w:rPr>
        <w:t>208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13.5 暂列金额</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_Toc54862287 \h </w:instrText>
      </w:r>
      <w:r>
        <w:rPr>
          <w:color w:val="auto"/>
          <w:sz w:val="22"/>
          <w:szCs w:val="22"/>
          <w:highlight w:val="none"/>
        </w:rPr>
        <w:fldChar w:fldCharType="separate"/>
      </w:r>
      <w:r>
        <w:rPr>
          <w:color w:val="auto"/>
          <w:sz w:val="22"/>
          <w:szCs w:val="22"/>
          <w:highlight w:val="none"/>
        </w:rPr>
        <w:t>209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13.6 计日工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_Toc54862288 \h </w:instrText>
      </w:r>
      <w:r>
        <w:rPr>
          <w:color w:val="auto"/>
          <w:sz w:val="22"/>
          <w:szCs w:val="22"/>
          <w:highlight w:val="none"/>
        </w:rPr>
        <w:fldChar w:fldCharType="separate"/>
      </w:r>
      <w:r>
        <w:rPr>
          <w:color w:val="auto"/>
          <w:sz w:val="22"/>
          <w:szCs w:val="22"/>
          <w:highlight w:val="none"/>
        </w:rPr>
        <w:t>209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13.7 法律变化引起的调整</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_Toc54862289 \h </w:instrText>
      </w:r>
      <w:r>
        <w:rPr>
          <w:color w:val="auto"/>
          <w:sz w:val="22"/>
          <w:szCs w:val="22"/>
          <w:highlight w:val="none"/>
        </w:rPr>
        <w:fldChar w:fldCharType="separate"/>
      </w:r>
      <w:r>
        <w:rPr>
          <w:color w:val="auto"/>
          <w:sz w:val="22"/>
          <w:szCs w:val="22"/>
          <w:highlight w:val="none"/>
        </w:rPr>
        <w:t>210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13.8 市场价格波动引起的调整</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_Toc54862290 \h </w:instrText>
      </w:r>
      <w:r>
        <w:rPr>
          <w:color w:val="auto"/>
          <w:sz w:val="22"/>
          <w:szCs w:val="22"/>
          <w:highlight w:val="none"/>
        </w:rPr>
        <w:fldChar w:fldCharType="separate"/>
      </w:r>
      <w:r>
        <w:rPr>
          <w:color w:val="auto"/>
          <w:sz w:val="22"/>
          <w:szCs w:val="22"/>
          <w:highlight w:val="none"/>
        </w:rPr>
        <w:t>210</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第14条 合同价格与支付</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_Toc54862291 \h </w:instrText>
      </w:r>
      <w:r>
        <w:rPr>
          <w:color w:val="auto"/>
          <w:sz w:val="22"/>
          <w:szCs w:val="22"/>
          <w:highlight w:val="none"/>
        </w:rPr>
        <w:fldChar w:fldCharType="separate"/>
      </w:r>
      <w:r>
        <w:rPr>
          <w:color w:val="auto"/>
          <w:sz w:val="22"/>
          <w:szCs w:val="22"/>
          <w:highlight w:val="none"/>
        </w:rPr>
        <w:t>212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14.1 合同价格形式</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_Toc54862292 \h </w:instrText>
      </w:r>
      <w:r>
        <w:rPr>
          <w:color w:val="auto"/>
          <w:sz w:val="22"/>
          <w:szCs w:val="22"/>
          <w:highlight w:val="none"/>
        </w:rPr>
        <w:fldChar w:fldCharType="separate"/>
      </w:r>
      <w:r>
        <w:rPr>
          <w:color w:val="auto"/>
          <w:sz w:val="22"/>
          <w:szCs w:val="22"/>
          <w:highlight w:val="none"/>
        </w:rPr>
        <w:t>212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14.2 预付款</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_Toc54862293 \h </w:instrText>
      </w:r>
      <w:r>
        <w:rPr>
          <w:color w:val="auto"/>
          <w:sz w:val="22"/>
          <w:szCs w:val="22"/>
          <w:highlight w:val="none"/>
        </w:rPr>
        <w:fldChar w:fldCharType="separate"/>
      </w:r>
      <w:r>
        <w:rPr>
          <w:color w:val="auto"/>
          <w:sz w:val="22"/>
          <w:szCs w:val="22"/>
          <w:highlight w:val="none"/>
        </w:rPr>
        <w:t>212</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14.3 工程进度款</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_Toc54862294 \h </w:instrText>
      </w:r>
      <w:r>
        <w:rPr>
          <w:color w:val="auto"/>
          <w:sz w:val="22"/>
          <w:szCs w:val="22"/>
          <w:highlight w:val="none"/>
        </w:rPr>
        <w:fldChar w:fldCharType="separate"/>
      </w:r>
      <w:r>
        <w:rPr>
          <w:color w:val="auto"/>
          <w:sz w:val="22"/>
          <w:szCs w:val="22"/>
          <w:highlight w:val="none"/>
        </w:rPr>
        <w:t>213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14.4 付款计划表</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_Toc54862295 \h </w:instrText>
      </w:r>
      <w:r>
        <w:rPr>
          <w:color w:val="auto"/>
          <w:sz w:val="22"/>
          <w:szCs w:val="22"/>
          <w:highlight w:val="none"/>
        </w:rPr>
        <w:fldChar w:fldCharType="separate"/>
      </w:r>
      <w:r>
        <w:rPr>
          <w:color w:val="auto"/>
          <w:sz w:val="22"/>
          <w:szCs w:val="22"/>
          <w:highlight w:val="none"/>
        </w:rPr>
        <w:t>214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14.5 竣工结算</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_Toc54862296 \h </w:instrText>
      </w:r>
      <w:r>
        <w:rPr>
          <w:color w:val="auto"/>
          <w:sz w:val="22"/>
          <w:szCs w:val="22"/>
          <w:highlight w:val="none"/>
        </w:rPr>
        <w:fldChar w:fldCharType="separate"/>
      </w:r>
      <w:r>
        <w:rPr>
          <w:color w:val="auto"/>
          <w:sz w:val="22"/>
          <w:szCs w:val="22"/>
          <w:highlight w:val="none"/>
        </w:rPr>
        <w:t>215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14.6 质量保证金</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_Toc54862297 \h </w:instrText>
      </w:r>
      <w:r>
        <w:rPr>
          <w:color w:val="auto"/>
          <w:sz w:val="22"/>
          <w:szCs w:val="22"/>
          <w:highlight w:val="none"/>
        </w:rPr>
        <w:fldChar w:fldCharType="separate"/>
      </w:r>
      <w:r>
        <w:rPr>
          <w:color w:val="auto"/>
          <w:sz w:val="22"/>
          <w:szCs w:val="22"/>
          <w:highlight w:val="none"/>
        </w:rPr>
        <w:t>216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14.7 最终结清</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_Toc54862298 \h </w:instrText>
      </w:r>
      <w:r>
        <w:rPr>
          <w:color w:val="auto"/>
          <w:sz w:val="22"/>
          <w:szCs w:val="22"/>
          <w:highlight w:val="none"/>
        </w:rPr>
        <w:fldChar w:fldCharType="separate"/>
      </w:r>
      <w:r>
        <w:rPr>
          <w:color w:val="auto"/>
          <w:sz w:val="22"/>
          <w:szCs w:val="22"/>
          <w:highlight w:val="none"/>
        </w:rPr>
        <w:t>217</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第15条 违约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_Toc54862299 \h </w:instrText>
      </w:r>
      <w:r>
        <w:rPr>
          <w:color w:val="auto"/>
          <w:sz w:val="22"/>
          <w:szCs w:val="22"/>
          <w:highlight w:val="none"/>
        </w:rPr>
        <w:fldChar w:fldCharType="separate"/>
      </w:r>
      <w:r>
        <w:rPr>
          <w:color w:val="auto"/>
          <w:sz w:val="22"/>
          <w:szCs w:val="22"/>
          <w:highlight w:val="none"/>
        </w:rPr>
        <w:t>218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15.1 发包人违约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_Toc54862300 \h </w:instrText>
      </w:r>
      <w:r>
        <w:rPr>
          <w:color w:val="auto"/>
          <w:sz w:val="22"/>
          <w:szCs w:val="22"/>
          <w:highlight w:val="none"/>
        </w:rPr>
        <w:fldChar w:fldCharType="separate"/>
      </w:r>
      <w:r>
        <w:rPr>
          <w:color w:val="auto"/>
          <w:sz w:val="22"/>
          <w:szCs w:val="22"/>
          <w:highlight w:val="none"/>
        </w:rPr>
        <w:t>218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15.2 承包人违约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_Toc54862301 \h </w:instrText>
      </w:r>
      <w:r>
        <w:rPr>
          <w:color w:val="auto"/>
          <w:sz w:val="22"/>
          <w:szCs w:val="22"/>
          <w:highlight w:val="none"/>
        </w:rPr>
        <w:fldChar w:fldCharType="separate"/>
      </w:r>
      <w:r>
        <w:rPr>
          <w:color w:val="auto"/>
          <w:sz w:val="22"/>
          <w:szCs w:val="22"/>
          <w:highlight w:val="none"/>
        </w:rPr>
        <w:t>218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15.3 第三人造成的违约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_Toc54862302 \h </w:instrText>
      </w:r>
      <w:r>
        <w:rPr>
          <w:color w:val="auto"/>
          <w:sz w:val="22"/>
          <w:szCs w:val="22"/>
          <w:highlight w:val="none"/>
        </w:rPr>
        <w:fldChar w:fldCharType="separate"/>
      </w:r>
      <w:r>
        <w:rPr>
          <w:color w:val="auto"/>
          <w:sz w:val="22"/>
          <w:szCs w:val="22"/>
          <w:highlight w:val="none"/>
        </w:rPr>
        <w:t>219</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第16条 合同解除</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_Toc54862303 \h </w:instrText>
      </w:r>
      <w:r>
        <w:rPr>
          <w:color w:val="auto"/>
          <w:sz w:val="22"/>
          <w:szCs w:val="22"/>
          <w:highlight w:val="none"/>
        </w:rPr>
        <w:fldChar w:fldCharType="separate"/>
      </w:r>
      <w:r>
        <w:rPr>
          <w:color w:val="auto"/>
          <w:sz w:val="22"/>
          <w:szCs w:val="22"/>
          <w:highlight w:val="none"/>
        </w:rPr>
        <w:t>219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16.1 由发包人解除合同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_Toc54862304 \h </w:instrText>
      </w:r>
      <w:r>
        <w:rPr>
          <w:color w:val="auto"/>
          <w:sz w:val="22"/>
          <w:szCs w:val="22"/>
          <w:highlight w:val="none"/>
        </w:rPr>
        <w:fldChar w:fldCharType="separate"/>
      </w:r>
      <w:r>
        <w:rPr>
          <w:color w:val="auto"/>
          <w:sz w:val="22"/>
          <w:szCs w:val="22"/>
          <w:highlight w:val="none"/>
        </w:rPr>
        <w:t>219</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16.2 由承包人解除合同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_Toc54862305 \h </w:instrText>
      </w:r>
      <w:r>
        <w:rPr>
          <w:color w:val="auto"/>
          <w:sz w:val="22"/>
          <w:szCs w:val="22"/>
          <w:highlight w:val="none"/>
        </w:rPr>
        <w:fldChar w:fldCharType="separate"/>
      </w:r>
      <w:r>
        <w:rPr>
          <w:color w:val="auto"/>
          <w:sz w:val="22"/>
          <w:szCs w:val="22"/>
          <w:highlight w:val="none"/>
        </w:rPr>
        <w:t>221</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16.3 合同解除后的事项</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_Toc54862306 \h </w:instrText>
      </w:r>
      <w:r>
        <w:rPr>
          <w:color w:val="auto"/>
          <w:sz w:val="22"/>
          <w:szCs w:val="22"/>
          <w:highlight w:val="none"/>
        </w:rPr>
        <w:fldChar w:fldCharType="separate"/>
      </w:r>
      <w:r>
        <w:rPr>
          <w:color w:val="auto"/>
          <w:sz w:val="22"/>
          <w:szCs w:val="22"/>
          <w:highlight w:val="none"/>
        </w:rPr>
        <w:t>223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第17条 不可抗力</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_Toc54862307 \h </w:instrText>
      </w:r>
      <w:r>
        <w:rPr>
          <w:color w:val="auto"/>
          <w:sz w:val="22"/>
          <w:szCs w:val="22"/>
          <w:highlight w:val="none"/>
        </w:rPr>
        <w:fldChar w:fldCharType="separate"/>
      </w:r>
      <w:r>
        <w:rPr>
          <w:color w:val="auto"/>
          <w:sz w:val="22"/>
          <w:szCs w:val="22"/>
          <w:highlight w:val="none"/>
        </w:rPr>
        <w:t>223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17.1 不可抗力的定义</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_Toc54862308 \h </w:instrText>
      </w:r>
      <w:r>
        <w:rPr>
          <w:color w:val="auto"/>
          <w:sz w:val="22"/>
          <w:szCs w:val="22"/>
          <w:highlight w:val="none"/>
        </w:rPr>
        <w:fldChar w:fldCharType="separate"/>
      </w:r>
      <w:r>
        <w:rPr>
          <w:color w:val="auto"/>
          <w:sz w:val="22"/>
          <w:szCs w:val="22"/>
          <w:highlight w:val="none"/>
        </w:rPr>
        <w:t>223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17.2 不可抗力的通知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_Toc54862309 \h </w:instrText>
      </w:r>
      <w:r>
        <w:rPr>
          <w:color w:val="auto"/>
          <w:sz w:val="22"/>
          <w:szCs w:val="22"/>
          <w:highlight w:val="none"/>
        </w:rPr>
        <w:fldChar w:fldCharType="separate"/>
      </w:r>
      <w:r>
        <w:rPr>
          <w:color w:val="auto"/>
          <w:sz w:val="22"/>
          <w:szCs w:val="22"/>
          <w:highlight w:val="none"/>
        </w:rPr>
        <w:t>223</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17.3 将损失减至最小的义务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_Toc54862310 \h </w:instrText>
      </w:r>
      <w:r>
        <w:rPr>
          <w:color w:val="auto"/>
          <w:sz w:val="22"/>
          <w:szCs w:val="22"/>
          <w:highlight w:val="none"/>
        </w:rPr>
        <w:fldChar w:fldCharType="separate"/>
      </w:r>
      <w:r>
        <w:rPr>
          <w:color w:val="auto"/>
          <w:sz w:val="22"/>
          <w:szCs w:val="22"/>
          <w:highlight w:val="none"/>
        </w:rPr>
        <w:t>224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17.4 不可抗力后果的承担</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_Toc54862311 \h </w:instrText>
      </w:r>
      <w:r>
        <w:rPr>
          <w:color w:val="auto"/>
          <w:sz w:val="22"/>
          <w:szCs w:val="22"/>
          <w:highlight w:val="none"/>
        </w:rPr>
        <w:fldChar w:fldCharType="separate"/>
      </w:r>
      <w:r>
        <w:rPr>
          <w:color w:val="auto"/>
          <w:sz w:val="22"/>
          <w:szCs w:val="22"/>
          <w:highlight w:val="none"/>
        </w:rPr>
        <w:t>224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17.5 不可抗力影响分包人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_Toc54862312 \h </w:instrText>
      </w:r>
      <w:r>
        <w:rPr>
          <w:color w:val="auto"/>
          <w:sz w:val="22"/>
          <w:szCs w:val="22"/>
          <w:highlight w:val="none"/>
        </w:rPr>
        <w:fldChar w:fldCharType="separate"/>
      </w:r>
      <w:r>
        <w:rPr>
          <w:color w:val="auto"/>
          <w:sz w:val="22"/>
          <w:szCs w:val="22"/>
          <w:highlight w:val="none"/>
        </w:rPr>
        <w:t>224</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17.6 因不可抗力解除合同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_Toc54862313 \h </w:instrText>
      </w:r>
      <w:r>
        <w:rPr>
          <w:color w:val="auto"/>
          <w:sz w:val="22"/>
          <w:szCs w:val="22"/>
          <w:highlight w:val="none"/>
        </w:rPr>
        <w:fldChar w:fldCharType="separate"/>
      </w:r>
      <w:r>
        <w:rPr>
          <w:color w:val="auto"/>
          <w:sz w:val="22"/>
          <w:szCs w:val="22"/>
          <w:highlight w:val="none"/>
        </w:rPr>
        <w:t>224</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第18条 保险</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_Toc54862314 \h </w:instrText>
      </w:r>
      <w:r>
        <w:rPr>
          <w:color w:val="auto"/>
          <w:sz w:val="22"/>
          <w:szCs w:val="22"/>
          <w:highlight w:val="none"/>
        </w:rPr>
        <w:fldChar w:fldCharType="separate"/>
      </w:r>
      <w:r>
        <w:rPr>
          <w:color w:val="auto"/>
          <w:sz w:val="22"/>
          <w:szCs w:val="22"/>
          <w:highlight w:val="none"/>
        </w:rPr>
        <w:t>225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18.1 设计和工程保险</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_Toc54862315 \h </w:instrText>
      </w:r>
      <w:r>
        <w:rPr>
          <w:color w:val="auto"/>
          <w:sz w:val="22"/>
          <w:szCs w:val="22"/>
          <w:highlight w:val="none"/>
        </w:rPr>
        <w:fldChar w:fldCharType="separate"/>
      </w:r>
      <w:r>
        <w:rPr>
          <w:color w:val="auto"/>
          <w:sz w:val="22"/>
          <w:szCs w:val="22"/>
          <w:highlight w:val="none"/>
        </w:rPr>
        <w:t>225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18.2 工伤和意外伤害保险</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_Toc54862316 \h </w:instrText>
      </w:r>
      <w:r>
        <w:rPr>
          <w:color w:val="auto"/>
          <w:sz w:val="22"/>
          <w:szCs w:val="22"/>
          <w:highlight w:val="none"/>
        </w:rPr>
        <w:fldChar w:fldCharType="separate"/>
      </w:r>
      <w:r>
        <w:rPr>
          <w:color w:val="auto"/>
          <w:sz w:val="22"/>
          <w:szCs w:val="22"/>
          <w:highlight w:val="none"/>
        </w:rPr>
        <w:t>225</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18.3 货物保险</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_Toc54862317 \h </w:instrText>
      </w:r>
      <w:r>
        <w:rPr>
          <w:color w:val="auto"/>
          <w:sz w:val="22"/>
          <w:szCs w:val="22"/>
          <w:highlight w:val="none"/>
        </w:rPr>
        <w:fldChar w:fldCharType="separate"/>
      </w:r>
      <w:r>
        <w:rPr>
          <w:color w:val="auto"/>
          <w:sz w:val="22"/>
          <w:szCs w:val="22"/>
          <w:highlight w:val="none"/>
        </w:rPr>
        <w:t>226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18.4 其他保险</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_Toc54862318 \h </w:instrText>
      </w:r>
      <w:r>
        <w:rPr>
          <w:color w:val="auto"/>
          <w:sz w:val="22"/>
          <w:szCs w:val="22"/>
          <w:highlight w:val="none"/>
        </w:rPr>
        <w:fldChar w:fldCharType="separate"/>
      </w:r>
      <w:r>
        <w:rPr>
          <w:color w:val="auto"/>
          <w:sz w:val="22"/>
          <w:szCs w:val="22"/>
          <w:highlight w:val="none"/>
        </w:rPr>
        <w:t>226</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18.5 对各项保险的一般要求</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_Toc54862319 \h </w:instrText>
      </w:r>
      <w:r>
        <w:rPr>
          <w:color w:val="auto"/>
          <w:sz w:val="22"/>
          <w:szCs w:val="22"/>
          <w:highlight w:val="none"/>
        </w:rPr>
        <w:fldChar w:fldCharType="separate"/>
      </w:r>
      <w:r>
        <w:rPr>
          <w:color w:val="auto"/>
          <w:sz w:val="22"/>
          <w:szCs w:val="22"/>
          <w:highlight w:val="none"/>
        </w:rPr>
        <w:t>226</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第19条 索赔</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_Toc54862320 \h </w:instrText>
      </w:r>
      <w:r>
        <w:rPr>
          <w:color w:val="auto"/>
          <w:sz w:val="22"/>
          <w:szCs w:val="22"/>
          <w:highlight w:val="none"/>
        </w:rPr>
        <w:fldChar w:fldCharType="separate"/>
      </w:r>
      <w:r>
        <w:rPr>
          <w:color w:val="auto"/>
          <w:sz w:val="22"/>
          <w:szCs w:val="22"/>
          <w:highlight w:val="none"/>
        </w:rPr>
        <w:t>227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19.1 索赔的提出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_Toc54862321 \h </w:instrText>
      </w:r>
      <w:r>
        <w:rPr>
          <w:color w:val="auto"/>
          <w:sz w:val="22"/>
          <w:szCs w:val="22"/>
          <w:highlight w:val="none"/>
        </w:rPr>
        <w:fldChar w:fldCharType="separate"/>
      </w:r>
      <w:r>
        <w:rPr>
          <w:color w:val="auto"/>
          <w:sz w:val="22"/>
          <w:szCs w:val="22"/>
          <w:highlight w:val="none"/>
        </w:rPr>
        <w:t>227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19.2 承包人索赔的处理程序</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_Toc54862322 \h </w:instrText>
      </w:r>
      <w:r>
        <w:rPr>
          <w:color w:val="auto"/>
          <w:sz w:val="22"/>
          <w:szCs w:val="22"/>
          <w:highlight w:val="none"/>
        </w:rPr>
        <w:fldChar w:fldCharType="separate"/>
      </w:r>
      <w:r>
        <w:rPr>
          <w:color w:val="auto"/>
          <w:sz w:val="22"/>
          <w:szCs w:val="22"/>
          <w:highlight w:val="none"/>
        </w:rPr>
        <w:t>227</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19.3 发包人索赔的处理程序</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_Toc54862323 \h </w:instrText>
      </w:r>
      <w:r>
        <w:rPr>
          <w:color w:val="auto"/>
          <w:sz w:val="22"/>
          <w:szCs w:val="22"/>
          <w:highlight w:val="none"/>
        </w:rPr>
        <w:fldChar w:fldCharType="separate"/>
      </w:r>
      <w:r>
        <w:rPr>
          <w:color w:val="auto"/>
          <w:sz w:val="22"/>
          <w:szCs w:val="22"/>
          <w:highlight w:val="none"/>
        </w:rPr>
        <w:t>228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19.4 提出索赔的期限</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_Toc54862324 \h </w:instrText>
      </w:r>
      <w:r>
        <w:rPr>
          <w:color w:val="auto"/>
          <w:sz w:val="22"/>
          <w:szCs w:val="22"/>
          <w:highlight w:val="none"/>
        </w:rPr>
        <w:fldChar w:fldCharType="separate"/>
      </w:r>
      <w:r>
        <w:rPr>
          <w:color w:val="auto"/>
          <w:sz w:val="22"/>
          <w:szCs w:val="22"/>
          <w:highlight w:val="none"/>
        </w:rPr>
        <w:t>228</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第20条 争议解决</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_Toc54862325 \h </w:instrText>
      </w:r>
      <w:r>
        <w:rPr>
          <w:color w:val="auto"/>
          <w:sz w:val="22"/>
          <w:szCs w:val="22"/>
          <w:highlight w:val="none"/>
        </w:rPr>
        <w:fldChar w:fldCharType="separate"/>
      </w:r>
      <w:r>
        <w:rPr>
          <w:color w:val="auto"/>
          <w:sz w:val="22"/>
          <w:szCs w:val="22"/>
          <w:highlight w:val="none"/>
        </w:rPr>
        <w:t>228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20.1 和解</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_Toc54862326 \h </w:instrText>
      </w:r>
      <w:r>
        <w:rPr>
          <w:color w:val="auto"/>
          <w:sz w:val="22"/>
          <w:szCs w:val="22"/>
          <w:highlight w:val="none"/>
        </w:rPr>
        <w:fldChar w:fldCharType="separate"/>
      </w:r>
      <w:r>
        <w:rPr>
          <w:color w:val="auto"/>
          <w:sz w:val="22"/>
          <w:szCs w:val="22"/>
          <w:highlight w:val="none"/>
        </w:rPr>
        <w:t>228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20.2 调解</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_Toc54862327 \h </w:instrText>
      </w:r>
      <w:r>
        <w:rPr>
          <w:color w:val="auto"/>
          <w:sz w:val="22"/>
          <w:szCs w:val="22"/>
          <w:highlight w:val="none"/>
        </w:rPr>
        <w:fldChar w:fldCharType="separate"/>
      </w:r>
      <w:r>
        <w:rPr>
          <w:color w:val="auto"/>
          <w:sz w:val="22"/>
          <w:szCs w:val="22"/>
          <w:highlight w:val="none"/>
        </w:rPr>
        <w:t>228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20.3 争议评审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_Toc54862328 \h </w:instrText>
      </w:r>
      <w:r>
        <w:rPr>
          <w:color w:val="auto"/>
          <w:sz w:val="22"/>
          <w:szCs w:val="22"/>
          <w:highlight w:val="none"/>
        </w:rPr>
        <w:fldChar w:fldCharType="separate"/>
      </w:r>
      <w:r>
        <w:rPr>
          <w:color w:val="auto"/>
          <w:sz w:val="22"/>
          <w:szCs w:val="22"/>
          <w:highlight w:val="none"/>
        </w:rPr>
        <w:t>228</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20.4 仲裁或诉讼</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_Toc54862329 \h </w:instrText>
      </w:r>
      <w:r>
        <w:rPr>
          <w:color w:val="auto"/>
          <w:sz w:val="22"/>
          <w:szCs w:val="22"/>
          <w:highlight w:val="none"/>
        </w:rPr>
        <w:fldChar w:fldCharType="separate"/>
      </w:r>
      <w:r>
        <w:rPr>
          <w:color w:val="auto"/>
          <w:sz w:val="22"/>
          <w:szCs w:val="22"/>
          <w:highlight w:val="none"/>
        </w:rPr>
        <w:t>230</w:t>
      </w:r>
      <w:r>
        <w:rPr>
          <w:color w:val="auto"/>
          <w:sz w:val="22"/>
          <w:szCs w:val="22"/>
          <w:highlight w:val="none"/>
        </w:rPr>
        <w:fldChar w:fldCharType="end"/>
      </w:r>
    </w:p>
    <w:p>
      <w:pPr>
        <w:pStyle w:val="24"/>
        <w:widowControl/>
        <w:tabs>
          <w:tab w:val="right" w:leader="dot" w:pos="8296"/>
        </w:tabs>
        <w:adjustRightInd w:val="0"/>
        <w:snapToGrid w:val="0"/>
        <w:spacing w:line="260" w:lineRule="exact"/>
        <w:ind w:left="840"/>
        <w:rPr>
          <w:color w:val="auto"/>
          <w:sz w:val="22"/>
          <w:szCs w:val="22"/>
          <w:highlight w:val="none"/>
        </w:rPr>
      </w:pPr>
      <w:r>
        <w:rPr>
          <w:bCs/>
          <w:color w:val="auto"/>
          <w:sz w:val="22"/>
          <w:szCs w:val="22"/>
          <w:highlight w:val="none"/>
        </w:rPr>
        <w:t>20.5 争议解决条款效力</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_Toc54862330 \h </w:instrText>
      </w:r>
      <w:r>
        <w:rPr>
          <w:color w:val="auto"/>
          <w:sz w:val="22"/>
          <w:szCs w:val="22"/>
          <w:highlight w:val="none"/>
        </w:rPr>
        <w:fldChar w:fldCharType="separate"/>
      </w:r>
      <w:r>
        <w:rPr>
          <w:color w:val="auto"/>
          <w:sz w:val="22"/>
          <w:szCs w:val="22"/>
          <w:highlight w:val="none"/>
        </w:rPr>
        <w:t>230</w:t>
      </w:r>
      <w:r>
        <w:rPr>
          <w:color w:val="auto"/>
          <w:sz w:val="22"/>
          <w:szCs w:val="22"/>
          <w:highlight w:val="none"/>
        </w:rPr>
        <w:fldChar w:fldCharType="end"/>
      </w:r>
    </w:p>
    <w:p>
      <w:pPr>
        <w:pStyle w:val="33"/>
        <w:widowControl/>
        <w:tabs>
          <w:tab w:val="right" w:leader="dot" w:pos="8296"/>
        </w:tabs>
        <w:adjustRightInd w:val="0"/>
        <w:snapToGrid w:val="0"/>
        <w:spacing w:line="260" w:lineRule="exact"/>
        <w:ind w:firstLine="562"/>
        <w:rPr>
          <w:b/>
          <w:bCs/>
          <w:color w:val="auto"/>
          <w:sz w:val="22"/>
          <w:szCs w:val="22"/>
          <w:highlight w:val="none"/>
        </w:rPr>
      </w:pPr>
      <w:r>
        <w:rPr>
          <w:b/>
          <w:bCs/>
          <w:color w:val="auto"/>
          <w:sz w:val="22"/>
          <w:szCs w:val="22"/>
          <w:highlight w:val="none"/>
        </w:rPr>
        <w:t>第三部分 专用合同条件</w:t>
      </w:r>
      <w:r>
        <w:rPr>
          <w:b/>
          <w:bCs/>
          <w:color w:val="auto"/>
          <w:sz w:val="22"/>
          <w:szCs w:val="22"/>
          <w:highlight w:val="none"/>
        </w:rPr>
        <w:tab/>
      </w:r>
      <w:r>
        <w:rPr>
          <w:b/>
          <w:bCs/>
          <w:color w:val="auto"/>
          <w:sz w:val="22"/>
          <w:szCs w:val="22"/>
          <w:highlight w:val="none"/>
        </w:rPr>
        <w:fldChar w:fldCharType="begin"/>
      </w:r>
      <w:r>
        <w:rPr>
          <w:b/>
          <w:bCs/>
          <w:color w:val="auto"/>
          <w:sz w:val="22"/>
          <w:szCs w:val="22"/>
          <w:highlight w:val="none"/>
        </w:rPr>
        <w:instrText xml:space="preserve"> PAGEREF _Toc54862331 \h </w:instrText>
      </w:r>
      <w:r>
        <w:rPr>
          <w:b/>
          <w:bCs/>
          <w:color w:val="auto"/>
          <w:sz w:val="22"/>
          <w:szCs w:val="22"/>
          <w:highlight w:val="none"/>
        </w:rPr>
        <w:fldChar w:fldCharType="separate"/>
      </w:r>
      <w:r>
        <w:rPr>
          <w:b/>
          <w:bCs/>
          <w:color w:val="auto"/>
          <w:sz w:val="22"/>
          <w:szCs w:val="22"/>
          <w:highlight w:val="none"/>
        </w:rPr>
        <w:t>231</w:t>
      </w:r>
      <w:r>
        <w:rPr>
          <w:b/>
          <w:bCs/>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第1条 一般约定</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_Toc54862332 \h </w:instrText>
      </w:r>
      <w:r>
        <w:rPr>
          <w:color w:val="auto"/>
          <w:sz w:val="22"/>
          <w:szCs w:val="22"/>
          <w:highlight w:val="none"/>
        </w:rPr>
        <w:fldChar w:fldCharType="separate"/>
      </w:r>
      <w:r>
        <w:rPr>
          <w:color w:val="auto"/>
          <w:sz w:val="22"/>
          <w:szCs w:val="22"/>
          <w:highlight w:val="none"/>
        </w:rPr>
        <w:t>231</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第2条 发包人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_Toc54862333 \h </w:instrText>
      </w:r>
      <w:r>
        <w:rPr>
          <w:color w:val="auto"/>
          <w:sz w:val="22"/>
          <w:szCs w:val="22"/>
          <w:highlight w:val="none"/>
        </w:rPr>
        <w:fldChar w:fldCharType="separate"/>
      </w:r>
      <w:r>
        <w:rPr>
          <w:color w:val="auto"/>
          <w:sz w:val="22"/>
          <w:szCs w:val="22"/>
          <w:highlight w:val="none"/>
        </w:rPr>
        <w:t>233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第3条 发包人的管理</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_Toc54862334 \h </w:instrText>
      </w:r>
      <w:r>
        <w:rPr>
          <w:color w:val="auto"/>
          <w:sz w:val="22"/>
          <w:szCs w:val="22"/>
          <w:highlight w:val="none"/>
        </w:rPr>
        <w:fldChar w:fldCharType="separate"/>
      </w:r>
      <w:r>
        <w:rPr>
          <w:color w:val="auto"/>
          <w:sz w:val="22"/>
          <w:szCs w:val="22"/>
          <w:highlight w:val="none"/>
        </w:rPr>
        <w:t>233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第4条 承包人</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_Toc54862335 \h </w:instrText>
      </w:r>
      <w:r>
        <w:rPr>
          <w:color w:val="auto"/>
          <w:sz w:val="22"/>
          <w:szCs w:val="22"/>
          <w:highlight w:val="none"/>
        </w:rPr>
        <w:fldChar w:fldCharType="separate"/>
      </w:r>
      <w:r>
        <w:rPr>
          <w:color w:val="auto"/>
          <w:sz w:val="22"/>
          <w:szCs w:val="22"/>
          <w:highlight w:val="none"/>
        </w:rPr>
        <w:t>234</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第5条 设计</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_Toc54862336 \h </w:instrText>
      </w:r>
      <w:r>
        <w:rPr>
          <w:color w:val="auto"/>
          <w:sz w:val="22"/>
          <w:szCs w:val="22"/>
          <w:highlight w:val="none"/>
        </w:rPr>
        <w:fldChar w:fldCharType="separate"/>
      </w:r>
      <w:r>
        <w:rPr>
          <w:color w:val="auto"/>
          <w:sz w:val="22"/>
          <w:szCs w:val="22"/>
          <w:highlight w:val="none"/>
        </w:rPr>
        <w:t>236</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第6条 材料、工程设备</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_Toc54862337 \h </w:instrText>
      </w:r>
      <w:r>
        <w:rPr>
          <w:color w:val="auto"/>
          <w:sz w:val="22"/>
          <w:szCs w:val="22"/>
          <w:highlight w:val="none"/>
        </w:rPr>
        <w:fldChar w:fldCharType="separate"/>
      </w:r>
      <w:r>
        <w:rPr>
          <w:color w:val="auto"/>
          <w:sz w:val="22"/>
          <w:szCs w:val="22"/>
          <w:highlight w:val="none"/>
        </w:rPr>
        <w:t>237</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color w:val="auto"/>
          <w:sz w:val="22"/>
          <w:szCs w:val="22"/>
          <w:highlight w:val="none"/>
        </w:rPr>
        <w:t>第7条 施工</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_Toc54862338 \h </w:instrText>
      </w:r>
      <w:r>
        <w:rPr>
          <w:color w:val="auto"/>
          <w:sz w:val="22"/>
          <w:szCs w:val="22"/>
          <w:highlight w:val="none"/>
        </w:rPr>
        <w:fldChar w:fldCharType="separate"/>
      </w:r>
      <w:r>
        <w:rPr>
          <w:color w:val="auto"/>
          <w:sz w:val="22"/>
          <w:szCs w:val="22"/>
          <w:highlight w:val="none"/>
        </w:rPr>
        <w:t>238</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第8条 工期和进度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_Toc54862339 \h </w:instrText>
      </w:r>
      <w:r>
        <w:rPr>
          <w:color w:val="auto"/>
          <w:sz w:val="22"/>
          <w:szCs w:val="22"/>
          <w:highlight w:val="none"/>
        </w:rPr>
        <w:fldChar w:fldCharType="separate"/>
      </w:r>
      <w:r>
        <w:rPr>
          <w:color w:val="auto"/>
          <w:sz w:val="22"/>
          <w:szCs w:val="22"/>
          <w:highlight w:val="none"/>
        </w:rPr>
        <w:t>239</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第9条 竣工试验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_Toc54862340 \h </w:instrText>
      </w:r>
      <w:r>
        <w:rPr>
          <w:color w:val="auto"/>
          <w:sz w:val="22"/>
          <w:szCs w:val="22"/>
          <w:highlight w:val="none"/>
        </w:rPr>
        <w:fldChar w:fldCharType="separate"/>
      </w:r>
      <w:r>
        <w:rPr>
          <w:color w:val="auto"/>
          <w:sz w:val="22"/>
          <w:szCs w:val="22"/>
          <w:highlight w:val="none"/>
        </w:rPr>
        <w:t>241</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第10条 验收和工程接收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_Toc54862341 \h </w:instrText>
      </w:r>
      <w:r>
        <w:rPr>
          <w:color w:val="auto"/>
          <w:sz w:val="22"/>
          <w:szCs w:val="22"/>
          <w:highlight w:val="none"/>
        </w:rPr>
        <w:fldChar w:fldCharType="separate"/>
      </w:r>
      <w:r>
        <w:rPr>
          <w:color w:val="auto"/>
          <w:sz w:val="22"/>
          <w:szCs w:val="22"/>
          <w:highlight w:val="none"/>
        </w:rPr>
        <w:t>241</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第11条 缺陷责任与保修</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_Toc54862342 \h </w:instrText>
      </w:r>
      <w:r>
        <w:rPr>
          <w:color w:val="auto"/>
          <w:sz w:val="22"/>
          <w:szCs w:val="22"/>
          <w:highlight w:val="none"/>
        </w:rPr>
        <w:fldChar w:fldCharType="separate"/>
      </w:r>
      <w:r>
        <w:rPr>
          <w:color w:val="auto"/>
          <w:sz w:val="22"/>
          <w:szCs w:val="22"/>
          <w:highlight w:val="none"/>
        </w:rPr>
        <w:t>242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第12条 竣工后试验</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_Toc54862343 \h </w:instrText>
      </w:r>
      <w:r>
        <w:rPr>
          <w:color w:val="auto"/>
          <w:sz w:val="22"/>
          <w:szCs w:val="22"/>
          <w:highlight w:val="none"/>
        </w:rPr>
        <w:fldChar w:fldCharType="separate"/>
      </w:r>
      <w:r>
        <w:rPr>
          <w:color w:val="auto"/>
          <w:sz w:val="22"/>
          <w:szCs w:val="22"/>
          <w:highlight w:val="none"/>
        </w:rPr>
        <w:t>242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第13条 变更与调整</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_Toc54862344 \h </w:instrText>
      </w:r>
      <w:r>
        <w:rPr>
          <w:color w:val="auto"/>
          <w:sz w:val="22"/>
          <w:szCs w:val="22"/>
          <w:highlight w:val="none"/>
        </w:rPr>
        <w:fldChar w:fldCharType="separate"/>
      </w:r>
      <w:r>
        <w:rPr>
          <w:color w:val="auto"/>
          <w:sz w:val="22"/>
          <w:szCs w:val="22"/>
          <w:highlight w:val="none"/>
        </w:rPr>
        <w:t>242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第14条 合同价格与支付</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_Toc54862345 \h </w:instrText>
      </w:r>
      <w:r>
        <w:rPr>
          <w:color w:val="auto"/>
          <w:sz w:val="22"/>
          <w:szCs w:val="22"/>
          <w:highlight w:val="none"/>
        </w:rPr>
        <w:fldChar w:fldCharType="separate"/>
      </w:r>
      <w:r>
        <w:rPr>
          <w:color w:val="auto"/>
          <w:sz w:val="22"/>
          <w:szCs w:val="22"/>
          <w:highlight w:val="none"/>
        </w:rPr>
        <w:t>243</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第15条 违约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_Toc54862346 \h </w:instrText>
      </w:r>
      <w:r>
        <w:rPr>
          <w:color w:val="auto"/>
          <w:sz w:val="22"/>
          <w:szCs w:val="22"/>
          <w:highlight w:val="none"/>
        </w:rPr>
        <w:fldChar w:fldCharType="separate"/>
      </w:r>
      <w:r>
        <w:rPr>
          <w:color w:val="auto"/>
          <w:sz w:val="22"/>
          <w:szCs w:val="22"/>
          <w:highlight w:val="none"/>
        </w:rPr>
        <w:t>247</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第16条 合同解除</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_Toc54862347 \h </w:instrText>
      </w:r>
      <w:r>
        <w:rPr>
          <w:color w:val="auto"/>
          <w:sz w:val="22"/>
          <w:szCs w:val="22"/>
          <w:highlight w:val="none"/>
        </w:rPr>
        <w:fldChar w:fldCharType="separate"/>
      </w:r>
      <w:r>
        <w:rPr>
          <w:color w:val="auto"/>
          <w:sz w:val="22"/>
          <w:szCs w:val="22"/>
          <w:highlight w:val="none"/>
        </w:rPr>
        <w:t>248</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第17条 不可抗力</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_Toc54862348 \h </w:instrText>
      </w:r>
      <w:r>
        <w:rPr>
          <w:color w:val="auto"/>
          <w:sz w:val="22"/>
          <w:szCs w:val="22"/>
          <w:highlight w:val="none"/>
        </w:rPr>
        <w:fldChar w:fldCharType="separate"/>
      </w:r>
      <w:r>
        <w:rPr>
          <w:color w:val="auto"/>
          <w:sz w:val="22"/>
          <w:szCs w:val="22"/>
          <w:highlight w:val="none"/>
        </w:rPr>
        <w:t>249</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第18条 保险</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_Toc54862349 \h </w:instrText>
      </w:r>
      <w:r>
        <w:rPr>
          <w:color w:val="auto"/>
          <w:sz w:val="22"/>
          <w:szCs w:val="22"/>
          <w:highlight w:val="none"/>
        </w:rPr>
        <w:fldChar w:fldCharType="separate"/>
      </w:r>
      <w:r>
        <w:rPr>
          <w:color w:val="auto"/>
          <w:sz w:val="22"/>
          <w:szCs w:val="22"/>
          <w:highlight w:val="none"/>
        </w:rPr>
        <w:t>249</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bCs/>
          <w:color w:val="auto"/>
          <w:sz w:val="22"/>
          <w:szCs w:val="22"/>
          <w:highlight w:val="none"/>
        </w:rPr>
        <w:t>第20条 争议解决</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_Toc54862350 \h </w:instrText>
      </w:r>
      <w:r>
        <w:rPr>
          <w:color w:val="auto"/>
          <w:sz w:val="22"/>
          <w:szCs w:val="22"/>
          <w:highlight w:val="none"/>
        </w:rPr>
        <w:fldChar w:fldCharType="separate"/>
      </w:r>
      <w:r>
        <w:rPr>
          <w:color w:val="auto"/>
          <w:sz w:val="22"/>
          <w:szCs w:val="22"/>
          <w:highlight w:val="none"/>
        </w:rPr>
        <w:t>250</w:t>
      </w:r>
      <w:r>
        <w:rPr>
          <w:color w:val="auto"/>
          <w:sz w:val="22"/>
          <w:szCs w:val="22"/>
          <w:highlight w:val="none"/>
        </w:rPr>
        <w:fldChar w:fldCharType="end"/>
      </w:r>
    </w:p>
    <w:p>
      <w:pPr>
        <w:pStyle w:val="33"/>
        <w:widowControl/>
        <w:tabs>
          <w:tab w:val="right" w:leader="dot" w:pos="8296"/>
        </w:tabs>
        <w:adjustRightInd w:val="0"/>
        <w:snapToGrid w:val="0"/>
        <w:spacing w:line="260" w:lineRule="exact"/>
        <w:rPr>
          <w:color w:val="auto"/>
          <w:sz w:val="22"/>
          <w:szCs w:val="22"/>
          <w:highlight w:val="none"/>
        </w:rPr>
      </w:pPr>
      <w:r>
        <w:rPr>
          <w:color w:val="auto"/>
          <w:sz w:val="22"/>
          <w:szCs w:val="22"/>
          <w:highlight w:val="none"/>
        </w:rPr>
        <w:t>专用合同条件附件</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_Toc54862351 \h </w:instrText>
      </w:r>
      <w:r>
        <w:rPr>
          <w:color w:val="auto"/>
          <w:sz w:val="22"/>
          <w:szCs w:val="22"/>
          <w:highlight w:val="none"/>
        </w:rPr>
        <w:fldChar w:fldCharType="separate"/>
      </w:r>
      <w:r>
        <w:rPr>
          <w:color w:val="auto"/>
          <w:sz w:val="22"/>
          <w:szCs w:val="22"/>
          <w:highlight w:val="none"/>
        </w:rPr>
        <w:t>251</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color w:val="auto"/>
          <w:sz w:val="22"/>
          <w:szCs w:val="22"/>
          <w:highlight w:val="none"/>
        </w:rPr>
        <w:t>附件1 《发包人要求》</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_Toc54862352 \h </w:instrText>
      </w:r>
      <w:r>
        <w:rPr>
          <w:color w:val="auto"/>
          <w:sz w:val="22"/>
          <w:szCs w:val="22"/>
          <w:highlight w:val="none"/>
        </w:rPr>
        <w:fldChar w:fldCharType="separate"/>
      </w:r>
      <w:r>
        <w:rPr>
          <w:color w:val="auto"/>
          <w:sz w:val="22"/>
          <w:szCs w:val="22"/>
          <w:highlight w:val="none"/>
        </w:rPr>
        <w:t>252</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color w:val="auto"/>
          <w:sz w:val="22"/>
          <w:szCs w:val="22"/>
          <w:highlight w:val="none"/>
        </w:rPr>
        <w:t>附件2 发包人供应材料设备一览表</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_Toc54862353 \h </w:instrText>
      </w:r>
      <w:r>
        <w:rPr>
          <w:color w:val="auto"/>
          <w:sz w:val="22"/>
          <w:szCs w:val="22"/>
          <w:highlight w:val="none"/>
        </w:rPr>
        <w:fldChar w:fldCharType="separate"/>
      </w:r>
      <w:r>
        <w:rPr>
          <w:color w:val="auto"/>
          <w:sz w:val="22"/>
          <w:szCs w:val="22"/>
          <w:highlight w:val="none"/>
        </w:rPr>
        <w:t>256</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color w:val="auto"/>
          <w:sz w:val="22"/>
          <w:szCs w:val="22"/>
          <w:highlight w:val="none"/>
        </w:rPr>
        <w:t>附件3 工程质量保修书</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_Toc54862354 \h </w:instrText>
      </w:r>
      <w:r>
        <w:rPr>
          <w:color w:val="auto"/>
          <w:sz w:val="22"/>
          <w:szCs w:val="22"/>
          <w:highlight w:val="none"/>
        </w:rPr>
        <w:fldChar w:fldCharType="separate"/>
      </w:r>
      <w:r>
        <w:rPr>
          <w:color w:val="auto"/>
          <w:sz w:val="22"/>
          <w:szCs w:val="22"/>
          <w:highlight w:val="none"/>
        </w:rPr>
        <w:t>257</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color w:val="auto"/>
          <w:sz w:val="22"/>
          <w:szCs w:val="22"/>
          <w:highlight w:val="none"/>
        </w:rPr>
        <w:t>附件4 主要建设工程文件目录</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_Toc54862355 \h </w:instrText>
      </w:r>
      <w:r>
        <w:rPr>
          <w:color w:val="auto"/>
          <w:sz w:val="22"/>
          <w:szCs w:val="22"/>
          <w:highlight w:val="none"/>
        </w:rPr>
        <w:fldChar w:fldCharType="separate"/>
      </w:r>
      <w:r>
        <w:rPr>
          <w:color w:val="auto"/>
          <w:sz w:val="22"/>
          <w:szCs w:val="22"/>
          <w:highlight w:val="none"/>
        </w:rPr>
        <w:t>260</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color w:val="auto"/>
          <w:sz w:val="22"/>
          <w:szCs w:val="22"/>
          <w:highlight w:val="none"/>
        </w:rPr>
        <w:t>附件5 承包人主要管理人员表</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_Toc54862356 \h </w:instrText>
      </w:r>
      <w:r>
        <w:rPr>
          <w:color w:val="auto"/>
          <w:sz w:val="22"/>
          <w:szCs w:val="22"/>
          <w:highlight w:val="none"/>
        </w:rPr>
        <w:fldChar w:fldCharType="separate"/>
      </w:r>
      <w:r>
        <w:rPr>
          <w:color w:val="auto"/>
          <w:sz w:val="22"/>
          <w:szCs w:val="22"/>
          <w:highlight w:val="none"/>
        </w:rPr>
        <w:t>261</w:t>
      </w:r>
      <w:r>
        <w:rPr>
          <w:color w:val="auto"/>
          <w:sz w:val="22"/>
          <w:szCs w:val="22"/>
          <w:highlight w:val="none"/>
        </w:rPr>
        <w:fldChar w:fldCharType="end"/>
      </w:r>
    </w:p>
    <w:p>
      <w:pPr>
        <w:pStyle w:val="39"/>
        <w:widowControl/>
        <w:tabs>
          <w:tab w:val="right" w:leader="dot" w:pos="8296"/>
        </w:tabs>
        <w:adjustRightInd w:val="0"/>
        <w:snapToGrid w:val="0"/>
        <w:spacing w:line="260" w:lineRule="exact"/>
        <w:ind w:left="420"/>
        <w:rPr>
          <w:color w:val="auto"/>
          <w:sz w:val="22"/>
          <w:szCs w:val="22"/>
          <w:highlight w:val="none"/>
        </w:rPr>
      </w:pPr>
      <w:r>
        <w:rPr>
          <w:color w:val="auto"/>
          <w:sz w:val="22"/>
          <w:szCs w:val="22"/>
          <w:highlight w:val="none"/>
        </w:rPr>
        <w:t>附件6 价格指数权重表</w:t>
      </w:r>
      <w:r>
        <w:rPr>
          <w:color w:val="auto"/>
          <w:sz w:val="22"/>
          <w:szCs w:val="22"/>
          <w:highlight w:val="none"/>
        </w:rPr>
        <w:tab/>
      </w:r>
      <w:r>
        <w:rPr>
          <w:color w:val="auto"/>
          <w:sz w:val="22"/>
          <w:szCs w:val="22"/>
          <w:highlight w:val="none"/>
        </w:rPr>
        <w:fldChar w:fldCharType="begin"/>
      </w:r>
      <w:r>
        <w:rPr>
          <w:color w:val="auto"/>
          <w:sz w:val="22"/>
          <w:szCs w:val="22"/>
          <w:highlight w:val="none"/>
        </w:rPr>
        <w:instrText xml:space="preserve"> PAGEREF _Toc54862357 \h </w:instrText>
      </w:r>
      <w:r>
        <w:rPr>
          <w:color w:val="auto"/>
          <w:sz w:val="22"/>
          <w:szCs w:val="22"/>
          <w:highlight w:val="none"/>
        </w:rPr>
        <w:fldChar w:fldCharType="separate"/>
      </w:r>
      <w:r>
        <w:rPr>
          <w:color w:val="auto"/>
          <w:sz w:val="22"/>
          <w:szCs w:val="22"/>
          <w:highlight w:val="none"/>
        </w:rPr>
        <w:t>262</w:t>
      </w:r>
      <w:r>
        <w:rPr>
          <w:color w:val="auto"/>
          <w:sz w:val="22"/>
          <w:szCs w:val="22"/>
          <w:highlight w:val="none"/>
        </w:rPr>
        <w:fldChar w:fldCharType="end"/>
      </w:r>
    </w:p>
    <w:p>
      <w:pPr>
        <w:widowControl/>
        <w:adjustRightInd w:val="0"/>
        <w:snapToGrid w:val="0"/>
        <w:spacing w:line="260" w:lineRule="exact"/>
        <w:ind w:firstLine="560"/>
        <w:rPr>
          <w:color w:val="auto"/>
          <w:highlight w:val="none"/>
        </w:rPr>
        <w:sectPr>
          <w:footerReference r:id="rId12" w:type="default"/>
          <w:type w:val="continuous"/>
          <w:pgSz w:w="11906" w:h="16838"/>
          <w:pgMar w:top="1440" w:right="1800" w:bottom="1440" w:left="1800" w:header="720" w:footer="998" w:gutter="0"/>
          <w:cols w:space="720" w:num="1"/>
          <w:titlePg/>
          <w:docGrid w:linePitch="326" w:charSpace="0"/>
        </w:sectPr>
      </w:pPr>
      <w:r>
        <w:rPr>
          <w:color w:val="auto"/>
          <w:sz w:val="22"/>
          <w:szCs w:val="22"/>
          <w:highlight w:val="none"/>
        </w:rPr>
        <w:fldChar w:fldCharType="end"/>
      </w:r>
    </w:p>
    <w:p>
      <w:pPr>
        <w:rPr>
          <w:color w:val="auto"/>
          <w:highlight w:val="none"/>
        </w:rPr>
        <w:sectPr>
          <w:pgSz w:w="11906" w:h="16838"/>
          <w:pgMar w:top="1440" w:right="1800" w:bottom="1440" w:left="1800" w:header="720" w:footer="998" w:gutter="0"/>
          <w:cols w:space="720" w:num="2"/>
        </w:sectPr>
      </w:pPr>
    </w:p>
    <w:p>
      <w:pPr>
        <w:pStyle w:val="173"/>
        <w:keepNext w:val="0"/>
        <w:keepLines w:val="0"/>
        <w:widowControl/>
        <w:adjustRightInd w:val="0"/>
        <w:snapToGrid w:val="0"/>
        <w:spacing w:before="0" w:after="50" w:line="360" w:lineRule="auto"/>
        <w:rPr>
          <w:rFonts w:ascii="Times New Roman" w:hAnsi="Times New Roman" w:eastAsia="华文中宋"/>
          <w:color w:val="auto"/>
          <w:sz w:val="40"/>
          <w:szCs w:val="48"/>
          <w:highlight w:val="none"/>
        </w:rPr>
      </w:pPr>
      <w:bookmarkStart w:id="72" w:name="_Toc54862164"/>
      <w:r>
        <w:rPr>
          <w:rFonts w:ascii="Times New Roman" w:hAnsi="Times New Roman" w:eastAsia="华文中宋"/>
          <w:color w:val="auto"/>
          <w:sz w:val="40"/>
          <w:szCs w:val="48"/>
          <w:highlight w:val="none"/>
        </w:rPr>
        <w:t>第一部分 合同协议书</w:t>
      </w:r>
      <w:bookmarkEnd w:id="72"/>
    </w:p>
    <w:p>
      <w:pPr>
        <w:ind w:firstLine="600"/>
        <w:rPr>
          <w:rFonts w:eastAsia="仿宋_GB2312"/>
          <w:color w:val="auto"/>
          <w:sz w:val="30"/>
          <w:szCs w:val="30"/>
          <w:highlight w:val="none"/>
        </w:rPr>
      </w:pP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rPr>
        <w:t>发包人（全称）：</w:t>
      </w:r>
      <w:r>
        <w:rPr>
          <w:rFonts w:eastAsia="仿宋_GB2312"/>
          <w:color w:val="auto"/>
          <w:sz w:val="24"/>
          <w:highlight w:val="none"/>
          <w:u w:val="single"/>
        </w:rPr>
        <w:t>广东广垦华丰糖业有限公司</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承包人（全称）：</w:t>
      </w:r>
    </w:p>
    <w:p>
      <w:pPr>
        <w:widowControl/>
        <w:adjustRightInd w:val="0"/>
        <w:snapToGrid w:val="0"/>
        <w:spacing w:line="440" w:lineRule="exact"/>
        <w:ind w:firstLine="600"/>
        <w:rPr>
          <w:rFonts w:eastAsia="仿宋_GB2312"/>
          <w:color w:val="auto"/>
          <w:sz w:val="24"/>
          <w:highlight w:val="none"/>
        </w:rPr>
      </w:pP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根据《中华人民共和国民法典》、《中华人民共和国建筑法》及有关法律规定，遵循平等、自愿、公平和诚实信用的原则，双方就</w:t>
      </w:r>
      <w:r>
        <w:rPr>
          <w:rFonts w:eastAsia="仿宋_GB2312"/>
          <w:color w:val="auto"/>
          <w:sz w:val="24"/>
          <w:highlight w:val="none"/>
          <w:u w:val="single"/>
        </w:rPr>
        <w:t>2023年广东农垦糖蔗产业集群华丰公司压榨机改造及预处理系统配套工程项目</w:t>
      </w:r>
      <w:r>
        <w:rPr>
          <w:rFonts w:eastAsia="仿宋_GB2312"/>
          <w:color w:val="auto"/>
          <w:sz w:val="24"/>
          <w:highlight w:val="none"/>
        </w:rPr>
        <w:t>项目的工程总承包及有关事项协商一致，共同达成如下协议：</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73" w:name="_Toc54862165"/>
      <w:r>
        <w:rPr>
          <w:rFonts w:ascii="Times New Roman" w:hAnsi="Times New Roman" w:eastAsia="黑体"/>
          <w:b w:val="0"/>
          <w:color w:val="auto"/>
          <w:szCs w:val="24"/>
          <w:highlight w:val="none"/>
        </w:rPr>
        <w:t>一、工程概况</w:t>
      </w:r>
      <w:bookmarkEnd w:id="73"/>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工程名称：</w:t>
      </w:r>
      <w:r>
        <w:rPr>
          <w:rFonts w:eastAsia="仿宋_GB2312"/>
          <w:color w:val="auto"/>
          <w:sz w:val="24"/>
          <w:highlight w:val="none"/>
          <w:u w:val="single"/>
        </w:rPr>
        <w:t>2023年广东农垦糖蔗产业集群华丰公司压榨机改造及预处理系统配套工程项目</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工程地点：</w:t>
      </w:r>
      <w:r>
        <w:rPr>
          <w:rFonts w:eastAsia="仿宋_GB2312"/>
          <w:color w:val="auto"/>
          <w:sz w:val="24"/>
          <w:highlight w:val="none"/>
          <w:u w:val="single"/>
        </w:rPr>
        <w:t>广东广垦华丰糖业有限公司生产区内</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工程审批、核准或备案文号：</w:t>
      </w:r>
      <w:r>
        <w:rPr>
          <w:rFonts w:eastAsia="仿宋_GB2312"/>
          <w:color w:val="auto"/>
          <w:sz w:val="24"/>
          <w:highlight w:val="none"/>
          <w:u w:val="single"/>
        </w:rPr>
        <w:t>广垦糖函〔2023〕155号</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资金来源：</w:t>
      </w:r>
      <w:r>
        <w:rPr>
          <w:rFonts w:eastAsia="仿宋_GB2312"/>
          <w:color w:val="auto"/>
          <w:sz w:val="24"/>
          <w:highlight w:val="none"/>
          <w:u w:val="single"/>
        </w:rPr>
        <w:t>中央财政资金及企业自筹</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工程内容及规模：</w:t>
      </w:r>
      <w:r>
        <w:rPr>
          <w:rFonts w:eastAsia="仿宋_GB2312"/>
          <w:color w:val="auto"/>
          <w:sz w:val="24"/>
          <w:highlight w:val="none"/>
          <w:u w:val="single"/>
        </w:rPr>
        <w:t>原料处理间输蔗带宽度加大至2000mm，同时配套更新改造撕解机、除铁器等设备。原料处理间由原1段1670mm链板式输蔗机、一条皮带机更换为2段2000mm链板式输蔗机、一条1700mm快速胶带。原1670mm蔗刀机更换为满足配套蔗带规格2000mm蔗刀机，共3台。其中3#蔗刀机使用原710KW电机。蔗刀机电压为6.3KV。旧房屋拆除，重建压榨间连通的原料间。压榨间保留原1#φ850x1700压榨机，2#～6#φ810x1600压榨机替换成全新的五座φ850x1700斜调圆销式压榨机。取消原来的分配箱和开放齿及前辊液压马达系统，更换成扭矩为130吨米的行星减速机和710Kw的直流电机以及一套柔性联轴器。配套DCS控制系统及生产作业视频监控系统</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工程承包范围：</w:t>
      </w:r>
      <w:r>
        <w:rPr>
          <w:rFonts w:eastAsia="仿宋_GB2312"/>
          <w:color w:val="auto"/>
          <w:sz w:val="24"/>
          <w:highlight w:val="none"/>
          <w:u w:val="single"/>
        </w:rPr>
        <w:t>按发包人提供的招标文件等资料，完成2023年广东农垦糖蔗产业集群华丰公司压榨机改造及预处理系统配套工程项目的全部内容，具体详见施工图纸及工程量清单</w:t>
      </w:r>
      <w:r>
        <w:rPr>
          <w:rFonts w:eastAsia="仿宋_GB2312"/>
          <w:color w:val="auto"/>
          <w:sz w:val="24"/>
          <w:highlight w:val="none"/>
        </w:rPr>
        <w:t>。</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74" w:name="_Toc54862166"/>
      <w:r>
        <w:rPr>
          <w:rFonts w:ascii="Times New Roman" w:hAnsi="Times New Roman" w:eastAsia="黑体"/>
          <w:b w:val="0"/>
          <w:color w:val="auto"/>
          <w:szCs w:val="24"/>
          <w:highlight w:val="none"/>
        </w:rPr>
        <w:t>二、合同工期</w:t>
      </w:r>
      <w:bookmarkEnd w:id="74"/>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计划开始工作日期：年月日。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计划开始现场施工日期：年月日。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计划竣工日期：年月日。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工期总日历天数：天，工期总日历天数与根据前述计划日期计算的工期天数不一致的，以工期总日历天数为准。</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75" w:name="_Toc54862167"/>
      <w:r>
        <w:rPr>
          <w:rFonts w:ascii="Times New Roman" w:hAnsi="Times New Roman" w:eastAsia="黑体"/>
          <w:b w:val="0"/>
          <w:color w:val="auto"/>
          <w:szCs w:val="24"/>
          <w:highlight w:val="none"/>
        </w:rPr>
        <w:t>三、质量标准</w:t>
      </w:r>
      <w:bookmarkEnd w:id="75"/>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工程质量标准：</w:t>
      </w:r>
      <w:r>
        <w:rPr>
          <w:rFonts w:eastAsia="仿宋_GB2312"/>
          <w:color w:val="auto"/>
          <w:sz w:val="24"/>
          <w:highlight w:val="none"/>
          <w:u w:val="single"/>
        </w:rPr>
        <w:t>国家现行施工技术质量标准和规范验收达到合格等级标准</w:t>
      </w:r>
      <w:r>
        <w:rPr>
          <w:rFonts w:eastAsia="仿宋_GB2312"/>
          <w:color w:val="auto"/>
          <w:sz w:val="24"/>
          <w:highlight w:val="none"/>
        </w:rPr>
        <w:t>。</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76" w:name="_Toc54862168"/>
      <w:r>
        <w:rPr>
          <w:rFonts w:ascii="Times New Roman" w:hAnsi="Times New Roman" w:eastAsia="黑体"/>
          <w:b w:val="0"/>
          <w:color w:val="auto"/>
          <w:szCs w:val="24"/>
          <w:highlight w:val="none"/>
        </w:rPr>
        <w:t>四、签约合同价与合同价格形式</w:t>
      </w:r>
      <w:bookmarkEnd w:id="76"/>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签约合同价（含税）为：</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人民币（大写) （¥元）。</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具体构成详见价格清单。其中：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设计费（含税）：</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人民币（大写) （¥元）；适用税率：%，税金为人民币（大写)（¥元）；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设备购置费（含税）：</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人民币（大写) （¥元）；适用税率：%，税金为人民币（大写)（¥元）；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建筑安装工程费（含税）：</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人民币（大写)（¥元）；适用税率：%，税金为人民币（大写)（¥元）；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暂估价（含税）：</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人民币（大写)（¥元）。</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暂列金额（含税）：</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人民币（大写)（¥元）。</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双方约定的其他费用（含税）：</w:t>
      </w:r>
    </w:p>
    <w:p>
      <w:pPr>
        <w:widowControl/>
        <w:adjustRightInd w:val="0"/>
        <w:snapToGrid w:val="0"/>
        <w:spacing w:line="440" w:lineRule="exact"/>
        <w:ind w:firstLine="600"/>
        <w:jc w:val="left"/>
        <w:rPr>
          <w:rFonts w:eastAsia="仿宋_GB2312"/>
          <w:color w:val="auto"/>
          <w:sz w:val="24"/>
          <w:highlight w:val="none"/>
        </w:rPr>
      </w:pPr>
      <w:r>
        <w:rPr>
          <w:rFonts w:eastAsia="仿宋_GB2312"/>
          <w:color w:val="auto"/>
          <w:sz w:val="24"/>
          <w:highlight w:val="none"/>
        </w:rPr>
        <w:t>人民币（大写)（¥元）；适用税率：%，税金为人民币（大写)（¥元）。</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合同价格形式：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合同价格形式为总价合同，除根据合同约定的在工程实施过程中需进行增减的款项外，合同价格不予调整，但合同当事人另有约定的除外。</w:t>
      </w:r>
    </w:p>
    <w:p>
      <w:pPr>
        <w:widowControl/>
        <w:kinsoku w:val="0"/>
        <w:adjustRightInd w:val="0"/>
        <w:snapToGrid w:val="0"/>
        <w:spacing w:line="440" w:lineRule="exact"/>
        <w:ind w:left="263" w:leftChars="125" w:firstLine="240" w:firstLineChars="100"/>
        <w:jc w:val="left"/>
        <w:rPr>
          <w:rFonts w:eastAsia="仿宋_GB2312"/>
          <w:color w:val="auto"/>
          <w:sz w:val="24"/>
          <w:highlight w:val="none"/>
        </w:rPr>
      </w:pPr>
      <w:r>
        <w:rPr>
          <w:rFonts w:eastAsia="仿宋_GB2312"/>
          <w:color w:val="auto"/>
          <w:sz w:val="24"/>
          <w:highlight w:val="none"/>
        </w:rPr>
        <w:t>合同当事人对合同价格形式的其他约定：</w:t>
      </w:r>
      <w:r>
        <w:rPr>
          <w:rFonts w:hint="eastAsia" w:eastAsia="仿宋_GB2312"/>
          <w:color w:val="auto"/>
          <w:sz w:val="24"/>
          <w:highlight w:val="none"/>
          <w:u w:val="single"/>
        </w:rPr>
        <w:t>/</w:t>
      </w:r>
      <w:r>
        <w:rPr>
          <w:rFonts w:eastAsia="仿宋_GB2312"/>
          <w:color w:val="auto"/>
          <w:sz w:val="24"/>
          <w:highlight w:val="none"/>
        </w:rPr>
        <w:t>。</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77" w:name="_Toc54862169"/>
      <w:r>
        <w:rPr>
          <w:rFonts w:ascii="Times New Roman" w:hAnsi="Times New Roman" w:eastAsia="黑体"/>
          <w:b w:val="0"/>
          <w:color w:val="auto"/>
          <w:szCs w:val="24"/>
          <w:highlight w:val="none"/>
        </w:rPr>
        <w:t>五、工程总承包项目经理</w:t>
      </w:r>
      <w:bookmarkEnd w:id="77"/>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工程总承包项目经理：。</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78" w:name="_Toc54862170"/>
      <w:r>
        <w:rPr>
          <w:rFonts w:ascii="Times New Roman" w:hAnsi="Times New Roman" w:eastAsia="黑体"/>
          <w:b w:val="0"/>
          <w:color w:val="auto"/>
          <w:szCs w:val="24"/>
          <w:highlight w:val="none"/>
        </w:rPr>
        <w:t>六、合同文件构成</w:t>
      </w:r>
      <w:bookmarkEnd w:id="78"/>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本协议书与下列文件一起构成合同文件：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中标通知书（如果有）；</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投标函及投标函附录（如果有）；</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专用合同条件及《发包人要求》等附件；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通用合同条件；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（5） 承包人建议书；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价格清单；</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双方约定的其他合同文件。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上述各项合同文件包括双方就该项合同文件所作出的补充和修改，属于同一类内容的合同文件应以最新签署的为准。专用合同条件及其附件须经合同当事人签字或盖章。</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79" w:name="_Toc54862171"/>
      <w:r>
        <w:rPr>
          <w:rFonts w:ascii="Times New Roman" w:hAnsi="Times New Roman" w:eastAsia="黑体"/>
          <w:b w:val="0"/>
          <w:color w:val="auto"/>
          <w:szCs w:val="24"/>
          <w:highlight w:val="none"/>
        </w:rPr>
        <w:t>七、承诺</w:t>
      </w:r>
      <w:bookmarkEnd w:id="79"/>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发包人承诺按照法律规定履行项目审批手续、筹集工程建设资金并按照合同约定的期限和方式支付合同价款。</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承包人承诺按照法律规定及合同约定组织完成工程的设计、采购和施工等工作，确保工程质量和安全，不进行转包及违法分包，并在缺陷责任期及保修期内承担相应的工程维修责任。</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80" w:name="_Toc54862172"/>
      <w:r>
        <w:rPr>
          <w:rFonts w:ascii="Times New Roman" w:hAnsi="Times New Roman" w:eastAsia="黑体"/>
          <w:b w:val="0"/>
          <w:color w:val="auto"/>
          <w:szCs w:val="24"/>
          <w:highlight w:val="none"/>
        </w:rPr>
        <w:t>八、订立时间</w:t>
      </w:r>
      <w:bookmarkEnd w:id="80"/>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本合同于年月日订立。</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81" w:name="_Toc54862173"/>
      <w:r>
        <w:rPr>
          <w:rFonts w:ascii="Times New Roman" w:hAnsi="Times New Roman" w:eastAsia="黑体"/>
          <w:b w:val="0"/>
          <w:color w:val="auto"/>
          <w:szCs w:val="24"/>
          <w:highlight w:val="none"/>
        </w:rPr>
        <w:t>九、订立地点</w:t>
      </w:r>
      <w:bookmarkEnd w:id="81"/>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本合同在</w:t>
      </w:r>
      <w:r>
        <w:rPr>
          <w:rFonts w:eastAsia="仿宋_GB2312"/>
          <w:color w:val="auto"/>
          <w:sz w:val="24"/>
          <w:highlight w:val="none"/>
          <w:u w:val="single"/>
        </w:rPr>
        <w:t>华丰公司</w:t>
      </w:r>
      <w:r>
        <w:rPr>
          <w:rFonts w:eastAsia="仿宋_GB2312"/>
          <w:color w:val="auto"/>
          <w:sz w:val="24"/>
          <w:highlight w:val="none"/>
        </w:rPr>
        <w:t>订立。</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82" w:name="_Toc54862174"/>
      <w:r>
        <w:rPr>
          <w:rFonts w:ascii="Times New Roman" w:hAnsi="Times New Roman" w:eastAsia="黑体"/>
          <w:b w:val="0"/>
          <w:color w:val="auto"/>
          <w:szCs w:val="24"/>
          <w:highlight w:val="none"/>
        </w:rPr>
        <w:t>十、合同生效</w:t>
      </w:r>
      <w:bookmarkEnd w:id="82"/>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本合同经双方签字或盖章后成立，并自</w:t>
      </w:r>
      <w:r>
        <w:rPr>
          <w:rFonts w:eastAsia="仿宋_GB2312"/>
          <w:color w:val="auto"/>
          <w:sz w:val="24"/>
          <w:highlight w:val="none"/>
          <w:u w:val="single"/>
        </w:rPr>
        <w:t>双方签字盖章后</w:t>
      </w:r>
      <w:r>
        <w:rPr>
          <w:rFonts w:eastAsia="仿宋_GB2312"/>
          <w:color w:val="auto"/>
          <w:sz w:val="24"/>
          <w:highlight w:val="none"/>
        </w:rPr>
        <w:t>生效。</w:t>
      </w:r>
    </w:p>
    <w:p>
      <w:pPr>
        <w:pStyle w:val="174"/>
        <w:widowControl/>
        <w:numPr>
          <w:ilvl w:val="0"/>
          <w:numId w:val="0"/>
        </w:numPr>
        <w:adjustRightInd w:val="0"/>
        <w:snapToGrid w:val="0"/>
        <w:spacing w:line="440" w:lineRule="exact"/>
        <w:rPr>
          <w:rFonts w:ascii="Times New Roman" w:hAnsi="Times New Roman" w:eastAsia="黑体"/>
          <w:b w:val="0"/>
          <w:color w:val="auto"/>
          <w:szCs w:val="24"/>
          <w:highlight w:val="none"/>
        </w:rPr>
      </w:pPr>
      <w:bookmarkStart w:id="83" w:name="_Toc54862175"/>
      <w:r>
        <w:rPr>
          <w:rFonts w:ascii="Times New Roman" w:hAnsi="Times New Roman" w:eastAsia="黑体"/>
          <w:b w:val="0"/>
          <w:color w:val="auto"/>
          <w:szCs w:val="24"/>
          <w:highlight w:val="none"/>
        </w:rPr>
        <w:t>十一、合同份数</w:t>
      </w:r>
      <w:bookmarkEnd w:id="83"/>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本合同一式</w:t>
      </w:r>
      <w:r>
        <w:rPr>
          <w:rFonts w:eastAsia="仿宋_GB2312"/>
          <w:color w:val="auto"/>
          <w:sz w:val="24"/>
          <w:highlight w:val="none"/>
          <w:u w:val="single"/>
        </w:rPr>
        <w:t>捌</w:t>
      </w:r>
      <w:r>
        <w:rPr>
          <w:rFonts w:eastAsia="仿宋_GB2312"/>
          <w:color w:val="auto"/>
          <w:sz w:val="24"/>
          <w:highlight w:val="none"/>
        </w:rPr>
        <w:t>份，均具有同等法律效力，发包人执</w:t>
      </w:r>
      <w:r>
        <w:rPr>
          <w:rFonts w:eastAsia="仿宋_GB2312"/>
          <w:color w:val="auto"/>
          <w:sz w:val="24"/>
          <w:highlight w:val="none"/>
          <w:u w:val="single"/>
        </w:rPr>
        <w:t>肆</w:t>
      </w:r>
      <w:r>
        <w:rPr>
          <w:rFonts w:eastAsia="仿宋_GB2312"/>
          <w:color w:val="auto"/>
          <w:sz w:val="24"/>
          <w:highlight w:val="none"/>
        </w:rPr>
        <w:t>份，承包人执</w:t>
      </w:r>
      <w:r>
        <w:rPr>
          <w:rFonts w:eastAsia="仿宋_GB2312"/>
          <w:color w:val="auto"/>
          <w:sz w:val="24"/>
          <w:highlight w:val="none"/>
          <w:u w:val="single"/>
        </w:rPr>
        <w:t>肆</w:t>
      </w:r>
      <w:r>
        <w:rPr>
          <w:rFonts w:eastAsia="仿宋_GB2312"/>
          <w:color w:val="auto"/>
          <w:sz w:val="24"/>
          <w:highlight w:val="none"/>
        </w:rPr>
        <w:t>份。</w:t>
      </w:r>
    </w:p>
    <w:p>
      <w:pPr>
        <w:ind w:firstLine="600"/>
        <w:rPr>
          <w:rFonts w:eastAsia="仿宋_GB2312"/>
          <w:color w:val="auto"/>
          <w:sz w:val="24"/>
          <w:highlight w:val="none"/>
        </w:rPr>
        <w:sectPr>
          <w:footerReference r:id="rId13" w:type="default"/>
          <w:type w:val="continuous"/>
          <w:pgSz w:w="11906" w:h="16838"/>
          <w:pgMar w:top="1440" w:right="1800" w:bottom="1440" w:left="1800" w:header="720" w:footer="850" w:gutter="0"/>
          <w:cols w:space="720" w:num="1"/>
          <w:docGrid w:linePitch="326" w:charSpace="0"/>
        </w:sectPr>
      </w:pPr>
      <w:r>
        <w:rPr>
          <w:rFonts w:eastAsia="仿宋_GB2312"/>
          <w:color w:val="auto"/>
          <w:sz w:val="24"/>
          <w:highlight w:val="none"/>
        </w:rPr>
        <w:t>（以下无正文）</w:t>
      </w:r>
    </w:p>
    <w:p>
      <w:pPr>
        <w:rPr>
          <w:rFonts w:eastAsia="仿宋_GB2312"/>
          <w:color w:val="auto"/>
          <w:sz w:val="24"/>
          <w:highlight w:val="none"/>
        </w:rPr>
      </w:pPr>
      <w:r>
        <w:rPr>
          <w:rFonts w:eastAsia="仿宋_GB2312"/>
          <w:color w:val="auto"/>
          <w:sz w:val="24"/>
          <w:highlight w:val="none"/>
        </w:rPr>
        <w:t>（本页为建设项目工程总承包合同第一部分签署页）</w:t>
      </w:r>
    </w:p>
    <w:p>
      <w:pPr>
        <w:ind w:firstLine="600"/>
        <w:rPr>
          <w:rFonts w:eastAsia="仿宋_GB2312"/>
          <w:color w:val="auto"/>
          <w:sz w:val="30"/>
          <w:szCs w:val="30"/>
          <w:highlight w:val="none"/>
        </w:rPr>
      </w:pPr>
    </w:p>
    <w:tbl>
      <w:tblPr>
        <w:tblStyle w:val="47"/>
        <w:tblpPr w:leftFromText="180" w:rightFromText="180" w:vertAnchor="text" w:horzAnchor="page" w:tblpXSpec="center" w:tblpY="119"/>
        <w:tblW w:w="0" w:type="auto"/>
        <w:jc w:val="center"/>
        <w:tblLayout w:type="fixed"/>
        <w:tblCellMar>
          <w:top w:w="0" w:type="dxa"/>
          <w:left w:w="108" w:type="dxa"/>
          <w:bottom w:w="0" w:type="dxa"/>
          <w:right w:w="108" w:type="dxa"/>
        </w:tblCellMar>
      </w:tblPr>
      <w:tblGrid>
        <w:gridCol w:w="4507"/>
        <w:gridCol w:w="4565"/>
      </w:tblGrid>
      <w:tr>
        <w:trPr>
          <w:jc w:val="center"/>
        </w:trPr>
        <w:tc>
          <w:tcPr>
            <w:tcW w:w="4507" w:type="dxa"/>
            <w:noWrap/>
          </w:tcPr>
          <w:p>
            <w:pPr>
              <w:pStyle w:val="175"/>
              <w:framePr w:hSpace="0" w:wrap="auto" w:vAnchor="margin" w:hAnchor="text" w:yAlign="inline"/>
              <w:spacing w:after="50" w:line="360" w:lineRule="auto"/>
              <w:rPr>
                <w:rFonts w:ascii="Times New Roman" w:hAnsi="Times New Roman" w:eastAsia="仿宋_GB2312"/>
                <w:color w:val="auto"/>
                <w:szCs w:val="24"/>
                <w:highlight w:val="none"/>
              </w:rPr>
            </w:pPr>
            <w:r>
              <w:rPr>
                <w:rFonts w:ascii="Times New Roman" w:hAnsi="Times New Roman" w:eastAsia="仿宋_GB2312"/>
                <w:color w:val="auto"/>
                <w:szCs w:val="24"/>
                <w:highlight w:val="none"/>
              </w:rPr>
              <w:t>发包人：（公章）</w:t>
            </w:r>
          </w:p>
          <w:p>
            <w:pPr>
              <w:pStyle w:val="175"/>
              <w:framePr w:hSpace="0" w:wrap="auto" w:vAnchor="margin" w:hAnchor="text" w:yAlign="inline"/>
              <w:spacing w:after="50" w:line="360" w:lineRule="auto"/>
              <w:rPr>
                <w:rFonts w:ascii="Times New Roman" w:hAnsi="Times New Roman" w:eastAsia="仿宋_GB2312"/>
                <w:color w:val="auto"/>
                <w:szCs w:val="24"/>
                <w:highlight w:val="none"/>
              </w:rPr>
            </w:pPr>
          </w:p>
          <w:p>
            <w:pPr>
              <w:pStyle w:val="175"/>
              <w:framePr w:hSpace="0" w:wrap="auto" w:vAnchor="margin" w:hAnchor="text" w:yAlign="inline"/>
              <w:spacing w:after="50" w:line="360" w:lineRule="auto"/>
              <w:rPr>
                <w:rFonts w:ascii="Times New Roman" w:hAnsi="Times New Roman" w:eastAsia="仿宋_GB2312"/>
                <w:color w:val="auto"/>
                <w:szCs w:val="24"/>
                <w:highlight w:val="none"/>
              </w:rPr>
            </w:pPr>
          </w:p>
        </w:tc>
        <w:tc>
          <w:tcPr>
            <w:tcW w:w="4565" w:type="dxa"/>
            <w:noWrap/>
          </w:tcPr>
          <w:p>
            <w:pPr>
              <w:pStyle w:val="175"/>
              <w:framePr w:hSpace="0" w:wrap="auto" w:vAnchor="margin" w:hAnchor="text" w:yAlign="inline"/>
              <w:spacing w:after="50" w:line="360" w:lineRule="auto"/>
              <w:rPr>
                <w:rFonts w:ascii="Times New Roman" w:hAnsi="Times New Roman" w:eastAsia="仿宋_GB2312"/>
                <w:color w:val="auto"/>
                <w:szCs w:val="24"/>
                <w:highlight w:val="none"/>
              </w:rPr>
            </w:pPr>
            <w:r>
              <w:rPr>
                <w:rFonts w:ascii="Times New Roman" w:hAnsi="Times New Roman" w:eastAsia="仿宋_GB2312"/>
                <w:color w:val="auto"/>
                <w:szCs w:val="24"/>
                <w:highlight w:val="none"/>
              </w:rPr>
              <w:t>承包人：（公章）</w:t>
            </w:r>
          </w:p>
          <w:p>
            <w:pPr>
              <w:pStyle w:val="175"/>
              <w:framePr w:hSpace="0" w:wrap="auto" w:vAnchor="margin" w:hAnchor="text" w:yAlign="inline"/>
              <w:spacing w:after="50" w:line="360" w:lineRule="auto"/>
              <w:rPr>
                <w:rFonts w:ascii="Times New Roman" w:hAnsi="Times New Roman" w:eastAsia="仿宋_GB2312"/>
                <w:color w:val="auto"/>
                <w:szCs w:val="24"/>
                <w:highlight w:val="none"/>
              </w:rPr>
            </w:pPr>
          </w:p>
          <w:p>
            <w:pPr>
              <w:pStyle w:val="175"/>
              <w:framePr w:hSpace="0" w:wrap="auto" w:vAnchor="margin" w:hAnchor="text" w:yAlign="inline"/>
              <w:spacing w:after="50" w:line="360" w:lineRule="auto"/>
              <w:rPr>
                <w:rFonts w:ascii="Times New Roman" w:hAnsi="Times New Roman" w:eastAsia="仿宋_GB2312"/>
                <w:color w:val="auto"/>
                <w:szCs w:val="24"/>
                <w:highlight w:val="none"/>
              </w:rPr>
            </w:pPr>
          </w:p>
        </w:tc>
      </w:tr>
      <w:tr>
        <w:tblPrEx>
          <w:tblCellMar>
            <w:top w:w="0" w:type="dxa"/>
            <w:left w:w="108" w:type="dxa"/>
            <w:bottom w:w="0" w:type="dxa"/>
            <w:right w:w="108" w:type="dxa"/>
          </w:tblCellMar>
        </w:tblPrEx>
        <w:trPr>
          <w:trHeight w:val="1698" w:hRule="atLeast"/>
          <w:jc w:val="center"/>
        </w:trPr>
        <w:tc>
          <w:tcPr>
            <w:tcW w:w="4507" w:type="dxa"/>
            <w:noWrap/>
          </w:tcPr>
          <w:p>
            <w:pPr>
              <w:pStyle w:val="175"/>
              <w:framePr w:hSpace="0" w:wrap="auto" w:vAnchor="margin" w:hAnchor="text" w:yAlign="inline"/>
              <w:spacing w:after="50" w:line="360" w:lineRule="auto"/>
              <w:rPr>
                <w:rFonts w:ascii="Times New Roman" w:hAnsi="Times New Roman" w:eastAsia="仿宋_GB2312"/>
                <w:color w:val="auto"/>
                <w:szCs w:val="24"/>
                <w:highlight w:val="none"/>
              </w:rPr>
            </w:pPr>
            <w:r>
              <w:rPr>
                <w:rFonts w:ascii="Times New Roman" w:hAnsi="Times New Roman" w:eastAsia="仿宋_GB2312"/>
                <w:color w:val="auto"/>
                <w:szCs w:val="24"/>
                <w:highlight w:val="none"/>
              </w:rPr>
              <w:t>法定代表人或其委托代理人（签字）：</w:t>
            </w:r>
          </w:p>
          <w:p>
            <w:pPr>
              <w:pStyle w:val="175"/>
              <w:framePr w:hSpace="0" w:wrap="auto" w:vAnchor="margin" w:hAnchor="text" w:yAlign="inline"/>
              <w:spacing w:after="50" w:line="360" w:lineRule="auto"/>
              <w:rPr>
                <w:rFonts w:ascii="Times New Roman" w:hAnsi="Times New Roman" w:eastAsia="仿宋_GB2312"/>
                <w:color w:val="auto"/>
                <w:szCs w:val="24"/>
                <w:highlight w:val="none"/>
              </w:rPr>
            </w:pPr>
          </w:p>
          <w:p>
            <w:pPr>
              <w:pStyle w:val="175"/>
              <w:framePr w:hSpace="0" w:wrap="auto" w:vAnchor="margin" w:hAnchor="text" w:yAlign="inline"/>
              <w:spacing w:after="50" w:line="360" w:lineRule="auto"/>
              <w:rPr>
                <w:rFonts w:ascii="Times New Roman" w:hAnsi="Times New Roman" w:eastAsia="仿宋_GB2312"/>
                <w:color w:val="auto"/>
                <w:szCs w:val="24"/>
                <w:highlight w:val="none"/>
                <w:u w:val="single"/>
              </w:rPr>
            </w:pPr>
          </w:p>
        </w:tc>
        <w:tc>
          <w:tcPr>
            <w:tcW w:w="4565" w:type="dxa"/>
            <w:noWrap/>
          </w:tcPr>
          <w:p>
            <w:pPr>
              <w:pStyle w:val="175"/>
              <w:framePr w:hSpace="0" w:wrap="auto" w:vAnchor="margin" w:hAnchor="text" w:yAlign="inline"/>
              <w:spacing w:after="50" w:line="360" w:lineRule="auto"/>
              <w:rPr>
                <w:rFonts w:ascii="Times New Roman" w:hAnsi="Times New Roman" w:eastAsia="仿宋_GB2312"/>
                <w:color w:val="auto"/>
                <w:szCs w:val="24"/>
                <w:highlight w:val="none"/>
              </w:rPr>
            </w:pPr>
            <w:r>
              <w:rPr>
                <w:rFonts w:ascii="Times New Roman" w:hAnsi="Times New Roman" w:eastAsia="仿宋_GB2312"/>
                <w:color w:val="auto"/>
                <w:szCs w:val="24"/>
                <w:highlight w:val="none"/>
              </w:rPr>
              <w:t>法定代表人或其委托代理人（签字）：</w:t>
            </w:r>
          </w:p>
          <w:p>
            <w:pPr>
              <w:pStyle w:val="175"/>
              <w:framePr w:hSpace="0" w:wrap="auto" w:vAnchor="margin" w:hAnchor="text" w:yAlign="inline"/>
              <w:spacing w:after="50" w:line="360" w:lineRule="auto"/>
              <w:rPr>
                <w:rFonts w:ascii="Times New Roman" w:hAnsi="Times New Roman" w:eastAsia="仿宋_GB2312"/>
                <w:color w:val="auto"/>
                <w:szCs w:val="24"/>
                <w:highlight w:val="none"/>
              </w:rPr>
            </w:pPr>
          </w:p>
          <w:p>
            <w:pPr>
              <w:pStyle w:val="175"/>
              <w:framePr w:hSpace="0" w:wrap="auto" w:vAnchor="margin" w:hAnchor="text" w:yAlign="inline"/>
              <w:spacing w:after="50" w:line="360" w:lineRule="auto"/>
              <w:rPr>
                <w:rFonts w:ascii="Times New Roman" w:hAnsi="Times New Roman" w:eastAsia="仿宋_GB2312"/>
                <w:color w:val="auto"/>
                <w:szCs w:val="24"/>
                <w:highlight w:val="none"/>
              </w:rPr>
            </w:pPr>
          </w:p>
        </w:tc>
      </w:tr>
      <w:tr>
        <w:tblPrEx>
          <w:tblCellMar>
            <w:top w:w="0" w:type="dxa"/>
            <w:left w:w="108" w:type="dxa"/>
            <w:bottom w:w="0" w:type="dxa"/>
            <w:right w:w="108" w:type="dxa"/>
          </w:tblCellMar>
        </w:tblPrEx>
        <w:trPr>
          <w:jc w:val="center"/>
        </w:trPr>
        <w:tc>
          <w:tcPr>
            <w:tcW w:w="4507" w:type="dxa"/>
            <w:noWrap/>
          </w:tcPr>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统一社会信用代码：</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地址：</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邮政编码：</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法定代表人：</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委托代理人：</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电话：</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传真：</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电子信箱：</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开户银行：</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账号：</w:t>
            </w:r>
          </w:p>
        </w:tc>
        <w:tc>
          <w:tcPr>
            <w:tcW w:w="4565" w:type="dxa"/>
            <w:noWrap/>
          </w:tcPr>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统一社会信用代码：</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地址：</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邮政编码：</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法定代表人：</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委托代理人：</w:t>
            </w:r>
          </w:p>
          <w:p>
            <w:pPr>
              <w:pStyle w:val="175"/>
              <w:framePr w:hSpace="0" w:wrap="auto" w:vAnchor="margin" w:hAnchor="text" w:yAlign="inline"/>
              <w:spacing w:after="50" w:line="360" w:lineRule="auto"/>
              <w:rPr>
                <w:rFonts w:ascii="Times New Roman" w:hAnsi="Times New Roman" w:eastAsia="仿宋_GB2312"/>
                <w:color w:val="auto"/>
                <w:kern w:val="0"/>
                <w:sz w:val="20"/>
                <w:szCs w:val="20"/>
                <w:highlight w:val="none"/>
                <w:u w:val="single"/>
              </w:rPr>
            </w:pPr>
            <w:r>
              <w:rPr>
                <w:rFonts w:ascii="Times New Roman" w:hAnsi="Times New Roman" w:eastAsia="仿宋_GB2312"/>
                <w:color w:val="auto"/>
                <w:sz w:val="20"/>
                <w:szCs w:val="20"/>
                <w:highlight w:val="none"/>
              </w:rPr>
              <w:t>电话：</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传真：</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电子信箱：</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开户银行：</w:t>
            </w:r>
          </w:p>
          <w:p>
            <w:pPr>
              <w:pStyle w:val="175"/>
              <w:framePr w:hSpace="0" w:wrap="auto" w:vAnchor="margin" w:hAnchor="text" w:yAlign="inline"/>
              <w:spacing w:after="50" w:line="360" w:lineRule="auto"/>
              <w:rPr>
                <w:rFonts w:ascii="Times New Roman" w:hAnsi="Times New Roman" w:eastAsia="仿宋_GB2312"/>
                <w:color w:val="auto"/>
                <w:sz w:val="20"/>
                <w:szCs w:val="20"/>
                <w:highlight w:val="none"/>
              </w:rPr>
            </w:pPr>
            <w:r>
              <w:rPr>
                <w:rFonts w:ascii="Times New Roman" w:hAnsi="Times New Roman" w:eastAsia="仿宋_GB2312"/>
                <w:color w:val="auto"/>
                <w:sz w:val="20"/>
                <w:szCs w:val="20"/>
                <w:highlight w:val="none"/>
              </w:rPr>
              <w:t>账号：</w:t>
            </w:r>
          </w:p>
        </w:tc>
      </w:tr>
    </w:tbl>
    <w:p>
      <w:pPr>
        <w:rPr>
          <w:color w:val="auto"/>
          <w:highlight w:val="none"/>
        </w:rPr>
        <w:sectPr>
          <w:pgSz w:w="11906" w:h="16838"/>
          <w:pgMar w:top="1440" w:right="1800" w:bottom="1440" w:left="1800" w:header="720" w:footer="850" w:gutter="0"/>
          <w:cols w:space="720" w:num="1"/>
          <w:docGrid w:linePitch="326" w:charSpace="0"/>
        </w:sectPr>
      </w:pPr>
      <w:r>
        <w:rPr>
          <w:color w:val="auto"/>
          <w:highlight w:val="none"/>
        </w:rPr>
        <w:tab/>
      </w:r>
    </w:p>
    <w:p>
      <w:pPr>
        <w:pStyle w:val="173"/>
        <w:keepNext w:val="0"/>
        <w:keepLines w:val="0"/>
        <w:widowControl/>
        <w:adjustRightInd w:val="0"/>
        <w:snapToGrid w:val="0"/>
        <w:spacing w:before="0" w:after="50" w:line="360" w:lineRule="auto"/>
        <w:rPr>
          <w:rFonts w:ascii="Times New Roman" w:hAnsi="Times New Roman" w:eastAsia="华文中宋"/>
          <w:color w:val="auto"/>
          <w:sz w:val="40"/>
          <w:szCs w:val="48"/>
          <w:highlight w:val="none"/>
        </w:rPr>
      </w:pPr>
      <w:bookmarkStart w:id="84" w:name="_Toc54862176"/>
      <w:r>
        <w:rPr>
          <w:rFonts w:ascii="Times New Roman" w:hAnsi="Times New Roman" w:eastAsia="华文中宋"/>
          <w:color w:val="auto"/>
          <w:sz w:val="40"/>
          <w:szCs w:val="48"/>
          <w:highlight w:val="none"/>
        </w:rPr>
        <w:t>第二部分 通用合同条件</w:t>
      </w:r>
      <w:bookmarkEnd w:id="84"/>
    </w:p>
    <w:p>
      <w:pPr>
        <w:pStyle w:val="176"/>
        <w:numPr>
          <w:ilvl w:val="0"/>
          <w:numId w:val="0"/>
        </w:numPr>
        <w:rPr>
          <w:rFonts w:ascii="Times New Roman" w:hAnsi="Times New Roman"/>
          <w:b w:val="0"/>
          <w:color w:val="auto"/>
          <w:highlight w:val="none"/>
        </w:rPr>
      </w:pPr>
      <w:bookmarkStart w:id="85" w:name="_Ref508893699"/>
      <w:bookmarkStart w:id="86" w:name="_Toc54862177"/>
      <w:bookmarkStart w:id="87" w:name="_Ref509040831"/>
      <w:bookmarkStart w:id="88" w:name="_Ref509040826"/>
    </w:p>
    <w:p>
      <w:pPr>
        <w:pStyle w:val="176"/>
        <w:numPr>
          <w:ilvl w:val="0"/>
          <w:numId w:val="0"/>
        </w:numPr>
        <w:adjustRightInd w:val="0"/>
        <w:snapToGrid w:val="0"/>
        <w:spacing w:line="440" w:lineRule="exact"/>
        <w:rPr>
          <w:rFonts w:ascii="Times New Roman" w:hAnsi="Times New Roman"/>
          <w:b w:val="0"/>
          <w:color w:val="auto"/>
          <w:sz w:val="24"/>
          <w:szCs w:val="24"/>
          <w:highlight w:val="none"/>
        </w:rPr>
      </w:pPr>
      <w:r>
        <w:rPr>
          <w:rFonts w:ascii="Times New Roman" w:hAnsi="Times New Roman"/>
          <w:b w:val="0"/>
          <w:color w:val="auto"/>
          <w:sz w:val="24"/>
          <w:szCs w:val="24"/>
          <w:highlight w:val="none"/>
        </w:rPr>
        <w:t>第1条 一般约定</w:t>
      </w:r>
      <w:bookmarkEnd w:id="85"/>
      <w:bookmarkEnd w:id="86"/>
    </w:p>
    <w:p>
      <w:pPr>
        <w:pStyle w:val="177"/>
        <w:widowControl/>
        <w:spacing w:afterLines="0" w:line="440" w:lineRule="exact"/>
        <w:ind w:left="0"/>
        <w:rPr>
          <w:rFonts w:ascii="Times New Roman" w:hAnsi="Times New Roman"/>
          <w:b w:val="0"/>
          <w:bCs/>
          <w:color w:val="auto"/>
          <w:highlight w:val="none"/>
        </w:rPr>
      </w:pPr>
      <w:bookmarkStart w:id="89" w:name="_Ref523741474"/>
      <w:bookmarkStart w:id="90" w:name="_Ref523741471"/>
      <w:bookmarkStart w:id="91" w:name="_Toc54862178"/>
      <w:r>
        <w:rPr>
          <w:rFonts w:ascii="Times New Roman" w:hAnsi="Times New Roman"/>
          <w:b w:val="0"/>
          <w:bCs/>
          <w:color w:val="auto"/>
          <w:highlight w:val="none"/>
        </w:rPr>
        <w:t>1.1 词语定义和解释</w:t>
      </w:r>
      <w:bookmarkEnd w:id="87"/>
      <w:bookmarkEnd w:id="88"/>
      <w:bookmarkEnd w:id="89"/>
      <w:bookmarkEnd w:id="90"/>
      <w:bookmarkEnd w:id="9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合同协议书、通用合同条件、专用合同条件中的下列词语应具有本款所赋予的含义：</w:t>
      </w:r>
    </w:p>
    <w:p>
      <w:pPr>
        <w:pStyle w:val="178"/>
        <w:spacing w:afterLines="0" w:line="440" w:lineRule="exact"/>
        <w:ind w:left="0"/>
        <w:rPr>
          <w:rFonts w:ascii="Times New Roman" w:hAnsi="Times New Roman" w:eastAsia="仿宋_GB2312"/>
          <w:color w:val="auto"/>
          <w:szCs w:val="24"/>
          <w:highlight w:val="none"/>
        </w:rPr>
      </w:pPr>
      <w:bookmarkStart w:id="92" w:name="_Ref4757289"/>
      <w:bookmarkStart w:id="93" w:name="_Ref521288340"/>
      <w:r>
        <w:rPr>
          <w:rFonts w:ascii="Times New Roman" w:hAnsi="Times New Roman" w:eastAsia="仿宋_GB2312"/>
          <w:color w:val="auto"/>
          <w:szCs w:val="24"/>
          <w:highlight w:val="none"/>
        </w:rPr>
        <w:t>1.1.1 合同</w:t>
      </w:r>
      <w:bookmarkEnd w:id="92"/>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1.1.1.1 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1.1.1.2 合同协议书：是指构成合同的由发包人和承包人共同签署的称为“合同协议书”的书面文件。</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1.1.1.3 中标通知书：是指构成合同的由发包人通知承包人中标的书面文件。中标通知书随附的澄清、说明、补正事项纪要等，是中标通知书的组成部分。</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1.1.1.4 投标函：是指构成合同的由承包人填写并签署的用于投标的称为“投标函”的文件。</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1.1.1.5 投标函附录：是指构成合同的附在投标函后的称为“投标函附录”的文件。</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1.1.1.6 《发包人要求》：指构成合同文件组成部分的名为《发包人要求》的文件，其中列明工程的目的、范围、设计与其他技术标准和要求，以及合同双方当事人约定对其所作的修改或补充。</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1.1.1.7 项目清单：是指发包人提供的载明工程总承包项目勘察费（如果有）、设计费、建筑安装工程费、设备购置费、暂估价、暂列金额和双方约定的其他费用的名称和相应数量等内容的项目明细。</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1.1.1.8 价格清单：指构成合同文件组成部分的由承包人按发包人提供的项目清单规定的格式和要求填写并标明价格的清单。</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1.1.1.9 承包人建议书：指构成合同文件组成部分的名为承包人建议书的文件。承包人建议书由承包人随投标函一起提交。</w:t>
      </w:r>
    </w:p>
    <w:p>
      <w:pPr>
        <w:pStyle w:val="179"/>
        <w:spacing w:afterLines="0" w:line="440" w:lineRule="exact"/>
        <w:ind w:left="0"/>
        <w:rPr>
          <w:rFonts w:ascii="Times New Roman" w:hAnsi="Times New Roman" w:eastAsia="仿宋_GB2312"/>
          <w:color w:val="auto"/>
          <w:szCs w:val="24"/>
          <w:highlight w:val="none"/>
        </w:rPr>
      </w:pPr>
      <w:bookmarkStart w:id="94" w:name="_Ref4415300"/>
      <w:r>
        <w:rPr>
          <w:rFonts w:ascii="Times New Roman" w:hAnsi="Times New Roman" w:eastAsia="仿宋_GB2312"/>
          <w:color w:val="auto"/>
          <w:szCs w:val="24"/>
          <w:highlight w:val="none"/>
        </w:rPr>
        <w:t>1.1.1.10 其他合同文件：是指经合同当事人约定的与工程实施有关的具有合同约束力的文件或书面协议。合同当事人可以在专用合同条件中进行约定。</w:t>
      </w:r>
      <w:bookmarkEnd w:id="94"/>
    </w:p>
    <w:p>
      <w:pPr>
        <w:pStyle w:val="178"/>
        <w:spacing w:afterLines="0" w:line="440" w:lineRule="exact"/>
        <w:ind w:left="0"/>
        <w:rPr>
          <w:rFonts w:ascii="Times New Roman" w:hAnsi="Times New Roman" w:eastAsia="仿宋_GB2312"/>
          <w:color w:val="auto"/>
          <w:szCs w:val="24"/>
          <w:highlight w:val="none"/>
        </w:rPr>
      </w:pPr>
      <w:bookmarkStart w:id="95" w:name="_Ref4757418"/>
      <w:r>
        <w:rPr>
          <w:rFonts w:ascii="Times New Roman" w:hAnsi="Times New Roman" w:eastAsia="仿宋_GB2312"/>
          <w:color w:val="auto"/>
          <w:szCs w:val="24"/>
          <w:highlight w:val="none"/>
        </w:rPr>
        <w:t>1.1.2 合同当事人及其他相关方</w:t>
      </w:r>
      <w:bookmarkEnd w:id="95"/>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1.1.2.1 合同当事人：是指发包人和（或）承包人。</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1.1.2.2 发包人：是指与承包人订立合同协议书的当事人及取得该当事人资格的合法继受人。本合同中“因发包人原因”里的“发包人”包括发包人及所有发包人人员。</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1.1.2.3 承包人：是指与发包人订立合同协议书的当事人及取得该当事人资格的合法继受人。</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1.1.2.4 联合体：是指经发包人同意由两个或两个以上法人或者其他组织组成的，作为承包人的临时机构。</w:t>
      </w:r>
    </w:p>
    <w:p>
      <w:pPr>
        <w:pStyle w:val="179"/>
        <w:spacing w:afterLines="0" w:line="440" w:lineRule="exact"/>
        <w:ind w:left="0"/>
        <w:rPr>
          <w:rFonts w:ascii="Times New Roman" w:hAnsi="Times New Roman" w:eastAsia="仿宋_GB2312"/>
          <w:color w:val="auto"/>
          <w:szCs w:val="24"/>
          <w:highlight w:val="none"/>
        </w:rPr>
      </w:pPr>
      <w:bookmarkStart w:id="96" w:name="_Ref4420046"/>
      <w:r>
        <w:rPr>
          <w:rFonts w:ascii="Times New Roman" w:hAnsi="Times New Roman" w:eastAsia="仿宋_GB2312"/>
          <w:color w:val="auto"/>
          <w:szCs w:val="24"/>
          <w:highlight w:val="none"/>
        </w:rPr>
        <w:t>1.1.2.5 发包人代表：是指由发包人任命并派驻工作现场，在发包人授权范围内行使发包人权利和履行发包人义务的人。</w:t>
      </w:r>
    </w:p>
    <w:p>
      <w:pPr>
        <w:pStyle w:val="179"/>
        <w:spacing w:afterLines="0" w:line="440" w:lineRule="exact"/>
        <w:ind w:left="0"/>
        <w:rPr>
          <w:rFonts w:ascii="Times New Roman" w:hAnsi="Times New Roman" w:eastAsia="仿宋_GB2312"/>
          <w:color w:val="auto"/>
          <w:szCs w:val="24"/>
          <w:highlight w:val="none"/>
        </w:rPr>
      </w:pPr>
      <w:bookmarkStart w:id="97" w:name="_Ref4756982"/>
      <w:r>
        <w:rPr>
          <w:rFonts w:ascii="Times New Roman" w:hAnsi="Times New Roman" w:eastAsia="仿宋_GB2312"/>
          <w:color w:val="auto"/>
          <w:szCs w:val="24"/>
          <w:highlight w:val="none"/>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96"/>
      <w:bookmarkEnd w:id="97"/>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1.1.2.7 工程总承包项目经理：是指由承包人任命的，在承包人授权范围内负责合同履行的管理，且按照法律规定具有相应资格的项目负责人。</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1.1.2.8 设计负责人：是指承包人指定负责组织、指导、协调设计工作并具有相应资格的人员。</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1.1.2.9 采购负责人：是指承包人指定负责组织、指导、协调采购工作的人员。</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1.1.2.10 施工负责人：是指承包人指定负责组织、指导、协调施工工作并具有相应资格的人员。</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1.1.2.11 分包人：是指按照法律规定和合同约定，分包部分工程或工作，并与承包人订立分包合同的具有相应资质或资格的法人或其他组织。</w:t>
      </w:r>
    </w:p>
    <w:p>
      <w:pPr>
        <w:pStyle w:val="178"/>
        <w:spacing w:afterLines="0" w:line="440" w:lineRule="exact"/>
        <w:ind w:left="0"/>
        <w:rPr>
          <w:rFonts w:ascii="Times New Roman" w:hAnsi="Times New Roman" w:eastAsia="仿宋_GB2312"/>
          <w:color w:val="auto"/>
          <w:szCs w:val="24"/>
          <w:highlight w:val="none"/>
        </w:rPr>
      </w:pPr>
      <w:bookmarkStart w:id="98" w:name="_Ref4758319"/>
      <w:r>
        <w:rPr>
          <w:rFonts w:ascii="Times New Roman" w:hAnsi="Times New Roman" w:eastAsia="仿宋_GB2312"/>
          <w:color w:val="auto"/>
          <w:szCs w:val="24"/>
          <w:highlight w:val="none"/>
        </w:rPr>
        <w:t>1.1.3 工程和设备</w:t>
      </w:r>
      <w:bookmarkEnd w:id="98"/>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1.1.3.1 工程：是指与合同协议书中工程承包范围对应的永久工程和（或）临时工程。</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1.1.3.2 工程实施：是指进行工程的设计、采购、施工和竣工以及对工程任何缺陷的修复。</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1.1.3.3 永久工程：是指按合同约定建造并移交给发包人的工程，包括工程设备。</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1.1.3.4 临时工程：是指为完成合同约定的永久工程所修建的各类临时性工程，不包括施工设备。</w:t>
      </w:r>
    </w:p>
    <w:p>
      <w:pPr>
        <w:pStyle w:val="179"/>
        <w:spacing w:afterLines="0" w:line="440" w:lineRule="exact"/>
        <w:ind w:left="0"/>
        <w:rPr>
          <w:rFonts w:ascii="Times New Roman" w:hAnsi="Times New Roman" w:eastAsia="仿宋_GB2312"/>
          <w:color w:val="auto"/>
          <w:szCs w:val="24"/>
          <w:highlight w:val="none"/>
        </w:rPr>
      </w:pPr>
      <w:bookmarkStart w:id="99" w:name="_Ref4419825"/>
      <w:r>
        <w:rPr>
          <w:rFonts w:ascii="Times New Roman" w:hAnsi="Times New Roman" w:eastAsia="仿宋_GB2312"/>
          <w:color w:val="auto"/>
          <w:szCs w:val="24"/>
          <w:highlight w:val="none"/>
        </w:rPr>
        <w:t>1.1.3.5 单位/区段工程：是指在专用合同条件中指明特定范围的，能单独接收并使用的永久工程。</w:t>
      </w:r>
      <w:bookmarkEnd w:id="99"/>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1.1.3.6 工程设备：指构成永久工程的机电设备、仪器装置、运载工具及其他类似的设备和装置，包括其配件及备品、备件、易损易耗件等。</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1.1.3.7 施工设备：指为完成合同约定的各项工作所需的设备、器具和其他物品，不包括工程设备、临时工程和材料。</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1.1.3.8 临时设施：指为完成合同约定的各项工作所服务的临时性生产和生活设施。</w:t>
      </w:r>
    </w:p>
    <w:p>
      <w:pPr>
        <w:pStyle w:val="179"/>
        <w:spacing w:afterLines="0" w:line="440" w:lineRule="exact"/>
        <w:ind w:left="0"/>
        <w:rPr>
          <w:rFonts w:ascii="Times New Roman" w:hAnsi="Times New Roman" w:eastAsia="仿宋_GB2312"/>
          <w:color w:val="auto"/>
          <w:szCs w:val="24"/>
          <w:highlight w:val="none"/>
        </w:rPr>
      </w:pPr>
      <w:bookmarkStart w:id="100" w:name="_Ref4420577"/>
      <w:r>
        <w:rPr>
          <w:rFonts w:ascii="Times New Roman" w:hAnsi="Times New Roman" w:eastAsia="仿宋_GB2312"/>
          <w:color w:val="auto"/>
          <w:szCs w:val="24"/>
          <w:highlight w:val="none"/>
        </w:rPr>
        <w:t>1.1.3.9 施工现场：是指用于工程施工的场所，以及在专用合同条件中指明作为施工场所组成部分的其他场所，包括永久占地和临时占地。</w:t>
      </w:r>
      <w:bookmarkEnd w:id="100"/>
    </w:p>
    <w:p>
      <w:pPr>
        <w:pStyle w:val="179"/>
        <w:spacing w:afterLines="0" w:line="440" w:lineRule="exact"/>
        <w:ind w:left="0"/>
        <w:rPr>
          <w:rFonts w:ascii="Times New Roman" w:hAnsi="Times New Roman" w:eastAsia="仿宋_GB2312"/>
          <w:color w:val="auto"/>
          <w:szCs w:val="24"/>
          <w:highlight w:val="none"/>
        </w:rPr>
      </w:pPr>
      <w:bookmarkStart w:id="101" w:name="_Ref4420746"/>
      <w:r>
        <w:rPr>
          <w:rFonts w:ascii="Times New Roman" w:hAnsi="Times New Roman" w:eastAsia="仿宋_GB2312"/>
          <w:color w:val="auto"/>
          <w:szCs w:val="24"/>
          <w:highlight w:val="none"/>
        </w:rPr>
        <w:t>1.1.3.10 永久占地：是指专用合同条件中指明为实施工程需永久占用的土地。</w:t>
      </w:r>
      <w:bookmarkEnd w:id="101"/>
    </w:p>
    <w:p>
      <w:pPr>
        <w:pStyle w:val="179"/>
        <w:spacing w:afterLines="0" w:line="440" w:lineRule="exact"/>
        <w:ind w:left="0"/>
        <w:rPr>
          <w:rFonts w:ascii="Times New Roman" w:hAnsi="Times New Roman" w:eastAsia="仿宋_GB2312"/>
          <w:color w:val="auto"/>
          <w:szCs w:val="24"/>
          <w:highlight w:val="none"/>
        </w:rPr>
      </w:pPr>
      <w:bookmarkStart w:id="102" w:name="_Ref4420821"/>
      <w:r>
        <w:rPr>
          <w:rFonts w:ascii="Times New Roman" w:hAnsi="Times New Roman" w:eastAsia="仿宋_GB2312"/>
          <w:color w:val="auto"/>
          <w:szCs w:val="24"/>
          <w:highlight w:val="none"/>
        </w:rPr>
        <w:t>1.1.3.11 临时占地：是指专用合同条件中指明为实施工程需临时占用的土地。</w:t>
      </w:r>
      <w:bookmarkEnd w:id="102"/>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 日期和期限</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1.1.4.1 开始工作通知：指工程师按第8.1.2项[开始工作通知]的约定通知承包人开始工作的函件。</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1.1.4.4 竣工日期：包括计划竣工日期和实际竣工日期。计划竣工日期是指合同协议书约定的竣工日期；实际竣工日期按照第8.2款[竣工日期]的约定确定。</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1.1.4.5 工期：是指在合同协议书约定的承包人完成合同工作所需的期限，包括按照合同约定所作的期限变更及按合同约定承包人有权取得的工期延长。</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1.1.4.6 缺陷责任期：是指发包人预留工程质量保证金以保证承包人履行第11.3款[缺陷调查]下质量缺陷责任的期限。</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1.1.4.7 保修期：是指承包人按照合同约定和法律规定对工程质量承担保修责任的期限，该期限自缺陷责任期起算之日起计算。</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1.1.4.8 基准日期：招标发包的工程以投标截止日前28天的日期为基准日期，直接发包的工程以合同订立日前28天的日期为基准日期。</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1.1.4.9 天：除特别指明外，均指日历天。合同中按天计算时间的，开始当天不计入，从次日开始计算。期限最后一天的截止时间为当天24:00。</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1.1.4.10 竣工试验：是指在工程竣工验收前，根据第9条[竣工试验]要求进行的试验。</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1.1.4.11 竣工验收：是指承包人完成了合同约定的各项内容后，发包人按合同要求进行的验收。</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1.1.4.12 竣工后试验：是指在工程竣工验收后，根据第12条[竣工后试验]约定进行的试验。</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 合同价格和费用</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1.1.5.1 签约合同价：是指发包人和承包人在合同协议书中确定的总金额，包括暂估价及暂列金额等。</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1.1.5.2 合同价格：是指发包人用于支付承包人按照合同约定完成承包范围内全部工作的金额，包括合同履行过程中按合同约定发生的价格变化。</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1.1.5.3 费用：是指为履行合同所发生的或将要发生的所有合理开支，包括管理费和应分摊的其他费用，但不包括利润。</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1.1.5.4 人工费：是指支付给直接从事建筑安装工程施工作业的建筑工人的各项费用。</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1.1.5.5 暂估价：</w:t>
      </w:r>
      <w:bookmarkStart w:id="103" w:name="_Hlk18973781"/>
      <w:r>
        <w:rPr>
          <w:rFonts w:ascii="Times New Roman" w:hAnsi="Times New Roman" w:eastAsia="仿宋_GB2312"/>
          <w:color w:val="auto"/>
          <w:szCs w:val="24"/>
          <w:highlight w:val="none"/>
        </w:rPr>
        <w:t>是指发包人在项目清单中给定的，用于支付必然发生但暂时不能确定价格的专业服务、材料、设备、专业工程的金额。</w:t>
      </w:r>
      <w:bookmarkEnd w:id="103"/>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1.1.5.6 暂列金额：是指发包人在项目清单中给定的，用于在订立协议书时尚未确定或不可预见变更的设计、施工及其所需材料、工程设备、服务等的金额，包括以计日工方式支付的金额。</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1.1.5.7 计日工：是指合同履行过程中，承包人完成发包人提出的零星工作或需要采用计日工计价的变更工作时，按合同中约定的单价计价的一种方式。</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1.1.5.8 质量保证金：是指按第14.6款[质量保证金]约定承包人用于保证其在缺陷责任期内履行缺陷修复义务的担保。</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1.1.6 其他</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1.1.6.1 书面形式：指合同文件、信函、电报、传真、数据电文、电子邮件、会议纪要等可以有形地表现所载内容的形式。</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1.1.6.2 承包人文件：指由承包人根据合同约定应提交的所有图纸、手册、模型、计算书、软件、函件、洽商性文件和其他技术性文件。</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1.1.6.3 变更：指根据第13条[变更与调整]的约定，经指示或批准对《发包人要求》或工程所做的改变。</w:t>
      </w:r>
    </w:p>
    <w:bookmarkEnd w:id="93"/>
    <w:p>
      <w:pPr>
        <w:pStyle w:val="177"/>
        <w:widowControl/>
        <w:spacing w:afterLines="0" w:line="440" w:lineRule="exact"/>
        <w:ind w:left="0"/>
        <w:rPr>
          <w:rFonts w:ascii="Times New Roman" w:hAnsi="Times New Roman"/>
          <w:b w:val="0"/>
          <w:bCs/>
          <w:color w:val="auto"/>
          <w:highlight w:val="none"/>
        </w:rPr>
      </w:pPr>
      <w:bookmarkStart w:id="104" w:name="_Toc54862179"/>
      <w:bookmarkStart w:id="105" w:name="_Ref509042104"/>
      <w:bookmarkStart w:id="106" w:name="_Ref509042101"/>
      <w:bookmarkStart w:id="107" w:name="_Ref522730349"/>
      <w:bookmarkStart w:id="108" w:name="_Ref522730353"/>
      <w:r>
        <w:rPr>
          <w:rFonts w:ascii="Times New Roman" w:hAnsi="Times New Roman"/>
          <w:b w:val="0"/>
          <w:bCs/>
          <w:color w:val="auto"/>
          <w:highlight w:val="none"/>
        </w:rPr>
        <w:t>1.2 语言文字</w:t>
      </w:r>
      <w:bookmarkEnd w:id="104"/>
      <w:bookmarkEnd w:id="105"/>
      <w:bookmarkEnd w:id="10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合同文件以中国的汉语简体语言文字编写、解释和说明。专用术语使用外文的，应附有中文注释。合同当事人在专用合同条件约定使用两种及以上语言时，汉语为优先解释和说明合同的语言。</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与合同有关的联络应使用专用合同条件约定的语言。如没有约定，则应使用中国的汉语简体语言文字。</w:t>
      </w:r>
    </w:p>
    <w:p>
      <w:pPr>
        <w:pStyle w:val="177"/>
        <w:widowControl/>
        <w:spacing w:afterLines="0" w:line="440" w:lineRule="exact"/>
        <w:ind w:left="0"/>
        <w:rPr>
          <w:rFonts w:ascii="Times New Roman" w:hAnsi="Times New Roman"/>
          <w:b w:val="0"/>
          <w:bCs/>
          <w:color w:val="auto"/>
          <w:highlight w:val="none"/>
        </w:rPr>
      </w:pPr>
      <w:bookmarkStart w:id="109" w:name="_Toc54862180"/>
      <w:bookmarkStart w:id="110" w:name="_Ref531949543"/>
      <w:bookmarkStart w:id="111" w:name="_Ref531949539"/>
      <w:r>
        <w:rPr>
          <w:rFonts w:ascii="Times New Roman" w:hAnsi="Times New Roman"/>
          <w:b w:val="0"/>
          <w:bCs/>
          <w:color w:val="auto"/>
          <w:highlight w:val="none"/>
        </w:rPr>
        <w:t>1.3 法律</w:t>
      </w:r>
      <w:bookmarkEnd w:id="109"/>
      <w:bookmarkEnd w:id="110"/>
      <w:bookmarkEnd w:id="11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合同所称法律是指中华人民共和国法律、行政法规、部门规章，以及工程所在地的地方法规、自治条例、单行条例和地方政府规章等。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合同当事人可以在专用合同条件中约定合同适用的其他规范性文件。</w:t>
      </w:r>
    </w:p>
    <w:p>
      <w:pPr>
        <w:pStyle w:val="177"/>
        <w:widowControl/>
        <w:spacing w:afterLines="0" w:line="440" w:lineRule="exact"/>
        <w:ind w:left="0"/>
        <w:rPr>
          <w:rFonts w:ascii="Times New Roman" w:hAnsi="Times New Roman"/>
          <w:b w:val="0"/>
          <w:bCs/>
          <w:color w:val="auto"/>
          <w:highlight w:val="none"/>
        </w:rPr>
      </w:pPr>
      <w:bookmarkStart w:id="112" w:name="_Ref531949594"/>
      <w:bookmarkStart w:id="113" w:name="_Ref531949589"/>
      <w:bookmarkStart w:id="114" w:name="_Toc54862181"/>
      <w:r>
        <w:rPr>
          <w:rFonts w:ascii="Times New Roman" w:hAnsi="Times New Roman"/>
          <w:b w:val="0"/>
          <w:bCs/>
          <w:color w:val="auto"/>
          <w:highlight w:val="none"/>
        </w:rPr>
        <w:t>1.4 标准和规范</w:t>
      </w:r>
      <w:bookmarkEnd w:id="112"/>
      <w:bookmarkEnd w:id="113"/>
      <w:bookmarkEnd w:id="114"/>
    </w:p>
    <w:p>
      <w:pPr>
        <w:pStyle w:val="178"/>
        <w:spacing w:afterLines="0" w:line="440" w:lineRule="exact"/>
        <w:ind w:left="0"/>
        <w:rPr>
          <w:rFonts w:ascii="Times New Roman" w:hAnsi="Times New Roman" w:eastAsia="仿宋_GB2312"/>
          <w:color w:val="auto"/>
          <w:szCs w:val="24"/>
          <w:highlight w:val="none"/>
        </w:rPr>
      </w:pPr>
      <w:bookmarkStart w:id="115" w:name="_Ref4420991"/>
      <w:r>
        <w:rPr>
          <w:rFonts w:ascii="Times New Roman" w:hAnsi="Times New Roman" w:eastAsia="仿宋_GB2312"/>
          <w:color w:val="auto"/>
          <w:szCs w:val="24"/>
          <w:highlight w:val="none"/>
        </w:rPr>
        <w:t>1.4.1 适用于工程的国家标准、行业标准、工程所在地的地方性标准，以及相应的规范、规程等，合同当事人有特别要求的，应在专用合同条件中约定。</w:t>
      </w:r>
      <w:bookmarkEnd w:id="115"/>
    </w:p>
    <w:p>
      <w:pPr>
        <w:pStyle w:val="178"/>
        <w:spacing w:afterLines="0" w:line="440" w:lineRule="exact"/>
        <w:ind w:left="0"/>
        <w:rPr>
          <w:rFonts w:ascii="Times New Roman" w:hAnsi="Times New Roman" w:eastAsia="仿宋_GB2312"/>
          <w:color w:val="auto"/>
          <w:szCs w:val="24"/>
          <w:highlight w:val="none"/>
        </w:rPr>
      </w:pPr>
      <w:bookmarkStart w:id="116" w:name="_Ref531949642"/>
      <w:r>
        <w:rPr>
          <w:rFonts w:ascii="Times New Roman" w:hAnsi="Times New Roman" w:eastAsia="仿宋_GB2312"/>
          <w:color w:val="auto"/>
          <w:szCs w:val="24"/>
          <w:highlight w:val="none"/>
        </w:rPr>
        <w:t>1.4.2 发包人要求使用国外标准、规范的，发包人负责提供原文版本和中文译本，并在专用合同条件中约定提供标准规范的名称、份数和时间。</w:t>
      </w:r>
      <w:bookmarkEnd w:id="116"/>
    </w:p>
    <w:p>
      <w:pPr>
        <w:pStyle w:val="178"/>
        <w:spacing w:afterLines="0" w:line="440" w:lineRule="exact"/>
        <w:ind w:left="0"/>
        <w:rPr>
          <w:rFonts w:ascii="Times New Roman" w:hAnsi="Times New Roman" w:eastAsia="仿宋_GB2312"/>
          <w:color w:val="auto"/>
          <w:szCs w:val="24"/>
          <w:highlight w:val="none"/>
        </w:rPr>
      </w:pPr>
      <w:bookmarkStart w:id="117" w:name="_Ref531949657"/>
      <w:r>
        <w:rPr>
          <w:rFonts w:ascii="Times New Roman" w:hAnsi="Times New Roman" w:eastAsia="仿宋_GB2312"/>
          <w:color w:val="auto"/>
          <w:szCs w:val="24"/>
          <w:highlight w:val="none"/>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117"/>
    </w:p>
    <w:p>
      <w:pPr>
        <w:pStyle w:val="178"/>
        <w:spacing w:afterLines="0" w:line="440" w:lineRule="exact"/>
        <w:ind w:left="0"/>
        <w:rPr>
          <w:rFonts w:ascii="Times New Roman" w:hAnsi="Times New Roman" w:eastAsia="仿宋_GB2312"/>
          <w:color w:val="auto"/>
          <w:szCs w:val="24"/>
          <w:highlight w:val="none"/>
        </w:rPr>
      </w:pPr>
      <w:bookmarkStart w:id="118" w:name="_Ref4421272"/>
      <w:r>
        <w:rPr>
          <w:rFonts w:ascii="Times New Roman" w:hAnsi="Times New Roman" w:eastAsia="仿宋_GB2312"/>
          <w:color w:val="auto"/>
          <w:szCs w:val="24"/>
          <w:highlight w:val="none"/>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118"/>
    </w:p>
    <w:p>
      <w:pPr>
        <w:pStyle w:val="177"/>
        <w:widowControl/>
        <w:spacing w:afterLines="0" w:line="440" w:lineRule="exact"/>
        <w:ind w:left="0"/>
        <w:rPr>
          <w:rFonts w:ascii="Times New Roman" w:hAnsi="Times New Roman"/>
          <w:b w:val="0"/>
          <w:bCs/>
          <w:color w:val="auto"/>
          <w:highlight w:val="none"/>
        </w:rPr>
      </w:pPr>
      <w:bookmarkStart w:id="119" w:name="_Toc54862182"/>
      <w:bookmarkStart w:id="120" w:name="_Ref4421717"/>
      <w:r>
        <w:rPr>
          <w:rFonts w:ascii="Times New Roman" w:hAnsi="Times New Roman"/>
          <w:b w:val="0"/>
          <w:bCs/>
          <w:color w:val="auto"/>
          <w:highlight w:val="none"/>
        </w:rPr>
        <w:t>1.5 合同文件的优先顺序</w:t>
      </w:r>
      <w:bookmarkEnd w:id="107"/>
      <w:bookmarkEnd w:id="108"/>
      <w:bookmarkEnd w:id="119"/>
      <w:bookmarkEnd w:id="120"/>
    </w:p>
    <w:p>
      <w:pPr>
        <w:adjustRightInd w:val="0"/>
        <w:snapToGrid w:val="0"/>
        <w:spacing w:line="440" w:lineRule="exact"/>
        <w:ind w:firstLine="600"/>
        <w:rPr>
          <w:rFonts w:eastAsia="仿宋_GB2312"/>
          <w:color w:val="auto"/>
          <w:sz w:val="24"/>
          <w:highlight w:val="none"/>
        </w:rPr>
      </w:pPr>
      <w:bookmarkStart w:id="121" w:name="_Ref531948776"/>
      <w:r>
        <w:rPr>
          <w:rFonts w:eastAsia="仿宋_GB2312"/>
          <w:color w:val="auto"/>
          <w:sz w:val="24"/>
          <w:highlight w:val="none"/>
        </w:rPr>
        <w:t>组成合同的各项文件应互相解释，互为说明。除专用合同条件另有约定外，</w:t>
      </w:r>
      <w:bookmarkEnd w:id="121"/>
      <w:r>
        <w:rPr>
          <w:rFonts w:eastAsia="仿宋_GB2312"/>
          <w:color w:val="auto"/>
          <w:sz w:val="24"/>
          <w:highlight w:val="none"/>
        </w:rPr>
        <w:t>解释合同文件的优先顺序如下：</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合同协议书；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中标通知书（如果有）；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投标函及投标函附录（如果有）；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专用合同条件及《发包人要求》等附件；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通用合同条件；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（6） 承包人建议书； </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价格清单；</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 双方约定的其他合同文件。</w:t>
      </w:r>
    </w:p>
    <w:p>
      <w:pPr>
        <w:adjustRightInd w:val="0"/>
        <w:snapToGrid w:val="0"/>
        <w:spacing w:line="440" w:lineRule="exact"/>
        <w:ind w:firstLine="600"/>
        <w:rPr>
          <w:rFonts w:eastAsia="仿宋_GB2312"/>
          <w:color w:val="auto"/>
          <w:sz w:val="24"/>
          <w:highlight w:val="none"/>
        </w:rPr>
      </w:pPr>
      <w:bookmarkStart w:id="122" w:name="_Hlk18951547"/>
      <w:r>
        <w:rPr>
          <w:rFonts w:eastAsia="仿宋_GB2312"/>
          <w:color w:val="auto"/>
          <w:sz w:val="24"/>
          <w:highlight w:val="none"/>
        </w:rPr>
        <w:t>上述各项合同文件包括合同当事人就该项合同文件所作出的补充和修改，属于同一类内容的文件，应以最新签署的为准</w:t>
      </w:r>
      <w:bookmarkEnd w:id="122"/>
      <w:r>
        <w:rPr>
          <w:rFonts w:eastAsia="仿宋_GB2312"/>
          <w:color w:val="auto"/>
          <w:sz w:val="24"/>
          <w:highlight w:val="none"/>
        </w:rPr>
        <w:t>。</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在合同订立及履行过程中形成的与合同有关的文件均构成合同文件组成部分，并根据其性质确定优先解释顺序。</w:t>
      </w:r>
    </w:p>
    <w:p>
      <w:pPr>
        <w:pStyle w:val="177"/>
        <w:widowControl/>
        <w:spacing w:afterLines="0" w:line="440" w:lineRule="exact"/>
        <w:ind w:left="0"/>
        <w:rPr>
          <w:rFonts w:ascii="Times New Roman" w:hAnsi="Times New Roman"/>
          <w:b w:val="0"/>
          <w:bCs/>
          <w:color w:val="auto"/>
          <w:highlight w:val="none"/>
        </w:rPr>
      </w:pPr>
      <w:bookmarkStart w:id="123" w:name="_Ref4422060"/>
      <w:bookmarkStart w:id="124" w:name="_Toc54862183"/>
      <w:bookmarkStart w:id="125" w:name="_Ref11917818"/>
      <w:bookmarkStart w:id="126" w:name="_Ref531949803"/>
      <w:bookmarkStart w:id="127" w:name="_Ref531949807"/>
      <w:bookmarkStart w:id="128" w:name="_Ref531949822"/>
      <w:r>
        <w:rPr>
          <w:rFonts w:ascii="Times New Roman" w:hAnsi="Times New Roman"/>
          <w:b w:val="0"/>
          <w:bCs/>
          <w:color w:val="auto"/>
          <w:highlight w:val="none"/>
        </w:rPr>
        <w:t>1.6 文件的提供和</w:t>
      </w:r>
      <w:bookmarkEnd w:id="123"/>
      <w:r>
        <w:rPr>
          <w:rFonts w:ascii="Times New Roman" w:hAnsi="Times New Roman"/>
          <w:b w:val="0"/>
          <w:bCs/>
          <w:color w:val="auto"/>
          <w:highlight w:val="none"/>
        </w:rPr>
        <w:t>照管</w:t>
      </w:r>
      <w:bookmarkEnd w:id="124"/>
      <w:bookmarkEnd w:id="125"/>
    </w:p>
    <w:p>
      <w:pPr>
        <w:pStyle w:val="178"/>
        <w:spacing w:afterLines="0" w:line="440" w:lineRule="exact"/>
        <w:ind w:left="0"/>
        <w:rPr>
          <w:rFonts w:ascii="Times New Roman" w:hAnsi="Times New Roman" w:eastAsia="仿宋_GB2312"/>
          <w:color w:val="auto"/>
          <w:szCs w:val="24"/>
          <w:highlight w:val="none"/>
        </w:rPr>
      </w:pPr>
      <w:bookmarkStart w:id="129" w:name="_Ref4421991"/>
      <w:r>
        <w:rPr>
          <w:rFonts w:ascii="Times New Roman" w:hAnsi="Times New Roman" w:eastAsia="仿宋_GB2312"/>
          <w:color w:val="auto"/>
          <w:szCs w:val="24"/>
          <w:highlight w:val="none"/>
        </w:rPr>
        <w:t>1.6.1 发包人文件的提供</w:t>
      </w:r>
      <w:bookmarkEnd w:id="12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pPr>
        <w:pStyle w:val="178"/>
        <w:spacing w:afterLines="0" w:line="440" w:lineRule="exact"/>
        <w:ind w:left="0"/>
        <w:rPr>
          <w:rFonts w:ascii="Times New Roman" w:hAnsi="Times New Roman" w:eastAsia="仿宋_GB2312"/>
          <w:color w:val="auto"/>
          <w:szCs w:val="24"/>
          <w:highlight w:val="none"/>
        </w:rPr>
      </w:pPr>
      <w:bookmarkStart w:id="130" w:name="_Ref4422317"/>
      <w:r>
        <w:rPr>
          <w:rFonts w:ascii="Times New Roman" w:hAnsi="Times New Roman" w:eastAsia="仿宋_GB2312"/>
          <w:color w:val="auto"/>
          <w:szCs w:val="24"/>
          <w:highlight w:val="none"/>
        </w:rPr>
        <w:t>1.6.2 承包人文件的提供</w:t>
      </w:r>
      <w:bookmarkEnd w:id="13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除专用合同条件另有约定外，承包人文件应包含下列内容，并用第1.2款[语言文字]约定的语言制作：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《发包人要求》中规定的相关文件；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满足工程相关行政审批手续所必须的应由承包人负责的相关文件；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第5.4款[竣工文件]与第5.5款[操作和维修手册]中要求的相关文件。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1.6.3 文件错误的通知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任何一方发现文件中存在明显的错误或疏忽，应及时通知另一方。</w:t>
      </w:r>
    </w:p>
    <w:p>
      <w:pPr>
        <w:pStyle w:val="178"/>
        <w:spacing w:afterLines="0" w:line="440" w:lineRule="exact"/>
        <w:ind w:left="0"/>
        <w:rPr>
          <w:rFonts w:ascii="Times New Roman" w:hAnsi="Times New Roman" w:eastAsia="仿宋_GB2312"/>
          <w:color w:val="auto"/>
          <w:szCs w:val="24"/>
          <w:highlight w:val="none"/>
        </w:rPr>
      </w:pPr>
      <w:bookmarkStart w:id="131" w:name="_Ref4678410"/>
      <w:bookmarkStart w:id="132" w:name="_Ref11957673"/>
      <w:r>
        <w:rPr>
          <w:rFonts w:ascii="Times New Roman" w:hAnsi="Times New Roman" w:eastAsia="仿宋_GB2312"/>
          <w:color w:val="auto"/>
          <w:szCs w:val="24"/>
          <w:highlight w:val="none"/>
        </w:rPr>
        <w:t>1.6.4 文件的</w:t>
      </w:r>
      <w:bookmarkEnd w:id="131"/>
      <w:r>
        <w:rPr>
          <w:rFonts w:ascii="Times New Roman" w:hAnsi="Times New Roman" w:eastAsia="仿宋_GB2312"/>
          <w:color w:val="auto"/>
          <w:szCs w:val="24"/>
          <w:highlight w:val="none"/>
        </w:rPr>
        <w:t>照管</w:t>
      </w:r>
      <w:bookmarkEnd w:id="13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pPr>
        <w:pStyle w:val="177"/>
        <w:widowControl/>
        <w:spacing w:afterLines="0" w:line="440" w:lineRule="exact"/>
        <w:ind w:left="0"/>
        <w:rPr>
          <w:rFonts w:ascii="Times New Roman" w:hAnsi="Times New Roman"/>
          <w:b w:val="0"/>
          <w:bCs/>
          <w:color w:val="auto"/>
          <w:highlight w:val="none"/>
        </w:rPr>
      </w:pPr>
      <w:bookmarkStart w:id="133" w:name="_Toc54862184"/>
      <w:bookmarkStart w:id="134" w:name="_Ref4415170"/>
      <w:r>
        <w:rPr>
          <w:rFonts w:ascii="Times New Roman" w:hAnsi="Times New Roman"/>
          <w:b w:val="0"/>
          <w:bCs/>
          <w:color w:val="auto"/>
          <w:highlight w:val="none"/>
        </w:rPr>
        <w:t>1.7 联络</w:t>
      </w:r>
      <w:bookmarkEnd w:id="133"/>
      <w:bookmarkEnd w:id="134"/>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pPr>
        <w:pStyle w:val="178"/>
        <w:spacing w:afterLines="0" w:line="440" w:lineRule="exact"/>
        <w:ind w:left="0"/>
        <w:rPr>
          <w:rFonts w:ascii="Times New Roman" w:hAnsi="Times New Roman" w:eastAsia="仿宋_GB2312"/>
          <w:color w:val="auto"/>
          <w:szCs w:val="24"/>
          <w:highlight w:val="none"/>
        </w:rPr>
      </w:pPr>
      <w:bookmarkStart w:id="135" w:name="_Ref531949897"/>
      <w:r>
        <w:rPr>
          <w:rFonts w:ascii="Times New Roman" w:hAnsi="Times New Roman" w:eastAsia="仿宋_GB2312"/>
          <w:color w:val="auto"/>
          <w:szCs w:val="24"/>
          <w:highlight w:val="none"/>
        </w:rPr>
        <w:t>1.7.2 发包人和承包人应在专用合同条件中约定各自的送达方式和收件地址。任何一方合同当事人指定的送达方式或收件地址发生变动的，应提前3天以书面形式通知对方。</w:t>
      </w:r>
      <w:bookmarkEnd w:id="135"/>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1.7.3 发包人和承包人应当及时签收另一方通过约定的送达方式送达至收件地址的来往文件。拒不签收的，由此增加的费用和（或）延误的工期由拒绝接收一方承担。</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pPr>
        <w:pStyle w:val="177"/>
        <w:widowControl/>
        <w:spacing w:afterLines="0" w:line="440" w:lineRule="exact"/>
        <w:ind w:left="0"/>
        <w:rPr>
          <w:rFonts w:ascii="Times New Roman" w:hAnsi="Times New Roman"/>
          <w:b w:val="0"/>
          <w:bCs/>
          <w:color w:val="auto"/>
          <w:highlight w:val="none"/>
        </w:rPr>
      </w:pPr>
      <w:bookmarkStart w:id="136" w:name="_Toc54862185"/>
      <w:r>
        <w:rPr>
          <w:rFonts w:ascii="Times New Roman" w:hAnsi="Times New Roman"/>
          <w:b w:val="0"/>
          <w:bCs/>
          <w:color w:val="auto"/>
          <w:highlight w:val="none"/>
        </w:rPr>
        <w:t>1.8 严禁贿赂</w:t>
      </w:r>
      <w:bookmarkEnd w:id="126"/>
      <w:bookmarkEnd w:id="127"/>
      <w:bookmarkEnd w:id="128"/>
      <w:bookmarkEnd w:id="13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合同当事人不得以贿赂或变相贿赂的方式，谋取非法利益或损害对方权益。因一方合同当事人的贿赂造成对方损失的，应赔偿损失，并承担相应的法律责任。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承包人不得与工程师或发包人聘请的第三方串通损害发包人利益。未经发包人书面同意，承包人不得为工程师提供合同约定以外的通讯设备、交通工具及其他任何形式的利益，不得向工程师支付报酬。</w:t>
      </w:r>
    </w:p>
    <w:p>
      <w:pPr>
        <w:pStyle w:val="177"/>
        <w:widowControl/>
        <w:spacing w:afterLines="0" w:line="440" w:lineRule="exact"/>
        <w:ind w:left="0"/>
        <w:rPr>
          <w:rFonts w:ascii="Times New Roman" w:hAnsi="Times New Roman"/>
          <w:b w:val="0"/>
          <w:bCs/>
          <w:color w:val="auto"/>
          <w:highlight w:val="none"/>
        </w:rPr>
      </w:pPr>
      <w:bookmarkStart w:id="137" w:name="_Toc54862186"/>
      <w:r>
        <w:rPr>
          <w:rFonts w:ascii="Times New Roman" w:hAnsi="Times New Roman"/>
          <w:b w:val="0"/>
          <w:bCs/>
          <w:color w:val="auto"/>
          <w:highlight w:val="none"/>
        </w:rPr>
        <w:t>1.9 化石、文物</w:t>
      </w:r>
      <w:bookmarkEnd w:id="13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发包人、工程师和承包人应按有关政府行政管理部门要求采取妥善的保护措施，由此增加的费用和（或）延误的工期由发包人承担。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承包人发现文物后不及时报告或隐瞒不报，致使文物丢失或损坏的，应赔偿损失，并承担相应的法律责任。</w:t>
      </w:r>
    </w:p>
    <w:p>
      <w:pPr>
        <w:pStyle w:val="177"/>
        <w:widowControl/>
        <w:spacing w:afterLines="0" w:line="440" w:lineRule="exact"/>
        <w:ind w:left="0"/>
        <w:rPr>
          <w:rFonts w:ascii="Times New Roman" w:hAnsi="Times New Roman"/>
          <w:b w:val="0"/>
          <w:bCs/>
          <w:color w:val="auto"/>
          <w:highlight w:val="none"/>
        </w:rPr>
      </w:pPr>
      <w:bookmarkStart w:id="138" w:name="_Ref531949766"/>
      <w:bookmarkStart w:id="139" w:name="_Ref4423426"/>
      <w:bookmarkStart w:id="140" w:name="_Toc54862187"/>
      <w:bookmarkStart w:id="141" w:name="_Ref531949770"/>
      <w:bookmarkStart w:id="142" w:name="_Ref531949841"/>
      <w:bookmarkStart w:id="143" w:name="_Ref531949855"/>
      <w:bookmarkStart w:id="144" w:name="_Ref531949826"/>
      <w:r>
        <w:rPr>
          <w:rFonts w:ascii="Times New Roman" w:hAnsi="Times New Roman"/>
          <w:b w:val="0"/>
          <w:bCs/>
          <w:color w:val="auto"/>
          <w:highlight w:val="none"/>
        </w:rPr>
        <w:t>1.10 知识产权</w:t>
      </w:r>
      <w:bookmarkEnd w:id="138"/>
      <w:bookmarkEnd w:id="139"/>
      <w:bookmarkEnd w:id="140"/>
      <w:bookmarkEnd w:id="141"/>
    </w:p>
    <w:p>
      <w:pPr>
        <w:pStyle w:val="178"/>
        <w:spacing w:afterLines="0" w:line="440" w:lineRule="exact"/>
        <w:ind w:left="0"/>
        <w:rPr>
          <w:rFonts w:ascii="Times New Roman" w:hAnsi="Times New Roman" w:eastAsia="仿宋_GB2312"/>
          <w:color w:val="auto"/>
          <w:szCs w:val="24"/>
          <w:highlight w:val="none"/>
        </w:rPr>
      </w:pPr>
      <w:bookmarkStart w:id="145" w:name="_Ref4423563"/>
      <w:r>
        <w:rPr>
          <w:rFonts w:ascii="Times New Roman" w:hAnsi="Times New Roman" w:eastAsia="仿宋_GB2312"/>
          <w:color w:val="auto"/>
          <w:szCs w:val="24"/>
          <w:highlight w:val="none"/>
        </w:rPr>
        <w:t>1.10.1 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145"/>
    </w:p>
    <w:p>
      <w:pPr>
        <w:pStyle w:val="178"/>
        <w:spacing w:afterLines="0" w:line="440" w:lineRule="exact"/>
        <w:ind w:left="0"/>
        <w:rPr>
          <w:rFonts w:ascii="Times New Roman" w:hAnsi="Times New Roman" w:eastAsia="仿宋_GB2312"/>
          <w:color w:val="auto"/>
          <w:szCs w:val="24"/>
          <w:highlight w:val="none"/>
        </w:rPr>
      </w:pPr>
      <w:bookmarkStart w:id="146" w:name="_Ref4423604"/>
      <w:r>
        <w:rPr>
          <w:rFonts w:ascii="Times New Roman" w:hAnsi="Times New Roman" w:eastAsia="仿宋_GB2312"/>
          <w:color w:val="auto"/>
          <w:szCs w:val="24"/>
          <w:highlight w:val="none"/>
        </w:rPr>
        <w:t>1.10.2 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146"/>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pPr>
        <w:pStyle w:val="178"/>
        <w:spacing w:afterLines="0" w:line="440" w:lineRule="exact"/>
        <w:ind w:left="0"/>
        <w:rPr>
          <w:rFonts w:ascii="Times New Roman" w:hAnsi="Times New Roman" w:eastAsia="仿宋_GB2312"/>
          <w:color w:val="auto"/>
          <w:szCs w:val="24"/>
          <w:highlight w:val="none"/>
        </w:rPr>
      </w:pPr>
      <w:bookmarkStart w:id="147" w:name="_Ref4423695"/>
      <w:r>
        <w:rPr>
          <w:rFonts w:ascii="Times New Roman" w:hAnsi="Times New Roman" w:eastAsia="仿宋_GB2312"/>
          <w:color w:val="auto"/>
          <w:szCs w:val="24"/>
          <w:highlight w:val="none"/>
        </w:rPr>
        <w:t>1.10.4 除专用合同条件另有约定外，承包人在投标文件中采用的专利、专有技术、商业软件、技术秘密的使用费已包含在签约合同价中。</w:t>
      </w:r>
      <w:bookmarkEnd w:id="147"/>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pPr>
        <w:pStyle w:val="177"/>
        <w:widowControl/>
        <w:spacing w:afterLines="0" w:line="440" w:lineRule="exact"/>
        <w:ind w:left="0"/>
        <w:rPr>
          <w:rFonts w:ascii="Times New Roman" w:hAnsi="Times New Roman"/>
          <w:b w:val="0"/>
          <w:bCs/>
          <w:color w:val="auto"/>
          <w:highlight w:val="none"/>
        </w:rPr>
      </w:pPr>
      <w:bookmarkStart w:id="148" w:name="_Ref4423873"/>
      <w:bookmarkStart w:id="149" w:name="_Toc54862188"/>
      <w:bookmarkStart w:id="150" w:name="_Ref4423898"/>
      <w:r>
        <w:rPr>
          <w:rFonts w:ascii="Times New Roman" w:hAnsi="Times New Roman"/>
          <w:b w:val="0"/>
          <w:bCs/>
          <w:color w:val="auto"/>
          <w:highlight w:val="none"/>
        </w:rPr>
        <w:t>1.11 保密</w:t>
      </w:r>
      <w:bookmarkEnd w:id="142"/>
      <w:bookmarkEnd w:id="143"/>
      <w:bookmarkEnd w:id="144"/>
      <w:bookmarkEnd w:id="148"/>
      <w:bookmarkEnd w:id="149"/>
      <w:bookmarkEnd w:id="15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合同当事人一方对在订立和履行合同过程中知悉的另一方的商业秘密、技术秘密，以及任何一方明确要求保密的其它信息，负有保密责任。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除法律规定或合同另有约定外，未经对方同意，任何一方当事人不得将对方提供的文件、技术秘密以及声明需要保密的资料信息等商业秘密泄露给第三方或者用于本合同以外的目的。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pPr>
        <w:pStyle w:val="177"/>
        <w:widowControl/>
        <w:spacing w:afterLines="0" w:line="440" w:lineRule="exact"/>
        <w:ind w:left="0"/>
        <w:rPr>
          <w:rFonts w:ascii="Times New Roman" w:hAnsi="Times New Roman"/>
          <w:b w:val="0"/>
          <w:bCs/>
          <w:color w:val="auto"/>
          <w:highlight w:val="none"/>
        </w:rPr>
      </w:pPr>
      <w:bookmarkStart w:id="151" w:name="_Ref532336812"/>
      <w:bookmarkStart w:id="152" w:name="_Toc54862189"/>
      <w:r>
        <w:rPr>
          <w:rFonts w:ascii="Times New Roman" w:hAnsi="Times New Roman"/>
          <w:b w:val="0"/>
          <w:bCs/>
          <w:color w:val="auto"/>
          <w:highlight w:val="none"/>
        </w:rPr>
        <w:t xml:space="preserve">1.12 </w:t>
      </w:r>
      <w:bookmarkStart w:id="153" w:name="_Hlk55215423"/>
      <w:r>
        <w:rPr>
          <w:rFonts w:ascii="Times New Roman" w:hAnsi="Times New Roman"/>
          <w:b w:val="0"/>
          <w:bCs/>
          <w:color w:val="auto"/>
          <w:highlight w:val="none"/>
        </w:rPr>
        <w:t>《发包人要求》和基础资料中的错误</w:t>
      </w:r>
      <w:bookmarkEnd w:id="151"/>
      <w:bookmarkEnd w:id="152"/>
      <w:bookmarkEnd w:id="15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承包人应尽早认真阅读、复核《发包人要求》以及其提供的基础资料，发现错误的，应及时书面通知发包人补正。发包人作相应修改的，按照第13条[变更与调整</w:t>
      </w:r>
      <w:bookmarkStart w:id="154" w:name="_Ref523403776"/>
      <w:bookmarkStart w:id="155" w:name="_Ref523403409"/>
      <w:r>
        <w:rPr>
          <w:rFonts w:eastAsia="仿宋_GB2312"/>
          <w:color w:val="auto"/>
          <w:sz w:val="24"/>
          <w:highlight w:val="none"/>
        </w:rPr>
        <w:t>]的约定处理。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《发包人要求》或其提供的基础资料中的错误导致承包人增加费用和（或）工期延误的，发包人应承担由此增加的费用和（或）工期延误，并向承包人支付合理利润。</w:t>
      </w:r>
    </w:p>
    <w:bookmarkEnd w:id="154"/>
    <w:bookmarkEnd w:id="155"/>
    <w:p>
      <w:pPr>
        <w:pStyle w:val="177"/>
        <w:widowControl/>
        <w:spacing w:afterLines="0" w:line="440" w:lineRule="exact"/>
        <w:ind w:left="0"/>
        <w:rPr>
          <w:rFonts w:ascii="Times New Roman" w:hAnsi="Times New Roman"/>
          <w:b w:val="0"/>
          <w:bCs/>
          <w:color w:val="auto"/>
          <w:highlight w:val="none"/>
        </w:rPr>
      </w:pPr>
      <w:bookmarkStart w:id="156" w:name="_Toc54862190"/>
      <w:bookmarkStart w:id="157" w:name="_Ref531949937"/>
      <w:bookmarkStart w:id="158" w:name="_Ref531949933"/>
      <w:r>
        <w:rPr>
          <w:rFonts w:ascii="Times New Roman" w:hAnsi="Times New Roman"/>
          <w:b w:val="0"/>
          <w:bCs/>
          <w:color w:val="auto"/>
          <w:highlight w:val="none"/>
        </w:rPr>
        <w:t>1.13 责任限制</w:t>
      </w:r>
      <w:bookmarkEnd w:id="156"/>
      <w:bookmarkEnd w:id="157"/>
      <w:bookmarkEnd w:id="15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对发包人的赔偿责任不应超过专用合同条件约定的赔偿最高限额。若专用合同条件未约定，则承包人对发包人的赔偿责任不应超过签约合同价。但对于因欺诈、犯罪、故意、重大过失、人身伤害等不当行为造成的损失，赔偿的责任限度不受上述最高限额的限制。</w:t>
      </w:r>
    </w:p>
    <w:p>
      <w:pPr>
        <w:pStyle w:val="177"/>
        <w:widowControl/>
        <w:spacing w:afterLines="0" w:line="440" w:lineRule="exact"/>
        <w:ind w:left="0"/>
        <w:rPr>
          <w:rFonts w:ascii="Times New Roman" w:hAnsi="Times New Roman"/>
          <w:b w:val="0"/>
          <w:bCs/>
          <w:color w:val="auto"/>
          <w:highlight w:val="none"/>
        </w:rPr>
      </w:pPr>
      <w:bookmarkStart w:id="159" w:name="_Toc54862191"/>
      <w:bookmarkStart w:id="160" w:name="_Hlk51506160"/>
      <w:r>
        <w:rPr>
          <w:rFonts w:ascii="Times New Roman" w:hAnsi="Times New Roman"/>
          <w:b w:val="0"/>
          <w:bCs/>
          <w:color w:val="auto"/>
          <w:highlight w:val="none"/>
        </w:rPr>
        <w:t>1.14 建筑信息模型技术的应用</w:t>
      </w:r>
      <w:bookmarkEnd w:id="159"/>
    </w:p>
    <w:bookmarkEnd w:id="160"/>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161" w:name="_Toc54862192"/>
      <w:bookmarkStart w:id="162" w:name="_Ref4796511"/>
      <w:r>
        <w:rPr>
          <w:rFonts w:ascii="Times New Roman" w:hAnsi="Times New Roman"/>
          <w:b w:val="0"/>
          <w:color w:val="auto"/>
          <w:sz w:val="24"/>
          <w:szCs w:val="24"/>
          <w:highlight w:val="none"/>
        </w:rPr>
        <w:t>第2条 发包人</w:t>
      </w:r>
      <w:bookmarkEnd w:id="161"/>
      <w:bookmarkEnd w:id="162"/>
    </w:p>
    <w:p>
      <w:pPr>
        <w:pStyle w:val="177"/>
        <w:widowControl/>
        <w:spacing w:afterLines="0" w:line="440" w:lineRule="exact"/>
        <w:ind w:left="0"/>
        <w:rPr>
          <w:rFonts w:ascii="Times New Roman" w:hAnsi="Times New Roman"/>
          <w:b w:val="0"/>
          <w:bCs/>
          <w:color w:val="auto"/>
          <w:highlight w:val="none"/>
        </w:rPr>
      </w:pPr>
      <w:bookmarkStart w:id="163" w:name="_Toc54862193"/>
      <w:r>
        <w:rPr>
          <w:rFonts w:ascii="Times New Roman" w:hAnsi="Times New Roman"/>
          <w:b w:val="0"/>
          <w:bCs/>
          <w:color w:val="auto"/>
          <w:highlight w:val="none"/>
        </w:rPr>
        <w:t>2.1 遵守法律</w:t>
      </w:r>
      <w:bookmarkEnd w:id="16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pPr>
        <w:pStyle w:val="177"/>
        <w:widowControl/>
        <w:spacing w:afterLines="0" w:line="440" w:lineRule="exact"/>
        <w:ind w:left="0"/>
        <w:rPr>
          <w:rFonts w:ascii="Times New Roman" w:hAnsi="Times New Roman"/>
          <w:b w:val="0"/>
          <w:bCs/>
          <w:color w:val="auto"/>
          <w:highlight w:val="none"/>
        </w:rPr>
      </w:pPr>
      <w:bookmarkStart w:id="164" w:name="_Toc54862194"/>
      <w:bookmarkStart w:id="165" w:name="_Ref11917977"/>
      <w:bookmarkStart w:id="166" w:name="_Ref11917995"/>
      <w:r>
        <w:rPr>
          <w:rFonts w:ascii="Times New Roman" w:hAnsi="Times New Roman"/>
          <w:b w:val="0"/>
          <w:bCs/>
          <w:color w:val="auto"/>
          <w:highlight w:val="none"/>
        </w:rPr>
        <w:t>2.2 提供施工现场和工作条件</w:t>
      </w:r>
      <w:bookmarkEnd w:id="164"/>
      <w:bookmarkEnd w:id="165"/>
      <w:bookmarkEnd w:id="166"/>
      <w:bookmarkStart w:id="167" w:name="_Toc54862195"/>
      <w:bookmarkEnd w:id="167"/>
      <w:bookmarkStart w:id="168" w:name="_Toc51505125"/>
      <w:bookmarkEnd w:id="168"/>
      <w:bookmarkStart w:id="169" w:name="_Toc51505124"/>
      <w:bookmarkEnd w:id="169"/>
      <w:bookmarkStart w:id="170" w:name="_Toc51505123"/>
      <w:bookmarkEnd w:id="170"/>
      <w:bookmarkStart w:id="171" w:name="_Toc54862197"/>
      <w:bookmarkEnd w:id="171"/>
      <w:bookmarkStart w:id="172" w:name="_Toc54862196"/>
      <w:bookmarkEnd w:id="172"/>
      <w:bookmarkStart w:id="173" w:name="_Ref531950085"/>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2.2.1 提供施工</w:t>
      </w:r>
      <w:bookmarkEnd w:id="173"/>
      <w:r>
        <w:rPr>
          <w:rFonts w:ascii="Times New Roman" w:hAnsi="Times New Roman" w:eastAsia="仿宋_GB2312"/>
          <w:color w:val="auto"/>
          <w:szCs w:val="24"/>
          <w:highlight w:val="none"/>
        </w:rPr>
        <w:t>现场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pPr>
        <w:pStyle w:val="178"/>
        <w:spacing w:afterLines="0" w:line="440" w:lineRule="exact"/>
        <w:ind w:left="0"/>
        <w:rPr>
          <w:rFonts w:ascii="Times New Roman" w:hAnsi="Times New Roman" w:eastAsia="仿宋_GB2312"/>
          <w:color w:val="auto"/>
          <w:szCs w:val="24"/>
          <w:highlight w:val="none"/>
        </w:rPr>
      </w:pPr>
      <w:bookmarkStart w:id="174" w:name="_Ref531950101"/>
      <w:r>
        <w:rPr>
          <w:rFonts w:ascii="Times New Roman" w:hAnsi="Times New Roman" w:eastAsia="仿宋_GB2312"/>
          <w:color w:val="auto"/>
          <w:szCs w:val="24"/>
          <w:highlight w:val="none"/>
        </w:rPr>
        <w:t>2.2.2 提供工作条件</w:t>
      </w:r>
      <w:bookmarkEnd w:id="17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发包人应按专用合同条件约定向承包人提供工作条件。专用合同条件对此没有约定的，发包人应负责提供开展本合同相关工作所需要的条件，包括：</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将施工用水、电力、通讯线路等施工所必需的条件接至施工现场内；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保证向承包人提供正常施工所需要的进入施工现场的交通条件；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协调处理施工现场周围地下管线和邻近建筑物、构筑物、古树名木、文物、化石及坟墓等的保护工作，并承担相关费用；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按照专用合同条件约定应提供的其他设施和条件。</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2.2.3 逾期提供的责任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因发包人原因未能按合同约定及时向承包人提供施工现场和施工条件的，由发包人承担由此增加的费用和（或）延误的工期。</w:t>
      </w:r>
    </w:p>
    <w:p>
      <w:pPr>
        <w:pStyle w:val="177"/>
        <w:widowControl/>
        <w:spacing w:afterLines="0" w:line="440" w:lineRule="exact"/>
        <w:ind w:left="0"/>
        <w:rPr>
          <w:rFonts w:ascii="Times New Roman" w:hAnsi="Times New Roman"/>
          <w:b w:val="0"/>
          <w:bCs/>
          <w:color w:val="auto"/>
          <w:highlight w:val="none"/>
        </w:rPr>
      </w:pPr>
      <w:bookmarkStart w:id="175" w:name="_Ref11956654"/>
      <w:bookmarkStart w:id="176" w:name="_Ref11918036"/>
      <w:bookmarkStart w:id="177" w:name="_Toc54862198"/>
      <w:bookmarkStart w:id="178" w:name="_Ref11956647"/>
      <w:bookmarkStart w:id="179" w:name="_Ref11918025"/>
      <w:r>
        <w:rPr>
          <w:rFonts w:ascii="Times New Roman" w:hAnsi="Times New Roman"/>
          <w:b w:val="0"/>
          <w:bCs/>
          <w:color w:val="auto"/>
          <w:highlight w:val="none"/>
        </w:rPr>
        <w:t>2.3 提供基础资料</w:t>
      </w:r>
      <w:bookmarkEnd w:id="175"/>
      <w:bookmarkEnd w:id="176"/>
      <w:bookmarkEnd w:id="177"/>
      <w:bookmarkEnd w:id="178"/>
      <w:bookmarkEnd w:id="179"/>
    </w:p>
    <w:p>
      <w:pPr>
        <w:adjustRightInd w:val="0"/>
        <w:snapToGrid w:val="0"/>
        <w:spacing w:line="440" w:lineRule="exact"/>
        <w:ind w:firstLine="600"/>
        <w:rPr>
          <w:rFonts w:eastAsia="仿宋_GB2312"/>
          <w:color w:val="auto"/>
          <w:sz w:val="24"/>
          <w:highlight w:val="none"/>
        </w:rPr>
      </w:pPr>
      <w:bookmarkStart w:id="180" w:name="_Hlk51506429"/>
      <w:r>
        <w:rPr>
          <w:rFonts w:eastAsia="仿宋_GB2312"/>
          <w:color w:val="auto"/>
          <w:sz w:val="24"/>
          <w:highlight w:val="none"/>
        </w:rPr>
        <w:t>发包人应按专用合同条件和《发包人要求》中的约定向承包人提供</w:t>
      </w:r>
      <w:bookmarkEnd w:id="180"/>
      <w:r>
        <w:rPr>
          <w:rFonts w:eastAsia="仿宋_GB2312"/>
          <w:color w:val="auto"/>
          <w:sz w:val="24"/>
          <w:highlight w:val="none"/>
        </w:rPr>
        <w:t>施工现场及工程实施所必需的毗邻区域内的供水、排水、供电、供气、供热、通信、广播电视等地上、地下管线和设施资料，气象和水文观测资料，地质勘察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pPr>
        <w:pStyle w:val="177"/>
        <w:widowControl/>
        <w:spacing w:afterLines="0" w:line="440" w:lineRule="exact"/>
        <w:ind w:left="0"/>
        <w:rPr>
          <w:rFonts w:ascii="Times New Roman" w:hAnsi="Times New Roman"/>
          <w:b w:val="0"/>
          <w:bCs/>
          <w:color w:val="auto"/>
          <w:highlight w:val="none"/>
        </w:rPr>
      </w:pPr>
      <w:bookmarkStart w:id="181" w:name="_Ref531950041"/>
      <w:bookmarkStart w:id="182" w:name="_Ref531950045"/>
      <w:bookmarkStart w:id="183" w:name="_Toc54862199"/>
      <w:r>
        <w:rPr>
          <w:rFonts w:ascii="Times New Roman" w:hAnsi="Times New Roman"/>
          <w:b w:val="0"/>
          <w:bCs/>
          <w:color w:val="auto"/>
          <w:highlight w:val="none"/>
        </w:rPr>
        <w:t>2.4 办理许可和批准</w:t>
      </w:r>
      <w:bookmarkEnd w:id="181"/>
      <w:bookmarkEnd w:id="182"/>
      <w:bookmarkEnd w:id="183"/>
    </w:p>
    <w:p>
      <w:pPr>
        <w:pStyle w:val="178"/>
        <w:spacing w:afterLines="0" w:line="440" w:lineRule="exact"/>
        <w:ind w:left="0"/>
        <w:rPr>
          <w:rFonts w:ascii="Times New Roman" w:hAnsi="Times New Roman" w:eastAsia="仿宋_GB2312"/>
          <w:color w:val="auto"/>
          <w:szCs w:val="24"/>
          <w:highlight w:val="none"/>
        </w:rPr>
      </w:pPr>
      <w:bookmarkStart w:id="184" w:name="_Toc51505128"/>
      <w:r>
        <w:rPr>
          <w:rFonts w:ascii="Times New Roman" w:hAnsi="Times New Roman" w:eastAsia="仿宋_GB2312"/>
          <w:color w:val="auto"/>
          <w:szCs w:val="24"/>
          <w:highlight w:val="none"/>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184"/>
    </w:p>
    <w:p>
      <w:pPr>
        <w:pStyle w:val="178"/>
        <w:spacing w:afterLines="0" w:line="440" w:lineRule="exact"/>
        <w:ind w:left="0"/>
        <w:rPr>
          <w:rFonts w:ascii="Times New Roman" w:hAnsi="Times New Roman" w:eastAsia="仿宋_GB2312"/>
          <w:color w:val="auto"/>
          <w:szCs w:val="24"/>
          <w:highlight w:val="none"/>
        </w:rPr>
      </w:pPr>
      <w:bookmarkStart w:id="185" w:name="_Toc51505129"/>
      <w:r>
        <w:rPr>
          <w:rFonts w:ascii="Times New Roman" w:hAnsi="Times New Roman" w:eastAsia="仿宋_GB2312"/>
          <w:color w:val="auto"/>
          <w:szCs w:val="24"/>
          <w:highlight w:val="none"/>
        </w:rPr>
        <w:t>2.4.2 因发包人原因未能及时办理完毕前述许可、批准或备案，由发包人承担由此增加的费用和（或）延误的工期，并支付承包人合理的利润。</w:t>
      </w:r>
      <w:bookmarkEnd w:id="185"/>
    </w:p>
    <w:p>
      <w:pPr>
        <w:pStyle w:val="177"/>
        <w:widowControl/>
        <w:spacing w:afterLines="0" w:line="440" w:lineRule="exact"/>
        <w:ind w:left="0"/>
        <w:rPr>
          <w:rFonts w:ascii="Times New Roman" w:hAnsi="Times New Roman"/>
          <w:b w:val="0"/>
          <w:bCs/>
          <w:color w:val="auto"/>
          <w:highlight w:val="none"/>
        </w:rPr>
      </w:pPr>
      <w:bookmarkStart w:id="186" w:name="_Toc54862200"/>
      <w:bookmarkStart w:id="187" w:name="_Ref11918060"/>
      <w:bookmarkStart w:id="188" w:name="_Ref11918070"/>
      <w:bookmarkStart w:id="189" w:name="_Ref11956525"/>
      <w:bookmarkStart w:id="190" w:name="_Ref11956533"/>
      <w:r>
        <w:rPr>
          <w:rFonts w:ascii="Times New Roman" w:hAnsi="Times New Roman"/>
          <w:b w:val="0"/>
          <w:bCs/>
          <w:color w:val="auto"/>
          <w:highlight w:val="none"/>
        </w:rPr>
        <w:t>2.5 支付合同价款</w:t>
      </w:r>
      <w:bookmarkEnd w:id="186"/>
      <w:bookmarkEnd w:id="187"/>
      <w:bookmarkEnd w:id="188"/>
      <w:bookmarkEnd w:id="189"/>
      <w:bookmarkEnd w:id="190"/>
    </w:p>
    <w:p>
      <w:pPr>
        <w:pStyle w:val="178"/>
        <w:spacing w:afterLines="0" w:line="440" w:lineRule="exact"/>
        <w:ind w:left="0"/>
        <w:rPr>
          <w:rFonts w:ascii="Times New Roman" w:hAnsi="Times New Roman" w:eastAsia="仿宋_GB2312"/>
          <w:color w:val="auto"/>
          <w:szCs w:val="24"/>
          <w:highlight w:val="none"/>
        </w:rPr>
      </w:pPr>
      <w:bookmarkStart w:id="191" w:name="_Toc51505131"/>
      <w:bookmarkStart w:id="192" w:name="_Ref531950147"/>
      <w:r>
        <w:rPr>
          <w:rFonts w:ascii="Times New Roman" w:hAnsi="Times New Roman" w:eastAsia="仿宋_GB2312"/>
          <w:color w:val="auto"/>
          <w:szCs w:val="24"/>
          <w:highlight w:val="none"/>
        </w:rPr>
        <w:t>2.5.1 发包人应按合同约定向承包人及时支付合同价款。</w:t>
      </w:r>
      <w:bookmarkEnd w:id="191"/>
    </w:p>
    <w:bookmarkEnd w:id="192"/>
    <w:p>
      <w:pPr>
        <w:pStyle w:val="178"/>
        <w:spacing w:afterLines="0" w:line="440" w:lineRule="exact"/>
        <w:ind w:left="0"/>
        <w:rPr>
          <w:rFonts w:ascii="Times New Roman" w:hAnsi="Times New Roman" w:eastAsia="仿宋_GB2312"/>
          <w:color w:val="auto"/>
          <w:szCs w:val="24"/>
          <w:highlight w:val="none"/>
        </w:rPr>
      </w:pPr>
      <w:bookmarkStart w:id="193" w:name="_Toc51505132"/>
      <w:r>
        <w:rPr>
          <w:rFonts w:ascii="Times New Roman" w:hAnsi="Times New Roman" w:eastAsia="仿宋_GB2312"/>
          <w:color w:val="auto"/>
          <w:szCs w:val="24"/>
          <w:highlight w:val="none"/>
        </w:rPr>
        <w:t>2.5.2 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193"/>
    </w:p>
    <w:p>
      <w:pPr>
        <w:pStyle w:val="178"/>
        <w:spacing w:afterLines="0" w:line="440" w:lineRule="exact"/>
        <w:ind w:left="0"/>
        <w:rPr>
          <w:rFonts w:ascii="Times New Roman" w:hAnsi="Times New Roman" w:eastAsia="仿宋_GB2312"/>
          <w:color w:val="auto"/>
          <w:szCs w:val="24"/>
          <w:highlight w:val="none"/>
        </w:rPr>
      </w:pPr>
      <w:bookmarkStart w:id="194" w:name="_Ref531950161"/>
      <w:bookmarkStart w:id="195" w:name="_Toc51505133"/>
      <w:r>
        <w:rPr>
          <w:rFonts w:ascii="Times New Roman" w:hAnsi="Times New Roman" w:eastAsia="仿宋_GB2312"/>
          <w:color w:val="auto"/>
          <w:szCs w:val="24"/>
          <w:highlight w:val="none"/>
        </w:rPr>
        <w:t>2.5.3 发包人应当向承包人提供支付担保。支付担保可以采用银行保函或担保公司担保等形式，具体由合同当事人在专用合同条件中约定。</w:t>
      </w:r>
      <w:bookmarkEnd w:id="194"/>
      <w:bookmarkEnd w:id="195"/>
    </w:p>
    <w:p>
      <w:pPr>
        <w:pStyle w:val="177"/>
        <w:widowControl/>
        <w:spacing w:afterLines="0" w:line="440" w:lineRule="exact"/>
        <w:ind w:left="0"/>
        <w:rPr>
          <w:rFonts w:ascii="Times New Roman" w:hAnsi="Times New Roman"/>
          <w:b w:val="0"/>
          <w:bCs/>
          <w:color w:val="auto"/>
          <w:highlight w:val="none"/>
        </w:rPr>
      </w:pPr>
      <w:bookmarkStart w:id="196" w:name="_Toc54862201"/>
      <w:r>
        <w:rPr>
          <w:rFonts w:ascii="Times New Roman" w:hAnsi="Times New Roman"/>
          <w:b w:val="0"/>
          <w:bCs/>
          <w:color w:val="auto"/>
          <w:highlight w:val="none"/>
        </w:rPr>
        <w:t>2.6 现场管理配合</w:t>
      </w:r>
      <w:bookmarkEnd w:id="19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发包人应负责保证在现场或现场附近的发包人人员和发包人的其他承包人（如有）：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根据第7.3款[现场合作]的约定，与承包人进行合作；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遵守第7.5款[现场劳动用工]、第7.6款[安全文明施工]、第7.7款[职业健康</w:t>
      </w:r>
      <w:bookmarkStart w:id="197" w:name="_Ref531952761"/>
      <w:bookmarkStart w:id="198" w:name="_Ref531952756"/>
      <w:r>
        <w:rPr>
          <w:rFonts w:eastAsia="仿宋_GB2312"/>
          <w:color w:val="auto"/>
          <w:sz w:val="24"/>
          <w:highlight w:val="none"/>
        </w:rPr>
        <w:t>]和第7.8款[环境保护]的相关约定。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发包人应与承包人、由发包人直接发包的其他承包人（如有）订立施工现场统一管理协议，明确各方的权利义务。</w:t>
      </w:r>
    </w:p>
    <w:p>
      <w:pPr>
        <w:pStyle w:val="177"/>
        <w:widowControl/>
        <w:spacing w:afterLines="0" w:line="440" w:lineRule="exact"/>
        <w:ind w:left="0"/>
        <w:rPr>
          <w:rFonts w:ascii="Times New Roman" w:hAnsi="Times New Roman"/>
          <w:b w:val="0"/>
          <w:bCs/>
          <w:color w:val="auto"/>
          <w:highlight w:val="none"/>
        </w:rPr>
      </w:pPr>
      <w:bookmarkStart w:id="199" w:name="_Toc54862202"/>
      <w:bookmarkStart w:id="200" w:name="_Ref11959376"/>
      <w:bookmarkStart w:id="201" w:name="_Ref11959372"/>
      <w:r>
        <w:rPr>
          <w:rFonts w:ascii="Times New Roman" w:hAnsi="Times New Roman"/>
          <w:b w:val="0"/>
          <w:bCs/>
          <w:color w:val="auto"/>
          <w:highlight w:val="none"/>
        </w:rPr>
        <w:t>2.7 其他义务</w:t>
      </w:r>
      <w:bookmarkEnd w:id="199"/>
      <w:bookmarkEnd w:id="200"/>
      <w:bookmarkEnd w:id="20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发包人应履行合同约定的其他义务，双方可在专用合同条件内对发包人应履行的其他义务进行补充约定。</w:t>
      </w:r>
    </w:p>
    <w:bookmarkEnd w:id="197"/>
    <w:bookmarkEnd w:id="198"/>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202" w:name="_Toc54862203"/>
      <w:bookmarkStart w:id="203" w:name="_Ref531952791"/>
      <w:r>
        <w:rPr>
          <w:rFonts w:ascii="Times New Roman" w:hAnsi="Times New Roman"/>
          <w:b w:val="0"/>
          <w:color w:val="auto"/>
          <w:sz w:val="24"/>
          <w:szCs w:val="24"/>
          <w:highlight w:val="none"/>
        </w:rPr>
        <w:t>第3条 发包人的管理</w:t>
      </w:r>
      <w:bookmarkEnd w:id="202"/>
      <w:bookmarkEnd w:id="203"/>
    </w:p>
    <w:p>
      <w:pPr>
        <w:pStyle w:val="177"/>
        <w:widowControl/>
        <w:spacing w:afterLines="0" w:line="440" w:lineRule="exact"/>
        <w:ind w:left="0"/>
        <w:rPr>
          <w:rFonts w:ascii="Times New Roman" w:hAnsi="Times New Roman"/>
          <w:b w:val="0"/>
          <w:bCs/>
          <w:color w:val="auto"/>
          <w:highlight w:val="none"/>
        </w:rPr>
      </w:pPr>
      <w:bookmarkStart w:id="204" w:name="_Ref522810097"/>
      <w:bookmarkStart w:id="205" w:name="_Ref522810094"/>
      <w:bookmarkStart w:id="206" w:name="_Ref531951538"/>
      <w:bookmarkStart w:id="207" w:name="_Ref531951533"/>
      <w:bookmarkStart w:id="208" w:name="_Toc54862204"/>
      <w:r>
        <w:rPr>
          <w:rFonts w:ascii="Times New Roman" w:hAnsi="Times New Roman"/>
          <w:b w:val="0"/>
          <w:bCs/>
          <w:color w:val="auto"/>
          <w:highlight w:val="none"/>
        </w:rPr>
        <w:t>3.1 发包人</w:t>
      </w:r>
      <w:bookmarkEnd w:id="204"/>
      <w:bookmarkEnd w:id="205"/>
      <w:r>
        <w:rPr>
          <w:rFonts w:ascii="Times New Roman" w:hAnsi="Times New Roman"/>
          <w:b w:val="0"/>
          <w:bCs/>
          <w:color w:val="auto"/>
          <w:highlight w:val="none"/>
        </w:rPr>
        <w:t>代表</w:t>
      </w:r>
      <w:bookmarkEnd w:id="206"/>
      <w:bookmarkEnd w:id="207"/>
      <w:bookmarkEnd w:id="20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除非发包人另行通知承包人，发包人代表应被授予并且被认为具有发包人在授权范围内享有的相应权利，涉及第16.1款[由发包人解除合同]的权利除外。</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发包人代表（或者在其为法人的情况下，被任命代表其行事的自然人）应：</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履行指派给其的职责，行使发包人托付给的权利；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具备履行这些职责、行使这些权利的能力；</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作为熟练的专业人员行事。</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发包人代表不能按照合同约定履行其职责及义务，并导致合同无法继续正常履行的，承包人可以要求发包人撤换发包人代表。</w:t>
      </w:r>
    </w:p>
    <w:p>
      <w:pPr>
        <w:pStyle w:val="177"/>
        <w:widowControl/>
        <w:spacing w:afterLines="0" w:line="440" w:lineRule="exact"/>
        <w:ind w:left="0"/>
        <w:rPr>
          <w:rFonts w:ascii="Times New Roman" w:hAnsi="Times New Roman"/>
          <w:b w:val="0"/>
          <w:bCs/>
          <w:color w:val="auto"/>
          <w:highlight w:val="none"/>
        </w:rPr>
      </w:pPr>
      <w:bookmarkStart w:id="209" w:name="_Ref531951553"/>
      <w:bookmarkStart w:id="210" w:name="_Toc54862205"/>
      <w:bookmarkStart w:id="211" w:name="_Ref531951557"/>
      <w:r>
        <w:rPr>
          <w:rFonts w:ascii="Times New Roman" w:hAnsi="Times New Roman"/>
          <w:b w:val="0"/>
          <w:bCs/>
          <w:color w:val="auto"/>
          <w:highlight w:val="none"/>
        </w:rPr>
        <w:t>3.2 发包人人员</w:t>
      </w:r>
      <w:bookmarkEnd w:id="209"/>
      <w:bookmarkEnd w:id="210"/>
      <w:bookmarkEnd w:id="21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发包人应要求在施工现场的发包人人员遵守法律及有关安全、质量、环境保护、文明施工等规定，因发包人人员未遵守上述要求给承包人造成的损失和责任由发包人承担。</w:t>
      </w:r>
    </w:p>
    <w:p>
      <w:pPr>
        <w:pStyle w:val="177"/>
        <w:widowControl/>
        <w:spacing w:afterLines="0" w:line="440" w:lineRule="exact"/>
        <w:ind w:left="0"/>
        <w:rPr>
          <w:rFonts w:ascii="Times New Roman" w:hAnsi="Times New Roman"/>
          <w:b w:val="0"/>
          <w:bCs/>
          <w:color w:val="auto"/>
          <w:highlight w:val="none"/>
        </w:rPr>
      </w:pPr>
      <w:bookmarkStart w:id="212" w:name="_Toc54862206"/>
      <w:r>
        <w:rPr>
          <w:rFonts w:ascii="Times New Roman" w:hAnsi="Times New Roman"/>
          <w:b w:val="0"/>
          <w:bCs/>
          <w:color w:val="auto"/>
          <w:highlight w:val="none"/>
        </w:rPr>
        <w:t>3.3 工程师</w:t>
      </w:r>
      <w:bookmarkEnd w:id="212"/>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3.3.1 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pPr>
        <w:pStyle w:val="177"/>
        <w:widowControl/>
        <w:spacing w:afterLines="0" w:line="440" w:lineRule="exact"/>
        <w:ind w:left="0"/>
        <w:rPr>
          <w:rFonts w:ascii="Times New Roman" w:hAnsi="Times New Roman"/>
          <w:b w:val="0"/>
          <w:bCs/>
          <w:color w:val="auto"/>
          <w:highlight w:val="none"/>
        </w:rPr>
      </w:pPr>
      <w:bookmarkStart w:id="213" w:name="_Toc54862207"/>
      <w:bookmarkStart w:id="214" w:name="_Ref531951594"/>
      <w:bookmarkStart w:id="215" w:name="_Ref531951597"/>
      <w:r>
        <w:rPr>
          <w:rFonts w:ascii="Times New Roman" w:hAnsi="Times New Roman"/>
          <w:b w:val="0"/>
          <w:bCs/>
          <w:color w:val="auto"/>
          <w:highlight w:val="none"/>
        </w:rPr>
        <w:t>3.4 任命和授权</w:t>
      </w:r>
      <w:bookmarkEnd w:id="213"/>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3.4.1 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3.4.2 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pPr>
        <w:pStyle w:val="177"/>
        <w:widowControl/>
        <w:spacing w:afterLines="0" w:line="440" w:lineRule="exact"/>
        <w:ind w:left="0"/>
        <w:rPr>
          <w:rFonts w:ascii="Times New Roman" w:hAnsi="Times New Roman"/>
          <w:b w:val="0"/>
          <w:bCs/>
          <w:color w:val="auto"/>
          <w:highlight w:val="none"/>
        </w:rPr>
      </w:pPr>
      <w:bookmarkStart w:id="216" w:name="_Ref20165400"/>
      <w:bookmarkStart w:id="217" w:name="_Toc54862208"/>
      <w:r>
        <w:rPr>
          <w:rFonts w:ascii="Times New Roman" w:hAnsi="Times New Roman"/>
          <w:b w:val="0"/>
          <w:bCs/>
          <w:color w:val="auto"/>
          <w:highlight w:val="none"/>
        </w:rPr>
        <w:t>3.5 指示</w:t>
      </w:r>
      <w:bookmarkEnd w:id="214"/>
      <w:bookmarkEnd w:id="215"/>
      <w:bookmarkEnd w:id="216"/>
      <w:bookmarkEnd w:id="217"/>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3.5.2 承包人收到工程师作出的指示后应遵照执行。如果任何此类指示构成一项变更时，应按照第13条[变更与调整]的约定办理。</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3.5.3 由于工程师未能按合同约定发出指示、指示延误或指示错误而导致承包人费用增加和（或）工期延误的，发包人应承担由此增加的费用和（或）工期延误，并向承包人支付合理利润。</w:t>
      </w:r>
    </w:p>
    <w:p>
      <w:pPr>
        <w:pStyle w:val="177"/>
        <w:widowControl/>
        <w:spacing w:afterLines="0" w:line="440" w:lineRule="exact"/>
        <w:ind w:left="0"/>
        <w:rPr>
          <w:rFonts w:ascii="Times New Roman" w:hAnsi="Times New Roman"/>
          <w:b w:val="0"/>
          <w:bCs/>
          <w:color w:val="auto"/>
          <w:highlight w:val="none"/>
        </w:rPr>
      </w:pPr>
      <w:bookmarkStart w:id="218" w:name="_Toc54862209"/>
      <w:bookmarkStart w:id="219" w:name="_Ref531951609"/>
      <w:bookmarkStart w:id="220" w:name="_Ref531951611"/>
      <w:r>
        <w:rPr>
          <w:rFonts w:ascii="Times New Roman" w:hAnsi="Times New Roman"/>
          <w:b w:val="0"/>
          <w:bCs/>
          <w:color w:val="auto"/>
          <w:highlight w:val="none"/>
        </w:rPr>
        <w:t>3.6 商定或确定</w:t>
      </w:r>
      <w:bookmarkEnd w:id="218"/>
      <w:bookmarkEnd w:id="219"/>
      <w:bookmarkEnd w:id="220"/>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3.6.1 合同约定工程师应按照本款对任何事项进行商定或确定时，工程师应及时与合同当事人协商，尽量达成一致。工程师应将商定的结果以书面形式通知发包人和承包人，并由双方签署确认。</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3.6.2 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pPr>
        <w:pStyle w:val="178"/>
        <w:spacing w:afterLines="0" w:line="440" w:lineRule="exact"/>
        <w:ind w:left="0"/>
        <w:rPr>
          <w:rFonts w:ascii="Times New Roman" w:hAnsi="Times New Roman" w:eastAsia="仿宋_GB2312"/>
          <w:color w:val="auto"/>
          <w:szCs w:val="24"/>
          <w:highlight w:val="none"/>
        </w:rPr>
      </w:pPr>
      <w:bookmarkStart w:id="221" w:name="_Ref532287856"/>
      <w:r>
        <w:rPr>
          <w:rFonts w:ascii="Times New Roman" w:hAnsi="Times New Roman" w:eastAsia="仿宋_GB2312"/>
          <w:color w:val="auto"/>
          <w:szCs w:val="24"/>
          <w:highlight w:val="none"/>
        </w:rPr>
        <w:t>3.6.3 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221"/>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3.6.4 在该争议解决前，双方应暂按工程师的确定执行。按照第20条[争议解决]的约定对工程师的确定作出修改的，按修改后的结果执行，由此导致承包人增加的费用和延误的工期由责任方承担。</w:t>
      </w:r>
    </w:p>
    <w:p>
      <w:pPr>
        <w:pStyle w:val="177"/>
        <w:widowControl/>
        <w:spacing w:afterLines="0" w:line="440" w:lineRule="exact"/>
        <w:ind w:left="0"/>
        <w:rPr>
          <w:rFonts w:ascii="Times New Roman" w:hAnsi="Times New Roman"/>
          <w:b w:val="0"/>
          <w:bCs/>
          <w:color w:val="auto"/>
          <w:highlight w:val="none"/>
        </w:rPr>
      </w:pPr>
      <w:bookmarkStart w:id="222" w:name="_Ref531951747"/>
      <w:bookmarkStart w:id="223" w:name="_Ref531951749"/>
      <w:bookmarkStart w:id="224" w:name="_Toc54862210"/>
      <w:r>
        <w:rPr>
          <w:rFonts w:ascii="Times New Roman" w:hAnsi="Times New Roman"/>
          <w:b w:val="0"/>
          <w:bCs/>
          <w:color w:val="auto"/>
          <w:highlight w:val="none"/>
        </w:rPr>
        <w:t>3.7 会议</w:t>
      </w:r>
      <w:bookmarkEnd w:id="222"/>
      <w:bookmarkEnd w:id="223"/>
      <w:bookmarkEnd w:id="224"/>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3.7.2 除专用合同条件另有约定外，发包人应保存每次会议参加人签名的记录，并将会议纪要提供给出席会议的人员。任何根据此类会议以及会议纪要采取的行动应符合本合同的约定。</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225" w:name="_Toc54862211"/>
      <w:bookmarkStart w:id="226" w:name="_Ref531952805"/>
      <w:r>
        <w:rPr>
          <w:rFonts w:ascii="Times New Roman" w:hAnsi="Times New Roman"/>
          <w:b w:val="0"/>
          <w:color w:val="auto"/>
          <w:sz w:val="24"/>
          <w:szCs w:val="24"/>
          <w:highlight w:val="none"/>
        </w:rPr>
        <w:t>第4条 承包人</w:t>
      </w:r>
      <w:bookmarkEnd w:id="225"/>
      <w:bookmarkEnd w:id="226"/>
    </w:p>
    <w:p>
      <w:pPr>
        <w:pStyle w:val="177"/>
        <w:widowControl/>
        <w:spacing w:afterLines="0" w:line="440" w:lineRule="exact"/>
        <w:ind w:left="0"/>
        <w:rPr>
          <w:rFonts w:ascii="Times New Roman" w:hAnsi="Times New Roman"/>
          <w:b w:val="0"/>
          <w:bCs/>
          <w:color w:val="auto"/>
          <w:highlight w:val="none"/>
        </w:rPr>
      </w:pPr>
      <w:bookmarkStart w:id="227" w:name="_Ref531951958"/>
      <w:bookmarkStart w:id="228" w:name="_Ref531951945"/>
      <w:bookmarkStart w:id="229" w:name="_Ref531951961"/>
      <w:bookmarkStart w:id="230" w:name="_Ref531951975"/>
      <w:bookmarkStart w:id="231" w:name="_Toc54862212"/>
      <w:bookmarkStart w:id="232" w:name="_Ref531951941"/>
      <w:r>
        <w:rPr>
          <w:rFonts w:ascii="Times New Roman" w:hAnsi="Times New Roman"/>
          <w:b w:val="0"/>
          <w:bCs/>
          <w:color w:val="auto"/>
          <w:highlight w:val="none"/>
        </w:rPr>
        <w:t>4.1 承包人的一般义务</w:t>
      </w:r>
      <w:bookmarkEnd w:id="227"/>
      <w:bookmarkEnd w:id="228"/>
      <w:bookmarkEnd w:id="229"/>
      <w:bookmarkEnd w:id="230"/>
      <w:bookmarkEnd w:id="231"/>
      <w:bookmarkEnd w:id="232"/>
    </w:p>
    <w:p>
      <w:pPr>
        <w:adjustRightInd w:val="0"/>
        <w:snapToGrid w:val="0"/>
        <w:spacing w:line="440" w:lineRule="exact"/>
        <w:ind w:firstLine="600"/>
        <w:rPr>
          <w:rFonts w:eastAsia="仿宋_GB2312"/>
          <w:color w:val="auto"/>
          <w:sz w:val="24"/>
          <w:highlight w:val="none"/>
        </w:rPr>
      </w:pPr>
      <w:bookmarkStart w:id="233" w:name="_Ref509046929"/>
      <w:r>
        <w:rPr>
          <w:rFonts w:eastAsia="仿宋_GB2312"/>
          <w:color w:val="auto"/>
          <w:sz w:val="24"/>
          <w:highlight w:val="none"/>
        </w:rPr>
        <w:t>除专用合同条件另有约定外，承包人在履行合同过程中应遵守法律和工程建设标准规范，并履行以下义务：</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办理法律规定和合同约定由承包人办理的许可和批准，将办理结果书面报送发包人留存，并承担因承包人违反法律或合同约定给发包人造成的任何费用和损失；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按合同约定完成全部工作并在缺陷责任期和保修期内承担缺陷保证责任和保修义务，对工作中的任何缺陷进行整改、完善和修补，使其满足合同约定的目的；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提供合同约定的工程设备和承包人文件，以及为完成合同工作所需的劳务、材料、施工设备和其他物品，并按合同约定负责临时设施的设计、施工、运行、维护、管理和拆除；</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按合同约定的工作内容和进度要求，编制设计、施工的组织和实施计划，保证项目进度计划的实现，并对所有设计、施工作业和施工方法，以及全部工程的完备性和安全可靠性负责；</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按法律规定和合同约定采取安全文明施工、职业健康和环境保护措施，办理员工工伤保险等相关保险，确保工程及人员、材料、设备和设施的安全，防止因工程实施造成的人身伤害和财产损失；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将发包人按合同约定支付的各项价款专用于合同工程，且应及时支付其雇用人员（包括建筑工人）工资，并及时向分包人支付合同价款；</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在进行合同约定的各项工作时，不得侵害发包人与他人使用公用道路、水源、市政管网等公共设施的权利，避免对邻近的公共设施产生干扰。</w:t>
      </w:r>
    </w:p>
    <w:p>
      <w:pPr>
        <w:pStyle w:val="177"/>
        <w:widowControl/>
        <w:spacing w:afterLines="0" w:line="440" w:lineRule="exact"/>
        <w:ind w:left="0"/>
        <w:rPr>
          <w:rFonts w:ascii="Times New Roman" w:hAnsi="Times New Roman"/>
          <w:b w:val="0"/>
          <w:bCs/>
          <w:color w:val="auto"/>
          <w:highlight w:val="none"/>
        </w:rPr>
      </w:pPr>
      <w:bookmarkStart w:id="234" w:name="_Ref4426803"/>
      <w:bookmarkStart w:id="235" w:name="_Toc54862213"/>
      <w:bookmarkStart w:id="236" w:name="_Ref4428418"/>
      <w:r>
        <w:rPr>
          <w:rFonts w:ascii="Times New Roman" w:hAnsi="Times New Roman"/>
          <w:b w:val="0"/>
          <w:bCs/>
          <w:color w:val="auto"/>
          <w:highlight w:val="none"/>
        </w:rPr>
        <w:t>4.2 履约担保</w:t>
      </w:r>
      <w:bookmarkEnd w:id="234"/>
      <w:bookmarkEnd w:id="23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承包人应保证其履约担保在发包人竣工验收前一直有效，发包人应在竣工验收合格后7天内将履约担保款项退还给承包人或者解除履约担保。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因承包人原因导致工期延长的，继续提供履约担保所增加的费用由承包人承担；非因承包人原因导致工期延长的，继续提供履约担保所增加的费用由发包人承担。</w:t>
      </w:r>
    </w:p>
    <w:bookmarkEnd w:id="233"/>
    <w:bookmarkEnd w:id="236"/>
    <w:p>
      <w:pPr>
        <w:pStyle w:val="177"/>
        <w:widowControl/>
        <w:spacing w:afterLines="0" w:line="440" w:lineRule="exact"/>
        <w:ind w:left="0"/>
        <w:rPr>
          <w:rFonts w:ascii="Times New Roman" w:hAnsi="Times New Roman"/>
          <w:b w:val="0"/>
          <w:bCs/>
          <w:color w:val="auto"/>
          <w:highlight w:val="none"/>
        </w:rPr>
      </w:pPr>
      <w:bookmarkStart w:id="237" w:name="_Toc54862214"/>
      <w:bookmarkStart w:id="238" w:name="_Ref532689105"/>
      <w:bookmarkStart w:id="239" w:name="_Ref532689108"/>
      <w:r>
        <w:rPr>
          <w:rFonts w:ascii="Times New Roman" w:hAnsi="Times New Roman"/>
          <w:b w:val="0"/>
          <w:bCs/>
          <w:color w:val="auto"/>
          <w:highlight w:val="none"/>
        </w:rPr>
        <w:t>4.3 工程总承包项目经理</w:t>
      </w:r>
      <w:bookmarkEnd w:id="237"/>
      <w:bookmarkEnd w:id="238"/>
      <w:bookmarkEnd w:id="239"/>
    </w:p>
    <w:p>
      <w:pPr>
        <w:pStyle w:val="178"/>
        <w:spacing w:afterLines="0" w:line="440" w:lineRule="exact"/>
        <w:ind w:left="0"/>
        <w:rPr>
          <w:rFonts w:ascii="Times New Roman" w:hAnsi="Times New Roman" w:eastAsia="仿宋_GB2312"/>
          <w:color w:val="auto"/>
          <w:szCs w:val="24"/>
          <w:highlight w:val="none"/>
        </w:rPr>
      </w:pPr>
      <w:bookmarkStart w:id="240" w:name="_Ref532351726"/>
      <w:r>
        <w:rPr>
          <w:rFonts w:ascii="Times New Roman" w:hAnsi="Times New Roman" w:eastAsia="仿宋_GB2312"/>
          <w:color w:val="auto"/>
          <w:szCs w:val="24"/>
          <w:highlight w:val="none"/>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240"/>
    </w:p>
    <w:p>
      <w:pPr>
        <w:pStyle w:val="178"/>
        <w:spacing w:afterLines="0" w:line="440" w:lineRule="exact"/>
        <w:ind w:left="0"/>
        <w:rPr>
          <w:rFonts w:ascii="Times New Roman" w:hAnsi="Times New Roman" w:eastAsia="仿宋_GB2312"/>
          <w:color w:val="auto"/>
          <w:szCs w:val="24"/>
          <w:highlight w:val="none"/>
        </w:rPr>
      </w:pPr>
      <w:bookmarkStart w:id="241" w:name="_Ref532689263"/>
      <w:r>
        <w:rPr>
          <w:rFonts w:ascii="Times New Roman" w:hAnsi="Times New Roman" w:eastAsia="仿宋_GB2312"/>
          <w:color w:val="auto"/>
          <w:szCs w:val="24"/>
          <w:highlight w:val="none"/>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241"/>
    </w:p>
    <w:p>
      <w:pPr>
        <w:pStyle w:val="178"/>
        <w:spacing w:afterLines="0" w:line="440" w:lineRule="exact"/>
        <w:ind w:left="0"/>
        <w:rPr>
          <w:rFonts w:ascii="Times New Roman" w:hAnsi="Times New Roman" w:eastAsia="仿宋_GB2312"/>
          <w:color w:val="auto"/>
          <w:szCs w:val="24"/>
          <w:highlight w:val="none"/>
        </w:rPr>
      </w:pPr>
      <w:bookmarkStart w:id="242" w:name="_Ref532689178"/>
      <w:bookmarkStart w:id="243" w:name="_Ref531952112"/>
      <w:r>
        <w:rPr>
          <w:rFonts w:ascii="Times New Roman" w:hAnsi="Times New Roman" w:eastAsia="仿宋_GB2312"/>
          <w:color w:val="auto"/>
          <w:szCs w:val="24"/>
          <w:highlight w:val="none"/>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242"/>
    </w:p>
    <w:bookmarkEnd w:id="243"/>
    <w:p>
      <w:pPr>
        <w:pStyle w:val="178"/>
        <w:spacing w:afterLines="0" w:line="440" w:lineRule="exact"/>
        <w:ind w:left="0"/>
        <w:rPr>
          <w:rFonts w:ascii="Times New Roman" w:hAnsi="Times New Roman" w:eastAsia="仿宋_GB2312"/>
          <w:color w:val="auto"/>
          <w:szCs w:val="24"/>
          <w:highlight w:val="none"/>
        </w:rPr>
      </w:pPr>
      <w:bookmarkStart w:id="244" w:name="_Ref4426412"/>
      <w:r>
        <w:rPr>
          <w:rFonts w:ascii="Times New Roman" w:hAnsi="Times New Roman" w:eastAsia="仿宋_GB2312"/>
          <w:color w:val="auto"/>
          <w:szCs w:val="24"/>
          <w:highlight w:val="none"/>
        </w:rPr>
        <w:t>4.3.4 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245" w:name="_Hlk55056591"/>
      <w:r>
        <w:rPr>
          <w:rFonts w:ascii="Times New Roman" w:hAnsi="Times New Roman" w:eastAsia="仿宋_GB2312"/>
          <w:color w:val="auto"/>
          <w:szCs w:val="24"/>
          <w:highlight w:val="none"/>
        </w:rPr>
        <w:t>应按照专用合同条件的约定承担违约责任。</w:t>
      </w:r>
      <w:bookmarkEnd w:id="244"/>
      <w:bookmarkEnd w:id="245"/>
    </w:p>
    <w:p>
      <w:pPr>
        <w:pStyle w:val="178"/>
        <w:spacing w:afterLines="0" w:line="440" w:lineRule="exact"/>
        <w:ind w:left="0"/>
        <w:rPr>
          <w:rFonts w:ascii="Times New Roman" w:hAnsi="Times New Roman" w:eastAsia="仿宋_GB2312"/>
          <w:color w:val="auto"/>
          <w:szCs w:val="24"/>
          <w:highlight w:val="none"/>
        </w:rPr>
      </w:pPr>
      <w:bookmarkStart w:id="246" w:name="_Ref531952137"/>
      <w:r>
        <w:rPr>
          <w:rFonts w:ascii="Times New Roman" w:hAnsi="Times New Roman" w:eastAsia="仿宋_GB2312"/>
          <w:color w:val="auto"/>
          <w:szCs w:val="24"/>
          <w:highlight w:val="none"/>
        </w:rPr>
        <w:t>4.3.5 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246"/>
    </w:p>
    <w:p>
      <w:pPr>
        <w:pStyle w:val="178"/>
        <w:spacing w:afterLines="0" w:line="440" w:lineRule="exact"/>
        <w:ind w:left="0"/>
        <w:rPr>
          <w:rFonts w:ascii="Times New Roman" w:hAnsi="Times New Roman" w:eastAsia="仿宋_GB2312"/>
          <w:color w:val="auto"/>
          <w:szCs w:val="24"/>
          <w:highlight w:val="none"/>
        </w:rPr>
      </w:pPr>
      <w:bookmarkStart w:id="247" w:name="_Ref122620"/>
      <w:r>
        <w:rPr>
          <w:rFonts w:ascii="Times New Roman" w:hAnsi="Times New Roman" w:eastAsia="仿宋_GB2312"/>
          <w:color w:val="auto"/>
          <w:szCs w:val="24"/>
          <w:highlight w:val="none"/>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247"/>
    </w:p>
    <w:p>
      <w:pPr>
        <w:pStyle w:val="177"/>
        <w:widowControl/>
        <w:spacing w:afterLines="0" w:line="440" w:lineRule="exact"/>
        <w:ind w:left="0"/>
        <w:rPr>
          <w:rFonts w:ascii="Times New Roman" w:hAnsi="Times New Roman"/>
          <w:b w:val="0"/>
          <w:bCs/>
          <w:color w:val="auto"/>
          <w:highlight w:val="none"/>
        </w:rPr>
      </w:pPr>
      <w:bookmarkStart w:id="248" w:name="_Toc54862215"/>
      <w:bookmarkStart w:id="249" w:name="_Ref531952175"/>
      <w:bookmarkStart w:id="250" w:name="_Ref531952172"/>
      <w:r>
        <w:rPr>
          <w:rFonts w:ascii="Times New Roman" w:hAnsi="Times New Roman"/>
          <w:b w:val="0"/>
          <w:bCs/>
          <w:color w:val="auto"/>
          <w:highlight w:val="none"/>
        </w:rPr>
        <w:t>4.4 承包人人员</w:t>
      </w:r>
      <w:bookmarkEnd w:id="248"/>
      <w:bookmarkEnd w:id="249"/>
      <w:bookmarkEnd w:id="250"/>
    </w:p>
    <w:p>
      <w:pPr>
        <w:pStyle w:val="178"/>
        <w:spacing w:afterLines="0" w:line="440" w:lineRule="exact"/>
        <w:ind w:left="0"/>
        <w:rPr>
          <w:rFonts w:ascii="Times New Roman" w:hAnsi="Times New Roman" w:eastAsia="仿宋_GB2312"/>
          <w:color w:val="auto"/>
          <w:szCs w:val="24"/>
          <w:highlight w:val="none"/>
        </w:rPr>
      </w:pPr>
      <w:bookmarkStart w:id="251" w:name="_Ref531952185"/>
      <w:r>
        <w:rPr>
          <w:rFonts w:ascii="Times New Roman" w:hAnsi="Times New Roman" w:eastAsia="仿宋_GB2312"/>
          <w:color w:val="auto"/>
          <w:szCs w:val="24"/>
          <w:highlight w:val="none"/>
        </w:rPr>
        <w:t>4.4.1 人员安排</w:t>
      </w:r>
      <w:bookmarkEnd w:id="25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关键人员</w:t>
      </w:r>
      <w:bookmarkStart w:id="252" w:name="_Hlk16210335"/>
      <w:r>
        <w:rPr>
          <w:rFonts w:eastAsia="仿宋_GB2312"/>
          <w:color w:val="auto"/>
          <w:sz w:val="24"/>
          <w:highlight w:val="none"/>
        </w:rPr>
        <w:t>是发包人及承包人一致认为对工程建设起重要作用的承包人主要管理人员或技术人员。关键人员的具体范围由发包人及承包人在附件5[承包人主要管理人员表]中另行约定。</w:t>
      </w:r>
    </w:p>
    <w:bookmarkEnd w:id="252"/>
    <w:p>
      <w:pPr>
        <w:pStyle w:val="178"/>
        <w:spacing w:afterLines="0" w:line="440" w:lineRule="exact"/>
        <w:ind w:left="0"/>
        <w:rPr>
          <w:rFonts w:ascii="Times New Roman" w:hAnsi="Times New Roman" w:eastAsia="仿宋_GB2312"/>
          <w:color w:val="auto"/>
          <w:szCs w:val="24"/>
          <w:highlight w:val="none"/>
        </w:rPr>
      </w:pPr>
      <w:bookmarkStart w:id="253" w:name="_Ref4426641"/>
      <w:bookmarkStart w:id="254" w:name="_Ref531952211"/>
      <w:r>
        <w:rPr>
          <w:rFonts w:ascii="Times New Roman" w:hAnsi="Times New Roman" w:eastAsia="仿宋_GB2312"/>
          <w:color w:val="auto"/>
          <w:szCs w:val="24"/>
          <w:highlight w:val="none"/>
        </w:rPr>
        <w:t>4.4.2 关键人员更换</w:t>
      </w:r>
      <w:bookmarkEnd w:id="253"/>
      <w:bookmarkEnd w:id="25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pPr>
        <w:pStyle w:val="178"/>
        <w:spacing w:afterLines="0" w:line="440" w:lineRule="exact"/>
        <w:ind w:left="0"/>
        <w:rPr>
          <w:rFonts w:ascii="Times New Roman" w:hAnsi="Times New Roman" w:eastAsia="仿宋_GB2312"/>
          <w:color w:val="auto"/>
          <w:szCs w:val="24"/>
          <w:highlight w:val="none"/>
        </w:rPr>
      </w:pPr>
      <w:bookmarkStart w:id="255" w:name="_Ref531952227"/>
      <w:r>
        <w:rPr>
          <w:rFonts w:ascii="Times New Roman" w:hAnsi="Times New Roman" w:eastAsia="仿宋_GB2312"/>
          <w:color w:val="auto"/>
          <w:szCs w:val="24"/>
          <w:highlight w:val="none"/>
        </w:rPr>
        <w:t>4.4.3 现场管理关键人员在岗要求</w:t>
      </w:r>
      <w:bookmarkEnd w:id="25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pPr>
        <w:pStyle w:val="177"/>
        <w:widowControl/>
        <w:spacing w:afterLines="0" w:line="440" w:lineRule="exact"/>
        <w:ind w:left="0"/>
        <w:rPr>
          <w:rFonts w:ascii="Times New Roman" w:hAnsi="Times New Roman"/>
          <w:b w:val="0"/>
          <w:bCs/>
          <w:color w:val="auto"/>
          <w:highlight w:val="none"/>
        </w:rPr>
      </w:pPr>
      <w:bookmarkStart w:id="256" w:name="_Toc54862216"/>
      <w:bookmarkStart w:id="257" w:name="_Ref531952259"/>
      <w:bookmarkStart w:id="258" w:name="_Ref531952262"/>
      <w:r>
        <w:rPr>
          <w:rFonts w:ascii="Times New Roman" w:hAnsi="Times New Roman"/>
          <w:b w:val="0"/>
          <w:bCs/>
          <w:color w:val="auto"/>
          <w:highlight w:val="none"/>
        </w:rPr>
        <w:t>4.5 分包</w:t>
      </w:r>
      <w:bookmarkEnd w:id="256"/>
      <w:bookmarkEnd w:id="257"/>
      <w:bookmarkEnd w:id="258"/>
    </w:p>
    <w:p>
      <w:pPr>
        <w:pStyle w:val="178"/>
        <w:spacing w:afterLines="0" w:line="440" w:lineRule="exact"/>
        <w:ind w:left="0"/>
        <w:rPr>
          <w:rFonts w:ascii="Times New Roman" w:hAnsi="Times New Roman" w:eastAsia="仿宋_GB2312"/>
          <w:color w:val="auto"/>
          <w:szCs w:val="24"/>
          <w:highlight w:val="none"/>
        </w:rPr>
      </w:pPr>
      <w:bookmarkStart w:id="259" w:name="_Ref531952273"/>
      <w:r>
        <w:rPr>
          <w:rFonts w:ascii="Times New Roman" w:hAnsi="Times New Roman" w:eastAsia="仿宋_GB2312"/>
          <w:color w:val="auto"/>
          <w:szCs w:val="24"/>
          <w:highlight w:val="none"/>
        </w:rPr>
        <w:t>4.5.1 一般约定</w:t>
      </w:r>
      <w:bookmarkEnd w:id="25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pPr>
        <w:pStyle w:val="178"/>
        <w:spacing w:afterLines="0" w:line="440" w:lineRule="exact"/>
        <w:ind w:left="0"/>
        <w:rPr>
          <w:rFonts w:ascii="Times New Roman" w:hAnsi="Times New Roman" w:eastAsia="仿宋_GB2312"/>
          <w:color w:val="auto"/>
          <w:szCs w:val="24"/>
          <w:highlight w:val="none"/>
        </w:rPr>
      </w:pPr>
      <w:bookmarkStart w:id="260" w:name="_Ref531952286"/>
      <w:r>
        <w:rPr>
          <w:rFonts w:ascii="Times New Roman" w:hAnsi="Times New Roman" w:eastAsia="仿宋_GB2312"/>
          <w:color w:val="auto"/>
          <w:szCs w:val="24"/>
          <w:highlight w:val="none"/>
        </w:rPr>
        <w:t>4.5.2 分包的确定</w:t>
      </w:r>
      <w:bookmarkEnd w:id="26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承包人应按照专用合同条件约定对工作事项进行分包，确定分包人。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4.5.3 分包人资质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分包人应符合国家法律规定的资质等级，否则不能作为分包人。承包人有义务对分包人的资质进行审查。</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4.5.4 分包管理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pPr>
        <w:pStyle w:val="178"/>
        <w:spacing w:afterLines="0" w:line="440" w:lineRule="exact"/>
        <w:ind w:left="0"/>
        <w:rPr>
          <w:rFonts w:ascii="Times New Roman" w:hAnsi="Times New Roman" w:eastAsia="仿宋_GB2312"/>
          <w:color w:val="auto"/>
          <w:szCs w:val="24"/>
          <w:highlight w:val="none"/>
        </w:rPr>
      </w:pPr>
      <w:bookmarkStart w:id="261" w:name="_Ref531952298"/>
      <w:r>
        <w:rPr>
          <w:rFonts w:ascii="Times New Roman" w:hAnsi="Times New Roman" w:eastAsia="仿宋_GB2312"/>
          <w:color w:val="auto"/>
          <w:szCs w:val="24"/>
          <w:highlight w:val="none"/>
        </w:rPr>
        <w:t>4.5.5 分包合同价款支付</w:t>
      </w:r>
      <w:bookmarkEnd w:id="26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除本项第（2）目约定的情况或专用合同条件另有约定外，分包合同价款由承包人与分包人结算，未经承包人同意，发包人不得向分包人支付分包合同价款；</w:t>
      </w:r>
    </w:p>
    <w:p>
      <w:pPr>
        <w:adjustRightInd w:val="0"/>
        <w:snapToGrid w:val="0"/>
        <w:spacing w:line="440" w:lineRule="exact"/>
        <w:ind w:firstLine="600"/>
        <w:rPr>
          <w:rFonts w:eastAsia="仿宋_GB2312"/>
          <w:color w:val="auto"/>
          <w:sz w:val="24"/>
          <w:highlight w:val="none"/>
        </w:rPr>
      </w:pPr>
      <w:bookmarkStart w:id="262" w:name="_Ref4613798"/>
      <w:r>
        <w:rPr>
          <w:rFonts w:eastAsia="仿宋_GB2312"/>
          <w:color w:val="auto"/>
          <w:sz w:val="24"/>
          <w:highlight w:val="none"/>
        </w:rPr>
        <w:t>（2） 生效法律文书要求发包人向分包人支付分包合同价款的，发包人有权从应付承包人工程款中扣除该部分款项</w:t>
      </w:r>
      <w:bookmarkEnd w:id="262"/>
      <w:r>
        <w:rPr>
          <w:rFonts w:eastAsia="仿宋_GB2312"/>
          <w:color w:val="auto"/>
          <w:sz w:val="24"/>
          <w:highlight w:val="none"/>
        </w:rPr>
        <w:t>，将扣款直接支付给分包人，并书面通知承包人。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4.5.6 责任承担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承包人对分包人的行为向发包人负责，承包人和分包人就分包工作向发包人承担连带责任。</w:t>
      </w:r>
    </w:p>
    <w:p>
      <w:pPr>
        <w:pStyle w:val="177"/>
        <w:widowControl/>
        <w:spacing w:afterLines="0" w:line="440" w:lineRule="exact"/>
        <w:ind w:left="0"/>
        <w:rPr>
          <w:rFonts w:ascii="Times New Roman" w:hAnsi="Times New Roman"/>
          <w:b w:val="0"/>
          <w:bCs/>
          <w:color w:val="auto"/>
          <w:highlight w:val="none"/>
        </w:rPr>
      </w:pPr>
      <w:bookmarkStart w:id="263" w:name="_Ref4426916"/>
      <w:bookmarkStart w:id="264" w:name="_Toc54862217"/>
      <w:bookmarkStart w:id="265" w:name="_Ref4768805"/>
      <w:bookmarkStart w:id="266" w:name="_Ref531952317"/>
      <w:bookmarkStart w:id="267" w:name="_Ref531952321"/>
      <w:r>
        <w:rPr>
          <w:rFonts w:ascii="Times New Roman" w:hAnsi="Times New Roman"/>
          <w:b w:val="0"/>
          <w:bCs/>
          <w:color w:val="auto"/>
          <w:highlight w:val="none"/>
        </w:rPr>
        <w:t>4.6 联合体</w:t>
      </w:r>
      <w:bookmarkEnd w:id="263"/>
      <w:bookmarkEnd w:id="264"/>
    </w:p>
    <w:p>
      <w:pPr>
        <w:pStyle w:val="178"/>
        <w:spacing w:afterLines="0" w:line="440" w:lineRule="exact"/>
        <w:ind w:left="0"/>
        <w:rPr>
          <w:rFonts w:ascii="Times New Roman" w:hAnsi="Times New Roman" w:eastAsia="仿宋_GB2312"/>
          <w:color w:val="auto"/>
          <w:szCs w:val="24"/>
          <w:highlight w:val="none"/>
        </w:rPr>
      </w:pPr>
      <w:bookmarkStart w:id="268" w:name="_Hlk16235129"/>
      <w:r>
        <w:rPr>
          <w:rFonts w:ascii="Times New Roman" w:hAnsi="Times New Roman" w:eastAsia="仿宋_GB2312"/>
          <w:color w:val="auto"/>
          <w:szCs w:val="24"/>
          <w:highlight w:val="none"/>
        </w:rPr>
        <w:t>4.6.1 经发包人同意，</w:t>
      </w:r>
      <w:bookmarkEnd w:id="268"/>
      <w:r>
        <w:rPr>
          <w:rFonts w:ascii="Times New Roman" w:hAnsi="Times New Roman" w:eastAsia="仿宋_GB2312"/>
          <w:color w:val="auto"/>
          <w:szCs w:val="24"/>
          <w:highlight w:val="none"/>
        </w:rPr>
        <w:t>以联合体方式承包工程的，联合体各方应共同与发包人订立合同协议书。联合体各方应为履行合同向发包人承担连带责任。</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4.6.3 联合体协议经发包人确认后作为合同附件。在履行合同过程中，未经发包人同意，不得变更联合体成员和其负责的工作范围，或者修改联合体协议中与本合同履行相关的内容。</w:t>
      </w:r>
    </w:p>
    <w:p>
      <w:pPr>
        <w:pStyle w:val="177"/>
        <w:widowControl/>
        <w:spacing w:afterLines="0" w:line="440" w:lineRule="exact"/>
        <w:ind w:left="0"/>
        <w:rPr>
          <w:rFonts w:ascii="Times New Roman" w:hAnsi="Times New Roman"/>
          <w:b w:val="0"/>
          <w:bCs/>
          <w:color w:val="auto"/>
          <w:highlight w:val="none"/>
        </w:rPr>
      </w:pPr>
      <w:bookmarkStart w:id="269" w:name="_Toc54862218"/>
      <w:bookmarkStart w:id="270" w:name="_Ref11926629"/>
      <w:bookmarkStart w:id="271" w:name="_Ref11926631"/>
      <w:r>
        <w:rPr>
          <w:rFonts w:ascii="Times New Roman" w:hAnsi="Times New Roman"/>
          <w:b w:val="0"/>
          <w:bCs/>
          <w:color w:val="auto"/>
          <w:highlight w:val="none"/>
        </w:rPr>
        <w:t>4.7 承包人现场查勘</w:t>
      </w:r>
      <w:bookmarkEnd w:id="269"/>
      <w:bookmarkEnd w:id="270"/>
      <w:bookmarkEnd w:id="271"/>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4.7.1 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p>
    <w:p>
      <w:pPr>
        <w:pStyle w:val="177"/>
        <w:widowControl/>
        <w:spacing w:afterLines="0" w:line="440" w:lineRule="exact"/>
        <w:ind w:left="0"/>
        <w:rPr>
          <w:rFonts w:ascii="Times New Roman" w:hAnsi="Times New Roman"/>
          <w:b w:val="0"/>
          <w:bCs/>
          <w:color w:val="auto"/>
          <w:highlight w:val="none"/>
        </w:rPr>
      </w:pPr>
      <w:bookmarkStart w:id="272" w:name="不可预见的困难"/>
      <w:bookmarkStart w:id="273" w:name="_Toc54862219"/>
      <w:bookmarkStart w:id="274" w:name="_Ref11918693"/>
      <w:bookmarkStart w:id="275" w:name="_Ref11918789"/>
      <w:bookmarkStart w:id="276" w:name="_Ref11918626"/>
      <w:r>
        <w:rPr>
          <w:rFonts w:ascii="Times New Roman" w:hAnsi="Times New Roman"/>
          <w:b w:val="0"/>
          <w:bCs/>
          <w:color w:val="auto"/>
          <w:highlight w:val="none"/>
        </w:rPr>
        <w:t>4.8 不可预见的困难</w:t>
      </w:r>
      <w:bookmarkEnd w:id="265"/>
      <w:bookmarkEnd w:id="266"/>
      <w:bookmarkEnd w:id="267"/>
      <w:bookmarkEnd w:id="272"/>
      <w:bookmarkEnd w:id="273"/>
      <w:bookmarkEnd w:id="274"/>
      <w:bookmarkEnd w:id="275"/>
      <w:bookmarkEnd w:id="27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不可预见的困难是指有经验的承包人在施工现场遇到的不可预见的自然物质条件、非自然的物质障碍和污染物，包括地表以下物质条件和水文条件以及专用合同条件约定的其他情形，但不包括气候条件。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pPr>
        <w:pStyle w:val="177"/>
        <w:widowControl/>
        <w:spacing w:afterLines="0" w:line="440" w:lineRule="exact"/>
        <w:ind w:left="0"/>
        <w:rPr>
          <w:rFonts w:ascii="Times New Roman" w:hAnsi="Times New Roman"/>
          <w:b w:val="0"/>
          <w:bCs/>
          <w:color w:val="auto"/>
          <w:highlight w:val="none"/>
        </w:rPr>
      </w:pPr>
      <w:bookmarkStart w:id="277" w:name="_Ref11926570"/>
      <w:bookmarkStart w:id="278" w:name="_Ref11926566"/>
      <w:bookmarkStart w:id="279" w:name="_Toc54862220"/>
      <w:r>
        <w:rPr>
          <w:rFonts w:ascii="Times New Roman" w:hAnsi="Times New Roman"/>
          <w:b w:val="0"/>
          <w:bCs/>
          <w:color w:val="auto"/>
          <w:highlight w:val="none"/>
        </w:rPr>
        <w:t>4.9 工程质量管理</w:t>
      </w:r>
      <w:bookmarkEnd w:id="277"/>
      <w:bookmarkEnd w:id="278"/>
      <w:bookmarkEnd w:id="279"/>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4.9.2 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4.9.3 承包人应对其人员进行质量教育和技术培训，定期考核人员的劳动技能，严格执行相关规范和操作规程。</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280" w:name="_Toc54862221"/>
      <w:bookmarkStart w:id="281" w:name="_Ref531952837"/>
      <w:r>
        <w:rPr>
          <w:rFonts w:ascii="Times New Roman" w:hAnsi="Times New Roman"/>
          <w:b w:val="0"/>
          <w:color w:val="auto"/>
          <w:sz w:val="24"/>
          <w:szCs w:val="24"/>
          <w:highlight w:val="none"/>
        </w:rPr>
        <w:t>第5条 设计</w:t>
      </w:r>
      <w:bookmarkEnd w:id="280"/>
      <w:bookmarkEnd w:id="281"/>
    </w:p>
    <w:p>
      <w:pPr>
        <w:pStyle w:val="177"/>
        <w:widowControl/>
        <w:spacing w:afterLines="0" w:line="440" w:lineRule="exact"/>
        <w:ind w:left="0"/>
        <w:rPr>
          <w:rFonts w:ascii="Times New Roman" w:hAnsi="Times New Roman"/>
          <w:b w:val="0"/>
          <w:bCs/>
          <w:color w:val="auto"/>
          <w:highlight w:val="none"/>
        </w:rPr>
      </w:pPr>
      <w:bookmarkStart w:id="282" w:name="_Ref531952863"/>
      <w:bookmarkStart w:id="283" w:name="_Ref531952860"/>
      <w:bookmarkStart w:id="284" w:name="_Toc54862222"/>
      <w:r>
        <w:rPr>
          <w:rFonts w:ascii="Times New Roman" w:hAnsi="Times New Roman"/>
          <w:b w:val="0"/>
          <w:bCs/>
          <w:color w:val="auto"/>
          <w:highlight w:val="none"/>
        </w:rPr>
        <w:t>5.1 承包人的设计义务</w:t>
      </w:r>
      <w:bookmarkEnd w:id="282"/>
      <w:bookmarkEnd w:id="283"/>
      <w:bookmarkEnd w:id="284"/>
    </w:p>
    <w:p>
      <w:pPr>
        <w:pStyle w:val="178"/>
        <w:spacing w:afterLines="0" w:line="440" w:lineRule="exact"/>
        <w:ind w:left="0"/>
        <w:rPr>
          <w:rFonts w:ascii="Times New Roman" w:hAnsi="Times New Roman" w:eastAsia="仿宋_GB2312"/>
          <w:color w:val="auto"/>
          <w:szCs w:val="24"/>
          <w:highlight w:val="none"/>
        </w:rPr>
      </w:pPr>
      <w:bookmarkStart w:id="285" w:name="_Ref531952881"/>
      <w:r>
        <w:rPr>
          <w:rFonts w:ascii="Times New Roman" w:hAnsi="Times New Roman" w:eastAsia="仿宋_GB2312"/>
          <w:color w:val="auto"/>
          <w:szCs w:val="24"/>
          <w:highlight w:val="none"/>
        </w:rPr>
        <w:t>5.1.1 设计义务的一般要求</w:t>
      </w:r>
      <w:bookmarkEnd w:id="28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pPr>
        <w:pStyle w:val="178"/>
        <w:spacing w:afterLines="0" w:line="440" w:lineRule="exact"/>
        <w:ind w:left="0"/>
        <w:rPr>
          <w:rFonts w:ascii="Times New Roman" w:hAnsi="Times New Roman" w:eastAsia="仿宋_GB2312"/>
          <w:color w:val="auto"/>
          <w:szCs w:val="24"/>
          <w:highlight w:val="none"/>
        </w:rPr>
      </w:pPr>
      <w:bookmarkStart w:id="286" w:name="_Ref531952952"/>
      <w:bookmarkStart w:id="287" w:name="_Ref531952899"/>
      <w:r>
        <w:rPr>
          <w:rFonts w:ascii="Times New Roman" w:hAnsi="Times New Roman" w:eastAsia="仿宋_GB2312"/>
          <w:color w:val="auto"/>
          <w:szCs w:val="24"/>
          <w:highlight w:val="none"/>
        </w:rPr>
        <w:t>5.1.2 对设计人员的要求</w:t>
      </w:r>
      <w:bookmarkEnd w:id="28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287"/>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5.1.3 法律和标准的变化</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在基准日期之后，因国家颁布新的强制性规范、标准导致承包人的费用变化的，发包人应合理调整合同价格；导致工期延误的，发包人应合理延长工期。</w:t>
      </w:r>
    </w:p>
    <w:p>
      <w:pPr>
        <w:pStyle w:val="177"/>
        <w:widowControl/>
        <w:spacing w:afterLines="0" w:line="440" w:lineRule="exact"/>
        <w:ind w:left="0"/>
        <w:rPr>
          <w:rFonts w:ascii="Times New Roman" w:hAnsi="Times New Roman"/>
          <w:b w:val="0"/>
          <w:bCs/>
          <w:color w:val="auto"/>
          <w:highlight w:val="none"/>
        </w:rPr>
      </w:pPr>
      <w:bookmarkStart w:id="288" w:name="_Ref531953051"/>
      <w:bookmarkStart w:id="289" w:name="_Ref531953054"/>
      <w:bookmarkStart w:id="290" w:name="_Toc54862223"/>
      <w:r>
        <w:rPr>
          <w:rFonts w:ascii="Times New Roman" w:hAnsi="Times New Roman"/>
          <w:b w:val="0"/>
          <w:bCs/>
          <w:color w:val="auto"/>
          <w:highlight w:val="none"/>
        </w:rPr>
        <w:t>5.2 承包人文件审查</w:t>
      </w:r>
      <w:bookmarkEnd w:id="288"/>
      <w:bookmarkEnd w:id="289"/>
      <w:bookmarkEnd w:id="290"/>
    </w:p>
    <w:p>
      <w:pPr>
        <w:pStyle w:val="178"/>
        <w:spacing w:afterLines="0" w:line="440" w:lineRule="exact"/>
        <w:ind w:left="0"/>
        <w:rPr>
          <w:rFonts w:ascii="Times New Roman" w:hAnsi="Times New Roman" w:eastAsia="仿宋_GB2312"/>
          <w:color w:val="auto"/>
          <w:szCs w:val="24"/>
          <w:highlight w:val="none"/>
        </w:rPr>
      </w:pPr>
      <w:bookmarkStart w:id="291" w:name="_Ref531953064"/>
      <w:r>
        <w:rPr>
          <w:rFonts w:ascii="Times New Roman" w:hAnsi="Times New Roman" w:eastAsia="仿宋_GB2312"/>
          <w:color w:val="auto"/>
          <w:szCs w:val="24"/>
          <w:highlight w:val="none"/>
        </w:rPr>
        <w:t>5.2.1 根据《发包人要求》应当通过工程师报发包人审查同意的承包人文件，承包人应当按照《发包人要求》约定的范围和内容及时报送审查。</w:t>
      </w:r>
      <w:bookmarkEnd w:id="29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发包人同意承包人文件的，应及时通知承包人，发包人不同意承包人文件的，应在审查期限内通过工程师以书面形式通知承包人，并说明不同意的具体内容和理由。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承包人对发包人的意见按以下方式处理：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发包人的意见构成变更的，承包人应在7天内通知发包人按照第13条[变更与调整]中关于发包人指示变更的约定执行，双方对是否构成变更无法达成一致的，按照第20条[争议解决]的约定执行；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因承包人原因导致无法通过审查的，承包人应根据发包人的书面说明，对承包人文件进行修改后重新报送发包人审查，审查期重新起算。因此引起的工期延长和必要的工程费用增加，由承包人负责。</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合同约定的审查期满，发包人没有做出审查结论也没有提出异议的，视为承包人文件已获发包人同意。</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发包人对承包人文件的审查和同意不得被理解为对合同的修改或改变，也并不减轻或免除承包人任何的责任和义务。</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5.2.2 承包人文件不需要政府有关部门或专用合同条件约定的第三方审查单位审查或批准的，承包人应当严格按照经发包人审查同意的承包人文件设计和实施工程。</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发包人有义务向承包人提供审查会议的批准文件和纪要。承包人有义务按照相关审查会议批准的文件和纪要，并依据合同约定及相关技术标准，对承包人文件进行修改、补充和完善。</w:t>
      </w:r>
    </w:p>
    <w:p>
      <w:pPr>
        <w:pStyle w:val="178"/>
        <w:spacing w:afterLines="0" w:line="440" w:lineRule="exact"/>
        <w:ind w:left="0"/>
        <w:rPr>
          <w:rFonts w:ascii="Times New Roman" w:hAnsi="Times New Roman" w:eastAsia="仿宋_GB2312"/>
          <w:color w:val="auto"/>
          <w:szCs w:val="24"/>
          <w:highlight w:val="none"/>
        </w:rPr>
      </w:pPr>
      <w:bookmarkStart w:id="292" w:name="_Ref531953074"/>
      <w:r>
        <w:rPr>
          <w:rFonts w:ascii="Times New Roman" w:hAnsi="Times New Roman" w:eastAsia="仿宋_GB2312"/>
          <w:color w:val="auto"/>
          <w:szCs w:val="24"/>
          <w:highlight w:val="none"/>
        </w:rPr>
        <w:t>5.2.3 承包人文件需政府有关部门或专用合同条件约定的第三方审查单位审查或批准的，发包人应在发包人审查同意承包人文件后7天内，向政府有关部门或第三方报送承包人文件，承包人应予以协助。</w:t>
      </w:r>
      <w:bookmarkEnd w:id="29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pPr>
        <w:pStyle w:val="177"/>
        <w:widowControl/>
        <w:spacing w:afterLines="0" w:line="440" w:lineRule="exact"/>
        <w:ind w:left="0"/>
        <w:rPr>
          <w:rFonts w:ascii="Times New Roman" w:hAnsi="Times New Roman"/>
          <w:b w:val="0"/>
          <w:bCs/>
          <w:color w:val="auto"/>
          <w:highlight w:val="none"/>
        </w:rPr>
      </w:pPr>
      <w:bookmarkStart w:id="293" w:name="_Toc54862224"/>
      <w:bookmarkStart w:id="294" w:name="_Ref531953097"/>
      <w:bookmarkStart w:id="295" w:name="_Ref531953095"/>
      <w:r>
        <w:rPr>
          <w:rFonts w:ascii="Times New Roman" w:hAnsi="Times New Roman"/>
          <w:b w:val="0"/>
          <w:bCs/>
          <w:color w:val="auto"/>
          <w:highlight w:val="none"/>
        </w:rPr>
        <w:t>5.3 培训</w:t>
      </w:r>
      <w:bookmarkEnd w:id="293"/>
      <w:bookmarkEnd w:id="294"/>
      <w:bookmarkEnd w:id="29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照《发包人要求》，对发包人的雇员或其它发包人指定的人员进行工程操作、维修或其它合同中约定的培训。合同约定接收之前进行培训的，应在第10.1款[竣工验收]约定的竣工验收前或试运行结束前完成培训。</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培训的时长应由双方在专用合同条件中约定，承包人应为培训提供有经验的人员、设施和其它必要条件。</w:t>
      </w:r>
    </w:p>
    <w:p>
      <w:pPr>
        <w:pStyle w:val="177"/>
        <w:widowControl/>
        <w:spacing w:afterLines="0" w:line="440" w:lineRule="exact"/>
        <w:ind w:left="0"/>
        <w:rPr>
          <w:rFonts w:ascii="Times New Roman" w:hAnsi="Times New Roman"/>
          <w:b w:val="0"/>
          <w:bCs/>
          <w:color w:val="auto"/>
          <w:highlight w:val="none"/>
        </w:rPr>
      </w:pPr>
      <w:bookmarkStart w:id="296" w:name="_Ref531953108"/>
      <w:bookmarkStart w:id="297" w:name="_Ref531953105"/>
      <w:bookmarkStart w:id="298" w:name="_Toc54862225"/>
      <w:r>
        <w:rPr>
          <w:rFonts w:ascii="Times New Roman" w:hAnsi="Times New Roman"/>
          <w:b w:val="0"/>
          <w:bCs/>
          <w:color w:val="auto"/>
          <w:highlight w:val="none"/>
        </w:rPr>
        <w:t>5.4 竣工文件</w:t>
      </w:r>
      <w:bookmarkEnd w:id="296"/>
      <w:bookmarkEnd w:id="297"/>
      <w:bookmarkEnd w:id="298"/>
    </w:p>
    <w:p>
      <w:pPr>
        <w:pStyle w:val="178"/>
        <w:spacing w:afterLines="0" w:line="440" w:lineRule="exact"/>
        <w:ind w:left="0"/>
        <w:rPr>
          <w:rFonts w:ascii="Times New Roman" w:hAnsi="Times New Roman" w:eastAsia="仿宋_GB2312"/>
          <w:color w:val="auto"/>
          <w:szCs w:val="24"/>
          <w:highlight w:val="none"/>
        </w:rPr>
      </w:pPr>
      <w:bookmarkStart w:id="299" w:name="_Ref531953134"/>
      <w:r>
        <w:rPr>
          <w:rFonts w:ascii="Times New Roman" w:hAnsi="Times New Roman" w:eastAsia="仿宋_GB2312"/>
          <w:color w:val="auto"/>
          <w:szCs w:val="24"/>
          <w:highlight w:val="none"/>
        </w:rPr>
        <w:t>5.4.1 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299"/>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5.4.2 在颁发工程接收证书之前，承包人应按照《发包人要求》的份数和形式向工程师提交相应竣工图纸，并取得工程师对尺寸、参照系统及其他有关细节的认可。工程师应按照第5.2款[承包人文件审查]的约定进行审查。</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5.4.3 除专用合同条件另有约定外，在工程师收到本款下的文件前，不应认为工程已根据第10.1款[竣工验收]和第10.2款[单位/区段工程的验收]的约定完成验收。</w:t>
      </w:r>
    </w:p>
    <w:p>
      <w:pPr>
        <w:pStyle w:val="177"/>
        <w:widowControl/>
        <w:spacing w:afterLines="0" w:line="440" w:lineRule="exact"/>
        <w:ind w:left="0"/>
        <w:rPr>
          <w:rFonts w:ascii="Times New Roman" w:hAnsi="Times New Roman"/>
          <w:b w:val="0"/>
          <w:bCs/>
          <w:color w:val="auto"/>
          <w:highlight w:val="none"/>
        </w:rPr>
      </w:pPr>
      <w:bookmarkStart w:id="300" w:name="_Ref531953119"/>
      <w:bookmarkStart w:id="301" w:name="_Toc54862226"/>
      <w:bookmarkStart w:id="302" w:name="_Ref531953117"/>
      <w:r>
        <w:rPr>
          <w:rFonts w:ascii="Times New Roman" w:hAnsi="Times New Roman"/>
          <w:b w:val="0"/>
          <w:bCs/>
          <w:color w:val="auto"/>
          <w:highlight w:val="none"/>
        </w:rPr>
        <w:t>5.5 操作和维修手册</w:t>
      </w:r>
      <w:bookmarkEnd w:id="300"/>
      <w:bookmarkEnd w:id="301"/>
      <w:bookmarkEnd w:id="302"/>
    </w:p>
    <w:p>
      <w:pPr>
        <w:pStyle w:val="178"/>
        <w:spacing w:afterLines="0" w:line="440" w:lineRule="exact"/>
        <w:ind w:left="0"/>
        <w:rPr>
          <w:rFonts w:ascii="Times New Roman" w:hAnsi="Times New Roman" w:eastAsia="仿宋_GB2312"/>
          <w:color w:val="auto"/>
          <w:szCs w:val="24"/>
          <w:highlight w:val="none"/>
        </w:rPr>
      </w:pPr>
      <w:bookmarkStart w:id="303" w:name="_Ref531953145"/>
      <w:r>
        <w:rPr>
          <w:rFonts w:ascii="Times New Roman" w:hAnsi="Times New Roman" w:eastAsia="仿宋_GB2312"/>
          <w:color w:val="auto"/>
          <w:szCs w:val="24"/>
          <w:highlight w:val="none"/>
        </w:rPr>
        <w:t>5.5.1 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303"/>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5.5.2 工程师收到承包人提交的文件后，应依据第5.2款[承包人文件审查]的约定对操作和维修手册进行审查，竣工试验工程中，承包人应为任何因操作和维修手册错误或遗漏引起的风险或损失承担责任。</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5.5.3 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p>
    <w:p>
      <w:pPr>
        <w:pStyle w:val="177"/>
        <w:widowControl/>
        <w:spacing w:afterLines="0" w:line="440" w:lineRule="exact"/>
        <w:ind w:left="0"/>
        <w:rPr>
          <w:rFonts w:ascii="Times New Roman" w:hAnsi="Times New Roman"/>
          <w:b w:val="0"/>
          <w:bCs/>
          <w:color w:val="auto"/>
          <w:highlight w:val="none"/>
        </w:rPr>
      </w:pPr>
      <w:bookmarkStart w:id="304" w:name="_Toc54862227"/>
      <w:r>
        <w:rPr>
          <w:rFonts w:ascii="Times New Roman" w:hAnsi="Times New Roman"/>
          <w:b w:val="0"/>
          <w:bCs/>
          <w:color w:val="auto"/>
          <w:highlight w:val="none"/>
        </w:rPr>
        <w:t>5.6 承包人文件错误</w:t>
      </w:r>
      <w:bookmarkEnd w:id="30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305" w:name="_Toc54862228"/>
      <w:bookmarkStart w:id="306" w:name="_Ref531953761"/>
      <w:bookmarkStart w:id="307" w:name="_Ref531953765"/>
      <w:r>
        <w:rPr>
          <w:rFonts w:ascii="Times New Roman" w:hAnsi="Times New Roman"/>
          <w:b w:val="0"/>
          <w:color w:val="auto"/>
          <w:sz w:val="24"/>
          <w:szCs w:val="24"/>
          <w:highlight w:val="none"/>
        </w:rPr>
        <w:t>第6条 材料、工程设备</w:t>
      </w:r>
      <w:bookmarkEnd w:id="305"/>
      <w:bookmarkEnd w:id="306"/>
      <w:bookmarkEnd w:id="307"/>
    </w:p>
    <w:p>
      <w:pPr>
        <w:pStyle w:val="177"/>
        <w:widowControl/>
        <w:spacing w:afterLines="0" w:line="440" w:lineRule="exact"/>
        <w:ind w:left="0"/>
        <w:rPr>
          <w:rFonts w:ascii="Times New Roman" w:hAnsi="Times New Roman"/>
          <w:b w:val="0"/>
          <w:bCs/>
          <w:color w:val="auto"/>
          <w:highlight w:val="none"/>
        </w:rPr>
      </w:pPr>
      <w:bookmarkStart w:id="308" w:name="_Toc54862229"/>
      <w:bookmarkStart w:id="309" w:name="_Ref531953828"/>
      <w:bookmarkStart w:id="310" w:name="_Ref531953832"/>
      <w:r>
        <w:rPr>
          <w:rFonts w:ascii="Times New Roman" w:hAnsi="Times New Roman"/>
          <w:b w:val="0"/>
          <w:bCs/>
          <w:color w:val="auto"/>
          <w:highlight w:val="none"/>
        </w:rPr>
        <w:t>6.1 实施方法</w:t>
      </w:r>
      <w:bookmarkEnd w:id="308"/>
      <w:bookmarkEnd w:id="309"/>
      <w:bookmarkEnd w:id="31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承包人应按以下方法进行材料的加工、工程设备的采购、制造和安装、以及工程的所有其他实施作业：</w:t>
      </w:r>
    </w:p>
    <w:p>
      <w:pPr>
        <w:adjustRightInd w:val="0"/>
        <w:snapToGrid w:val="0"/>
        <w:spacing w:line="440" w:lineRule="exact"/>
        <w:ind w:firstLine="600"/>
        <w:rPr>
          <w:rFonts w:eastAsia="仿宋_GB2312"/>
          <w:color w:val="auto"/>
          <w:sz w:val="24"/>
          <w:highlight w:val="none"/>
        </w:rPr>
      </w:pPr>
      <w:bookmarkStart w:id="311" w:name="_Ref531953847"/>
      <w:r>
        <w:rPr>
          <w:rFonts w:eastAsia="仿宋_GB2312"/>
          <w:color w:val="auto"/>
          <w:sz w:val="24"/>
          <w:highlight w:val="none"/>
        </w:rPr>
        <w:t>（1） 按照法律规定和合同约定的方法；</w:t>
      </w:r>
      <w:bookmarkEnd w:id="31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按照公认的良好行业习惯，使用恰当、审慎、先进的方法；</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除专用合同条件另有规定外，应使用适当配备的实施方法、设备、设施和无危险的材料。</w:t>
      </w:r>
    </w:p>
    <w:p>
      <w:pPr>
        <w:pStyle w:val="177"/>
        <w:widowControl/>
        <w:spacing w:afterLines="0" w:line="440" w:lineRule="exact"/>
        <w:ind w:left="0"/>
        <w:rPr>
          <w:rFonts w:ascii="Times New Roman" w:hAnsi="Times New Roman"/>
          <w:b w:val="0"/>
          <w:bCs/>
          <w:color w:val="auto"/>
          <w:highlight w:val="none"/>
        </w:rPr>
      </w:pPr>
      <w:bookmarkStart w:id="312" w:name="_Toc54862230"/>
      <w:bookmarkStart w:id="313" w:name="_Ref11926422"/>
      <w:bookmarkStart w:id="314" w:name="_Ref4427594"/>
      <w:r>
        <w:rPr>
          <w:rFonts w:ascii="Times New Roman" w:hAnsi="Times New Roman"/>
          <w:b w:val="0"/>
          <w:bCs/>
          <w:color w:val="auto"/>
          <w:highlight w:val="none"/>
        </w:rPr>
        <w:t>6.2 材料和工程设备</w:t>
      </w:r>
      <w:bookmarkEnd w:id="312"/>
      <w:bookmarkEnd w:id="313"/>
    </w:p>
    <w:p>
      <w:pPr>
        <w:pStyle w:val="178"/>
        <w:spacing w:afterLines="0" w:line="440" w:lineRule="exact"/>
        <w:ind w:left="0"/>
        <w:rPr>
          <w:rFonts w:ascii="Times New Roman" w:hAnsi="Times New Roman" w:eastAsia="仿宋_GB2312"/>
          <w:color w:val="auto"/>
          <w:szCs w:val="24"/>
          <w:highlight w:val="none"/>
        </w:rPr>
      </w:pPr>
      <w:bookmarkStart w:id="315" w:name="_Ref11960295"/>
      <w:r>
        <w:rPr>
          <w:rFonts w:ascii="Times New Roman" w:hAnsi="Times New Roman" w:eastAsia="仿宋_GB2312"/>
          <w:color w:val="auto"/>
          <w:szCs w:val="24"/>
          <w:highlight w:val="none"/>
        </w:rPr>
        <w:t>6.2.1 发包人提供的材料和工程设备</w:t>
      </w:r>
      <w:bookmarkEnd w:id="314"/>
      <w:bookmarkEnd w:id="31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发包人自行供应材料、工程设备的，应在订立合同时在专用合同条件的附件《发包人供应材料设备一览表》中明确材料、工程设备的品种、规格、型号、主要参数、数量、单价、质量等级和交接地点等。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根据项目进度计划的安排，提前28天以书面形式通知工程师供应材料与工程设备的进场计划。承包人按照第8.4款[项目进度计划]约定修订项目进度计划时，需同时提交经修订后的发包人供应材料与工程设备的进场计划。发包人应按照上述进场计划，向承包人提交材料和工程设备。</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pPr>
        <w:pStyle w:val="178"/>
        <w:spacing w:afterLines="0" w:line="440" w:lineRule="exact"/>
        <w:ind w:left="0"/>
        <w:rPr>
          <w:rFonts w:ascii="Times New Roman" w:hAnsi="Times New Roman" w:eastAsia="仿宋_GB2312"/>
          <w:color w:val="auto"/>
          <w:szCs w:val="24"/>
          <w:highlight w:val="none"/>
        </w:rPr>
      </w:pPr>
      <w:bookmarkStart w:id="316" w:name="_Ref531953918"/>
      <w:r>
        <w:rPr>
          <w:rFonts w:ascii="Times New Roman" w:hAnsi="Times New Roman" w:eastAsia="仿宋_GB2312"/>
          <w:color w:val="auto"/>
          <w:szCs w:val="24"/>
          <w:highlight w:val="none"/>
        </w:rPr>
        <w:t>6.2.2 承包人提供的材料和工程设备</w:t>
      </w:r>
      <w:bookmarkEnd w:id="31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照已被批准的第8.4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pPr>
        <w:pStyle w:val="178"/>
        <w:spacing w:afterLines="0" w:line="440" w:lineRule="exact"/>
        <w:ind w:left="0"/>
        <w:rPr>
          <w:rFonts w:ascii="Times New Roman" w:hAnsi="Times New Roman" w:eastAsia="仿宋_GB2312"/>
          <w:color w:val="auto"/>
          <w:szCs w:val="24"/>
          <w:highlight w:val="none"/>
        </w:rPr>
      </w:pPr>
      <w:bookmarkStart w:id="317" w:name="_Ref531953999"/>
      <w:bookmarkStart w:id="318" w:name="_Ref531953991"/>
      <w:r>
        <w:rPr>
          <w:rFonts w:ascii="Times New Roman" w:hAnsi="Times New Roman" w:eastAsia="仿宋_GB2312"/>
          <w:color w:val="auto"/>
          <w:szCs w:val="24"/>
          <w:highlight w:val="none"/>
        </w:rPr>
        <w:t>6.2.3 材料和工程设备的保管</w:t>
      </w:r>
      <w:bookmarkEnd w:id="317"/>
      <w:bookmarkEnd w:id="31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发包人供应材料与工程设备的保管与使用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发包人供应的材料和工程设备，承包人清点并接收后由承包人妥善保管，保管费用由承包人承担，但专用合同条件另有约定除外。因承包人原因发生丢失毁损的，由承包人负责赔偿。</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发包人供应的材料和工程设备使用前，由承包人负责必要的检验，检验费用由发包人承担，不合格的不得使用。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承包人采购材料与工程设备的保管与使用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工程师发现承包人使用不符合设计或有关标准要求的材料和工程设备时，有权要求承包人进行修复、拆除或重新采购，由此增加的费用和（或）延误的工期，由承包人承担。</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6.2.4 材料和工程设备的所有权</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承包人按第6.2.2项提供的材料和工程设备，承包人应确保发包人取得无权利负担的材料及工程设备所有权，因承包人与第三人的物权争议导致的增加的费用和（或）延误的工期，由承包人承担。</w:t>
      </w:r>
    </w:p>
    <w:p>
      <w:pPr>
        <w:pStyle w:val="177"/>
        <w:widowControl/>
        <w:spacing w:afterLines="0" w:line="440" w:lineRule="exact"/>
        <w:ind w:left="0"/>
        <w:rPr>
          <w:rFonts w:ascii="Times New Roman" w:hAnsi="Times New Roman"/>
          <w:b w:val="0"/>
          <w:bCs/>
          <w:color w:val="auto"/>
          <w:highlight w:val="none"/>
        </w:rPr>
      </w:pPr>
      <w:bookmarkStart w:id="319" w:name="_Ref4428239"/>
      <w:bookmarkStart w:id="320" w:name="_Toc54862231"/>
      <w:bookmarkStart w:id="321" w:name="_Toc351203565"/>
      <w:bookmarkStart w:id="322" w:name="_Toc337558785"/>
      <w:r>
        <w:rPr>
          <w:rFonts w:ascii="Times New Roman" w:hAnsi="Times New Roman"/>
          <w:b w:val="0"/>
          <w:bCs/>
          <w:color w:val="auto"/>
          <w:highlight w:val="none"/>
        </w:rPr>
        <w:t>6.3 样品</w:t>
      </w:r>
      <w:bookmarkEnd w:id="319"/>
      <w:bookmarkEnd w:id="320"/>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6.3.1 样品的报送与封存</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需要承包人报送样品的材料或工程设备，样品的种类、名称、规格、数量等要求均应在专用合同条件中约定。样品的报送程序如下：</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经工程师审批确认的样品应按约定的方法封样，封存的样品作为检验工程相关部分的标准之一。承包人在施工过程中不得使用与样品不符的材料或工程设备。</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6.3.2 样品的保管</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经批准的样品应由工程师负责封存于现场，承包人应在现场为保存样品提供适当和固定的场所并保持适当和良好的存储环境条件。</w:t>
      </w:r>
    </w:p>
    <w:p>
      <w:pPr>
        <w:pStyle w:val="177"/>
        <w:widowControl/>
        <w:spacing w:afterLines="0" w:line="440" w:lineRule="exact"/>
        <w:ind w:left="0"/>
        <w:rPr>
          <w:rFonts w:ascii="Times New Roman" w:hAnsi="Times New Roman"/>
          <w:b w:val="0"/>
          <w:bCs/>
          <w:color w:val="auto"/>
          <w:highlight w:val="none"/>
        </w:rPr>
      </w:pPr>
      <w:bookmarkStart w:id="323" w:name="_Toc54862232"/>
      <w:bookmarkStart w:id="324" w:name="_Ref11959204"/>
      <w:bookmarkStart w:id="325" w:name="_Ref11959210"/>
      <w:r>
        <w:rPr>
          <w:rFonts w:ascii="Times New Roman" w:hAnsi="Times New Roman"/>
          <w:b w:val="0"/>
          <w:bCs/>
          <w:color w:val="auto"/>
          <w:highlight w:val="none"/>
        </w:rPr>
        <w:t>6.4 质量检查</w:t>
      </w:r>
      <w:bookmarkEnd w:id="323"/>
      <w:bookmarkEnd w:id="324"/>
      <w:bookmarkEnd w:id="325"/>
    </w:p>
    <w:p>
      <w:pPr>
        <w:pStyle w:val="178"/>
        <w:spacing w:afterLines="0" w:line="440" w:lineRule="exact"/>
        <w:ind w:left="0"/>
        <w:rPr>
          <w:rFonts w:ascii="Times New Roman" w:hAnsi="Times New Roman" w:eastAsia="仿宋_GB2312"/>
          <w:color w:val="auto"/>
          <w:szCs w:val="24"/>
          <w:highlight w:val="none"/>
        </w:rPr>
      </w:pPr>
      <w:bookmarkStart w:id="326" w:name="_Ref18990699"/>
      <w:r>
        <w:rPr>
          <w:rFonts w:ascii="Times New Roman" w:hAnsi="Times New Roman" w:eastAsia="仿宋_GB2312"/>
          <w:color w:val="auto"/>
          <w:szCs w:val="24"/>
          <w:highlight w:val="none"/>
        </w:rPr>
        <w:t>6.4.1 工程质量要求</w:t>
      </w:r>
      <w:bookmarkEnd w:id="32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工程质量标准必须符合现行国家有关工程施工质量验收规范和标准的要求。有关工程质量的特殊标准或要求由合同当事人在专用合同条件中约定。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pPr>
        <w:pStyle w:val="178"/>
        <w:spacing w:afterLines="0" w:line="440" w:lineRule="exact"/>
        <w:ind w:left="0"/>
        <w:rPr>
          <w:rFonts w:ascii="Times New Roman" w:hAnsi="Times New Roman" w:eastAsia="仿宋_GB2312"/>
          <w:color w:val="auto"/>
          <w:szCs w:val="24"/>
          <w:highlight w:val="none"/>
        </w:rPr>
      </w:pPr>
      <w:bookmarkStart w:id="327" w:name="_Ref18990717"/>
      <w:r>
        <w:rPr>
          <w:rFonts w:ascii="Times New Roman" w:hAnsi="Times New Roman" w:eastAsia="仿宋_GB2312"/>
          <w:color w:val="auto"/>
          <w:szCs w:val="24"/>
          <w:highlight w:val="none"/>
        </w:rPr>
        <w:t>6.4.2 质量检查</w:t>
      </w:r>
      <w:bookmarkEnd w:id="32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pPr>
        <w:pStyle w:val="178"/>
        <w:spacing w:afterLines="0" w:line="440" w:lineRule="exact"/>
        <w:ind w:left="0"/>
        <w:rPr>
          <w:rFonts w:ascii="Times New Roman" w:hAnsi="Times New Roman" w:eastAsia="仿宋_GB2312"/>
          <w:color w:val="auto"/>
          <w:szCs w:val="24"/>
          <w:highlight w:val="none"/>
        </w:rPr>
      </w:pPr>
      <w:bookmarkStart w:id="328" w:name="_Ref11959222"/>
      <w:r>
        <w:rPr>
          <w:rFonts w:ascii="Times New Roman" w:hAnsi="Times New Roman" w:eastAsia="仿宋_GB2312"/>
          <w:color w:val="auto"/>
          <w:szCs w:val="24"/>
          <w:highlight w:val="none"/>
        </w:rPr>
        <w:t>6.4.3 隐蔽工程检查</w:t>
      </w:r>
      <w:bookmarkEnd w:id="32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承包人未通知工程师到场检查，私自将工程隐蔽部位覆盖的，工程师有权指示承包人钻孔探测或揭开检查，无论工程隐蔽部位质量是否合格，由此增加的费用和（或）延误的工期均由承包人承担。</w:t>
      </w:r>
    </w:p>
    <w:bookmarkEnd w:id="321"/>
    <w:p>
      <w:pPr>
        <w:pStyle w:val="177"/>
        <w:widowControl/>
        <w:spacing w:afterLines="0" w:line="440" w:lineRule="exact"/>
        <w:ind w:left="0"/>
        <w:rPr>
          <w:rFonts w:ascii="Times New Roman" w:hAnsi="Times New Roman"/>
          <w:b w:val="0"/>
          <w:bCs/>
          <w:color w:val="auto"/>
          <w:highlight w:val="none"/>
        </w:rPr>
      </w:pPr>
      <w:bookmarkStart w:id="329" w:name="_Ref11927403"/>
      <w:bookmarkStart w:id="330" w:name="_Ref11927389"/>
      <w:bookmarkStart w:id="331" w:name="_Ref11927398"/>
      <w:bookmarkStart w:id="332" w:name="_Toc54862233"/>
      <w:bookmarkStart w:id="333" w:name="_Ref11959158"/>
      <w:bookmarkStart w:id="334" w:name="_Ref11959175"/>
      <w:r>
        <w:rPr>
          <w:rFonts w:ascii="Times New Roman" w:hAnsi="Times New Roman"/>
          <w:b w:val="0"/>
          <w:bCs/>
          <w:color w:val="auto"/>
          <w:highlight w:val="none"/>
        </w:rPr>
        <w:t>6.5 由承包人试验</w:t>
      </w:r>
      <w:bookmarkEnd w:id="329"/>
      <w:bookmarkEnd w:id="330"/>
      <w:bookmarkEnd w:id="331"/>
      <w:r>
        <w:rPr>
          <w:rFonts w:ascii="Times New Roman" w:hAnsi="Times New Roman"/>
          <w:b w:val="0"/>
          <w:bCs/>
          <w:color w:val="auto"/>
          <w:highlight w:val="none"/>
        </w:rPr>
        <w:t>和检验</w:t>
      </w:r>
      <w:bookmarkEnd w:id="332"/>
      <w:bookmarkEnd w:id="333"/>
      <w:bookmarkEnd w:id="334"/>
    </w:p>
    <w:bookmarkEnd w:id="322"/>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6.5.1 试验设备与试验人员</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承包人应按专用合同条件约定的试验内容、时间和地点提供试验设备、取样装置、试验场所和试验条件，并向工程师提交相应进场计划表。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承包人配置的试验设备要符合相应试验规程的要求并经过具有资质的检测单位检测，且在正式使用该试验设备前，需要经过工程师与承包人共同校定。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承包人应向工程师提交试验人员的名单及其岗位、资格等证明资料，试验人员必须能够熟练进行相应的检测试验，承包人对试验人员的试验程序和试验结果的正确性负责。</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6.5.2 取样</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试验属于自检性质的，承包人可以单独取样。试验属于工程师抽检性质的，可由工程师取样，也可由承包人的试验人员在工程师的监督下取样。</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6.5.3 材料、工程设备和工程的试验和检验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178"/>
        <w:spacing w:afterLines="0" w:line="440" w:lineRule="exact"/>
        <w:ind w:left="0"/>
        <w:rPr>
          <w:rFonts w:ascii="Times New Roman" w:hAnsi="Times New Roman" w:eastAsia="仿宋_GB2312"/>
          <w:color w:val="auto"/>
          <w:szCs w:val="24"/>
          <w:highlight w:val="none"/>
        </w:rPr>
      </w:pPr>
      <w:bookmarkStart w:id="335" w:name="_Toc351203566"/>
      <w:bookmarkStart w:id="336" w:name="_Toc337558786"/>
      <w:r>
        <w:rPr>
          <w:rFonts w:ascii="Times New Roman" w:hAnsi="Times New Roman" w:eastAsia="仿宋_GB2312"/>
          <w:color w:val="auto"/>
          <w:szCs w:val="24"/>
          <w:highlight w:val="none"/>
        </w:rPr>
        <w:t>6.5.4 现场工艺试验</w:t>
      </w:r>
      <w:bookmarkEnd w:id="335"/>
    </w:p>
    <w:bookmarkEnd w:id="336"/>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承包人应按合同约定进行现场工艺试验。对大型的现场工艺试验，发包人认为必要时，承包人应根据发包人提出的工艺试验要求，编制工艺试验措施计划，报送发包人审查。</w:t>
      </w:r>
    </w:p>
    <w:p>
      <w:pPr>
        <w:pStyle w:val="177"/>
        <w:widowControl/>
        <w:spacing w:afterLines="0" w:line="440" w:lineRule="exact"/>
        <w:ind w:left="0"/>
        <w:rPr>
          <w:rFonts w:ascii="Times New Roman" w:hAnsi="Times New Roman"/>
          <w:b w:val="0"/>
          <w:bCs/>
          <w:color w:val="auto"/>
          <w:highlight w:val="none"/>
        </w:rPr>
      </w:pPr>
      <w:bookmarkStart w:id="337" w:name="_Ref532592787"/>
      <w:bookmarkStart w:id="338" w:name="_Ref532592784"/>
      <w:bookmarkStart w:id="339" w:name="_Toc54862234"/>
      <w:r>
        <w:rPr>
          <w:rFonts w:ascii="Times New Roman" w:hAnsi="Times New Roman"/>
          <w:b w:val="0"/>
          <w:bCs/>
          <w:color w:val="auto"/>
          <w:highlight w:val="none"/>
        </w:rPr>
        <w:t>6.6 缺陷和修补</w:t>
      </w:r>
      <w:bookmarkEnd w:id="337"/>
      <w:bookmarkEnd w:id="338"/>
      <w:bookmarkEnd w:id="339"/>
    </w:p>
    <w:p>
      <w:pPr>
        <w:pStyle w:val="178"/>
        <w:spacing w:afterLines="0" w:line="440" w:lineRule="exact"/>
        <w:ind w:left="0"/>
        <w:rPr>
          <w:rFonts w:ascii="Times New Roman" w:hAnsi="Times New Roman" w:eastAsia="仿宋_GB2312"/>
          <w:color w:val="auto"/>
          <w:szCs w:val="24"/>
          <w:highlight w:val="none"/>
        </w:rPr>
      </w:pPr>
      <w:bookmarkStart w:id="340" w:name="_Ref16875551"/>
      <w:r>
        <w:rPr>
          <w:rFonts w:ascii="Times New Roman" w:hAnsi="Times New Roman" w:eastAsia="仿宋_GB2312"/>
          <w:color w:val="auto"/>
          <w:szCs w:val="24"/>
          <w:highlight w:val="none"/>
        </w:rPr>
        <w:t>6.6.1 发包人可在颁发接收证书前随时指示承包人：</w:t>
      </w:r>
      <w:bookmarkEnd w:id="34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对不符合合同要求的任何工程设备或材料进行修补，或者将其移出现场并进行更换；</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（2） 对不符合合同的其他工作进行修补，或者将其去除并重新实施； </w:t>
      </w:r>
    </w:p>
    <w:p>
      <w:pPr>
        <w:adjustRightInd w:val="0"/>
        <w:snapToGrid w:val="0"/>
        <w:spacing w:line="440" w:lineRule="exact"/>
        <w:ind w:firstLine="600"/>
        <w:rPr>
          <w:rFonts w:eastAsia="仿宋_GB2312"/>
          <w:color w:val="auto"/>
          <w:sz w:val="24"/>
          <w:highlight w:val="none"/>
        </w:rPr>
      </w:pPr>
      <w:bookmarkStart w:id="341" w:name="_Ref4708991"/>
      <w:r>
        <w:rPr>
          <w:rFonts w:eastAsia="仿宋_GB2312"/>
          <w:color w:val="auto"/>
          <w:sz w:val="24"/>
          <w:highlight w:val="none"/>
        </w:rPr>
        <w:t>（3） 实施因意外、不可预见的事件或其他原因引起的、为工程的安全迫切需要的任何修补工作。</w:t>
      </w:r>
      <w:bookmarkEnd w:id="341"/>
    </w:p>
    <w:p>
      <w:pPr>
        <w:pStyle w:val="178"/>
        <w:spacing w:afterLines="0" w:line="440" w:lineRule="exact"/>
        <w:ind w:left="0"/>
        <w:rPr>
          <w:rFonts w:ascii="Times New Roman" w:hAnsi="Times New Roman" w:eastAsia="仿宋_GB2312"/>
          <w:color w:val="auto"/>
          <w:szCs w:val="24"/>
          <w:highlight w:val="none"/>
        </w:rPr>
      </w:pPr>
      <w:bookmarkStart w:id="342" w:name="_Ref11956964"/>
      <w:r>
        <w:rPr>
          <w:rFonts w:ascii="Times New Roman" w:hAnsi="Times New Roman" w:eastAsia="仿宋_GB2312"/>
          <w:color w:val="auto"/>
          <w:szCs w:val="24"/>
          <w:highlight w:val="none"/>
        </w:rPr>
        <w:t>6.6.2 承包人应遵守第6.6.1项下指示，并在合理可行的情况下，根据上述指示中规定的时间完成修补工作。除因下列原因引起的第6.6.1项第（3）目下的情形外，承包人应承担所有修补工作的费用：</w:t>
      </w:r>
      <w:bookmarkEnd w:id="34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因发包人或其人员的任何行为导致的情形，且在此情况下发包人应承担因此引起的工期延误和承包人费用损失，并向承包人支付合理的利润。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第17.4款[不可抗力后果的承担]中适用的不可抗力事件的情形。</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6.6.3 如果承包人未能遵守发包人的指示，发包人可以自行决定请第三方完成上述修补工作，并有权要求承包人支付因未履行指示而产生的所有费用，但承包人根据第6.6.2项有权就修补工作获得支付的情况除外。</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343" w:name="_Toc54862235"/>
      <w:bookmarkStart w:id="344" w:name="_Ref531954214"/>
      <w:r>
        <w:rPr>
          <w:rFonts w:ascii="Times New Roman" w:hAnsi="Times New Roman"/>
          <w:b w:val="0"/>
          <w:color w:val="auto"/>
          <w:sz w:val="24"/>
          <w:szCs w:val="24"/>
          <w:highlight w:val="none"/>
        </w:rPr>
        <w:t>第7条 施工</w:t>
      </w:r>
      <w:bookmarkEnd w:id="343"/>
      <w:bookmarkEnd w:id="344"/>
    </w:p>
    <w:p>
      <w:pPr>
        <w:pStyle w:val="177"/>
        <w:widowControl/>
        <w:spacing w:afterLines="0" w:line="440" w:lineRule="exact"/>
        <w:ind w:left="0"/>
        <w:rPr>
          <w:rFonts w:ascii="Times New Roman" w:hAnsi="Times New Roman"/>
          <w:b w:val="0"/>
          <w:bCs/>
          <w:color w:val="auto"/>
          <w:highlight w:val="none"/>
        </w:rPr>
      </w:pPr>
      <w:bookmarkStart w:id="345" w:name="_Ref531954276"/>
      <w:bookmarkStart w:id="346" w:name="_Ref531954272"/>
      <w:bookmarkStart w:id="347" w:name="_Toc54862236"/>
      <w:bookmarkStart w:id="348" w:name="_Ref531954260"/>
      <w:bookmarkStart w:id="349" w:name="_Ref531954246"/>
      <w:r>
        <w:rPr>
          <w:rFonts w:ascii="Times New Roman" w:hAnsi="Times New Roman"/>
          <w:b w:val="0"/>
          <w:bCs/>
          <w:color w:val="auto"/>
          <w:highlight w:val="none"/>
        </w:rPr>
        <w:t>7.1 交通运输</w:t>
      </w:r>
      <w:bookmarkEnd w:id="345"/>
      <w:bookmarkEnd w:id="346"/>
      <w:bookmarkEnd w:id="347"/>
    </w:p>
    <w:p>
      <w:pPr>
        <w:pStyle w:val="178"/>
        <w:spacing w:afterLines="0" w:line="440" w:lineRule="exact"/>
        <w:ind w:left="0"/>
        <w:rPr>
          <w:rFonts w:ascii="Times New Roman" w:hAnsi="Times New Roman" w:eastAsia="仿宋_GB2312"/>
          <w:color w:val="auto"/>
          <w:szCs w:val="24"/>
          <w:highlight w:val="none"/>
        </w:rPr>
      </w:pPr>
      <w:bookmarkStart w:id="350" w:name="_Ref4422645"/>
      <w:r>
        <w:rPr>
          <w:rFonts w:ascii="Times New Roman" w:hAnsi="Times New Roman" w:eastAsia="仿宋_GB2312"/>
          <w:color w:val="auto"/>
          <w:szCs w:val="24"/>
          <w:highlight w:val="none"/>
        </w:rPr>
        <w:t>7.1.1 出入现场的权利</w:t>
      </w:r>
      <w:bookmarkEnd w:id="35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pPr>
        <w:pStyle w:val="178"/>
        <w:spacing w:afterLines="0" w:line="440" w:lineRule="exact"/>
        <w:ind w:left="0"/>
        <w:rPr>
          <w:rFonts w:ascii="Times New Roman" w:hAnsi="Times New Roman" w:eastAsia="仿宋_GB2312"/>
          <w:color w:val="auto"/>
          <w:szCs w:val="24"/>
          <w:highlight w:val="none"/>
        </w:rPr>
      </w:pPr>
      <w:bookmarkStart w:id="351" w:name="_Ref18957045"/>
      <w:r>
        <w:rPr>
          <w:rFonts w:ascii="Times New Roman" w:hAnsi="Times New Roman" w:eastAsia="仿宋_GB2312"/>
          <w:color w:val="auto"/>
          <w:szCs w:val="24"/>
          <w:highlight w:val="none"/>
        </w:rPr>
        <w:t>7.1.2 场外交通</w:t>
      </w:r>
      <w:bookmarkEnd w:id="35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pPr>
        <w:pStyle w:val="178"/>
        <w:spacing w:afterLines="0" w:line="440" w:lineRule="exact"/>
        <w:ind w:left="0"/>
        <w:rPr>
          <w:rFonts w:ascii="Times New Roman" w:hAnsi="Times New Roman" w:eastAsia="仿宋_GB2312"/>
          <w:color w:val="auto"/>
          <w:szCs w:val="24"/>
          <w:highlight w:val="none"/>
        </w:rPr>
      </w:pPr>
      <w:bookmarkStart w:id="352" w:name="_Ref4622358"/>
      <w:r>
        <w:rPr>
          <w:rFonts w:ascii="Times New Roman" w:hAnsi="Times New Roman" w:eastAsia="仿宋_GB2312"/>
          <w:color w:val="auto"/>
          <w:szCs w:val="24"/>
          <w:highlight w:val="none"/>
        </w:rPr>
        <w:t>7.1.3 场内交通</w:t>
      </w:r>
      <w:bookmarkEnd w:id="35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pPr>
        <w:pStyle w:val="178"/>
        <w:spacing w:afterLines="0" w:line="440" w:lineRule="exact"/>
        <w:ind w:left="0"/>
        <w:rPr>
          <w:rFonts w:ascii="Times New Roman" w:hAnsi="Times New Roman" w:eastAsia="仿宋_GB2312"/>
          <w:color w:val="auto"/>
          <w:szCs w:val="24"/>
          <w:highlight w:val="none"/>
        </w:rPr>
      </w:pPr>
      <w:bookmarkStart w:id="353" w:name="_Ref4622376"/>
      <w:r>
        <w:rPr>
          <w:rFonts w:ascii="Times New Roman" w:hAnsi="Times New Roman" w:eastAsia="仿宋_GB2312"/>
          <w:color w:val="auto"/>
          <w:szCs w:val="24"/>
          <w:highlight w:val="none"/>
        </w:rPr>
        <w:t>7.1.4 超大件和超重件的运输</w:t>
      </w:r>
      <w:bookmarkEnd w:id="35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7.1.5 道路和桥梁的损坏责任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因承包人运输造成施工现场内外公共道路和桥梁损坏的，由承包人承担修复损坏的全部费用和可能引起的赔偿。</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7.1.6 水路和航空运输</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本条上述各款的内容适用于水路运输和航空运输，其中“道路”一词的涵义包括河道、航线、船闸、机场、码头、堤防以及水路或航空运输中其他相似结构物；“车辆”一词的涵义包括船舶和飞机等。</w:t>
      </w:r>
    </w:p>
    <w:p>
      <w:pPr>
        <w:pStyle w:val="177"/>
        <w:widowControl/>
        <w:spacing w:afterLines="0" w:line="440" w:lineRule="exact"/>
        <w:ind w:left="0"/>
        <w:rPr>
          <w:rFonts w:ascii="Times New Roman" w:hAnsi="Times New Roman"/>
          <w:b w:val="0"/>
          <w:bCs/>
          <w:color w:val="auto"/>
          <w:highlight w:val="none"/>
        </w:rPr>
      </w:pPr>
      <w:bookmarkStart w:id="354" w:name="_Ref11919459"/>
      <w:bookmarkStart w:id="355" w:name="_Ref11919294"/>
      <w:bookmarkStart w:id="356" w:name="_Toc54862237"/>
      <w:r>
        <w:rPr>
          <w:rFonts w:ascii="Times New Roman" w:hAnsi="Times New Roman"/>
          <w:b w:val="0"/>
          <w:bCs/>
          <w:color w:val="auto"/>
          <w:highlight w:val="none"/>
        </w:rPr>
        <w:t>7.2 施工设备和临时设施</w:t>
      </w:r>
      <w:bookmarkEnd w:id="348"/>
      <w:bookmarkEnd w:id="349"/>
      <w:bookmarkEnd w:id="354"/>
      <w:bookmarkEnd w:id="355"/>
      <w:bookmarkEnd w:id="356"/>
    </w:p>
    <w:p>
      <w:pPr>
        <w:pStyle w:val="178"/>
        <w:spacing w:afterLines="0" w:line="440" w:lineRule="exact"/>
        <w:ind w:left="0"/>
        <w:rPr>
          <w:rFonts w:ascii="Times New Roman" w:hAnsi="Times New Roman" w:eastAsia="仿宋_GB2312"/>
          <w:color w:val="auto"/>
          <w:szCs w:val="24"/>
          <w:highlight w:val="none"/>
        </w:rPr>
      </w:pPr>
      <w:bookmarkStart w:id="357" w:name="_Ref18990767"/>
      <w:bookmarkStart w:id="358" w:name="_Ref509043186"/>
      <w:r>
        <w:rPr>
          <w:rFonts w:ascii="Times New Roman" w:hAnsi="Times New Roman" w:eastAsia="仿宋_GB2312"/>
          <w:color w:val="auto"/>
          <w:szCs w:val="24"/>
          <w:highlight w:val="none"/>
        </w:rPr>
        <w:t>7.2.1 承包人提供的施工设备和临时设施</w:t>
      </w:r>
      <w:bookmarkEnd w:id="35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bookmarkEnd w:id="358"/>
    <w:p>
      <w:pPr>
        <w:pStyle w:val="178"/>
        <w:spacing w:afterLines="0" w:line="440" w:lineRule="exact"/>
        <w:ind w:left="0"/>
        <w:rPr>
          <w:rFonts w:ascii="Times New Roman" w:hAnsi="Times New Roman" w:eastAsia="仿宋_GB2312"/>
          <w:color w:val="auto"/>
          <w:szCs w:val="24"/>
          <w:highlight w:val="none"/>
        </w:rPr>
      </w:pPr>
      <w:bookmarkStart w:id="359" w:name="_Ref18990784"/>
      <w:r>
        <w:rPr>
          <w:rFonts w:ascii="Times New Roman" w:hAnsi="Times New Roman" w:eastAsia="仿宋_GB2312"/>
          <w:color w:val="auto"/>
          <w:szCs w:val="24"/>
          <w:highlight w:val="none"/>
        </w:rPr>
        <w:t>7.2.2 发包人提供的施工设备和临时设施</w:t>
      </w:r>
      <w:bookmarkEnd w:id="35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发包人提供的施工设备或临时设施在专用合同条件中约定。</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7.2.3 要求承包人增加或更换施工设备</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承包人使用的施工设备不能满足项目进度计划和（或）质量要求时，工程师有权要求承包人增加或更换施工设备，承包人应及时增加或更换，由此增加的费用和（或）延误的工期由承包人承担。</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7.2.4 施工设备和临时设施专用于合同工程</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pPr>
        <w:pStyle w:val="177"/>
        <w:widowControl/>
        <w:spacing w:afterLines="0" w:line="440" w:lineRule="exact"/>
        <w:ind w:left="0"/>
        <w:rPr>
          <w:rFonts w:ascii="Times New Roman" w:hAnsi="Times New Roman"/>
          <w:b w:val="0"/>
          <w:bCs/>
          <w:color w:val="auto"/>
          <w:highlight w:val="none"/>
        </w:rPr>
      </w:pPr>
      <w:bookmarkStart w:id="360" w:name="_Toc54862238"/>
      <w:bookmarkStart w:id="361" w:name="_Ref11874352"/>
      <w:r>
        <w:rPr>
          <w:rFonts w:ascii="Times New Roman" w:hAnsi="Times New Roman"/>
          <w:b w:val="0"/>
          <w:bCs/>
          <w:color w:val="auto"/>
          <w:highlight w:val="none"/>
        </w:rPr>
        <w:t>7.3 现场合作</w:t>
      </w:r>
      <w:bookmarkEnd w:id="360"/>
      <w:bookmarkEnd w:id="36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承包人应按合同约定或发包人的指示，与发包人人员、发包人的其他承包人等人员就在现场或附近实施与工程有关的各项工作进行合作并提供适当条件，包括使用承包人设备、临时工程或进入现场等。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承包人应对其在现场的施工活动负责，并应尽合理努力按合同约定或发包人的指示，协调自身与发包人人员、发包人的其他承包人等人员的活动。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pPr>
        <w:pStyle w:val="177"/>
        <w:widowControl/>
        <w:spacing w:afterLines="0" w:line="440" w:lineRule="exact"/>
        <w:ind w:left="0"/>
        <w:rPr>
          <w:rFonts w:ascii="Times New Roman" w:hAnsi="Times New Roman"/>
          <w:b w:val="0"/>
          <w:bCs/>
          <w:color w:val="auto"/>
          <w:highlight w:val="none"/>
        </w:rPr>
      </w:pPr>
      <w:bookmarkStart w:id="362" w:name="_Toc54862239"/>
      <w:bookmarkStart w:id="363" w:name="_Ref531954285"/>
      <w:bookmarkStart w:id="364" w:name="_Ref531954287"/>
      <w:r>
        <w:rPr>
          <w:rFonts w:ascii="Times New Roman" w:hAnsi="Times New Roman"/>
          <w:b w:val="0"/>
          <w:bCs/>
          <w:color w:val="auto"/>
          <w:highlight w:val="none"/>
        </w:rPr>
        <w:t>7.4 测量放线</w:t>
      </w:r>
      <w:bookmarkEnd w:id="362"/>
      <w:bookmarkEnd w:id="363"/>
      <w:bookmarkEnd w:id="364"/>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7.4.1 除专用合同条件另有约定外，承包人应根据国家测绘基准、测绘系统和工程测量技术规范，按基准点（线）以及合同工程精度要求，测设施工控制网，并在专用合同条件约定的期限内，将施工控制网资料报送工程师。</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pPr>
        <w:pStyle w:val="177"/>
        <w:widowControl/>
        <w:spacing w:afterLines="0" w:line="440" w:lineRule="exact"/>
        <w:ind w:left="0"/>
        <w:rPr>
          <w:rFonts w:ascii="Times New Roman" w:hAnsi="Times New Roman"/>
          <w:b w:val="0"/>
          <w:bCs/>
          <w:color w:val="auto"/>
          <w:highlight w:val="none"/>
        </w:rPr>
      </w:pPr>
      <w:bookmarkStart w:id="365" w:name="_Toc54862240"/>
      <w:bookmarkStart w:id="366" w:name="_Ref531954329"/>
      <w:bookmarkStart w:id="367" w:name="_Ref4770992"/>
      <w:bookmarkStart w:id="368" w:name="_Ref531954323"/>
      <w:r>
        <w:rPr>
          <w:rFonts w:ascii="Times New Roman" w:hAnsi="Times New Roman"/>
          <w:b w:val="0"/>
          <w:bCs/>
          <w:color w:val="auto"/>
          <w:highlight w:val="none"/>
        </w:rPr>
        <w:t>7.5 现场劳动用工</w:t>
      </w:r>
      <w:bookmarkEnd w:id="365"/>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7.5.3 承包人应当按照相关法律法规的要求，进行劳动用工管理和建筑工人工资支付。</w:t>
      </w:r>
    </w:p>
    <w:p>
      <w:pPr>
        <w:pStyle w:val="177"/>
        <w:widowControl/>
        <w:spacing w:afterLines="0" w:line="440" w:lineRule="exact"/>
        <w:ind w:left="0"/>
        <w:rPr>
          <w:rFonts w:ascii="Times New Roman" w:hAnsi="Times New Roman"/>
          <w:b w:val="0"/>
          <w:bCs/>
          <w:color w:val="auto"/>
          <w:highlight w:val="none"/>
        </w:rPr>
      </w:pPr>
      <w:bookmarkStart w:id="369" w:name="_Ref41554059"/>
      <w:bookmarkStart w:id="370" w:name="_Toc54862241"/>
      <w:r>
        <w:rPr>
          <w:rFonts w:ascii="Times New Roman" w:hAnsi="Times New Roman"/>
          <w:b w:val="0"/>
          <w:bCs/>
          <w:color w:val="auto"/>
          <w:highlight w:val="none"/>
        </w:rPr>
        <w:t>7.6 安全文明施工</w:t>
      </w:r>
      <w:bookmarkEnd w:id="366"/>
      <w:bookmarkEnd w:id="367"/>
      <w:bookmarkEnd w:id="368"/>
      <w:bookmarkEnd w:id="369"/>
      <w:bookmarkEnd w:id="370"/>
    </w:p>
    <w:p>
      <w:pPr>
        <w:pStyle w:val="178"/>
        <w:spacing w:afterLines="0" w:line="440" w:lineRule="exact"/>
        <w:ind w:left="0"/>
        <w:rPr>
          <w:rFonts w:ascii="Times New Roman" w:hAnsi="Times New Roman" w:eastAsia="仿宋_GB2312"/>
          <w:color w:val="auto"/>
          <w:szCs w:val="24"/>
          <w:highlight w:val="none"/>
        </w:rPr>
      </w:pPr>
      <w:bookmarkStart w:id="371" w:name="_Ref18990822"/>
      <w:r>
        <w:rPr>
          <w:rFonts w:ascii="Times New Roman" w:hAnsi="Times New Roman" w:eastAsia="仿宋_GB2312"/>
          <w:color w:val="auto"/>
          <w:szCs w:val="24"/>
          <w:highlight w:val="none"/>
        </w:rPr>
        <w:t>7.6.1 安全生产要求</w:t>
      </w:r>
      <w:bookmarkEnd w:id="37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因安全生产需要暂停施工的，按照第8.9款[暂停工作]的约定执行。</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7.6.2 安全生产保证措施</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pPr>
        <w:pStyle w:val="178"/>
        <w:spacing w:afterLines="0" w:line="440" w:lineRule="exact"/>
        <w:ind w:left="0"/>
        <w:rPr>
          <w:rFonts w:ascii="Times New Roman" w:hAnsi="Times New Roman" w:eastAsia="仿宋_GB2312"/>
          <w:color w:val="auto"/>
          <w:szCs w:val="24"/>
          <w:highlight w:val="none"/>
        </w:rPr>
      </w:pPr>
      <w:bookmarkStart w:id="372" w:name="_Ref18990840"/>
      <w:r>
        <w:rPr>
          <w:rFonts w:ascii="Times New Roman" w:hAnsi="Times New Roman" w:eastAsia="仿宋_GB2312"/>
          <w:color w:val="auto"/>
          <w:szCs w:val="24"/>
          <w:highlight w:val="none"/>
        </w:rPr>
        <w:t>7.6.3 文明施工</w:t>
      </w:r>
      <w:bookmarkEnd w:id="37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承包人在工程施工期间，应当采取措施保持施工现场平整，物料堆放整齐。工程所在地有关政府行政管理部门有特殊要求的，按照其要求执行。合同当事人对文明施工有其他要求的，可以在专用合同条件中明确。</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7.6.4 事故处理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7.6.5 安全生产责任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发包人应负责赔偿以下各种情况造成的损失：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工程或工程的任何部分对土地的占用所造成的第三者财产损失；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由于发包人原因在施工现场及其毗邻地带、履行合同工作中造成的第三者人身伤亡和财产损失；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由于发包人原因对发包人自身、承包人、工程师造成的人身伤害和财产损失。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承包人应负责赔偿由于承包人原因在施工现场及其毗邻地带、履行合同工作中造成的第三者人身伤亡和财产损失。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如果上述损失是由于发包人和承包人共同原因导致的，则双方应根据过错情况按比例承担。</w:t>
      </w:r>
    </w:p>
    <w:p>
      <w:pPr>
        <w:pStyle w:val="177"/>
        <w:widowControl/>
        <w:spacing w:afterLines="0" w:line="440" w:lineRule="exact"/>
        <w:ind w:left="0"/>
        <w:rPr>
          <w:rFonts w:ascii="Times New Roman" w:hAnsi="Times New Roman"/>
          <w:b w:val="0"/>
          <w:bCs/>
          <w:color w:val="auto"/>
          <w:highlight w:val="none"/>
        </w:rPr>
      </w:pPr>
      <w:bookmarkStart w:id="373" w:name="_Toc54862242"/>
      <w:bookmarkStart w:id="374" w:name="_Ref11874562"/>
      <w:bookmarkStart w:id="375" w:name="_Ref41554069"/>
      <w:r>
        <w:rPr>
          <w:rFonts w:ascii="Times New Roman" w:hAnsi="Times New Roman"/>
          <w:b w:val="0"/>
          <w:bCs/>
          <w:color w:val="auto"/>
          <w:highlight w:val="none"/>
        </w:rPr>
        <w:t>7.7 职业健康</w:t>
      </w:r>
      <w:bookmarkEnd w:id="373"/>
      <w:bookmarkEnd w:id="374"/>
      <w:bookmarkEnd w:id="37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承包人应遵守适用的职业健康的法律和合同约定（包括对雇用、职业健康、安全、福利等方面的规定），负责现场实施过程中其人员的职业健康和保护，包括：</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承包人应依法为承包人</w:t>
      </w:r>
      <w:bookmarkStart w:id="376" w:name="_Hlk46339538"/>
      <w:r>
        <w:rPr>
          <w:rFonts w:eastAsia="仿宋_GB2312"/>
          <w:color w:val="auto"/>
          <w:sz w:val="24"/>
          <w:highlight w:val="none"/>
        </w:rPr>
        <w:t>员工及承包人聘用的第三方人员</w:t>
      </w:r>
      <w:bookmarkEnd w:id="376"/>
      <w:r>
        <w:rPr>
          <w:rFonts w:eastAsia="仿宋_GB2312"/>
          <w:color w:val="auto"/>
          <w:sz w:val="24"/>
          <w:highlight w:val="none"/>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pPr>
        <w:pStyle w:val="177"/>
        <w:widowControl/>
        <w:spacing w:afterLines="0" w:line="440" w:lineRule="exact"/>
        <w:ind w:left="0"/>
        <w:rPr>
          <w:rFonts w:ascii="Times New Roman" w:hAnsi="Times New Roman"/>
          <w:b w:val="0"/>
          <w:bCs/>
          <w:color w:val="auto"/>
          <w:highlight w:val="none"/>
        </w:rPr>
      </w:pPr>
      <w:bookmarkStart w:id="377" w:name="_Toc54862243"/>
      <w:bookmarkStart w:id="378" w:name="_Ref11874570"/>
      <w:r>
        <w:rPr>
          <w:rFonts w:ascii="Times New Roman" w:hAnsi="Times New Roman"/>
          <w:b w:val="0"/>
          <w:bCs/>
          <w:color w:val="auto"/>
          <w:highlight w:val="none"/>
        </w:rPr>
        <w:t>7.8 环境保护</w:t>
      </w:r>
      <w:bookmarkEnd w:id="377"/>
      <w:bookmarkEnd w:id="378"/>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7.8.2 承包人应采取措施，并负责控制和（或）处理现场的粉尘、废气、废水、固体废物和噪声对环境的污染和危害。因此发生的伤害、赔偿、罚款等费用增加，和（或）竣工日期延误，由承包人负责。</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pPr>
        <w:pStyle w:val="177"/>
        <w:widowControl/>
        <w:spacing w:afterLines="0" w:line="440" w:lineRule="exact"/>
        <w:ind w:left="0"/>
        <w:rPr>
          <w:rFonts w:ascii="Times New Roman" w:hAnsi="Times New Roman"/>
          <w:b w:val="0"/>
          <w:bCs/>
          <w:color w:val="auto"/>
          <w:highlight w:val="none"/>
        </w:rPr>
      </w:pPr>
      <w:bookmarkStart w:id="379" w:name="_Ref531954344"/>
      <w:bookmarkStart w:id="380" w:name="_Toc54862244"/>
      <w:bookmarkStart w:id="381" w:name="_Ref531954340"/>
      <w:bookmarkStart w:id="382" w:name="_Ref4771116"/>
      <w:r>
        <w:rPr>
          <w:rFonts w:ascii="Times New Roman" w:hAnsi="Times New Roman"/>
          <w:b w:val="0"/>
          <w:bCs/>
          <w:color w:val="auto"/>
          <w:highlight w:val="none"/>
        </w:rPr>
        <w:t>7.9 临时性公用设施</w:t>
      </w:r>
      <w:bookmarkEnd w:id="379"/>
      <w:bookmarkEnd w:id="380"/>
      <w:bookmarkEnd w:id="381"/>
      <w:bookmarkEnd w:id="382"/>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7.9.1 提供临时用水、用电等和节点铺设</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7.9.2 临时用水、用电等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因承包人未能按合同约定提交上述资料，造成发包人费用增加和竣工日期延误时，由承包人负责。</w:t>
      </w:r>
      <w:bookmarkStart w:id="383" w:name="_Ref508893743"/>
    </w:p>
    <w:p>
      <w:pPr>
        <w:pStyle w:val="177"/>
        <w:widowControl/>
        <w:spacing w:afterLines="0" w:line="440" w:lineRule="exact"/>
        <w:ind w:left="0"/>
        <w:rPr>
          <w:rFonts w:ascii="Times New Roman" w:hAnsi="Times New Roman"/>
          <w:b w:val="0"/>
          <w:bCs/>
          <w:color w:val="auto"/>
          <w:highlight w:val="none"/>
        </w:rPr>
      </w:pPr>
      <w:bookmarkStart w:id="384" w:name="_Ref531952248"/>
      <w:bookmarkStart w:id="385" w:name="_Ref531952239"/>
      <w:bookmarkStart w:id="386" w:name="_Toc54862245"/>
      <w:r>
        <w:rPr>
          <w:rFonts w:ascii="Times New Roman" w:hAnsi="Times New Roman"/>
          <w:b w:val="0"/>
          <w:bCs/>
          <w:color w:val="auto"/>
          <w:highlight w:val="none"/>
        </w:rPr>
        <w:t>7.10 现场安保</w:t>
      </w:r>
      <w:bookmarkEnd w:id="384"/>
      <w:bookmarkEnd w:id="385"/>
      <w:bookmarkEnd w:id="38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承包人应将其作业限制在现场区域、合同约定的区域或为履行合同所需的区域内。承包人应采取一切必要的预防措施，以保持承包人的设备和人员处于现场区域内，避免其进入邻近地区。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承包人为履行合同义务而占用的其他场所（如预制加工场所、办公及生活营区） 的安保适用本款前述关于现场安保的规定。</w:t>
      </w:r>
    </w:p>
    <w:p>
      <w:pPr>
        <w:pStyle w:val="177"/>
        <w:widowControl/>
        <w:spacing w:afterLines="0" w:line="440" w:lineRule="exact"/>
        <w:ind w:left="0"/>
        <w:rPr>
          <w:rFonts w:ascii="Times New Roman" w:hAnsi="Times New Roman"/>
          <w:b w:val="0"/>
          <w:bCs/>
          <w:color w:val="auto"/>
          <w:highlight w:val="none"/>
        </w:rPr>
      </w:pPr>
      <w:bookmarkStart w:id="387" w:name="_Toc54862246"/>
      <w:r>
        <w:rPr>
          <w:rFonts w:ascii="Times New Roman" w:hAnsi="Times New Roman"/>
          <w:b w:val="0"/>
          <w:bCs/>
          <w:color w:val="auto"/>
          <w:highlight w:val="none"/>
        </w:rPr>
        <w:t>7.11 工程照管</w:t>
      </w:r>
      <w:bookmarkEnd w:id="38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自开始现场施工日期起至发包人应当接收工程之日止，承包人应承担工程现场、材料、设备及承包人文件的照管和维护工作。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如部分工程于竣工验收前提前交付发包人的，则自交付之日起，该部分工程照管及维护职责由发包人承担。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如发包人及承包人进行竣工验收时尚有部分未竣工工程的，承包人应负责该未竣工工程的照管和维护工作，直至竣工后移交给发包人。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如合同解除或终止的，承包人自合同解除或终止之日起不再对工程承担照管和维护义务。</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388" w:name="_Ref508998009"/>
      <w:bookmarkStart w:id="389" w:name="_Toc54862247"/>
      <w:bookmarkStart w:id="390" w:name="_Ref531954505"/>
      <w:bookmarkStart w:id="391" w:name="_Ref531954518"/>
      <w:r>
        <w:rPr>
          <w:rFonts w:ascii="Times New Roman" w:hAnsi="Times New Roman"/>
          <w:b w:val="0"/>
          <w:color w:val="auto"/>
          <w:sz w:val="24"/>
          <w:szCs w:val="24"/>
          <w:highlight w:val="none"/>
        </w:rPr>
        <w:t>第8条 工期和进度</w:t>
      </w:r>
      <w:bookmarkEnd w:id="388"/>
      <w:bookmarkEnd w:id="389"/>
    </w:p>
    <w:p>
      <w:pPr>
        <w:pStyle w:val="177"/>
        <w:widowControl/>
        <w:spacing w:afterLines="0" w:line="440" w:lineRule="exact"/>
        <w:ind w:left="0"/>
        <w:rPr>
          <w:rFonts w:ascii="Times New Roman" w:hAnsi="Times New Roman"/>
          <w:b w:val="0"/>
          <w:bCs/>
          <w:color w:val="auto"/>
          <w:highlight w:val="none"/>
        </w:rPr>
      </w:pPr>
      <w:bookmarkStart w:id="392" w:name="_Ref532362075"/>
      <w:bookmarkStart w:id="393" w:name="_Ref532362774"/>
      <w:bookmarkStart w:id="394" w:name="_Ref532362777"/>
      <w:bookmarkStart w:id="395" w:name="_Ref532362072"/>
      <w:bookmarkStart w:id="396" w:name="_Toc54862248"/>
      <w:r>
        <w:rPr>
          <w:rFonts w:ascii="Times New Roman" w:hAnsi="Times New Roman"/>
          <w:b w:val="0"/>
          <w:bCs/>
          <w:color w:val="auto"/>
          <w:highlight w:val="none"/>
        </w:rPr>
        <w:t>8.1 开始工作</w:t>
      </w:r>
      <w:bookmarkEnd w:id="392"/>
      <w:bookmarkEnd w:id="393"/>
      <w:bookmarkEnd w:id="394"/>
      <w:bookmarkEnd w:id="395"/>
      <w:bookmarkEnd w:id="396"/>
    </w:p>
    <w:p>
      <w:pPr>
        <w:pStyle w:val="178"/>
        <w:spacing w:afterLines="0" w:line="440" w:lineRule="exact"/>
        <w:ind w:left="0"/>
        <w:rPr>
          <w:rFonts w:ascii="Times New Roman" w:hAnsi="Times New Roman" w:eastAsia="仿宋_GB2312"/>
          <w:color w:val="auto"/>
          <w:szCs w:val="24"/>
          <w:highlight w:val="none"/>
        </w:rPr>
      </w:pPr>
      <w:bookmarkStart w:id="397" w:name="_Ref4428890"/>
      <w:r>
        <w:rPr>
          <w:rFonts w:ascii="Times New Roman" w:hAnsi="Times New Roman" w:eastAsia="仿宋_GB2312"/>
          <w:color w:val="auto"/>
          <w:szCs w:val="24"/>
          <w:highlight w:val="none"/>
        </w:rPr>
        <w:t>8.1.1 开始工作准备</w:t>
      </w:r>
      <w:bookmarkEnd w:id="39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合同当事人应按专用合同条件约定完成开始工作准备工作。</w:t>
      </w:r>
    </w:p>
    <w:p>
      <w:pPr>
        <w:pStyle w:val="178"/>
        <w:spacing w:afterLines="0" w:line="440" w:lineRule="exact"/>
        <w:ind w:left="0"/>
        <w:rPr>
          <w:rFonts w:ascii="Times New Roman" w:hAnsi="Times New Roman" w:eastAsia="仿宋_GB2312"/>
          <w:color w:val="auto"/>
          <w:szCs w:val="24"/>
          <w:highlight w:val="none"/>
        </w:rPr>
      </w:pPr>
      <w:bookmarkStart w:id="398" w:name="_Ref536790534"/>
      <w:bookmarkStart w:id="399" w:name="_Hlk51506490"/>
      <w:r>
        <w:rPr>
          <w:rFonts w:ascii="Times New Roman" w:hAnsi="Times New Roman" w:eastAsia="仿宋_GB2312"/>
          <w:color w:val="auto"/>
          <w:szCs w:val="24"/>
          <w:highlight w:val="none"/>
        </w:rPr>
        <w:t>8.1.2 开始工作通知</w:t>
      </w:r>
      <w:bookmarkEnd w:id="398"/>
    </w:p>
    <w:bookmarkEnd w:id="399"/>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经发包人同意后，工程师应提前7天向承包人发出经发包人签认的开始工作通知，工期自开始工作通知中载明的开始工作日期起算。</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除专用合同条件另有约定外，因发包人原因造成实际开始现场施工日期迟于</w:t>
      </w:r>
      <w:bookmarkStart w:id="400" w:name="_Hlk51506566"/>
      <w:r>
        <w:rPr>
          <w:rFonts w:eastAsia="仿宋_GB2312"/>
          <w:color w:val="auto"/>
          <w:sz w:val="24"/>
          <w:highlight w:val="none"/>
        </w:rPr>
        <w:t>计划开始现场施工日期</w:t>
      </w:r>
      <w:bookmarkEnd w:id="400"/>
      <w:r>
        <w:rPr>
          <w:rFonts w:eastAsia="仿宋_GB2312"/>
          <w:color w:val="auto"/>
          <w:sz w:val="24"/>
          <w:highlight w:val="none"/>
        </w:rPr>
        <w:t>后第84天的，承包人有权提出价格调整要求，或者解除合同。发包人应当承担由此增加的费用和（或）延误的工期，并向承包人支付合理利润。</w:t>
      </w:r>
    </w:p>
    <w:p>
      <w:pPr>
        <w:pStyle w:val="177"/>
        <w:widowControl/>
        <w:spacing w:afterLines="0" w:line="440" w:lineRule="exact"/>
        <w:ind w:left="0"/>
        <w:rPr>
          <w:rFonts w:ascii="Times New Roman" w:hAnsi="Times New Roman"/>
          <w:b w:val="0"/>
          <w:bCs/>
          <w:color w:val="auto"/>
          <w:highlight w:val="none"/>
        </w:rPr>
      </w:pPr>
      <w:bookmarkStart w:id="401" w:name="_Toc54862249"/>
      <w:bookmarkStart w:id="402" w:name="_Ref532362124"/>
      <w:r>
        <w:rPr>
          <w:rFonts w:ascii="Times New Roman" w:hAnsi="Times New Roman"/>
          <w:b w:val="0"/>
          <w:bCs/>
          <w:color w:val="auto"/>
          <w:highlight w:val="none"/>
        </w:rPr>
        <w:t>8.2 竣工日期</w:t>
      </w:r>
      <w:bookmarkEnd w:id="401"/>
      <w:bookmarkEnd w:id="40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承包人应在合同协议书约定的工期内完成合同工作。除专用合同条件另有约定外，工程的竣工日期以第10.1条[竣工验收]的约定为准，并在工程接收证书中写明。</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因发包人原因，在工程师收到承包人竣工验收申请报告42天后未进行验收的，视为验收合格，实际竣工日期以提交竣工验收申请报告的日期为准，但发包人由于不可抗力不能进行验收的除外。</w:t>
      </w:r>
    </w:p>
    <w:p>
      <w:pPr>
        <w:pStyle w:val="177"/>
        <w:widowControl/>
        <w:spacing w:afterLines="0" w:line="440" w:lineRule="exact"/>
        <w:ind w:left="0"/>
        <w:rPr>
          <w:rFonts w:ascii="Times New Roman" w:hAnsi="Times New Roman"/>
          <w:b w:val="0"/>
          <w:bCs/>
          <w:color w:val="auto"/>
          <w:highlight w:val="none"/>
        </w:rPr>
      </w:pPr>
      <w:bookmarkStart w:id="403" w:name="_Toc54862250"/>
      <w:bookmarkStart w:id="404" w:name="_Ref11863334"/>
      <w:bookmarkStart w:id="405" w:name="_Ref532352853"/>
      <w:bookmarkStart w:id="406" w:name="_Ref532362204"/>
      <w:bookmarkStart w:id="407" w:name="_Ref532362207"/>
      <w:bookmarkStart w:id="408" w:name="_Ref532352856"/>
      <w:r>
        <w:rPr>
          <w:rFonts w:ascii="Times New Roman" w:hAnsi="Times New Roman"/>
          <w:b w:val="0"/>
          <w:bCs/>
          <w:color w:val="auto"/>
          <w:highlight w:val="none"/>
        </w:rPr>
        <w:t>8.3 项目实施计划</w:t>
      </w:r>
      <w:bookmarkEnd w:id="403"/>
      <w:bookmarkEnd w:id="404"/>
    </w:p>
    <w:p>
      <w:pPr>
        <w:pStyle w:val="178"/>
        <w:spacing w:afterLines="0" w:line="440" w:lineRule="exact"/>
        <w:ind w:left="0"/>
        <w:rPr>
          <w:rFonts w:ascii="Times New Roman" w:hAnsi="Times New Roman" w:eastAsia="仿宋_GB2312"/>
          <w:color w:val="auto"/>
          <w:szCs w:val="24"/>
          <w:highlight w:val="none"/>
        </w:rPr>
      </w:pPr>
      <w:bookmarkStart w:id="409" w:name="_Ref18990904"/>
      <w:r>
        <w:rPr>
          <w:rFonts w:ascii="Times New Roman" w:hAnsi="Times New Roman" w:eastAsia="仿宋_GB2312"/>
          <w:color w:val="auto"/>
          <w:szCs w:val="24"/>
          <w:highlight w:val="none"/>
        </w:rPr>
        <w:t>8.3.1 项目实施计划的内容</w:t>
      </w:r>
      <w:bookmarkEnd w:id="40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pPr>
        <w:pStyle w:val="178"/>
        <w:spacing w:afterLines="0" w:line="440" w:lineRule="exact"/>
        <w:ind w:left="0"/>
        <w:rPr>
          <w:rFonts w:ascii="Times New Roman" w:hAnsi="Times New Roman" w:eastAsia="仿宋_GB2312"/>
          <w:color w:val="auto"/>
          <w:szCs w:val="24"/>
          <w:highlight w:val="none"/>
        </w:rPr>
      </w:pPr>
      <w:bookmarkStart w:id="410" w:name="_Ref18990921"/>
      <w:r>
        <w:rPr>
          <w:rFonts w:ascii="Times New Roman" w:hAnsi="Times New Roman" w:eastAsia="仿宋_GB2312"/>
          <w:color w:val="auto"/>
          <w:szCs w:val="24"/>
          <w:highlight w:val="none"/>
        </w:rPr>
        <w:t>8.3.2 项目实施计划的提交和修改</w:t>
      </w:r>
      <w:bookmarkEnd w:id="41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项目进度计划的编制和修改按照第8.4款[项目进度计划]执行。</w:t>
      </w:r>
    </w:p>
    <w:p>
      <w:pPr>
        <w:pStyle w:val="177"/>
        <w:widowControl/>
        <w:spacing w:afterLines="0" w:line="440" w:lineRule="exact"/>
        <w:ind w:left="0"/>
        <w:rPr>
          <w:rFonts w:ascii="Times New Roman" w:hAnsi="Times New Roman"/>
          <w:b w:val="0"/>
          <w:bCs/>
          <w:color w:val="auto"/>
          <w:highlight w:val="none"/>
        </w:rPr>
      </w:pPr>
      <w:bookmarkStart w:id="411" w:name="_Ref11865507"/>
      <w:bookmarkStart w:id="412" w:name="_Toc54862251"/>
      <w:r>
        <w:rPr>
          <w:rFonts w:ascii="Times New Roman" w:hAnsi="Times New Roman"/>
          <w:b w:val="0"/>
          <w:bCs/>
          <w:color w:val="auto"/>
          <w:highlight w:val="none"/>
        </w:rPr>
        <w:t>8.4 项目进度计划</w:t>
      </w:r>
      <w:bookmarkEnd w:id="405"/>
      <w:bookmarkEnd w:id="406"/>
      <w:bookmarkEnd w:id="407"/>
      <w:bookmarkEnd w:id="408"/>
      <w:bookmarkEnd w:id="411"/>
      <w:bookmarkEnd w:id="412"/>
    </w:p>
    <w:p>
      <w:pPr>
        <w:pStyle w:val="178"/>
        <w:spacing w:afterLines="0" w:line="440" w:lineRule="exact"/>
        <w:ind w:left="0"/>
        <w:rPr>
          <w:rFonts w:ascii="Times New Roman" w:hAnsi="Times New Roman" w:eastAsia="仿宋_GB2312"/>
          <w:color w:val="auto"/>
          <w:szCs w:val="24"/>
          <w:highlight w:val="none"/>
        </w:rPr>
      </w:pPr>
      <w:bookmarkStart w:id="413" w:name="_Ref4681217"/>
      <w:r>
        <w:rPr>
          <w:rFonts w:ascii="Times New Roman" w:hAnsi="Times New Roman" w:eastAsia="仿宋_GB2312"/>
          <w:color w:val="auto"/>
          <w:szCs w:val="24"/>
          <w:highlight w:val="none"/>
        </w:rPr>
        <w:t>8.4.1 项目进度计划的提交和修改</w:t>
      </w:r>
      <w:bookmarkEnd w:id="41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pPr>
        <w:pStyle w:val="178"/>
        <w:spacing w:afterLines="0" w:line="440" w:lineRule="exact"/>
        <w:ind w:left="0"/>
        <w:rPr>
          <w:rFonts w:ascii="Times New Roman" w:hAnsi="Times New Roman" w:eastAsia="仿宋_GB2312"/>
          <w:color w:val="auto"/>
          <w:szCs w:val="24"/>
          <w:highlight w:val="none"/>
        </w:rPr>
      </w:pPr>
      <w:bookmarkStart w:id="414" w:name="_Ref4429079"/>
      <w:r>
        <w:rPr>
          <w:rFonts w:ascii="Times New Roman" w:hAnsi="Times New Roman" w:eastAsia="仿宋_GB2312"/>
          <w:color w:val="auto"/>
          <w:szCs w:val="24"/>
          <w:highlight w:val="none"/>
        </w:rPr>
        <w:t>8.4.2 项目进度计划的内容</w:t>
      </w:r>
      <w:bookmarkEnd w:id="41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pPr>
        <w:pStyle w:val="178"/>
        <w:spacing w:afterLines="0" w:line="440" w:lineRule="exact"/>
        <w:ind w:left="0"/>
        <w:rPr>
          <w:rFonts w:ascii="Times New Roman" w:hAnsi="Times New Roman" w:eastAsia="仿宋_GB2312"/>
          <w:color w:val="auto"/>
          <w:szCs w:val="24"/>
          <w:highlight w:val="none"/>
        </w:rPr>
      </w:pPr>
      <w:bookmarkStart w:id="415" w:name="_Ref3848203"/>
      <w:r>
        <w:rPr>
          <w:rFonts w:ascii="Times New Roman" w:hAnsi="Times New Roman" w:eastAsia="仿宋_GB2312"/>
          <w:color w:val="auto"/>
          <w:szCs w:val="24"/>
          <w:highlight w:val="none"/>
        </w:rPr>
        <w:t>8.4.3 项目进度计划的修订</w:t>
      </w:r>
      <w:bookmarkEnd w:id="41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除合同当事人另有约定外，项目进度计划的修订并不能减轻或者免除双方按第8.7款[工期延误]、第8.8款[工期提前]、第8.9款[暂停工作]应承担的合同责任。</w:t>
      </w:r>
    </w:p>
    <w:p>
      <w:pPr>
        <w:pStyle w:val="177"/>
        <w:widowControl/>
        <w:spacing w:afterLines="0" w:line="440" w:lineRule="exact"/>
        <w:ind w:left="0"/>
        <w:rPr>
          <w:rFonts w:ascii="Times New Roman" w:hAnsi="Times New Roman"/>
          <w:b w:val="0"/>
          <w:bCs/>
          <w:color w:val="auto"/>
          <w:highlight w:val="none"/>
        </w:rPr>
      </w:pPr>
      <w:bookmarkStart w:id="416" w:name="_Ref532362276"/>
      <w:bookmarkStart w:id="417" w:name="_Ref532362278"/>
      <w:bookmarkStart w:id="418" w:name="_Toc54862252"/>
      <w:r>
        <w:rPr>
          <w:rFonts w:ascii="Times New Roman" w:hAnsi="Times New Roman"/>
          <w:b w:val="0"/>
          <w:bCs/>
          <w:color w:val="auto"/>
          <w:highlight w:val="none"/>
        </w:rPr>
        <w:t>8.5 进度报告</w:t>
      </w:r>
      <w:bookmarkEnd w:id="416"/>
      <w:bookmarkEnd w:id="417"/>
      <w:bookmarkEnd w:id="41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项目实施过程中，承包人应进行实际进度记录，并根据工程师的要求编制月进度报告，并提交给工程师。进度报告应包含以下主要内容：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工程设计、采购、施工等各个工作内容的进展报告；</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工程施工方法的一般说明；</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当月工程实施介入的项目人员、设备和材料的预估明细报告；</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（4） 当月实际进度与进度计划对比分析，以及提出未来可能引起工期延误的情形，同时提出应对措施；需要修订项目进度计划的，应对项目进度计划的修订部分进行说明； </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承包人对于解决工期延误所提出的建议；</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其他与工程有关的重大事项。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进度报告的具体要求等，在专用合同条件约定。</w:t>
      </w:r>
    </w:p>
    <w:p>
      <w:pPr>
        <w:pStyle w:val="177"/>
        <w:widowControl/>
        <w:spacing w:afterLines="0" w:line="440" w:lineRule="exact"/>
        <w:ind w:left="0"/>
        <w:rPr>
          <w:rFonts w:ascii="Times New Roman" w:hAnsi="Times New Roman"/>
          <w:b w:val="0"/>
          <w:bCs/>
          <w:color w:val="auto"/>
          <w:highlight w:val="none"/>
        </w:rPr>
      </w:pPr>
      <w:bookmarkStart w:id="419" w:name="_Toc54862253"/>
      <w:r>
        <w:rPr>
          <w:rFonts w:ascii="Times New Roman" w:hAnsi="Times New Roman"/>
          <w:b w:val="0"/>
          <w:bCs/>
          <w:color w:val="auto"/>
          <w:highlight w:val="none"/>
        </w:rPr>
        <w:t>8.6 提前预警</w:t>
      </w:r>
      <w:bookmarkEnd w:id="41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任何一方应当在下列情形发生时尽快书面通知另一方：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该情形可能对合同的履行或实现合同目的产生不利影响；</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该情形可能对工程完成后的使用产生不利影响；</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该情形可能导致合同价款增加；</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该情形可能导致整个工程或单位/区段工程的工期延长。</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发包人有权要求承包人根据第13.2款[承包人的合理化建议]的约定提交变更建议，采取措施尽量避免或最小化上述情形的发生或影响。</w:t>
      </w:r>
    </w:p>
    <w:p>
      <w:pPr>
        <w:pStyle w:val="177"/>
        <w:widowControl/>
        <w:spacing w:afterLines="0" w:line="440" w:lineRule="exact"/>
        <w:ind w:left="0"/>
        <w:rPr>
          <w:rFonts w:ascii="Times New Roman" w:hAnsi="Times New Roman"/>
          <w:b w:val="0"/>
          <w:bCs/>
          <w:color w:val="auto"/>
          <w:highlight w:val="none"/>
        </w:rPr>
      </w:pPr>
      <w:bookmarkStart w:id="420" w:name="_Toc4784156"/>
      <w:bookmarkEnd w:id="420"/>
      <w:bookmarkStart w:id="421" w:name="_Toc4784168"/>
      <w:bookmarkEnd w:id="421"/>
      <w:bookmarkStart w:id="422" w:name="_Toc4784154"/>
      <w:bookmarkEnd w:id="422"/>
      <w:bookmarkStart w:id="423" w:name="_Toc4784163"/>
      <w:bookmarkEnd w:id="423"/>
      <w:bookmarkStart w:id="424" w:name="_Toc4784161"/>
      <w:bookmarkEnd w:id="424"/>
      <w:bookmarkStart w:id="425" w:name="_Toc4784164"/>
      <w:bookmarkEnd w:id="425"/>
      <w:bookmarkStart w:id="426" w:name="_Toc4784155"/>
      <w:bookmarkEnd w:id="426"/>
      <w:bookmarkStart w:id="427" w:name="_Toc4784159"/>
      <w:bookmarkEnd w:id="427"/>
      <w:bookmarkStart w:id="428" w:name="_Toc4784169"/>
      <w:bookmarkEnd w:id="428"/>
      <w:bookmarkStart w:id="429" w:name="_Toc4784157"/>
      <w:bookmarkEnd w:id="429"/>
      <w:bookmarkStart w:id="430" w:name="_Toc4784174"/>
      <w:bookmarkEnd w:id="430"/>
      <w:bookmarkStart w:id="431" w:name="_Toc4784175"/>
      <w:bookmarkEnd w:id="431"/>
      <w:bookmarkStart w:id="432" w:name="_Toc4784166"/>
      <w:bookmarkEnd w:id="432"/>
      <w:bookmarkStart w:id="433" w:name="_Toc4784173"/>
      <w:bookmarkEnd w:id="433"/>
      <w:bookmarkStart w:id="434" w:name="_Toc4784170"/>
      <w:bookmarkEnd w:id="434"/>
      <w:bookmarkStart w:id="435" w:name="_Toc4784165"/>
      <w:bookmarkEnd w:id="435"/>
      <w:bookmarkStart w:id="436" w:name="_Toc4784158"/>
      <w:bookmarkEnd w:id="436"/>
      <w:bookmarkStart w:id="437" w:name="_Toc4784160"/>
      <w:bookmarkEnd w:id="437"/>
      <w:bookmarkStart w:id="438" w:name="_Toc4784172"/>
      <w:bookmarkEnd w:id="438"/>
      <w:bookmarkStart w:id="439" w:name="_Toc4784167"/>
      <w:bookmarkEnd w:id="439"/>
      <w:bookmarkStart w:id="440" w:name="_Toc4784162"/>
      <w:bookmarkEnd w:id="440"/>
      <w:bookmarkStart w:id="441" w:name="_Toc4784171"/>
      <w:bookmarkEnd w:id="441"/>
      <w:bookmarkStart w:id="442" w:name="_Ref4770106"/>
      <w:bookmarkStart w:id="443" w:name="_Toc54862254"/>
      <w:bookmarkStart w:id="444" w:name="_Ref532362356"/>
      <w:bookmarkStart w:id="445" w:name="_Ref532362359"/>
      <w:r>
        <w:rPr>
          <w:rFonts w:ascii="Times New Roman" w:hAnsi="Times New Roman"/>
          <w:b w:val="0"/>
          <w:bCs/>
          <w:color w:val="auto"/>
          <w:highlight w:val="none"/>
        </w:rPr>
        <w:t>8.7 工期延误</w:t>
      </w:r>
      <w:bookmarkEnd w:id="442"/>
      <w:bookmarkEnd w:id="443"/>
    </w:p>
    <w:p>
      <w:pPr>
        <w:pStyle w:val="178"/>
        <w:spacing w:afterLines="0" w:line="440" w:lineRule="exact"/>
        <w:ind w:left="0"/>
        <w:rPr>
          <w:rFonts w:ascii="Times New Roman" w:hAnsi="Times New Roman" w:eastAsia="仿宋_GB2312"/>
          <w:color w:val="auto"/>
          <w:szCs w:val="24"/>
          <w:highlight w:val="none"/>
        </w:rPr>
      </w:pPr>
      <w:bookmarkStart w:id="446" w:name="_Ref4796050"/>
      <w:r>
        <w:rPr>
          <w:rFonts w:ascii="Times New Roman" w:hAnsi="Times New Roman" w:eastAsia="仿宋_GB2312"/>
          <w:color w:val="auto"/>
          <w:szCs w:val="24"/>
          <w:highlight w:val="none"/>
        </w:rPr>
        <w:t>8.7.1 因发包人原因导致工期延误</w:t>
      </w:r>
      <w:bookmarkEnd w:id="44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在合同履行过程中，因下列情况导致工期延误和（或）费用增加的，由发包人承担由此延误的工期和（或）增加的费用，且发包人应支付承包人合理的利润：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根据第13条[变更与调整]的约定构成一项变更的；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发包人违反本合同约定，导致工期延误和（或）费用增加的；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发包人、发包人代表、工程师或发包人聘请的任意第三方造成或引起的任何延误、妨碍和阻碍；</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发包人未能依据第6.2.1项[发包人提供的材料和工程设备]的约定提供材料和工程设备导致工期延误和（或）费用增加的；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因发包人原因导致的暂停施工；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发包人未及时履行相关合同义务，造成工期延误的其他原因。</w:t>
      </w:r>
    </w:p>
    <w:p>
      <w:pPr>
        <w:pStyle w:val="178"/>
        <w:spacing w:afterLines="0" w:line="440" w:lineRule="exact"/>
        <w:ind w:left="0"/>
        <w:rPr>
          <w:rFonts w:ascii="Times New Roman" w:hAnsi="Times New Roman" w:eastAsia="仿宋_GB2312"/>
          <w:color w:val="auto"/>
          <w:szCs w:val="24"/>
          <w:highlight w:val="none"/>
        </w:rPr>
      </w:pPr>
      <w:bookmarkStart w:id="447" w:name="_Ref4770209"/>
      <w:r>
        <w:rPr>
          <w:rFonts w:ascii="Times New Roman" w:hAnsi="Times New Roman" w:eastAsia="仿宋_GB2312"/>
          <w:color w:val="auto"/>
          <w:szCs w:val="24"/>
          <w:highlight w:val="none"/>
        </w:rPr>
        <w:t>8.7.2 因承包人原因导致工期延误</w:t>
      </w:r>
      <w:bookmarkEnd w:id="44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由于承包人的原因，未能按项目进度计划完成工作，承包人应采取措施加快进度，并承担加快进度所增加的费用。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pPr>
        <w:pStyle w:val="178"/>
        <w:spacing w:afterLines="0" w:line="440" w:lineRule="exact"/>
        <w:ind w:left="0"/>
        <w:rPr>
          <w:rFonts w:ascii="Times New Roman" w:hAnsi="Times New Roman" w:eastAsia="仿宋_GB2312"/>
          <w:color w:val="auto"/>
          <w:szCs w:val="24"/>
          <w:highlight w:val="none"/>
        </w:rPr>
      </w:pPr>
      <w:bookmarkStart w:id="448" w:name="_Ref4770872"/>
      <w:r>
        <w:rPr>
          <w:rFonts w:ascii="Times New Roman" w:hAnsi="Times New Roman" w:eastAsia="仿宋_GB2312"/>
          <w:color w:val="auto"/>
          <w:szCs w:val="24"/>
          <w:highlight w:val="none"/>
        </w:rPr>
        <w:t>8.7.3 行政审批迟延</w:t>
      </w:r>
      <w:bookmarkEnd w:id="44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pPr>
        <w:pStyle w:val="178"/>
        <w:spacing w:afterLines="0" w:line="440" w:lineRule="exact"/>
        <w:ind w:left="0"/>
        <w:rPr>
          <w:rFonts w:ascii="Times New Roman" w:hAnsi="Times New Roman" w:eastAsia="仿宋_GB2312"/>
          <w:color w:val="auto"/>
          <w:szCs w:val="24"/>
          <w:highlight w:val="none"/>
        </w:rPr>
      </w:pPr>
      <w:bookmarkStart w:id="449" w:name="_Ref4770933"/>
      <w:r>
        <w:rPr>
          <w:rFonts w:ascii="Times New Roman" w:hAnsi="Times New Roman" w:eastAsia="仿宋_GB2312"/>
          <w:color w:val="auto"/>
          <w:szCs w:val="24"/>
          <w:highlight w:val="none"/>
        </w:rPr>
        <w:t>8.7.4 异常恶劣的气候条件</w:t>
      </w:r>
      <w:bookmarkEnd w:id="44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pPr>
        <w:pStyle w:val="177"/>
        <w:widowControl/>
        <w:spacing w:afterLines="0" w:line="440" w:lineRule="exact"/>
        <w:ind w:left="0"/>
        <w:rPr>
          <w:rFonts w:ascii="Times New Roman" w:hAnsi="Times New Roman"/>
          <w:b w:val="0"/>
          <w:bCs/>
          <w:color w:val="auto"/>
          <w:highlight w:val="none"/>
        </w:rPr>
      </w:pPr>
      <w:bookmarkStart w:id="450" w:name="_Toc54862255"/>
      <w:bookmarkStart w:id="451" w:name="_Ref4781828"/>
      <w:r>
        <w:rPr>
          <w:rFonts w:ascii="Times New Roman" w:hAnsi="Times New Roman"/>
          <w:b w:val="0"/>
          <w:bCs/>
          <w:color w:val="auto"/>
          <w:highlight w:val="none"/>
        </w:rPr>
        <w:t>8.8 工期提前</w:t>
      </w:r>
      <w:bookmarkEnd w:id="444"/>
      <w:bookmarkEnd w:id="445"/>
      <w:bookmarkEnd w:id="450"/>
      <w:bookmarkEnd w:id="451"/>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8.8.1 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p>
    <w:p>
      <w:pPr>
        <w:pStyle w:val="178"/>
        <w:spacing w:afterLines="0" w:line="440" w:lineRule="exact"/>
        <w:ind w:left="0"/>
        <w:rPr>
          <w:rFonts w:ascii="Times New Roman" w:hAnsi="Times New Roman" w:eastAsia="仿宋_GB2312"/>
          <w:color w:val="auto"/>
          <w:szCs w:val="24"/>
          <w:highlight w:val="none"/>
        </w:rPr>
      </w:pPr>
      <w:bookmarkStart w:id="452" w:name="_Ref4429347"/>
      <w:r>
        <w:rPr>
          <w:rFonts w:ascii="Times New Roman" w:hAnsi="Times New Roman" w:eastAsia="仿宋_GB2312"/>
          <w:color w:val="auto"/>
          <w:szCs w:val="24"/>
          <w:highlight w:val="none"/>
        </w:rPr>
        <w:t>8.8.2 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452"/>
    </w:p>
    <w:p>
      <w:pPr>
        <w:pStyle w:val="177"/>
        <w:widowControl/>
        <w:spacing w:afterLines="0" w:line="440" w:lineRule="exact"/>
        <w:ind w:left="0"/>
        <w:rPr>
          <w:rFonts w:ascii="Times New Roman" w:hAnsi="Times New Roman"/>
          <w:b w:val="0"/>
          <w:bCs/>
          <w:color w:val="auto"/>
          <w:highlight w:val="none"/>
        </w:rPr>
      </w:pPr>
      <w:bookmarkStart w:id="453" w:name="_Ref4615031"/>
      <w:bookmarkStart w:id="454" w:name="_Toc54862256"/>
      <w:bookmarkStart w:id="455" w:name="_Ref4615040"/>
      <w:r>
        <w:rPr>
          <w:rFonts w:ascii="Times New Roman" w:hAnsi="Times New Roman"/>
          <w:b w:val="0"/>
          <w:bCs/>
          <w:color w:val="auto"/>
          <w:highlight w:val="none"/>
        </w:rPr>
        <w:t>8.9 暂停工作</w:t>
      </w:r>
      <w:bookmarkEnd w:id="453"/>
      <w:bookmarkEnd w:id="454"/>
      <w:bookmarkEnd w:id="455"/>
    </w:p>
    <w:p>
      <w:pPr>
        <w:pStyle w:val="178"/>
        <w:spacing w:afterLines="0" w:line="440" w:lineRule="exact"/>
        <w:ind w:left="0"/>
        <w:rPr>
          <w:rFonts w:ascii="Times New Roman" w:hAnsi="Times New Roman" w:eastAsia="仿宋_GB2312"/>
          <w:color w:val="auto"/>
          <w:szCs w:val="24"/>
          <w:highlight w:val="none"/>
        </w:rPr>
      </w:pPr>
      <w:bookmarkStart w:id="456" w:name="_Ref4709151"/>
      <w:r>
        <w:rPr>
          <w:rFonts w:ascii="Times New Roman" w:hAnsi="Times New Roman" w:eastAsia="仿宋_GB2312"/>
          <w:color w:val="auto"/>
          <w:szCs w:val="24"/>
          <w:highlight w:val="none"/>
        </w:rPr>
        <w:t>8.9.1 由发包人暂停工作</w:t>
      </w:r>
      <w:bookmarkEnd w:id="45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发包人认为必要时，可通过工程师向承包人发出经发包人签认的暂停工作通知，应列明暂停原因、暂停的日期及预计暂停的期限。承包人应按该通知暂停工作。</w:t>
      </w:r>
      <w:bookmarkStart w:id="457" w:name="_Ref470923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承包人因执行暂停工作通知而造成费用的增加和（或）工期延误由发包人承担，并有权要求发包人支付合理利润，但</w:t>
      </w:r>
      <w:bookmarkEnd w:id="457"/>
      <w:r>
        <w:rPr>
          <w:rFonts w:eastAsia="仿宋_GB2312"/>
          <w:color w:val="auto"/>
          <w:sz w:val="24"/>
          <w:highlight w:val="none"/>
        </w:rPr>
        <w:t>由于承包人原因造成发包人暂停工作的除外。</w:t>
      </w:r>
    </w:p>
    <w:p>
      <w:pPr>
        <w:pStyle w:val="178"/>
        <w:spacing w:afterLines="0" w:line="440" w:lineRule="exact"/>
        <w:ind w:left="0"/>
        <w:rPr>
          <w:rFonts w:ascii="Times New Roman" w:hAnsi="Times New Roman" w:eastAsia="仿宋_GB2312"/>
          <w:color w:val="auto"/>
          <w:szCs w:val="24"/>
          <w:highlight w:val="none"/>
        </w:rPr>
      </w:pPr>
      <w:bookmarkStart w:id="458" w:name="_Ref18972173"/>
      <w:r>
        <w:rPr>
          <w:rFonts w:ascii="Times New Roman" w:hAnsi="Times New Roman" w:eastAsia="仿宋_GB2312"/>
          <w:color w:val="auto"/>
          <w:szCs w:val="24"/>
          <w:highlight w:val="none"/>
        </w:rPr>
        <w:t>8.9.2 由承包人暂停工作</w:t>
      </w:r>
      <w:bookmarkEnd w:id="45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pPr>
        <w:adjustRightInd w:val="0"/>
        <w:snapToGrid w:val="0"/>
        <w:spacing w:line="440" w:lineRule="exact"/>
        <w:ind w:firstLine="600"/>
        <w:rPr>
          <w:rFonts w:eastAsia="仿宋_GB2312"/>
          <w:color w:val="auto"/>
          <w:sz w:val="24"/>
          <w:highlight w:val="none"/>
        </w:rPr>
      </w:pPr>
      <w:bookmarkStart w:id="459" w:name="_Ref4709224"/>
      <w:r>
        <w:rPr>
          <w:rFonts w:eastAsia="仿宋_GB2312"/>
          <w:color w:val="auto"/>
          <w:sz w:val="24"/>
          <w:highlight w:val="none"/>
        </w:rPr>
        <w:t>（1） 发包人拖延、拒绝批准付款申请和支付证书，或未能按合同约定支付价款，导致付款延误的；</w:t>
      </w:r>
      <w:bookmarkEnd w:id="45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发包人未按约定履行合同其他义务导致承包人无法继续履行合同的，或者发包人明确表示暂停或实质上已暂停履行合同的。</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8.9.3 除上述原因以外的暂停工作，双方应遵守第17条[不可抗力]的相关约定。</w:t>
      </w:r>
    </w:p>
    <w:p>
      <w:pPr>
        <w:pStyle w:val="178"/>
        <w:spacing w:afterLines="0" w:line="440" w:lineRule="exact"/>
        <w:ind w:left="0"/>
        <w:rPr>
          <w:rFonts w:ascii="Times New Roman" w:hAnsi="Times New Roman" w:eastAsia="仿宋_GB2312"/>
          <w:color w:val="auto"/>
          <w:szCs w:val="24"/>
          <w:highlight w:val="none"/>
        </w:rPr>
      </w:pPr>
      <w:bookmarkStart w:id="460" w:name="_Ref4709158"/>
      <w:r>
        <w:rPr>
          <w:rFonts w:ascii="Times New Roman" w:hAnsi="Times New Roman" w:eastAsia="仿宋_GB2312"/>
          <w:color w:val="auto"/>
          <w:szCs w:val="24"/>
          <w:highlight w:val="none"/>
        </w:rPr>
        <w:t>8.9.4 暂停工作期间的工程照管</w:t>
      </w:r>
      <w:bookmarkEnd w:id="46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因承包人未能尽到照管、保护的责任造成损失的，使发包人的费用增加，（或）竣工日期延误的，由承包人按本合同约定承担责任。</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8.9.5 拖长的暂停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pPr>
        <w:pStyle w:val="177"/>
        <w:widowControl/>
        <w:spacing w:afterLines="0" w:line="440" w:lineRule="exact"/>
        <w:ind w:left="0"/>
        <w:rPr>
          <w:rFonts w:ascii="Times New Roman" w:hAnsi="Times New Roman"/>
          <w:b w:val="0"/>
          <w:bCs/>
          <w:color w:val="auto"/>
          <w:highlight w:val="none"/>
        </w:rPr>
      </w:pPr>
      <w:bookmarkStart w:id="461" w:name="_Toc54862257"/>
      <w:r>
        <w:rPr>
          <w:rFonts w:ascii="Times New Roman" w:hAnsi="Times New Roman"/>
          <w:b w:val="0"/>
          <w:bCs/>
          <w:color w:val="auto"/>
          <w:highlight w:val="none"/>
        </w:rPr>
        <w:t>8.10 复工</w:t>
      </w:r>
      <w:bookmarkEnd w:id="461"/>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8.10.1 收到发包人的复工通知后，承包人应按通知时间复工；发包人通知的复工时间应当给予承包人必要的准备复工时间。</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8.10.2 不论由于何种原因引起暂停工作，双方均可要求对方一同对受暂停影响的工程、工程设备和工程物资进行检查，承包人应将检查结果及需要恢复、修复的内容和估算通知发包人。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8.10.3 除第17条[不可抗力]另有约定外，发生的恢复、修复价款及工期延误的后果由责任方承担。</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462" w:name="_Ref4621029"/>
      <w:bookmarkStart w:id="463" w:name="_Ref4621041"/>
      <w:bookmarkStart w:id="464" w:name="_Toc54862258"/>
      <w:r>
        <w:rPr>
          <w:rFonts w:ascii="Times New Roman" w:hAnsi="Times New Roman"/>
          <w:b w:val="0"/>
          <w:color w:val="auto"/>
          <w:sz w:val="24"/>
          <w:szCs w:val="24"/>
          <w:highlight w:val="none"/>
        </w:rPr>
        <w:t>第9条 竣工试验</w:t>
      </w:r>
      <w:bookmarkEnd w:id="390"/>
      <w:bookmarkEnd w:id="462"/>
      <w:bookmarkEnd w:id="463"/>
      <w:bookmarkEnd w:id="464"/>
    </w:p>
    <w:p>
      <w:pPr>
        <w:pStyle w:val="177"/>
        <w:widowControl/>
        <w:spacing w:afterLines="0" w:line="440" w:lineRule="exact"/>
        <w:ind w:left="0"/>
        <w:rPr>
          <w:rFonts w:ascii="Times New Roman" w:hAnsi="Times New Roman"/>
          <w:b w:val="0"/>
          <w:bCs/>
          <w:color w:val="auto"/>
          <w:highlight w:val="none"/>
        </w:rPr>
      </w:pPr>
      <w:bookmarkStart w:id="465" w:name="_Ref532586251"/>
      <w:bookmarkStart w:id="466" w:name="_Ref532586248"/>
      <w:bookmarkStart w:id="467" w:name="_Toc54862259"/>
      <w:r>
        <w:rPr>
          <w:rFonts w:ascii="Times New Roman" w:hAnsi="Times New Roman"/>
          <w:b w:val="0"/>
          <w:bCs/>
          <w:color w:val="auto"/>
          <w:highlight w:val="none"/>
        </w:rPr>
        <w:t>9.1 竣工试验的义务</w:t>
      </w:r>
      <w:bookmarkEnd w:id="465"/>
      <w:bookmarkEnd w:id="466"/>
      <w:bookmarkEnd w:id="467"/>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9.1.1 承包人完成工程或区段工程进行竣工试验所需的作业，并根据第5.4款[竣工文件]和第5.5款[操作和维修手册]提交文件后，进行竣工试验。</w:t>
      </w:r>
      <w:bookmarkStart w:id="468" w:name="_Ref532586608"/>
    </w:p>
    <w:p>
      <w:pPr>
        <w:pStyle w:val="178"/>
        <w:spacing w:afterLines="0" w:line="440" w:lineRule="exact"/>
        <w:ind w:left="0"/>
        <w:rPr>
          <w:rFonts w:ascii="Times New Roman" w:hAnsi="Times New Roman" w:eastAsia="仿宋_GB2312"/>
          <w:color w:val="auto"/>
          <w:szCs w:val="24"/>
          <w:highlight w:val="none"/>
        </w:rPr>
      </w:pPr>
      <w:bookmarkStart w:id="469" w:name="_Ref11919920"/>
      <w:r>
        <w:rPr>
          <w:rFonts w:ascii="Times New Roman" w:hAnsi="Times New Roman" w:eastAsia="仿宋_GB2312"/>
          <w:color w:val="auto"/>
          <w:szCs w:val="24"/>
          <w:highlight w:val="none"/>
        </w:rPr>
        <w:t>9.1.2 承包人应在进行竣工试验之前，至少提前42天向工程师提交详细的竣工试验计划，该计划应载明竣工试验的内容、地点、拟开展时间和需要发包人提供的资源条件。</w:t>
      </w:r>
      <w:bookmarkEnd w:id="468"/>
      <w:r>
        <w:rPr>
          <w:rFonts w:ascii="Times New Roman" w:hAnsi="Times New Roman" w:eastAsia="仿宋_GB2312"/>
          <w:color w:val="auto"/>
          <w:szCs w:val="24"/>
          <w:highlight w:val="none"/>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469"/>
    </w:p>
    <w:p>
      <w:pPr>
        <w:pStyle w:val="178"/>
        <w:spacing w:afterLines="0" w:line="440" w:lineRule="exact"/>
        <w:ind w:left="0"/>
        <w:rPr>
          <w:rFonts w:ascii="Times New Roman" w:hAnsi="Times New Roman" w:eastAsia="仿宋_GB2312"/>
          <w:color w:val="auto"/>
          <w:szCs w:val="24"/>
          <w:highlight w:val="none"/>
        </w:rPr>
      </w:pPr>
      <w:bookmarkStart w:id="470" w:name="_Ref532688147"/>
      <w:r>
        <w:rPr>
          <w:rFonts w:ascii="Times New Roman" w:hAnsi="Times New Roman" w:eastAsia="仿宋_GB2312"/>
          <w:color w:val="auto"/>
          <w:szCs w:val="24"/>
          <w:highlight w:val="none"/>
        </w:rPr>
        <w:t>9.1.3 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47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承包人进行启动前试验，包括适当的检查和功能性试验，以证明工程或区段工程的每一部分均能够安全地承受下一阶段试验；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承包人进行启动试验，以证明工程或区段工程能够在所有可利用的操作条件下安全运行，并按照专用合同条件和《发包人要求》中的规定操作；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承包人进行试运行试验。当工程或区段工程能稳定安全运行时，承包人应通知工程师，可以进行其他竣工试验，包括各种性能测试，以证明工程或区段工程符合《发包人要求》中列明的性能保证指标。</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进行上述试验不应构成第10条[验收和工程接收]规定的接收，但试验所产生的任何产品或其他收益均应归属于发包人。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9.1.4 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pPr>
        <w:pStyle w:val="177"/>
        <w:widowControl/>
        <w:spacing w:afterLines="0" w:line="440" w:lineRule="exact"/>
        <w:ind w:left="0"/>
        <w:rPr>
          <w:rFonts w:ascii="Times New Roman" w:hAnsi="Times New Roman"/>
          <w:b w:val="0"/>
          <w:bCs/>
          <w:color w:val="auto"/>
          <w:highlight w:val="none"/>
        </w:rPr>
      </w:pPr>
      <w:bookmarkStart w:id="471" w:name="_Toc54862260"/>
      <w:r>
        <w:rPr>
          <w:rFonts w:ascii="Times New Roman" w:hAnsi="Times New Roman"/>
          <w:b w:val="0"/>
          <w:bCs/>
          <w:color w:val="auto"/>
          <w:highlight w:val="none"/>
        </w:rPr>
        <w:t>9.2 延误的试验</w:t>
      </w:r>
      <w:bookmarkEnd w:id="471"/>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9.2.1 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9.2.2 承包人无正当理由延误进行竣工试验的，工程师可向其发出通知，要求其在收到通知后的21天内进行该项竣工试验。承包人应在该21天的期限内确定进行试验的日期，并至少提前7天通知工程师。</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9.2.3 如果承包人未在该期限内进行竣工试验，则发包人有权自行组织该项竣工试验，由此产生的合理费用由承包人承担。发包人应在试验完成后28天内向承包人发送试验结果。</w:t>
      </w:r>
    </w:p>
    <w:p>
      <w:pPr>
        <w:pStyle w:val="177"/>
        <w:widowControl/>
        <w:spacing w:afterLines="0" w:line="440" w:lineRule="exact"/>
        <w:ind w:left="0"/>
        <w:rPr>
          <w:rFonts w:ascii="Times New Roman" w:hAnsi="Times New Roman"/>
          <w:b w:val="0"/>
          <w:bCs/>
          <w:color w:val="auto"/>
          <w:highlight w:val="none"/>
        </w:rPr>
      </w:pPr>
      <w:bookmarkStart w:id="472" w:name="_Toc54862261"/>
      <w:bookmarkStart w:id="473" w:name="_Ref532594592"/>
      <w:bookmarkStart w:id="474" w:name="_Ref532594588"/>
      <w:r>
        <w:rPr>
          <w:rFonts w:ascii="Times New Roman" w:hAnsi="Times New Roman"/>
          <w:b w:val="0"/>
          <w:bCs/>
          <w:color w:val="auto"/>
          <w:highlight w:val="none"/>
        </w:rPr>
        <w:t>9.3 重新试验</w:t>
      </w:r>
      <w:bookmarkEnd w:id="472"/>
      <w:bookmarkEnd w:id="473"/>
      <w:bookmarkEnd w:id="47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pPr>
        <w:pStyle w:val="177"/>
        <w:widowControl/>
        <w:spacing w:afterLines="0" w:line="440" w:lineRule="exact"/>
        <w:ind w:left="0"/>
        <w:rPr>
          <w:rFonts w:ascii="Times New Roman" w:hAnsi="Times New Roman"/>
          <w:b w:val="0"/>
          <w:bCs/>
          <w:color w:val="auto"/>
          <w:highlight w:val="none"/>
        </w:rPr>
      </w:pPr>
      <w:bookmarkStart w:id="475" w:name="_Toc54862262"/>
      <w:bookmarkStart w:id="476" w:name="_Ref532688226"/>
      <w:bookmarkStart w:id="477" w:name="_Ref532688221"/>
      <w:r>
        <w:rPr>
          <w:rFonts w:ascii="Times New Roman" w:hAnsi="Times New Roman"/>
          <w:b w:val="0"/>
          <w:bCs/>
          <w:color w:val="auto"/>
          <w:highlight w:val="none"/>
        </w:rPr>
        <w:t>9.4 未能通过竣工试验</w:t>
      </w:r>
      <w:bookmarkEnd w:id="475"/>
      <w:bookmarkEnd w:id="476"/>
      <w:bookmarkEnd w:id="477"/>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9.4.1 因发包人原因导致竣工试验未能通过的，承包人进行竣工试验的费用由发包人承担，竣工日期相应顺延。</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9.4.2 如果工程或区段工程未能通过根据第9.3款[重新试验]重新进行的竣工试验的，则：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发包人有权要求承包人根据第6.6款[缺陷和修补]继续进行修补和改正，并根据第9.3款[重新试验]再次进行竣工试验；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pPr>
        <w:adjustRightInd w:val="0"/>
        <w:snapToGrid w:val="0"/>
        <w:spacing w:line="440" w:lineRule="exact"/>
        <w:ind w:firstLine="600"/>
        <w:rPr>
          <w:rFonts w:eastAsia="仿宋_GB2312"/>
          <w:color w:val="auto"/>
          <w:sz w:val="24"/>
          <w:highlight w:val="none"/>
        </w:rPr>
      </w:pPr>
      <w:bookmarkStart w:id="478" w:name="_Ref4621461"/>
      <w:r>
        <w:rPr>
          <w:rFonts w:eastAsia="仿宋_GB2312"/>
          <w:color w:val="auto"/>
          <w:sz w:val="24"/>
          <w:highlight w:val="none"/>
        </w:rPr>
        <w:t>（3） 未能通过竣工试验，使工程或区段工程的任何主要部分丧失了生产、使用功能时，发包人有权指令承包人更换相关部分，承包人应承担因此增加的费用和误期损害赔偿责任，并赔偿发包人的相应损失</w:t>
      </w:r>
      <w:bookmarkEnd w:id="478"/>
      <w:r>
        <w:rPr>
          <w:rFonts w:eastAsia="仿宋_GB2312"/>
          <w:color w:val="auto"/>
          <w:sz w:val="24"/>
          <w:highlight w:val="none"/>
        </w:rPr>
        <w:t>；</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479" w:name="_Ref4618338"/>
      <w:bookmarkStart w:id="480" w:name="_Ref4618348"/>
      <w:bookmarkStart w:id="481" w:name="_Toc54862263"/>
      <w:bookmarkStart w:id="482" w:name="_Ref4624043"/>
      <w:r>
        <w:rPr>
          <w:rFonts w:ascii="Times New Roman" w:hAnsi="Times New Roman"/>
          <w:b w:val="0"/>
          <w:color w:val="auto"/>
          <w:sz w:val="24"/>
          <w:szCs w:val="24"/>
          <w:highlight w:val="none"/>
        </w:rPr>
        <w:t>第10条 验收和工程接收</w:t>
      </w:r>
      <w:bookmarkEnd w:id="479"/>
      <w:bookmarkEnd w:id="480"/>
      <w:bookmarkEnd w:id="481"/>
      <w:bookmarkEnd w:id="482"/>
    </w:p>
    <w:p>
      <w:pPr>
        <w:pStyle w:val="177"/>
        <w:widowControl/>
        <w:spacing w:afterLines="0" w:line="440" w:lineRule="exact"/>
        <w:ind w:left="0"/>
        <w:rPr>
          <w:rFonts w:ascii="Times New Roman" w:hAnsi="Times New Roman"/>
          <w:b w:val="0"/>
          <w:bCs/>
          <w:color w:val="auto"/>
          <w:highlight w:val="none"/>
        </w:rPr>
      </w:pPr>
      <w:bookmarkStart w:id="483" w:name="_Ref532301199"/>
      <w:bookmarkStart w:id="484" w:name="_Toc54862264"/>
      <w:bookmarkStart w:id="485" w:name="_Ref532359143"/>
      <w:bookmarkStart w:id="486" w:name="_Ref532301202"/>
      <w:bookmarkStart w:id="487" w:name="_Ref532300804"/>
      <w:bookmarkStart w:id="488" w:name="_Ref532300801"/>
      <w:bookmarkStart w:id="489" w:name="_Ref532359152"/>
      <w:r>
        <w:rPr>
          <w:rFonts w:ascii="Times New Roman" w:hAnsi="Times New Roman"/>
          <w:b w:val="0"/>
          <w:bCs/>
          <w:color w:val="auto"/>
          <w:highlight w:val="none"/>
        </w:rPr>
        <w:t>10.1 竣工验收</w:t>
      </w:r>
      <w:bookmarkEnd w:id="483"/>
      <w:bookmarkEnd w:id="484"/>
      <w:bookmarkEnd w:id="485"/>
      <w:bookmarkEnd w:id="486"/>
      <w:bookmarkEnd w:id="487"/>
      <w:bookmarkEnd w:id="488"/>
      <w:bookmarkEnd w:id="489"/>
    </w:p>
    <w:p>
      <w:pPr>
        <w:pStyle w:val="178"/>
        <w:spacing w:afterLines="0" w:line="440" w:lineRule="exact"/>
        <w:ind w:left="0"/>
        <w:rPr>
          <w:rFonts w:ascii="Times New Roman" w:hAnsi="Times New Roman" w:eastAsia="仿宋_GB2312"/>
          <w:color w:val="auto"/>
          <w:szCs w:val="24"/>
          <w:highlight w:val="none"/>
        </w:rPr>
      </w:pPr>
      <w:bookmarkStart w:id="490" w:name="_Ref532628356"/>
      <w:r>
        <w:rPr>
          <w:rFonts w:ascii="Times New Roman" w:hAnsi="Times New Roman" w:eastAsia="仿宋_GB2312"/>
          <w:color w:val="auto"/>
          <w:szCs w:val="24"/>
          <w:highlight w:val="none"/>
        </w:rPr>
        <w:t>10.1.1 竣工验收条件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工程具备以下条件的，承包人可以申请竣工验收：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已按合同约定编制了扫尾工作和缺陷修补工作清单以及相应实施计划；</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已按合同约定的内容和份数备齐竣工资料；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合同约定要求在竣工验收前应完成的其他工作。</w:t>
      </w:r>
    </w:p>
    <w:bookmarkEnd w:id="490"/>
    <w:p>
      <w:pPr>
        <w:pStyle w:val="178"/>
        <w:spacing w:afterLines="0" w:line="440" w:lineRule="exact"/>
        <w:ind w:left="0"/>
        <w:rPr>
          <w:rFonts w:ascii="Times New Roman" w:hAnsi="Times New Roman" w:eastAsia="仿宋_GB2312"/>
          <w:color w:val="auto"/>
          <w:szCs w:val="24"/>
          <w:highlight w:val="none"/>
        </w:rPr>
      </w:pPr>
      <w:bookmarkStart w:id="491" w:name="_Ref4429424"/>
      <w:bookmarkStart w:id="492" w:name="_Hlk51506601"/>
      <w:r>
        <w:rPr>
          <w:rFonts w:ascii="Times New Roman" w:hAnsi="Times New Roman" w:eastAsia="仿宋_GB2312"/>
          <w:color w:val="auto"/>
          <w:szCs w:val="24"/>
          <w:highlight w:val="none"/>
        </w:rPr>
        <w:t>10.1.2 竣工验收程序</w:t>
      </w:r>
      <w:bookmarkEnd w:id="491"/>
    </w:p>
    <w:bookmarkEnd w:id="492"/>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除专用合同条件另有约定外，承包人申请竣工验收的，应当按照以下程序进行：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adjustRightInd w:val="0"/>
        <w:snapToGrid w:val="0"/>
        <w:spacing w:line="440" w:lineRule="exact"/>
        <w:ind w:firstLine="600"/>
        <w:rPr>
          <w:rFonts w:eastAsia="仿宋_GB2312"/>
          <w:color w:val="auto"/>
          <w:sz w:val="24"/>
          <w:highlight w:val="none"/>
        </w:rPr>
      </w:pPr>
      <w:bookmarkStart w:id="493" w:name="_Hlk51506640"/>
      <w:r>
        <w:rPr>
          <w:rFonts w:eastAsia="仿宋_GB2312"/>
          <w:color w:val="auto"/>
          <w:sz w:val="24"/>
          <w:highlight w:val="none"/>
        </w:rPr>
        <w:t>（4） 因发包人原因，未在工程师收到承包人竣工验收申请报告之日起42天内完成竣工验收的，以承包人提交竣工验收申请报告之日作为工程实际竣工日期。</w:t>
      </w:r>
    </w:p>
    <w:bookmarkEnd w:id="493"/>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工程未经竣工验收，发包人擅自使用的，以转移占有工程之日为实际竣工日期。</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除专用合同条件另有约定外，发包人不按照本项和第10.4款[接收证书]约定组织竣工验收、颁发工程接收证书的，每逾期一天，应以签约合同价为基数，按照贷款市场报价利率（LPR）支付违约金。</w:t>
      </w:r>
    </w:p>
    <w:p>
      <w:pPr>
        <w:pStyle w:val="177"/>
        <w:widowControl/>
        <w:spacing w:afterLines="0" w:line="440" w:lineRule="exact"/>
        <w:ind w:left="0"/>
        <w:rPr>
          <w:rFonts w:ascii="Times New Roman" w:hAnsi="Times New Roman"/>
          <w:b w:val="0"/>
          <w:bCs/>
          <w:color w:val="auto"/>
          <w:highlight w:val="none"/>
        </w:rPr>
      </w:pPr>
      <w:bookmarkStart w:id="494" w:name="_Ref532301213"/>
      <w:bookmarkStart w:id="495" w:name="_Ref532301210"/>
      <w:bookmarkStart w:id="496" w:name="_Toc54862265"/>
      <w:r>
        <w:rPr>
          <w:rFonts w:ascii="Times New Roman" w:hAnsi="Times New Roman"/>
          <w:b w:val="0"/>
          <w:bCs/>
          <w:color w:val="auto"/>
          <w:highlight w:val="none"/>
        </w:rPr>
        <w:t>10.2 单位/区段工程的验收</w:t>
      </w:r>
      <w:bookmarkEnd w:id="494"/>
      <w:bookmarkEnd w:id="495"/>
      <w:bookmarkEnd w:id="496"/>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10.2.1 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10.2.2 发包人在全部工程竣工前，使用已接收的单位/区段工程导致承包人费用增加的，发包人应承担由此增加的费用和（或）工期延误，并支付承包人合理利润。</w:t>
      </w:r>
    </w:p>
    <w:p>
      <w:pPr>
        <w:pStyle w:val="177"/>
        <w:widowControl/>
        <w:spacing w:afterLines="0" w:line="440" w:lineRule="exact"/>
        <w:ind w:left="0"/>
        <w:rPr>
          <w:rFonts w:ascii="Times New Roman" w:hAnsi="Times New Roman"/>
          <w:b w:val="0"/>
          <w:bCs/>
          <w:color w:val="auto"/>
          <w:highlight w:val="none"/>
        </w:rPr>
      </w:pPr>
      <w:bookmarkStart w:id="497" w:name="_Toc54862266"/>
      <w:bookmarkStart w:id="498" w:name="_Ref4429473"/>
      <w:bookmarkStart w:id="499" w:name="_Ref532688354"/>
      <w:bookmarkStart w:id="500" w:name="_Ref532688351"/>
      <w:r>
        <w:rPr>
          <w:rFonts w:ascii="Times New Roman" w:hAnsi="Times New Roman"/>
          <w:b w:val="0"/>
          <w:bCs/>
          <w:color w:val="auto"/>
          <w:highlight w:val="none"/>
        </w:rPr>
        <w:t>10.3 工程的接收</w:t>
      </w:r>
      <w:bookmarkEnd w:id="497"/>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10.3.1 根据工程项目的具体情况和特点，可按工程或单位/区段工程进行接收，并在专用合同条件约定接收的先后顺序、时间安排和其他要求。</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10.3.2 除按本条约定已经提交的资料外，接收工程时承包人需提交竣工验收资料的类别、内容、份数和提交时间，在专用合同条件中约定。</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10.3.3 发包人无正当理由不接收工程的，发包人自应当接收工程之日起，承担工程照管、成品保护、保管等与工程有关的各项费用，合同当事人可以在专用合同条件中另行约定发包人逾期接收工程的违约责任。</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10.3.4 承包人无正当理由不移交工程的，承包人应承担工程照管、成品保护、保管等与工程有关的各项费用，合同当事人可以在专用合同条件中另行约定承包人无正当理由不移交工程的违约责任。</w:t>
      </w:r>
    </w:p>
    <w:p>
      <w:pPr>
        <w:pStyle w:val="177"/>
        <w:widowControl/>
        <w:spacing w:afterLines="0" w:line="440" w:lineRule="exact"/>
        <w:ind w:left="0"/>
        <w:rPr>
          <w:rFonts w:ascii="Times New Roman" w:hAnsi="Times New Roman"/>
          <w:b w:val="0"/>
          <w:bCs/>
          <w:color w:val="auto"/>
          <w:highlight w:val="none"/>
        </w:rPr>
      </w:pPr>
      <w:bookmarkStart w:id="501" w:name="_Toc54862267"/>
      <w:r>
        <w:rPr>
          <w:rFonts w:ascii="Times New Roman" w:hAnsi="Times New Roman"/>
          <w:b w:val="0"/>
          <w:bCs/>
          <w:color w:val="auto"/>
          <w:highlight w:val="none"/>
        </w:rPr>
        <w:t>10.4 接收证书</w:t>
      </w:r>
      <w:bookmarkEnd w:id="498"/>
      <w:bookmarkEnd w:id="501"/>
    </w:p>
    <w:p>
      <w:pPr>
        <w:pStyle w:val="178"/>
        <w:spacing w:afterLines="0" w:line="440" w:lineRule="exact"/>
        <w:ind w:left="0"/>
        <w:rPr>
          <w:rFonts w:ascii="Times New Roman" w:hAnsi="Times New Roman" w:eastAsia="仿宋_GB2312"/>
          <w:color w:val="auto"/>
          <w:szCs w:val="24"/>
          <w:highlight w:val="none"/>
        </w:rPr>
      </w:pPr>
      <w:bookmarkStart w:id="502" w:name="_Ref4429542"/>
      <w:r>
        <w:rPr>
          <w:rFonts w:ascii="Times New Roman" w:hAnsi="Times New Roman" w:eastAsia="仿宋_GB2312"/>
          <w:color w:val="auto"/>
          <w:szCs w:val="24"/>
          <w:highlight w:val="none"/>
        </w:rPr>
        <w:t>10.4.1 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502"/>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10.4.3 竣工验收合格而发包人无正当理由逾期不颁发工程接收证书的，自验收合格后第15天起视为已颁发工程接收证书。</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10.4.4 工程未经验收或验收不合格，发包人擅自使用的，应在转移占有工程后7天内向承包人颁发工程接收证书；发包人无正当理由逾期不颁发工程接收证书的，自转移占有后第15天起视为已颁发工程接收证书。</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10.4.5 存在扫尾工作的，工程接收证书中应当将第14.5.3项[扫尾工作清单]中约定的扫尾工作清单作为工程接收证书附件。</w:t>
      </w:r>
    </w:p>
    <w:bookmarkEnd w:id="499"/>
    <w:bookmarkEnd w:id="500"/>
    <w:p>
      <w:pPr>
        <w:pStyle w:val="177"/>
        <w:widowControl/>
        <w:spacing w:afterLines="0" w:line="440" w:lineRule="exact"/>
        <w:ind w:left="0"/>
        <w:rPr>
          <w:rFonts w:ascii="Times New Roman" w:hAnsi="Times New Roman"/>
          <w:b w:val="0"/>
          <w:bCs/>
          <w:color w:val="auto"/>
          <w:highlight w:val="none"/>
        </w:rPr>
      </w:pPr>
      <w:bookmarkStart w:id="503" w:name="_Toc54862268"/>
      <w:bookmarkStart w:id="504" w:name="_Ref4429932"/>
      <w:bookmarkStart w:id="505" w:name="_Ref4429935"/>
      <w:r>
        <w:rPr>
          <w:rFonts w:ascii="Times New Roman" w:hAnsi="Times New Roman"/>
          <w:b w:val="0"/>
          <w:bCs/>
          <w:color w:val="auto"/>
          <w:highlight w:val="none"/>
        </w:rPr>
        <w:t>10.5 竣工退场</w:t>
      </w:r>
      <w:bookmarkEnd w:id="503"/>
      <w:bookmarkEnd w:id="504"/>
      <w:bookmarkEnd w:id="505"/>
    </w:p>
    <w:p>
      <w:pPr>
        <w:pStyle w:val="178"/>
        <w:spacing w:afterLines="0" w:line="440" w:lineRule="exact"/>
        <w:ind w:left="0"/>
        <w:rPr>
          <w:rFonts w:ascii="Times New Roman" w:hAnsi="Times New Roman" w:eastAsia="仿宋_GB2312"/>
          <w:color w:val="auto"/>
          <w:szCs w:val="24"/>
          <w:highlight w:val="none"/>
        </w:rPr>
      </w:pPr>
      <w:bookmarkStart w:id="506" w:name="_Ref4429943"/>
      <w:r>
        <w:rPr>
          <w:rFonts w:ascii="Times New Roman" w:hAnsi="Times New Roman" w:eastAsia="仿宋_GB2312"/>
          <w:color w:val="auto"/>
          <w:szCs w:val="24"/>
          <w:highlight w:val="none"/>
        </w:rPr>
        <w:t>10.5.1 竣工退场</w:t>
      </w:r>
      <w:bookmarkEnd w:id="50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颁发工程接收证书后，承包人应对施工现场进行清理，并撤离相关人员，使得施工现场处于以下状态，直至工程师检验合格为止：</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施工现场内残留的垃圾已全部清除出场；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临时工程已拆除，场地已按合同约定进行清理、平整或复原；</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按合同约定应撤离的人员、承包人提供的施工设备和剩余的材料，包括废弃的施工设备和材料，已按计划撤离施工现场；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施工现场周边及其附近道路、河道的施工堆积物，已全部清理；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施工现场其他竣工退场工作已全部完成。</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10.5.2 地表还原</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承包人应按合同约定和工程师的要求恢复临时占地及清理场地，否则发包人有权委托其他人恢复或清理，所发生的费用由承包人承担。</w:t>
      </w:r>
    </w:p>
    <w:p>
      <w:pPr>
        <w:pStyle w:val="178"/>
        <w:spacing w:afterLines="0" w:line="440" w:lineRule="exact"/>
        <w:ind w:left="0"/>
        <w:rPr>
          <w:rFonts w:ascii="Times New Roman" w:hAnsi="Times New Roman" w:eastAsia="仿宋_GB2312"/>
          <w:color w:val="auto"/>
          <w:szCs w:val="24"/>
          <w:highlight w:val="none"/>
        </w:rPr>
      </w:pPr>
      <w:bookmarkStart w:id="507" w:name="_Ref20159437"/>
      <w:r>
        <w:rPr>
          <w:rFonts w:ascii="Times New Roman" w:hAnsi="Times New Roman" w:eastAsia="仿宋_GB2312"/>
          <w:color w:val="auto"/>
          <w:szCs w:val="24"/>
          <w:highlight w:val="none"/>
        </w:rPr>
        <w:t>10.5.3 人员撤离</w:t>
      </w:r>
      <w:bookmarkEnd w:id="50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391"/>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508" w:name="_Ref4796906"/>
      <w:bookmarkStart w:id="509" w:name="_Ref531955009"/>
      <w:bookmarkStart w:id="510" w:name="_Toc54862269"/>
      <w:bookmarkStart w:id="511" w:name="_Ref4796909"/>
      <w:r>
        <w:rPr>
          <w:rFonts w:ascii="Times New Roman" w:hAnsi="Times New Roman"/>
          <w:b w:val="0"/>
          <w:color w:val="auto"/>
          <w:sz w:val="24"/>
          <w:szCs w:val="24"/>
          <w:highlight w:val="none"/>
        </w:rPr>
        <w:t>第11条 缺陷责任与保修</w:t>
      </w:r>
      <w:bookmarkEnd w:id="508"/>
      <w:bookmarkEnd w:id="509"/>
      <w:bookmarkEnd w:id="510"/>
      <w:bookmarkEnd w:id="511"/>
    </w:p>
    <w:p>
      <w:pPr>
        <w:pStyle w:val="177"/>
        <w:widowControl/>
        <w:spacing w:afterLines="0" w:line="440" w:lineRule="exact"/>
        <w:ind w:left="0"/>
        <w:rPr>
          <w:rFonts w:ascii="Times New Roman" w:hAnsi="Times New Roman"/>
          <w:b w:val="0"/>
          <w:bCs/>
          <w:color w:val="auto"/>
          <w:highlight w:val="none"/>
        </w:rPr>
      </w:pPr>
      <w:bookmarkStart w:id="512" w:name="_Toc54862270"/>
      <w:bookmarkStart w:id="513" w:name="_Ref531955248"/>
      <w:bookmarkStart w:id="514" w:name="_Ref531955245"/>
      <w:bookmarkStart w:id="515" w:name="_Ref532362928"/>
      <w:bookmarkStart w:id="516" w:name="_Toc296346648"/>
      <w:bookmarkStart w:id="517" w:name="_Toc337558841"/>
      <w:bookmarkStart w:id="518" w:name="_Toc296503147"/>
      <w:r>
        <w:rPr>
          <w:rFonts w:ascii="Times New Roman" w:hAnsi="Times New Roman"/>
          <w:b w:val="0"/>
          <w:bCs/>
          <w:color w:val="auto"/>
          <w:highlight w:val="none"/>
        </w:rPr>
        <w:t>11.1 工程保修的原则</w:t>
      </w:r>
      <w:bookmarkEnd w:id="51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在工程移交发包人后，因承包人原因产生的质量缺陷，承包人应承担质量缺陷责任和保修义务。缺陷责任期届满，承包人仍应按合同约定的工程各部位保修年限承担保修义务。</w:t>
      </w:r>
    </w:p>
    <w:p>
      <w:pPr>
        <w:pStyle w:val="177"/>
        <w:widowControl/>
        <w:spacing w:afterLines="0" w:line="440" w:lineRule="exact"/>
        <w:ind w:left="0"/>
        <w:rPr>
          <w:rFonts w:ascii="Times New Roman" w:hAnsi="Times New Roman"/>
          <w:b w:val="0"/>
          <w:bCs/>
          <w:color w:val="auto"/>
          <w:highlight w:val="none"/>
        </w:rPr>
      </w:pPr>
      <w:bookmarkStart w:id="519" w:name="_Ref4430062"/>
      <w:bookmarkStart w:id="520" w:name="_Toc54862271"/>
      <w:r>
        <w:rPr>
          <w:rFonts w:ascii="Times New Roman" w:hAnsi="Times New Roman"/>
          <w:b w:val="0"/>
          <w:bCs/>
          <w:color w:val="auto"/>
          <w:highlight w:val="none"/>
        </w:rPr>
        <w:t>11.2 缺陷责任</w:t>
      </w:r>
      <w:bookmarkEnd w:id="513"/>
      <w:bookmarkEnd w:id="514"/>
      <w:r>
        <w:rPr>
          <w:rFonts w:ascii="Times New Roman" w:hAnsi="Times New Roman"/>
          <w:b w:val="0"/>
          <w:bCs/>
          <w:color w:val="auto"/>
          <w:highlight w:val="none"/>
        </w:rPr>
        <w:t>期</w:t>
      </w:r>
      <w:bookmarkEnd w:id="515"/>
      <w:bookmarkEnd w:id="519"/>
      <w:bookmarkEnd w:id="52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缺陷责任期原则上从工程竣工验收合格之日起计算，合同当事人应在专用合同条件约定缺陷责任期的具体期限，但该期限最长不超过24个月。</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pPr>
        <w:pStyle w:val="177"/>
        <w:widowControl/>
        <w:spacing w:afterLines="0" w:line="440" w:lineRule="exact"/>
        <w:ind w:left="0"/>
        <w:rPr>
          <w:rFonts w:ascii="Times New Roman" w:hAnsi="Times New Roman"/>
          <w:b w:val="0"/>
          <w:bCs/>
          <w:color w:val="auto"/>
          <w:highlight w:val="none"/>
        </w:rPr>
      </w:pPr>
      <w:bookmarkStart w:id="521" w:name="_Toc54862272"/>
      <w:bookmarkStart w:id="522" w:name="_Ref532662491"/>
      <w:bookmarkStart w:id="523" w:name="_Ref532662486"/>
      <w:r>
        <w:rPr>
          <w:rFonts w:ascii="Times New Roman" w:hAnsi="Times New Roman"/>
          <w:b w:val="0"/>
          <w:bCs/>
          <w:color w:val="auto"/>
          <w:highlight w:val="none"/>
        </w:rPr>
        <w:t>11.3 缺陷调查</w:t>
      </w:r>
      <w:bookmarkEnd w:id="521"/>
      <w:bookmarkEnd w:id="522"/>
      <w:bookmarkEnd w:id="523"/>
    </w:p>
    <w:p>
      <w:pPr>
        <w:pStyle w:val="178"/>
        <w:spacing w:afterLines="0" w:line="440" w:lineRule="exact"/>
        <w:ind w:left="0"/>
        <w:rPr>
          <w:rFonts w:ascii="Times New Roman" w:hAnsi="Times New Roman" w:eastAsia="仿宋_GB2312"/>
          <w:b/>
          <w:color w:val="auto"/>
          <w:szCs w:val="24"/>
          <w:highlight w:val="none"/>
        </w:rPr>
      </w:pPr>
      <w:r>
        <w:rPr>
          <w:rFonts w:ascii="Times New Roman" w:hAnsi="Times New Roman" w:eastAsia="仿宋_GB2312"/>
          <w:color w:val="auto"/>
          <w:szCs w:val="24"/>
          <w:highlight w:val="none"/>
        </w:rPr>
        <w:t>11.3.1 承包人缺陷调查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11.3.2 缺陷责任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11.3.3 修复费用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发包人和承包人应共同查清缺陷或损坏的原因。经查明属承包人原因造成的，应由承包人承担修复的费用。经查验非承包人原因造成的，发包人应承担修复的费用，并支付承包人合理利润。</w:t>
      </w:r>
    </w:p>
    <w:p>
      <w:pPr>
        <w:pStyle w:val="178"/>
        <w:spacing w:afterLines="0" w:line="440" w:lineRule="exact"/>
        <w:ind w:left="0"/>
        <w:rPr>
          <w:rFonts w:ascii="Times New Roman" w:hAnsi="Times New Roman" w:eastAsia="仿宋_GB2312"/>
          <w:color w:val="auto"/>
          <w:szCs w:val="24"/>
          <w:highlight w:val="none"/>
        </w:rPr>
      </w:pPr>
      <w:bookmarkStart w:id="524" w:name="_Ref531955041"/>
      <w:r>
        <w:rPr>
          <w:rFonts w:ascii="Times New Roman" w:hAnsi="Times New Roman" w:eastAsia="仿宋_GB2312"/>
          <w:color w:val="auto"/>
          <w:szCs w:val="24"/>
          <w:highlight w:val="none"/>
        </w:rPr>
        <w:t>11.3.4 修复通知</w:t>
      </w:r>
      <w:bookmarkEnd w:id="52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11.3.5 在现场外修复</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pPr>
        <w:pStyle w:val="178"/>
        <w:spacing w:afterLines="0" w:line="440" w:lineRule="exact"/>
        <w:ind w:left="0"/>
        <w:rPr>
          <w:rFonts w:ascii="Times New Roman" w:hAnsi="Times New Roman" w:eastAsia="仿宋_GB2312"/>
          <w:color w:val="auto"/>
          <w:szCs w:val="24"/>
          <w:highlight w:val="none"/>
        </w:rPr>
      </w:pPr>
      <w:bookmarkStart w:id="525" w:name="_Ref4534291"/>
      <w:bookmarkStart w:id="526" w:name="_Hlk51506786"/>
      <w:r>
        <w:rPr>
          <w:rFonts w:ascii="Times New Roman" w:hAnsi="Times New Roman" w:eastAsia="仿宋_GB2312"/>
          <w:color w:val="auto"/>
          <w:szCs w:val="24"/>
          <w:highlight w:val="none"/>
        </w:rPr>
        <w:t>11.3.6 未能修复</w:t>
      </w:r>
      <w:bookmarkEnd w:id="525"/>
    </w:p>
    <w:bookmarkEnd w:id="526"/>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如果工程或工程设备的缺陷或损害使发包人实质上失去了工程的整体功能，发包人有权向承包人追回已支付的工程款项，并要求其赔偿发包人相应损失。</w:t>
      </w:r>
    </w:p>
    <w:bookmarkEnd w:id="516"/>
    <w:bookmarkEnd w:id="517"/>
    <w:bookmarkEnd w:id="518"/>
    <w:p>
      <w:pPr>
        <w:pStyle w:val="177"/>
        <w:widowControl/>
        <w:spacing w:afterLines="0" w:line="440" w:lineRule="exact"/>
        <w:ind w:left="0"/>
        <w:rPr>
          <w:rFonts w:ascii="Times New Roman" w:hAnsi="Times New Roman"/>
          <w:b w:val="0"/>
          <w:bCs/>
          <w:color w:val="auto"/>
          <w:highlight w:val="none"/>
        </w:rPr>
      </w:pPr>
      <w:bookmarkStart w:id="527" w:name="_Ref532662554"/>
      <w:bookmarkStart w:id="528" w:name="_Toc54862273"/>
      <w:bookmarkStart w:id="529" w:name="_Ref532662552"/>
      <w:r>
        <w:rPr>
          <w:rFonts w:ascii="Times New Roman" w:hAnsi="Times New Roman"/>
          <w:b w:val="0"/>
          <w:bCs/>
          <w:color w:val="auto"/>
          <w:highlight w:val="none"/>
        </w:rPr>
        <w:t>11.4 缺陷修复后的进一步试验</w:t>
      </w:r>
      <w:bookmarkEnd w:id="527"/>
      <w:bookmarkEnd w:id="528"/>
      <w:bookmarkEnd w:id="52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所有的重复试验应按照适用于先前试验的条款进行，但应由责任方承担修补工作的成本和重新试验的风险和费用。</w:t>
      </w:r>
    </w:p>
    <w:p>
      <w:pPr>
        <w:pStyle w:val="177"/>
        <w:widowControl/>
        <w:spacing w:afterLines="0" w:line="440" w:lineRule="exact"/>
        <w:ind w:left="0"/>
        <w:rPr>
          <w:rFonts w:ascii="Times New Roman" w:hAnsi="Times New Roman"/>
          <w:b w:val="0"/>
          <w:bCs/>
          <w:color w:val="auto"/>
          <w:highlight w:val="none"/>
        </w:rPr>
      </w:pPr>
      <w:bookmarkStart w:id="530" w:name="_Toc54862274"/>
      <w:r>
        <w:rPr>
          <w:rFonts w:ascii="Times New Roman" w:hAnsi="Times New Roman"/>
          <w:b w:val="0"/>
          <w:bCs/>
          <w:color w:val="auto"/>
          <w:highlight w:val="none"/>
        </w:rPr>
        <w:t>11.5 承包人出入权</w:t>
      </w:r>
      <w:bookmarkEnd w:id="53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pPr>
        <w:pStyle w:val="177"/>
        <w:widowControl/>
        <w:spacing w:afterLines="0" w:line="440" w:lineRule="exact"/>
        <w:ind w:left="0"/>
        <w:rPr>
          <w:rFonts w:ascii="Times New Roman" w:hAnsi="Times New Roman"/>
          <w:b w:val="0"/>
          <w:bCs/>
          <w:color w:val="auto"/>
          <w:highlight w:val="none"/>
        </w:rPr>
      </w:pPr>
      <w:bookmarkStart w:id="531" w:name="_Toc54862275"/>
      <w:bookmarkStart w:id="532" w:name="_Ref4430229"/>
      <w:bookmarkStart w:id="533" w:name="_Ref4430223"/>
      <w:r>
        <w:rPr>
          <w:rFonts w:ascii="Times New Roman" w:hAnsi="Times New Roman"/>
          <w:b w:val="0"/>
          <w:bCs/>
          <w:color w:val="auto"/>
          <w:highlight w:val="none"/>
        </w:rPr>
        <w:t>11.6 缺陷责任期终止证书</w:t>
      </w:r>
      <w:bookmarkEnd w:id="531"/>
      <w:bookmarkEnd w:id="532"/>
      <w:bookmarkEnd w:id="53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w:t>
      </w:r>
      <w:bookmarkStart w:id="534" w:name="_Hlk4686672"/>
      <w:r>
        <w:rPr>
          <w:rFonts w:eastAsia="仿宋_GB2312"/>
          <w:color w:val="auto"/>
          <w:sz w:val="24"/>
          <w:highlight w:val="none"/>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53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如根据第10.5.3项[人员撤离]承包人在施工现场还留有人员、施工设备和临时工程的，承包人应当在收到缺陷责任期终止证书后28天内，将上述人员、施工设备和临时工程撤离施工现场。</w:t>
      </w:r>
    </w:p>
    <w:p>
      <w:pPr>
        <w:pStyle w:val="177"/>
        <w:widowControl/>
        <w:spacing w:afterLines="0" w:line="440" w:lineRule="exact"/>
        <w:ind w:left="0"/>
        <w:rPr>
          <w:rFonts w:ascii="Times New Roman" w:hAnsi="Times New Roman"/>
          <w:b w:val="0"/>
          <w:bCs/>
          <w:color w:val="auto"/>
          <w:highlight w:val="none"/>
        </w:rPr>
      </w:pPr>
      <w:bookmarkStart w:id="535" w:name="_Ref4430272"/>
      <w:bookmarkStart w:id="536" w:name="_Toc54862276"/>
      <w:r>
        <w:rPr>
          <w:rFonts w:ascii="Times New Roman" w:hAnsi="Times New Roman"/>
          <w:b w:val="0"/>
          <w:bCs/>
          <w:color w:val="auto"/>
          <w:highlight w:val="none"/>
        </w:rPr>
        <w:t>11.7 保修责任</w:t>
      </w:r>
      <w:bookmarkEnd w:id="535"/>
      <w:bookmarkEnd w:id="53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因承包人原因导致的质量缺陷责任，由合同当事人根据有关法律规定，在专用合同条件和工程质量保修书中约定工程质量保修范围、期限和责任。</w:t>
      </w:r>
      <w:bookmarkEnd w:id="383"/>
      <w:bookmarkStart w:id="537" w:name="_Ref531957860"/>
      <w:bookmarkStart w:id="538" w:name="_Ref531958289"/>
    </w:p>
    <w:bookmarkEnd w:id="537"/>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539" w:name="_Toc54862277"/>
      <w:bookmarkStart w:id="540" w:name="_Ref4621065"/>
      <w:bookmarkStart w:id="541" w:name="_Ref4621057"/>
      <w:bookmarkStart w:id="542" w:name="_Ref4796958"/>
      <w:bookmarkStart w:id="543" w:name="_Ref4796955"/>
      <w:r>
        <w:rPr>
          <w:rFonts w:ascii="Times New Roman" w:hAnsi="Times New Roman"/>
          <w:b w:val="0"/>
          <w:color w:val="auto"/>
          <w:sz w:val="24"/>
          <w:szCs w:val="24"/>
          <w:highlight w:val="none"/>
        </w:rPr>
        <w:t>第12条 竣工后试验</w:t>
      </w:r>
      <w:bookmarkEnd w:id="539"/>
      <w:bookmarkEnd w:id="540"/>
      <w:bookmarkEnd w:id="54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本合同工程包含竣工后试验的，遵守本条约定。</w:t>
      </w:r>
    </w:p>
    <w:p>
      <w:pPr>
        <w:pStyle w:val="177"/>
        <w:widowControl/>
        <w:spacing w:afterLines="0" w:line="440" w:lineRule="exact"/>
        <w:ind w:left="0"/>
        <w:rPr>
          <w:rFonts w:ascii="Times New Roman" w:hAnsi="Times New Roman"/>
          <w:b w:val="0"/>
          <w:bCs/>
          <w:color w:val="auto"/>
          <w:highlight w:val="none"/>
        </w:rPr>
      </w:pPr>
      <w:bookmarkStart w:id="544" w:name="_Ref531954601"/>
      <w:bookmarkStart w:id="545" w:name="_Ref531954604"/>
      <w:bookmarkStart w:id="546" w:name="_Toc54862278"/>
      <w:bookmarkStart w:id="547" w:name="_Ref531954694"/>
      <w:bookmarkStart w:id="548" w:name="_Hlk522259976"/>
      <w:r>
        <w:rPr>
          <w:rFonts w:ascii="Times New Roman" w:hAnsi="Times New Roman"/>
          <w:b w:val="0"/>
          <w:bCs/>
          <w:color w:val="auto"/>
          <w:highlight w:val="none"/>
        </w:rPr>
        <w:t>12.1 竣工后试验</w:t>
      </w:r>
      <w:bookmarkEnd w:id="544"/>
      <w:bookmarkEnd w:id="545"/>
      <w:r>
        <w:rPr>
          <w:rFonts w:ascii="Times New Roman" w:hAnsi="Times New Roman"/>
          <w:b w:val="0"/>
          <w:bCs/>
          <w:color w:val="auto"/>
          <w:highlight w:val="none"/>
        </w:rPr>
        <w:t>的程序</w:t>
      </w:r>
      <w:bookmarkEnd w:id="546"/>
      <w:bookmarkEnd w:id="547"/>
    </w:p>
    <w:p>
      <w:pPr>
        <w:pStyle w:val="178"/>
        <w:spacing w:afterLines="0" w:line="440" w:lineRule="exact"/>
        <w:ind w:left="0"/>
        <w:rPr>
          <w:rFonts w:ascii="Times New Roman" w:hAnsi="Times New Roman" w:eastAsia="仿宋_GB2312"/>
          <w:color w:val="auto"/>
          <w:szCs w:val="24"/>
          <w:highlight w:val="none"/>
        </w:rPr>
      </w:pPr>
      <w:bookmarkStart w:id="549" w:name="_Ref11920184"/>
      <w:r>
        <w:rPr>
          <w:rFonts w:ascii="Times New Roman" w:hAnsi="Times New Roman" w:eastAsia="仿宋_GB2312"/>
          <w:color w:val="auto"/>
          <w:szCs w:val="24"/>
          <w:highlight w:val="none"/>
        </w:rPr>
        <w:t>12.1.1 工程或区段工程被发包人接收后，在合理可行的情况下应根据合同约定尽早进行竣工后试验。</w:t>
      </w:r>
      <w:bookmarkEnd w:id="549"/>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pPr>
        <w:pStyle w:val="178"/>
        <w:spacing w:afterLines="0" w:line="440" w:lineRule="exact"/>
        <w:ind w:left="0"/>
        <w:rPr>
          <w:rFonts w:ascii="Times New Roman" w:hAnsi="Times New Roman" w:eastAsia="仿宋_GB2312"/>
          <w:color w:val="auto"/>
          <w:szCs w:val="24"/>
          <w:highlight w:val="none"/>
        </w:rPr>
      </w:pPr>
      <w:bookmarkStart w:id="550" w:name="_Ref11920162"/>
      <w:r>
        <w:rPr>
          <w:rFonts w:ascii="Times New Roman" w:hAnsi="Times New Roman" w:eastAsia="仿宋_GB2312"/>
          <w:color w:val="auto"/>
          <w:szCs w:val="24"/>
          <w:highlight w:val="none"/>
        </w:rPr>
        <w:t>12.1.3 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550"/>
    </w:p>
    <w:p>
      <w:pPr>
        <w:pStyle w:val="178"/>
        <w:spacing w:afterLines="0" w:line="440" w:lineRule="exact"/>
        <w:ind w:left="0"/>
        <w:rPr>
          <w:rFonts w:ascii="Times New Roman" w:hAnsi="Times New Roman" w:eastAsia="仿宋_GB2312"/>
          <w:color w:val="auto"/>
          <w:szCs w:val="24"/>
          <w:highlight w:val="none"/>
        </w:rPr>
      </w:pPr>
      <w:bookmarkStart w:id="551" w:name="_Ref11920146"/>
      <w:r>
        <w:rPr>
          <w:rFonts w:ascii="Times New Roman" w:hAnsi="Times New Roman" w:eastAsia="仿宋_GB2312"/>
          <w:color w:val="auto"/>
          <w:szCs w:val="24"/>
          <w:highlight w:val="none"/>
        </w:rPr>
        <w:t>12.1.4 发包人应根据《发包人要求》、承包人按照第5.5款</w:t>
      </w:r>
      <w:bookmarkStart w:id="552" w:name="_Hlk18943978"/>
      <w:r>
        <w:rPr>
          <w:rFonts w:ascii="Times New Roman" w:hAnsi="Times New Roman" w:eastAsia="仿宋_GB2312"/>
          <w:color w:val="auto"/>
          <w:szCs w:val="24"/>
          <w:highlight w:val="none"/>
        </w:rPr>
        <w:t>[操作和维修手册]</w:t>
      </w:r>
      <w:bookmarkEnd w:id="552"/>
      <w:r>
        <w:rPr>
          <w:rFonts w:ascii="Times New Roman" w:hAnsi="Times New Roman" w:eastAsia="仿宋_GB2312"/>
          <w:color w:val="auto"/>
          <w:szCs w:val="24"/>
          <w:highlight w:val="none"/>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551"/>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12.1.5 竣工后试验的结果应由双方进行整理和评价，并应适当考虑发包人对工程或其任何部分的使用，对工程或区段工程的性能、特性和试验结果产生的影响。</w:t>
      </w:r>
    </w:p>
    <w:p>
      <w:pPr>
        <w:pStyle w:val="177"/>
        <w:widowControl/>
        <w:spacing w:afterLines="0" w:line="440" w:lineRule="exact"/>
        <w:ind w:left="0"/>
        <w:rPr>
          <w:rFonts w:ascii="Times New Roman" w:hAnsi="Times New Roman"/>
          <w:b w:val="0"/>
          <w:bCs/>
          <w:color w:val="auto"/>
          <w:highlight w:val="none"/>
        </w:rPr>
      </w:pPr>
      <w:bookmarkStart w:id="553" w:name="_Ref531954785"/>
      <w:bookmarkStart w:id="554" w:name="_Ref531954781"/>
      <w:bookmarkStart w:id="555" w:name="_Toc54862279"/>
      <w:r>
        <w:rPr>
          <w:rFonts w:ascii="Times New Roman" w:hAnsi="Times New Roman"/>
          <w:b w:val="0"/>
          <w:bCs/>
          <w:color w:val="auto"/>
          <w:highlight w:val="none"/>
        </w:rPr>
        <w:t>12.2 延误的试验</w:t>
      </w:r>
      <w:bookmarkEnd w:id="553"/>
      <w:bookmarkEnd w:id="554"/>
      <w:bookmarkEnd w:id="555"/>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12.2.1 如果竣工后试验因发包人原因被延误的，发包人应承担承包人由此增加的费用并支付承包人合理利润。</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12.2.2 如果因承包人以外的原因，导致竣工后试验未能在缺陷责任期或双方另行同意的其他期限内完成，则相关工程或区段工程应视为已通过该竣工后试验。</w:t>
      </w:r>
    </w:p>
    <w:p>
      <w:pPr>
        <w:pStyle w:val="177"/>
        <w:widowControl/>
        <w:spacing w:afterLines="0" w:line="440" w:lineRule="exact"/>
        <w:ind w:left="0"/>
        <w:rPr>
          <w:rFonts w:ascii="Times New Roman" w:hAnsi="Times New Roman"/>
          <w:b w:val="0"/>
          <w:bCs/>
          <w:color w:val="auto"/>
          <w:highlight w:val="none"/>
        </w:rPr>
      </w:pPr>
      <w:bookmarkStart w:id="556" w:name="_Toc54862280"/>
      <w:r>
        <w:rPr>
          <w:rFonts w:ascii="Times New Roman" w:hAnsi="Times New Roman"/>
          <w:b w:val="0"/>
          <w:bCs/>
          <w:color w:val="auto"/>
          <w:highlight w:val="none"/>
        </w:rPr>
        <w:t>12.3 重新试验</w:t>
      </w:r>
      <w:bookmarkEnd w:id="55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bookmarkEnd w:id="548"/>
    <w:p>
      <w:pPr>
        <w:pStyle w:val="177"/>
        <w:widowControl/>
        <w:spacing w:afterLines="0" w:line="440" w:lineRule="exact"/>
        <w:ind w:left="0"/>
        <w:rPr>
          <w:rFonts w:ascii="Times New Roman" w:hAnsi="Times New Roman"/>
          <w:b w:val="0"/>
          <w:bCs/>
          <w:color w:val="auto"/>
          <w:highlight w:val="none"/>
        </w:rPr>
      </w:pPr>
      <w:bookmarkStart w:id="557" w:name="_Toc54862281"/>
      <w:bookmarkStart w:id="558" w:name="_Ref531954811"/>
      <w:bookmarkStart w:id="559" w:name="_Ref531954819"/>
      <w:r>
        <w:rPr>
          <w:rFonts w:ascii="Times New Roman" w:hAnsi="Times New Roman"/>
          <w:b w:val="0"/>
          <w:bCs/>
          <w:color w:val="auto"/>
          <w:highlight w:val="none"/>
        </w:rPr>
        <w:t>12.4 未能通过竣工后试验</w:t>
      </w:r>
      <w:bookmarkEnd w:id="557"/>
      <w:bookmarkEnd w:id="558"/>
      <w:bookmarkEnd w:id="559"/>
    </w:p>
    <w:p>
      <w:pPr>
        <w:pStyle w:val="178"/>
        <w:spacing w:afterLines="0" w:line="440" w:lineRule="exact"/>
        <w:ind w:left="0"/>
        <w:rPr>
          <w:rFonts w:ascii="Times New Roman" w:hAnsi="Times New Roman" w:eastAsia="仿宋_GB2312"/>
          <w:color w:val="auto"/>
          <w:szCs w:val="24"/>
          <w:highlight w:val="none"/>
        </w:rPr>
      </w:pPr>
      <w:bookmarkStart w:id="560" w:name="_Ref531954829"/>
      <w:r>
        <w:rPr>
          <w:rFonts w:ascii="Times New Roman" w:hAnsi="Times New Roman" w:eastAsia="仿宋_GB2312"/>
          <w:color w:val="auto"/>
          <w:szCs w:val="24"/>
          <w:highlight w:val="none"/>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560"/>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12.4.3 发包人无故拖延给予承包人进行调查、调整或修补所需的进入工程或区段工程的许可，并造成承包人费用增加的，应承担由此增加的费用并支付承包人合理利润。</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561" w:name="_Ref4415801"/>
      <w:bookmarkStart w:id="562" w:name="_Toc54862282"/>
      <w:r>
        <w:rPr>
          <w:rFonts w:ascii="Times New Roman" w:hAnsi="Times New Roman"/>
          <w:b w:val="0"/>
          <w:color w:val="auto"/>
          <w:sz w:val="24"/>
          <w:szCs w:val="24"/>
          <w:highlight w:val="none"/>
        </w:rPr>
        <w:t>第13条 变更与调整</w:t>
      </w:r>
      <w:bookmarkEnd w:id="561"/>
      <w:bookmarkEnd w:id="562"/>
    </w:p>
    <w:p>
      <w:pPr>
        <w:pStyle w:val="177"/>
        <w:widowControl/>
        <w:spacing w:afterLines="0" w:line="440" w:lineRule="exact"/>
        <w:ind w:left="0"/>
        <w:rPr>
          <w:rFonts w:ascii="Times New Roman" w:hAnsi="Times New Roman"/>
          <w:b w:val="0"/>
          <w:bCs/>
          <w:color w:val="auto"/>
          <w:highlight w:val="none"/>
        </w:rPr>
      </w:pPr>
      <w:bookmarkStart w:id="563" w:name="_Ref532670395"/>
      <w:bookmarkStart w:id="564" w:name="_Ref532677087"/>
      <w:bookmarkStart w:id="565" w:name="_Ref532677084"/>
      <w:bookmarkStart w:id="566" w:name="_Toc54862283"/>
      <w:bookmarkStart w:id="567" w:name="_Ref532668569"/>
      <w:bookmarkStart w:id="568" w:name="_Ref532668573"/>
      <w:bookmarkStart w:id="569" w:name="_Ref532670393"/>
      <w:r>
        <w:rPr>
          <w:rFonts w:ascii="Times New Roman" w:hAnsi="Times New Roman"/>
          <w:b w:val="0"/>
          <w:bCs/>
          <w:color w:val="auto"/>
          <w:highlight w:val="none"/>
        </w:rPr>
        <w:t>13.1 发包人变更权</w:t>
      </w:r>
      <w:bookmarkEnd w:id="563"/>
      <w:bookmarkEnd w:id="564"/>
      <w:bookmarkEnd w:id="565"/>
      <w:bookmarkEnd w:id="566"/>
      <w:bookmarkEnd w:id="567"/>
      <w:bookmarkEnd w:id="568"/>
      <w:bookmarkEnd w:id="569"/>
    </w:p>
    <w:p>
      <w:pPr>
        <w:pStyle w:val="178"/>
        <w:spacing w:afterLines="0" w:line="440" w:lineRule="exact"/>
        <w:ind w:left="0"/>
        <w:rPr>
          <w:rFonts w:ascii="Times New Roman" w:hAnsi="Times New Roman" w:eastAsia="仿宋_GB2312"/>
          <w:color w:val="auto"/>
          <w:szCs w:val="24"/>
          <w:highlight w:val="none"/>
        </w:rPr>
      </w:pPr>
      <w:bookmarkStart w:id="570" w:name="_Ref4534979"/>
      <w:r>
        <w:rPr>
          <w:rFonts w:ascii="Times New Roman" w:hAnsi="Times New Roman" w:eastAsia="仿宋_GB2312"/>
          <w:color w:val="auto"/>
          <w:szCs w:val="24"/>
          <w:highlight w:val="none"/>
        </w:rPr>
        <w:t>13.1.1 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570"/>
      <w:r>
        <w:rPr>
          <w:rFonts w:ascii="Times New Roman" w:hAnsi="Times New Roman" w:eastAsia="仿宋_GB2312"/>
          <w:color w:val="auto"/>
          <w:szCs w:val="24"/>
          <w:highlight w:val="none"/>
        </w:rPr>
        <w:t>发包人与承包人对某项指示或批准是否构成变更产生争议的，按第20条[争议解决]处理。</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13.1.2 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p>
    <w:p>
      <w:pPr>
        <w:pStyle w:val="177"/>
        <w:widowControl/>
        <w:spacing w:afterLines="0" w:line="440" w:lineRule="exact"/>
        <w:ind w:left="0"/>
        <w:rPr>
          <w:rFonts w:ascii="Times New Roman" w:hAnsi="Times New Roman"/>
          <w:b w:val="0"/>
          <w:bCs/>
          <w:color w:val="auto"/>
          <w:highlight w:val="none"/>
        </w:rPr>
      </w:pPr>
      <w:bookmarkStart w:id="571" w:name="_Ref531955590"/>
      <w:bookmarkStart w:id="572" w:name="_Ref531955587"/>
      <w:bookmarkStart w:id="573" w:name="_Toc54862284"/>
      <w:bookmarkStart w:id="574" w:name="_Ref4623207"/>
      <w:r>
        <w:rPr>
          <w:rFonts w:ascii="Times New Roman" w:hAnsi="Times New Roman"/>
          <w:b w:val="0"/>
          <w:bCs/>
          <w:color w:val="auto"/>
          <w:highlight w:val="none"/>
        </w:rPr>
        <w:t>13.2 承</w:t>
      </w:r>
      <w:bookmarkEnd w:id="571"/>
      <w:bookmarkEnd w:id="572"/>
      <w:r>
        <w:rPr>
          <w:rFonts w:ascii="Times New Roman" w:hAnsi="Times New Roman"/>
          <w:b w:val="0"/>
          <w:bCs/>
          <w:color w:val="auto"/>
          <w:highlight w:val="none"/>
        </w:rPr>
        <w:t>包人的合理化建议</w:t>
      </w:r>
      <w:bookmarkEnd w:id="573"/>
      <w:bookmarkEnd w:id="574"/>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13.2.1 承包人提出合理化建议的，应向工程师提交合理化建议说明，说明建议的内容、理由以及实施该建议对合同价格和工期的影响。</w:t>
      </w:r>
    </w:p>
    <w:p>
      <w:pPr>
        <w:pStyle w:val="178"/>
        <w:spacing w:afterLines="0" w:line="440" w:lineRule="exact"/>
        <w:ind w:left="0"/>
        <w:rPr>
          <w:rFonts w:ascii="Times New Roman" w:hAnsi="Times New Roman" w:eastAsia="仿宋_GB2312"/>
          <w:color w:val="auto"/>
          <w:szCs w:val="24"/>
          <w:highlight w:val="none"/>
        </w:rPr>
      </w:pPr>
      <w:bookmarkStart w:id="575" w:name="_Ref4681686"/>
      <w:r>
        <w:rPr>
          <w:rFonts w:ascii="Times New Roman" w:hAnsi="Times New Roman" w:eastAsia="仿宋_GB2312"/>
          <w:color w:val="auto"/>
          <w:szCs w:val="24"/>
          <w:highlight w:val="none"/>
        </w:rPr>
        <w:t>13.2.2 除专用合同条件另有约定外，</w:t>
      </w:r>
      <w:bookmarkStart w:id="576" w:name="_Hlk4682273"/>
      <w:r>
        <w:rPr>
          <w:rFonts w:ascii="Times New Roman" w:hAnsi="Times New Roman" w:eastAsia="仿宋_GB2312"/>
          <w:color w:val="auto"/>
          <w:szCs w:val="24"/>
          <w:highlight w:val="none"/>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575"/>
      <w:r>
        <w:rPr>
          <w:rFonts w:ascii="Times New Roman" w:hAnsi="Times New Roman" w:eastAsia="仿宋_GB2312"/>
          <w:color w:val="auto"/>
          <w:szCs w:val="24"/>
          <w:highlight w:val="none"/>
        </w:rPr>
        <w:t>。</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13.2.3 合理化建议降低了合同价格、缩短了工期或者提高了工程经济效益的，双方可以按照专用合同条件的约定进行利益分享。</w:t>
      </w:r>
    </w:p>
    <w:bookmarkEnd w:id="576"/>
    <w:p>
      <w:pPr>
        <w:pStyle w:val="177"/>
        <w:widowControl/>
        <w:spacing w:afterLines="0" w:line="440" w:lineRule="exact"/>
        <w:ind w:left="0"/>
        <w:rPr>
          <w:rFonts w:ascii="Times New Roman" w:hAnsi="Times New Roman"/>
          <w:b w:val="0"/>
          <w:bCs/>
          <w:color w:val="auto"/>
          <w:highlight w:val="none"/>
        </w:rPr>
      </w:pPr>
      <w:bookmarkStart w:id="577" w:name="_Ref532671480"/>
      <w:bookmarkStart w:id="578" w:name="_Ref532669302"/>
      <w:bookmarkStart w:id="579" w:name="_Ref532669305"/>
      <w:bookmarkStart w:id="580" w:name="_Toc54862285"/>
      <w:bookmarkStart w:id="581" w:name="_Ref532673538"/>
      <w:bookmarkStart w:id="582" w:name="_Ref532673541"/>
      <w:bookmarkStart w:id="583" w:name="_Ref532671484"/>
      <w:r>
        <w:rPr>
          <w:rFonts w:ascii="Times New Roman" w:hAnsi="Times New Roman"/>
          <w:b w:val="0"/>
          <w:bCs/>
          <w:color w:val="auto"/>
          <w:highlight w:val="none"/>
        </w:rPr>
        <w:t>13.3 变更程序</w:t>
      </w:r>
      <w:bookmarkEnd w:id="577"/>
      <w:bookmarkEnd w:id="578"/>
      <w:bookmarkEnd w:id="579"/>
      <w:bookmarkEnd w:id="580"/>
      <w:bookmarkEnd w:id="581"/>
      <w:bookmarkEnd w:id="582"/>
      <w:bookmarkEnd w:id="583"/>
    </w:p>
    <w:p>
      <w:pPr>
        <w:pStyle w:val="178"/>
        <w:spacing w:afterLines="0" w:line="440" w:lineRule="exact"/>
        <w:ind w:left="0"/>
        <w:rPr>
          <w:rFonts w:ascii="Times New Roman" w:hAnsi="Times New Roman" w:eastAsia="仿宋_GB2312"/>
          <w:color w:val="auto"/>
          <w:szCs w:val="24"/>
          <w:highlight w:val="none"/>
        </w:rPr>
      </w:pPr>
      <w:bookmarkStart w:id="584" w:name="_Ref4534600"/>
      <w:r>
        <w:rPr>
          <w:rFonts w:ascii="Times New Roman" w:hAnsi="Times New Roman" w:eastAsia="仿宋_GB2312"/>
          <w:color w:val="auto"/>
          <w:szCs w:val="24"/>
          <w:highlight w:val="none"/>
        </w:rPr>
        <w:t>13.3.1 发包人提出变更</w:t>
      </w:r>
      <w:bookmarkEnd w:id="58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发包人提出变更的，应通过工程师向承包人发出书面形式的变更指示，变更指示应说明计划变更的工程范围和变更的内容。</w:t>
      </w:r>
    </w:p>
    <w:p>
      <w:pPr>
        <w:pStyle w:val="178"/>
        <w:spacing w:afterLines="0" w:line="440" w:lineRule="exact"/>
        <w:ind w:left="0"/>
        <w:rPr>
          <w:rFonts w:ascii="Times New Roman" w:hAnsi="Times New Roman" w:eastAsia="仿宋_GB2312"/>
          <w:color w:val="auto"/>
          <w:szCs w:val="24"/>
          <w:highlight w:val="none"/>
        </w:rPr>
      </w:pPr>
      <w:bookmarkStart w:id="585" w:name="_Ref4534617"/>
      <w:r>
        <w:rPr>
          <w:rFonts w:ascii="Times New Roman" w:hAnsi="Times New Roman" w:eastAsia="仿宋_GB2312"/>
          <w:color w:val="auto"/>
          <w:szCs w:val="24"/>
          <w:highlight w:val="none"/>
        </w:rPr>
        <w:t>13.3.2 变更执行</w:t>
      </w:r>
      <w:bookmarkEnd w:id="58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pPr>
        <w:pStyle w:val="178"/>
        <w:spacing w:afterLines="0" w:line="440" w:lineRule="exact"/>
        <w:ind w:left="0"/>
        <w:rPr>
          <w:rFonts w:ascii="Times New Roman" w:hAnsi="Times New Roman" w:eastAsia="仿宋_GB2312"/>
          <w:color w:val="auto"/>
          <w:szCs w:val="24"/>
          <w:highlight w:val="none"/>
        </w:rPr>
      </w:pPr>
      <w:bookmarkStart w:id="586" w:name="_Ref3835481"/>
      <w:r>
        <w:rPr>
          <w:rFonts w:ascii="Times New Roman" w:hAnsi="Times New Roman" w:eastAsia="仿宋_GB2312"/>
          <w:color w:val="auto"/>
          <w:szCs w:val="24"/>
          <w:highlight w:val="none"/>
        </w:rPr>
        <w:t>13.3.3 变更估价</w:t>
      </w:r>
      <w:bookmarkEnd w:id="586"/>
    </w:p>
    <w:p>
      <w:pPr>
        <w:pStyle w:val="179"/>
        <w:widowControl/>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13.3.3.1 变更估价原则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除专用合同条件另有约定外，变更估价按照本款约定处理：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合同中未包含价格清单，合同价格应按照所执行的变更工程的成本加利润调整；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合同中包含价格清单，合同价格按照如下规则调整：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价格清单中有适用于变更工程项目的，应采用该项目的费率和价格；</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价格清单中没有适用但有类似于变更工程项目的，可在合理范围内参照类似项目的费率或价格；</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价格清单中没有适用也没有类似于变更工程项目的，该工程项目应按成本加利润原则调整适用新的费率或价格。</w:t>
      </w:r>
    </w:p>
    <w:p>
      <w:pPr>
        <w:pStyle w:val="179"/>
        <w:widowControl/>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13.3.3.2 变更估价程序</w:t>
      </w:r>
    </w:p>
    <w:p>
      <w:pPr>
        <w:adjustRightInd w:val="0"/>
        <w:snapToGrid w:val="0"/>
        <w:spacing w:line="440" w:lineRule="exact"/>
        <w:ind w:firstLine="600"/>
        <w:rPr>
          <w:rFonts w:eastAsia="仿宋_GB2312"/>
          <w:color w:val="auto"/>
          <w:sz w:val="24"/>
          <w:highlight w:val="none"/>
        </w:rPr>
      </w:pPr>
      <w:bookmarkStart w:id="587" w:name="_Ref531955607"/>
      <w:bookmarkStart w:id="588" w:name="_Ref531955605"/>
      <w:bookmarkStart w:id="589" w:name="_Toc296503150"/>
      <w:bookmarkStart w:id="590" w:name="_Toc337558844"/>
      <w:bookmarkStart w:id="591" w:name="_Toc296346651"/>
      <w:r>
        <w:rPr>
          <w:rFonts w:eastAsia="仿宋_GB2312"/>
          <w:color w:val="auto"/>
          <w:sz w:val="24"/>
          <w:highlight w:val="none"/>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因变更引起的价格调整应计入最近一期的进度款中支付。</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13.3.4 变更引起的工期调整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因变更引起工期变化的，合同当事人均可要求调整合同工期，由合同当事人按照第3.6款[商定或确定]并参考工程所在地的工期定额标准确定增减工期天数。</w:t>
      </w:r>
    </w:p>
    <w:p>
      <w:pPr>
        <w:pStyle w:val="177"/>
        <w:widowControl/>
        <w:spacing w:afterLines="0" w:line="440" w:lineRule="exact"/>
        <w:ind w:left="0"/>
        <w:rPr>
          <w:rFonts w:ascii="Times New Roman" w:hAnsi="Times New Roman"/>
          <w:b w:val="0"/>
          <w:bCs/>
          <w:color w:val="auto"/>
          <w:highlight w:val="none"/>
        </w:rPr>
      </w:pPr>
      <w:bookmarkStart w:id="592" w:name="_Toc54862286"/>
      <w:bookmarkStart w:id="593" w:name="_Ref4431237"/>
      <w:r>
        <w:rPr>
          <w:rFonts w:ascii="Times New Roman" w:hAnsi="Times New Roman"/>
          <w:b w:val="0"/>
          <w:bCs/>
          <w:color w:val="auto"/>
          <w:highlight w:val="none"/>
        </w:rPr>
        <w:t>13.4 暂估价</w:t>
      </w:r>
      <w:bookmarkEnd w:id="592"/>
      <w:bookmarkEnd w:id="593"/>
    </w:p>
    <w:p>
      <w:pPr>
        <w:pStyle w:val="178"/>
        <w:spacing w:afterLines="0" w:line="440" w:lineRule="exact"/>
        <w:ind w:left="0"/>
        <w:rPr>
          <w:rFonts w:ascii="Times New Roman" w:hAnsi="Times New Roman" w:eastAsia="仿宋_GB2312"/>
          <w:color w:val="auto"/>
          <w:szCs w:val="24"/>
          <w:highlight w:val="none"/>
        </w:rPr>
      </w:pPr>
      <w:bookmarkStart w:id="594" w:name="_Ref4616729"/>
      <w:r>
        <w:rPr>
          <w:rFonts w:ascii="Times New Roman" w:hAnsi="Times New Roman" w:eastAsia="仿宋_GB2312"/>
          <w:color w:val="auto"/>
          <w:szCs w:val="24"/>
          <w:highlight w:val="none"/>
        </w:rPr>
        <w:t>13.4.1 依法必须招标的暂估价项目</w:t>
      </w:r>
      <w:bookmarkEnd w:id="59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对于依法必须招标的暂估价项目，专用合同条件约定由承包人作为招标人的，招标文件、评标方案、评标结果应报送发包人批准。与组织招标工作有关的费用应当被认为已经包括在承包人的签约合同价中。</w:t>
      </w:r>
    </w:p>
    <w:p>
      <w:pPr>
        <w:pStyle w:val="180"/>
        <w:adjustRightInd w:val="0"/>
        <w:snapToGrid w:val="0"/>
        <w:spacing w:line="440" w:lineRule="exact"/>
        <w:ind w:left="0" w:firstLine="480" w:firstLineChars="200"/>
        <w:rPr>
          <w:rFonts w:eastAsia="仿宋_GB2312"/>
          <w:color w:val="auto"/>
          <w:sz w:val="24"/>
          <w:highlight w:val="none"/>
        </w:rPr>
      </w:pPr>
      <w:r>
        <w:rPr>
          <w:rFonts w:eastAsia="仿宋_GB2312"/>
          <w:color w:val="auto"/>
          <w:sz w:val="24"/>
          <w:highlight w:val="none"/>
        </w:rPr>
        <w:t>专用合同条件约定由发包人和承包人共同作为招标人的，与组织招标工作有关的费用在专用合同条件中约定。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具体的招标程序以及发包人和承包人权利义务关系可在专用合同条件中约定。暂估价项目的中标金额与价格清单中所列暂估价的金额差以及相应的税金等其他费用应列入合同价格。</w:t>
      </w:r>
    </w:p>
    <w:p>
      <w:pPr>
        <w:pStyle w:val="178"/>
        <w:spacing w:afterLines="0" w:line="440" w:lineRule="exact"/>
        <w:ind w:left="0"/>
        <w:rPr>
          <w:rFonts w:ascii="Times New Roman" w:hAnsi="Times New Roman" w:eastAsia="仿宋_GB2312"/>
          <w:color w:val="auto"/>
          <w:szCs w:val="24"/>
          <w:highlight w:val="none"/>
        </w:rPr>
      </w:pPr>
      <w:bookmarkStart w:id="595" w:name="_Ref4682312"/>
      <w:r>
        <w:rPr>
          <w:rFonts w:ascii="Times New Roman" w:hAnsi="Times New Roman" w:eastAsia="仿宋_GB2312"/>
          <w:color w:val="auto"/>
          <w:szCs w:val="24"/>
          <w:highlight w:val="none"/>
        </w:rPr>
        <w:t>13.4.2 不属于依法必须招标的暂估价项目</w:t>
      </w:r>
      <w:bookmarkEnd w:id="59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177"/>
        <w:widowControl/>
        <w:spacing w:afterLines="0" w:line="440" w:lineRule="exact"/>
        <w:ind w:left="0"/>
        <w:rPr>
          <w:rFonts w:ascii="Times New Roman" w:hAnsi="Times New Roman"/>
          <w:b w:val="0"/>
          <w:bCs/>
          <w:color w:val="auto"/>
          <w:highlight w:val="none"/>
        </w:rPr>
      </w:pPr>
      <w:bookmarkStart w:id="596" w:name="_Ref4431250"/>
      <w:bookmarkStart w:id="597" w:name="_Toc54862287"/>
      <w:r>
        <w:rPr>
          <w:rFonts w:ascii="Times New Roman" w:hAnsi="Times New Roman"/>
          <w:b w:val="0"/>
          <w:bCs/>
          <w:color w:val="auto"/>
          <w:highlight w:val="none"/>
        </w:rPr>
        <w:t>13.5 暂列金额</w:t>
      </w:r>
      <w:bookmarkEnd w:id="587"/>
      <w:bookmarkEnd w:id="588"/>
      <w:bookmarkEnd w:id="596"/>
      <w:bookmarkEnd w:id="597"/>
    </w:p>
    <w:bookmarkEnd w:id="589"/>
    <w:bookmarkEnd w:id="590"/>
    <w:bookmarkEnd w:id="591"/>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对于每笔暂列金额，发包人可以指示用于下列支付：</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发包人根据第13.1款[发包人变更权]指示变更，决定对合同价格和付款计划表（如有）进行调整的、由承包人实施的工作（包括要提供的工程设备、材料和服务）；</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承包人购买的工程设备、材料、工作或服务，应支付包括承包人已付（或应付）的实际金额以及相应的管理费等费用和利润（管理费和利润应以实际金额为基数根据合同约定的费率（如有）或百分比计算）。</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每份包含暂列金额的文件还应包括用以证明暂列金额的所有有效的发票、凭证和账户或收据。</w:t>
      </w:r>
    </w:p>
    <w:p>
      <w:pPr>
        <w:pStyle w:val="177"/>
        <w:widowControl/>
        <w:spacing w:afterLines="0" w:line="440" w:lineRule="exact"/>
        <w:ind w:left="0"/>
        <w:rPr>
          <w:rFonts w:ascii="Times New Roman" w:hAnsi="Times New Roman"/>
          <w:b w:val="0"/>
          <w:bCs/>
          <w:color w:val="auto"/>
          <w:highlight w:val="none"/>
        </w:rPr>
      </w:pPr>
      <w:bookmarkStart w:id="598" w:name="_Toc54862288"/>
      <w:bookmarkStart w:id="599" w:name="_Toc337558845"/>
      <w:bookmarkStart w:id="600" w:name="_Ref4431438"/>
      <w:bookmarkStart w:id="601" w:name="_Toc296346653"/>
      <w:bookmarkStart w:id="602" w:name="_Toc296503152"/>
      <w:r>
        <w:rPr>
          <w:rFonts w:ascii="Times New Roman" w:hAnsi="Times New Roman"/>
          <w:b w:val="0"/>
          <w:bCs/>
          <w:color w:val="auto"/>
          <w:highlight w:val="none"/>
        </w:rPr>
        <w:t>13.6 计日工</w:t>
      </w:r>
      <w:bookmarkEnd w:id="598"/>
      <w:bookmarkEnd w:id="599"/>
      <w:bookmarkEnd w:id="600"/>
      <w:bookmarkEnd w:id="601"/>
      <w:bookmarkEnd w:id="602"/>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13.6.1 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3.6款[商定或确定]确定计日工的单价。</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13.6.2 采用计日工计价的任何一项工作，承包人应在该项工作实施过程中，每天提交以下报表和有关凭证报送工程师审查：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工作名称、内容和数量；</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投入该工作的所有人员的姓名、专业、工种、级别和耗用工时；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投入该工作的材料类别和数量；</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投入该工作的施工设备型号、台数和耗用台时；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其他有关资料和凭证。</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计日工由承包人汇总后，列入最近一期进度付款申请单，由工程师审查并经发包人批准后列入进度付款。</w:t>
      </w:r>
    </w:p>
    <w:p>
      <w:pPr>
        <w:pStyle w:val="177"/>
        <w:widowControl/>
        <w:spacing w:afterLines="0" w:line="440" w:lineRule="exact"/>
        <w:ind w:left="0"/>
        <w:rPr>
          <w:rFonts w:ascii="Times New Roman" w:hAnsi="Times New Roman"/>
          <w:b w:val="0"/>
          <w:bCs/>
          <w:color w:val="auto"/>
          <w:highlight w:val="none"/>
        </w:rPr>
      </w:pPr>
      <w:bookmarkStart w:id="603" w:name="_Toc54862289"/>
      <w:bookmarkStart w:id="604" w:name="_Ref4617318"/>
      <w:bookmarkStart w:id="605" w:name="_Ref4617331"/>
      <w:r>
        <w:rPr>
          <w:rFonts w:ascii="Times New Roman" w:hAnsi="Times New Roman"/>
          <w:b w:val="0"/>
          <w:bCs/>
          <w:color w:val="auto"/>
          <w:highlight w:val="none"/>
        </w:rPr>
        <w:t>13.7 法律变化引起的调整</w:t>
      </w:r>
      <w:bookmarkEnd w:id="603"/>
      <w:bookmarkEnd w:id="604"/>
      <w:bookmarkEnd w:id="605"/>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13.7.1 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13.7.2 因法律变化引起的合同价格和工期调整，合同当事人无法达成一致的，由工程师按第3.6款[商定或确定]的约定处理。</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13.7.3 因承包人原因造成工期延误，在工期延误期间出现法律变化的，由此增加的费用和（或）延误的工期由承包人承担。</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13.7.4 因法律变化而需要对工程的实施进行任何调整的，承包人应迅速通知发包人，或者发包人应迅速通知承包人，并附上详细的辅助资料。发包人接到通知后，应根据第13.3款[变更程序]发出变更指示。</w:t>
      </w:r>
    </w:p>
    <w:p>
      <w:pPr>
        <w:pStyle w:val="177"/>
        <w:widowControl/>
        <w:spacing w:afterLines="0" w:line="440" w:lineRule="exact"/>
        <w:ind w:left="0"/>
        <w:rPr>
          <w:rFonts w:ascii="Times New Roman" w:hAnsi="Times New Roman"/>
          <w:b w:val="0"/>
          <w:bCs/>
          <w:color w:val="auto"/>
          <w:highlight w:val="none"/>
        </w:rPr>
      </w:pPr>
      <w:bookmarkStart w:id="606" w:name="_Toc54862290"/>
      <w:bookmarkStart w:id="607" w:name="_Ref18977613"/>
      <w:bookmarkStart w:id="608" w:name="_Ref531955630"/>
      <w:bookmarkStart w:id="609" w:name="_Ref531955627"/>
      <w:r>
        <w:rPr>
          <w:rFonts w:ascii="Times New Roman" w:hAnsi="Times New Roman"/>
          <w:b w:val="0"/>
          <w:bCs/>
          <w:color w:val="auto"/>
          <w:highlight w:val="none"/>
        </w:rPr>
        <w:t>13.8 市场价格波动引起的调整</w:t>
      </w:r>
      <w:bookmarkEnd w:id="606"/>
      <w:bookmarkEnd w:id="607"/>
      <w:bookmarkEnd w:id="608"/>
      <w:bookmarkEnd w:id="609"/>
    </w:p>
    <w:p>
      <w:pPr>
        <w:pStyle w:val="178"/>
        <w:spacing w:afterLines="0" w:line="440" w:lineRule="exact"/>
        <w:ind w:left="0"/>
        <w:rPr>
          <w:rFonts w:ascii="Times New Roman" w:hAnsi="Times New Roman" w:eastAsia="仿宋_GB2312"/>
          <w:color w:val="auto"/>
          <w:szCs w:val="24"/>
          <w:highlight w:val="none"/>
        </w:rPr>
      </w:pPr>
      <w:bookmarkStart w:id="610" w:name="_Ref4709841"/>
      <w:r>
        <w:rPr>
          <w:rFonts w:ascii="Times New Roman" w:hAnsi="Times New Roman" w:eastAsia="仿宋_GB2312"/>
          <w:color w:val="auto"/>
          <w:szCs w:val="24"/>
          <w:highlight w:val="none"/>
        </w:rPr>
        <w:t>13.8.1 主要工程材料、设备、人工价格与招标时基期价相比，波动幅度超过合同约定幅度的，双方按照合同约定的价格调整方式调整。</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13.8.2 发包人与承包人在专用合同条件中约定采用《价格指数权重表》的，适用本项约定。</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13.8.2.1 双方当事人可以将部分主要工程材料、工程设备、人工价格及其他双方认为应当根据市场价格调整的费用列入附件6[价格指数权重表]，并根据以下公式计算差额并调整合同价格：</w:t>
      </w:r>
    </w:p>
    <w:bookmarkEnd w:id="610"/>
    <w:p>
      <w:pPr>
        <w:adjustRightInd w:val="0"/>
        <w:snapToGrid w:val="0"/>
        <w:spacing w:line="440" w:lineRule="exact"/>
        <w:ind w:firstLine="600"/>
        <w:rPr>
          <w:rFonts w:eastAsia="仿宋_GB2312"/>
          <w:color w:val="auto"/>
          <w:sz w:val="24"/>
          <w:highlight w:val="none"/>
        </w:rPr>
      </w:pPr>
      <w:bookmarkStart w:id="611" w:name="_Ref4616996"/>
      <w:r>
        <w:rPr>
          <w:rFonts w:eastAsia="仿宋_GB2312"/>
          <w:color w:val="auto"/>
          <w:sz w:val="24"/>
          <w:highlight w:val="none"/>
        </w:rPr>
        <w:t>（1） 价格调整公式</w:t>
      </w:r>
      <w:bookmarkEnd w:id="611"/>
    </w:p>
    <w:p>
      <w:pPr>
        <w:widowControl/>
        <w:adjustRightInd w:val="0"/>
        <w:snapToGrid w:val="0"/>
        <w:spacing w:beforeLines="100" w:afterLines="100" w:line="440" w:lineRule="exact"/>
        <w:rPr>
          <w:rFonts w:eastAsia="仿宋_GB2312"/>
          <w:color w:val="auto"/>
          <w:sz w:val="24"/>
          <w:highlight w:val="none"/>
        </w:rPr>
      </w:pPr>
      <w:r>
        <w:rPr>
          <w:color w:val="auto"/>
          <w:sz w:val="24"/>
          <w:highlight w:val="none"/>
        </w:rPr>
        <w:drawing>
          <wp:inline distT="0" distB="0" distL="114300" distR="114300">
            <wp:extent cx="2874645" cy="408305"/>
            <wp:effectExtent l="0" t="0" r="190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2874645" cy="408305"/>
                    </a:xfrm>
                    <a:prstGeom prst="rect">
                      <a:avLst/>
                    </a:prstGeom>
                    <a:noFill/>
                    <a:ln>
                      <a:noFill/>
                    </a:ln>
                  </pic:spPr>
                </pic:pic>
              </a:graphicData>
            </a:graphic>
          </wp:inline>
        </w:drawing>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公式中：△P---需调整的价格差额；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P</w:t>
      </w:r>
      <w:r>
        <w:rPr>
          <w:rFonts w:eastAsia="仿宋_GB2312"/>
          <w:color w:val="auto"/>
          <w:sz w:val="24"/>
          <w:highlight w:val="none"/>
          <w:vertAlign w:val="subscript"/>
        </w:rPr>
        <w:t>O</w:t>
      </w:r>
      <w:r>
        <w:rPr>
          <w:rFonts w:eastAsia="仿宋_GB2312"/>
          <w:color w:val="auto"/>
          <w:sz w:val="24"/>
          <w:highlight w:val="none"/>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A ---定值权重（即不调部分的权重）； </w:t>
      </w:r>
    </w:p>
    <w:p>
      <w:pPr>
        <w:adjustRightInd w:val="0"/>
        <w:snapToGrid w:val="0"/>
        <w:spacing w:line="440" w:lineRule="exact"/>
        <w:ind w:firstLine="600"/>
        <w:rPr>
          <w:rFonts w:eastAsia="仿宋_GB2312"/>
          <w:color w:val="auto"/>
          <w:sz w:val="24"/>
          <w:highlight w:val="none"/>
        </w:rPr>
      </w:pPr>
      <w:bookmarkStart w:id="612" w:name="_Hlk24103184"/>
      <w:r>
        <w:rPr>
          <w:rFonts w:eastAsia="仿宋_GB2312"/>
          <w:color w:val="auto"/>
          <w:sz w:val="24"/>
          <w:highlight w:val="none"/>
        </w:rPr>
        <w:t>B</w:t>
      </w:r>
      <w:r>
        <w:rPr>
          <w:rFonts w:eastAsia="仿宋_GB2312"/>
          <w:color w:val="auto"/>
          <w:sz w:val="24"/>
          <w:highlight w:val="none"/>
          <w:vertAlign w:val="subscript"/>
        </w:rPr>
        <w:t>1</w:t>
      </w:r>
      <w:bookmarkEnd w:id="612"/>
      <w:r>
        <w:rPr>
          <w:rFonts w:eastAsia="仿宋_GB2312"/>
          <w:color w:val="auto"/>
          <w:sz w:val="24"/>
          <w:highlight w:val="none"/>
        </w:rPr>
        <w:t>；</w:t>
      </w:r>
      <w:bookmarkStart w:id="613" w:name="_Hlk24103205"/>
      <w:r>
        <w:rPr>
          <w:rFonts w:eastAsia="仿宋_GB2312"/>
          <w:color w:val="auto"/>
          <w:sz w:val="24"/>
          <w:highlight w:val="none"/>
        </w:rPr>
        <w:t>B</w:t>
      </w:r>
      <w:r>
        <w:rPr>
          <w:rFonts w:eastAsia="仿宋_GB2312"/>
          <w:color w:val="auto"/>
          <w:sz w:val="24"/>
          <w:highlight w:val="none"/>
          <w:vertAlign w:val="subscript"/>
        </w:rPr>
        <w:t>2</w:t>
      </w:r>
      <w:bookmarkEnd w:id="613"/>
      <w:r>
        <w:rPr>
          <w:rFonts w:eastAsia="仿宋_GB2312"/>
          <w:color w:val="auto"/>
          <w:sz w:val="24"/>
          <w:highlight w:val="none"/>
        </w:rPr>
        <w:t>；</w:t>
      </w:r>
      <w:bookmarkStart w:id="614" w:name="_Hlk24103220"/>
      <w:r>
        <w:rPr>
          <w:rFonts w:eastAsia="仿宋_GB2312"/>
          <w:color w:val="auto"/>
          <w:sz w:val="24"/>
          <w:highlight w:val="none"/>
        </w:rPr>
        <w:t>B</w:t>
      </w:r>
      <w:r>
        <w:rPr>
          <w:rFonts w:eastAsia="仿宋_GB2312"/>
          <w:color w:val="auto"/>
          <w:sz w:val="24"/>
          <w:highlight w:val="none"/>
          <w:vertAlign w:val="subscript"/>
        </w:rPr>
        <w:t>3</w:t>
      </w:r>
      <w:bookmarkEnd w:id="614"/>
      <w:r>
        <w:rPr>
          <w:rFonts w:eastAsia="仿宋_GB2312"/>
          <w:color w:val="auto"/>
          <w:sz w:val="24"/>
          <w:highlight w:val="none"/>
        </w:rPr>
        <w:t>；……</w:t>
      </w:r>
      <w:bookmarkStart w:id="615" w:name="_Hlk24103245"/>
      <w:r>
        <w:rPr>
          <w:rFonts w:eastAsia="仿宋_GB2312"/>
          <w:color w:val="auto"/>
          <w:sz w:val="24"/>
          <w:highlight w:val="none"/>
        </w:rPr>
        <w:t>B</w:t>
      </w:r>
      <w:r>
        <w:rPr>
          <w:rFonts w:eastAsia="仿宋_GB2312"/>
          <w:color w:val="auto"/>
          <w:sz w:val="24"/>
          <w:highlight w:val="none"/>
          <w:vertAlign w:val="subscript"/>
        </w:rPr>
        <w:t>n</w:t>
      </w:r>
      <w:bookmarkEnd w:id="615"/>
      <w:r>
        <w:rPr>
          <w:rFonts w:eastAsia="仿宋_GB2312"/>
          <w:color w:val="auto"/>
          <w:sz w:val="24"/>
          <w:highlight w:val="none"/>
        </w:rPr>
        <w:t>---各可调因子的变值权重（即可调部分的权重）为各可调因子在投标函投标总报价中所占的比例，且A+B</w:t>
      </w:r>
      <w:r>
        <w:rPr>
          <w:rFonts w:eastAsia="仿宋_GB2312"/>
          <w:color w:val="auto"/>
          <w:sz w:val="24"/>
          <w:highlight w:val="none"/>
          <w:vertAlign w:val="subscript"/>
        </w:rPr>
        <w:t>1</w:t>
      </w:r>
      <w:r>
        <w:rPr>
          <w:rFonts w:eastAsia="仿宋_GB2312"/>
          <w:color w:val="auto"/>
          <w:sz w:val="24"/>
          <w:highlight w:val="none"/>
        </w:rPr>
        <w:t>+B</w:t>
      </w:r>
      <w:r>
        <w:rPr>
          <w:rFonts w:eastAsia="仿宋_GB2312"/>
          <w:color w:val="auto"/>
          <w:sz w:val="24"/>
          <w:highlight w:val="none"/>
          <w:vertAlign w:val="subscript"/>
        </w:rPr>
        <w:t>2</w:t>
      </w:r>
      <w:r>
        <w:rPr>
          <w:rFonts w:eastAsia="仿宋_GB2312"/>
          <w:color w:val="auto"/>
          <w:sz w:val="24"/>
          <w:highlight w:val="none"/>
        </w:rPr>
        <w:t>+B</w:t>
      </w:r>
      <w:r>
        <w:rPr>
          <w:rFonts w:eastAsia="仿宋_GB2312"/>
          <w:color w:val="auto"/>
          <w:sz w:val="24"/>
          <w:highlight w:val="none"/>
          <w:vertAlign w:val="subscript"/>
        </w:rPr>
        <w:t>3</w:t>
      </w:r>
      <w:r>
        <w:rPr>
          <w:rFonts w:eastAsia="仿宋_GB2312"/>
          <w:color w:val="auto"/>
          <w:sz w:val="24"/>
          <w:highlight w:val="none"/>
        </w:rPr>
        <w:t>+……+B</w:t>
      </w:r>
      <w:r>
        <w:rPr>
          <w:rFonts w:eastAsia="仿宋_GB2312"/>
          <w:color w:val="auto"/>
          <w:sz w:val="24"/>
          <w:highlight w:val="none"/>
          <w:vertAlign w:val="subscript"/>
        </w:rPr>
        <w:t>n</w:t>
      </w:r>
      <w:r>
        <w:rPr>
          <w:rFonts w:eastAsia="仿宋_GB2312"/>
          <w:color w:val="auto"/>
          <w:sz w:val="24"/>
          <w:highlight w:val="none"/>
        </w:rPr>
        <w:t>=1；</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F</w:t>
      </w:r>
      <w:r>
        <w:rPr>
          <w:rFonts w:eastAsia="仿宋_GB2312"/>
          <w:color w:val="auto"/>
          <w:sz w:val="24"/>
          <w:highlight w:val="none"/>
          <w:vertAlign w:val="subscript"/>
        </w:rPr>
        <w:t>t1</w:t>
      </w:r>
      <w:r>
        <w:rPr>
          <w:rFonts w:eastAsia="仿宋_GB2312"/>
          <w:color w:val="auto"/>
          <w:sz w:val="24"/>
          <w:highlight w:val="none"/>
        </w:rPr>
        <w:t>；F</w:t>
      </w:r>
      <w:r>
        <w:rPr>
          <w:rFonts w:eastAsia="仿宋_GB2312"/>
          <w:color w:val="auto"/>
          <w:sz w:val="24"/>
          <w:highlight w:val="none"/>
          <w:vertAlign w:val="subscript"/>
        </w:rPr>
        <w:t>t2</w:t>
      </w:r>
      <w:r>
        <w:rPr>
          <w:rFonts w:eastAsia="仿宋_GB2312"/>
          <w:color w:val="auto"/>
          <w:sz w:val="24"/>
          <w:highlight w:val="none"/>
        </w:rPr>
        <w:t>；F</w:t>
      </w:r>
      <w:r>
        <w:rPr>
          <w:rFonts w:eastAsia="仿宋_GB2312"/>
          <w:color w:val="auto"/>
          <w:sz w:val="24"/>
          <w:highlight w:val="none"/>
          <w:vertAlign w:val="subscript"/>
        </w:rPr>
        <w:t>t3</w:t>
      </w:r>
      <w:r>
        <w:rPr>
          <w:rFonts w:eastAsia="仿宋_GB2312"/>
          <w:color w:val="auto"/>
          <w:sz w:val="24"/>
          <w:highlight w:val="none"/>
        </w:rPr>
        <w:t>；……F</w:t>
      </w:r>
      <w:r>
        <w:rPr>
          <w:rFonts w:eastAsia="仿宋_GB2312"/>
          <w:color w:val="auto"/>
          <w:sz w:val="24"/>
          <w:highlight w:val="none"/>
          <w:vertAlign w:val="subscript"/>
        </w:rPr>
        <w:t>tn</w:t>
      </w:r>
      <w:r>
        <w:rPr>
          <w:rFonts w:eastAsia="仿宋_GB2312"/>
          <w:color w:val="auto"/>
          <w:sz w:val="24"/>
          <w:highlight w:val="none"/>
        </w:rPr>
        <w:t>---各可调因子的当期价格指数，指付款证书相关周期最后一天的前42天的各可调因子的价格指数；</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F</w:t>
      </w:r>
      <w:r>
        <w:rPr>
          <w:rFonts w:eastAsia="仿宋_GB2312"/>
          <w:color w:val="auto"/>
          <w:sz w:val="24"/>
          <w:highlight w:val="none"/>
          <w:vertAlign w:val="subscript"/>
        </w:rPr>
        <w:t>01</w:t>
      </w:r>
      <w:r>
        <w:rPr>
          <w:rFonts w:eastAsia="仿宋_GB2312"/>
          <w:color w:val="auto"/>
          <w:sz w:val="24"/>
          <w:highlight w:val="none"/>
        </w:rPr>
        <w:t>；F</w:t>
      </w:r>
      <w:r>
        <w:rPr>
          <w:rFonts w:eastAsia="仿宋_GB2312"/>
          <w:color w:val="auto"/>
          <w:sz w:val="24"/>
          <w:highlight w:val="none"/>
          <w:vertAlign w:val="subscript"/>
        </w:rPr>
        <w:t>02</w:t>
      </w:r>
      <w:r>
        <w:rPr>
          <w:rFonts w:eastAsia="仿宋_GB2312"/>
          <w:color w:val="auto"/>
          <w:sz w:val="24"/>
          <w:highlight w:val="none"/>
        </w:rPr>
        <w:t>；F</w:t>
      </w:r>
      <w:r>
        <w:rPr>
          <w:rFonts w:eastAsia="仿宋_GB2312"/>
          <w:color w:val="auto"/>
          <w:sz w:val="24"/>
          <w:highlight w:val="none"/>
          <w:vertAlign w:val="subscript"/>
        </w:rPr>
        <w:t>03</w:t>
      </w:r>
      <w:r>
        <w:rPr>
          <w:rFonts w:eastAsia="仿宋_GB2312"/>
          <w:color w:val="auto"/>
          <w:sz w:val="24"/>
          <w:highlight w:val="none"/>
        </w:rPr>
        <w:t>；……F</w:t>
      </w:r>
      <w:r>
        <w:rPr>
          <w:rFonts w:eastAsia="仿宋_GB2312"/>
          <w:color w:val="auto"/>
          <w:sz w:val="24"/>
          <w:highlight w:val="none"/>
          <w:vertAlign w:val="subscript"/>
        </w:rPr>
        <w:t>0n</w:t>
      </w:r>
      <w:r>
        <w:rPr>
          <w:rFonts w:eastAsia="仿宋_GB2312"/>
          <w:color w:val="auto"/>
          <w:sz w:val="24"/>
          <w:highlight w:val="none"/>
        </w:rPr>
        <w:t>---各可调因子的基本价格指数，指基准日期的各可调因子的价格指数。</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暂时确定调整差额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在计算调整差额时得不到当期价格指数的，可暂用上一次价格指数计算，并在以后的付款中再按实际价格指数进行调整。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权重的调整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按第13.1款[发包人变更权]约定的变更导致原定合同中的权重不合理的，由工程师与承包人和发包人协商后进行调整。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承包人原因工期延误后的价格调整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发包人引起的工期延误后的价格调整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pPr>
        <w:pStyle w:val="179"/>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13.8.2.2 未列入</w:t>
      </w:r>
      <w:bookmarkStart w:id="616" w:name="_Hlk24494865"/>
      <w:r>
        <w:rPr>
          <w:rFonts w:ascii="Times New Roman" w:hAnsi="Times New Roman" w:eastAsia="仿宋_GB2312"/>
          <w:color w:val="auto"/>
          <w:szCs w:val="24"/>
          <w:highlight w:val="none"/>
        </w:rPr>
        <w:t>《价格指数权重表》</w:t>
      </w:r>
      <w:bookmarkEnd w:id="616"/>
      <w:r>
        <w:rPr>
          <w:rFonts w:ascii="Times New Roman" w:hAnsi="Times New Roman" w:eastAsia="仿宋_GB2312"/>
          <w:color w:val="auto"/>
          <w:szCs w:val="24"/>
          <w:highlight w:val="none"/>
        </w:rPr>
        <w:t>的费用不因市场变化而调整。</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13.8.3 双方约定采用其他方式调整合同价款的，以专用合同条件约定为准。</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617" w:name="_Ref531955885"/>
      <w:bookmarkStart w:id="618" w:name="_Toc54862291"/>
      <w:bookmarkStart w:id="619" w:name="_Ref531955880"/>
      <w:r>
        <w:rPr>
          <w:rFonts w:ascii="Times New Roman" w:hAnsi="Times New Roman"/>
          <w:b w:val="0"/>
          <w:color w:val="auto"/>
          <w:sz w:val="24"/>
          <w:szCs w:val="24"/>
          <w:highlight w:val="none"/>
        </w:rPr>
        <w:t>第14条 合同价格与支付</w:t>
      </w:r>
      <w:bookmarkEnd w:id="617"/>
      <w:bookmarkEnd w:id="618"/>
      <w:bookmarkEnd w:id="619"/>
    </w:p>
    <w:p>
      <w:pPr>
        <w:pStyle w:val="177"/>
        <w:widowControl/>
        <w:spacing w:afterLines="0" w:line="440" w:lineRule="exact"/>
        <w:ind w:left="0"/>
        <w:rPr>
          <w:rFonts w:ascii="Times New Roman" w:hAnsi="Times New Roman"/>
          <w:b w:val="0"/>
          <w:bCs/>
          <w:color w:val="auto"/>
          <w:highlight w:val="none"/>
        </w:rPr>
      </w:pPr>
      <w:bookmarkStart w:id="620" w:name="_Ref4431531"/>
      <w:bookmarkStart w:id="621" w:name="_Toc54862292"/>
      <w:bookmarkStart w:id="622" w:name="_Ref4431521"/>
      <w:r>
        <w:rPr>
          <w:rFonts w:ascii="Times New Roman" w:hAnsi="Times New Roman"/>
          <w:b w:val="0"/>
          <w:bCs/>
          <w:color w:val="auto"/>
          <w:highlight w:val="none"/>
        </w:rPr>
        <w:t>14.1 合同价格形式</w:t>
      </w:r>
      <w:bookmarkEnd w:id="620"/>
      <w:bookmarkEnd w:id="621"/>
      <w:bookmarkEnd w:id="622"/>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14.1.1 除专用合同条件中另有约定外，本合同为总价合同，除根据第13条[变更与调整]，以及合同中其它相关增减金额的约定进行调整外，合同价格不做调整。</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14.1.2 除专用合同条件另有约定外：</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工程款的支付应以合同协议书约定的签约合同价格为基础，按照合同约定进行调整；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承包人应支付根据法律规定或合同约定应由其支付的各项税费，除第13.7款[法律变化引起的调整]约定外，合同价格不应因任何这些税费进行调整；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14.1.3 合同约定工程的某部分按照实际完成的工程量进行支付的，应按照专用合同条件的约定进行计量和估价，并据此调整合同价格。</w:t>
      </w:r>
    </w:p>
    <w:p>
      <w:pPr>
        <w:pStyle w:val="177"/>
        <w:widowControl/>
        <w:spacing w:afterLines="0" w:line="440" w:lineRule="exact"/>
        <w:ind w:left="0"/>
        <w:rPr>
          <w:rFonts w:ascii="Times New Roman" w:hAnsi="Times New Roman"/>
          <w:b w:val="0"/>
          <w:bCs/>
          <w:color w:val="auto"/>
          <w:highlight w:val="none"/>
        </w:rPr>
      </w:pPr>
      <w:bookmarkStart w:id="623" w:name="_Ref531956884"/>
      <w:bookmarkStart w:id="624" w:name="_Toc54862293"/>
      <w:bookmarkStart w:id="625" w:name="_Ref531956881"/>
      <w:r>
        <w:rPr>
          <w:rFonts w:ascii="Times New Roman" w:hAnsi="Times New Roman"/>
          <w:b w:val="0"/>
          <w:bCs/>
          <w:color w:val="auto"/>
          <w:highlight w:val="none"/>
        </w:rPr>
        <w:t>14.2 预付款</w:t>
      </w:r>
      <w:bookmarkEnd w:id="623"/>
      <w:bookmarkEnd w:id="624"/>
      <w:bookmarkEnd w:id="625"/>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14.2.1 预付款支付</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预付款的额度和支付按照专用合同条件约定执行。预付款应当专用于承包人为合同工程的设计和工程实施购置材料、工程设备、施工设备、修建临时设施以及组织施工队伍进场等合同工作。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除专用合同条件另有约定外，预付款在进度付款中同比例扣回。在颁发工程接收证书前，提前解除合同的，尚未扣完的预付款应与合同价款一并结算。</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发包人逾期支付预付款超过7天的，承包人有权向发包人发出要求预付的催告通知，发包人收到通知后7天内仍未支付的，承包人有权暂停施工，并按第15.1.1项[发包人违约的情形]执行。</w:t>
      </w:r>
    </w:p>
    <w:p>
      <w:pPr>
        <w:pStyle w:val="178"/>
        <w:spacing w:afterLines="0" w:line="440" w:lineRule="exact"/>
        <w:ind w:left="0"/>
        <w:rPr>
          <w:rFonts w:ascii="Times New Roman" w:hAnsi="Times New Roman" w:eastAsia="仿宋_GB2312"/>
          <w:color w:val="auto"/>
          <w:szCs w:val="24"/>
          <w:highlight w:val="none"/>
        </w:rPr>
      </w:pPr>
      <w:bookmarkStart w:id="626" w:name="_Ref531956907"/>
      <w:bookmarkStart w:id="627" w:name="_Ref4797624"/>
      <w:bookmarkStart w:id="628" w:name="_Hlk54429963"/>
      <w:r>
        <w:rPr>
          <w:rFonts w:ascii="Times New Roman" w:hAnsi="Times New Roman" w:eastAsia="仿宋_GB2312"/>
          <w:color w:val="auto"/>
          <w:szCs w:val="24"/>
          <w:highlight w:val="none"/>
        </w:rPr>
        <w:t>14.2.2 预付款</w:t>
      </w:r>
      <w:bookmarkEnd w:id="626"/>
      <w:r>
        <w:rPr>
          <w:rFonts w:ascii="Times New Roman" w:hAnsi="Times New Roman" w:eastAsia="仿宋_GB2312"/>
          <w:color w:val="auto"/>
          <w:szCs w:val="24"/>
          <w:highlight w:val="none"/>
        </w:rPr>
        <w:t>担保</w:t>
      </w:r>
      <w:bookmarkEnd w:id="627"/>
    </w:p>
    <w:bookmarkEnd w:id="628"/>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发包人在工程款中逐期扣回预付款后，预付款担保额度应相应减少，但剩余的预付款担保金额不得低于未被扣回的预付款金额。</w:t>
      </w:r>
    </w:p>
    <w:p>
      <w:pPr>
        <w:pStyle w:val="177"/>
        <w:widowControl/>
        <w:spacing w:afterLines="0" w:line="440" w:lineRule="exact"/>
        <w:ind w:left="0"/>
        <w:rPr>
          <w:rFonts w:ascii="Times New Roman" w:hAnsi="Times New Roman"/>
          <w:b w:val="0"/>
          <w:bCs/>
          <w:color w:val="auto"/>
          <w:highlight w:val="none"/>
        </w:rPr>
      </w:pPr>
      <w:bookmarkStart w:id="629" w:name="_Toc4784195"/>
      <w:bookmarkEnd w:id="629"/>
      <w:bookmarkStart w:id="630" w:name="_Toc4784193"/>
      <w:bookmarkEnd w:id="630"/>
      <w:bookmarkStart w:id="631" w:name="_Toc4784194"/>
      <w:bookmarkEnd w:id="631"/>
      <w:bookmarkStart w:id="632" w:name="_Ref4623398"/>
      <w:bookmarkStart w:id="633" w:name="_Ref531956967"/>
      <w:bookmarkStart w:id="634" w:name="_Ref531956963"/>
      <w:bookmarkStart w:id="635" w:name="_Toc54862294"/>
      <w:r>
        <w:rPr>
          <w:rFonts w:ascii="Times New Roman" w:hAnsi="Times New Roman"/>
          <w:b w:val="0"/>
          <w:bCs/>
          <w:color w:val="auto"/>
          <w:highlight w:val="none"/>
        </w:rPr>
        <w:t>14.3 工程进度款</w:t>
      </w:r>
      <w:bookmarkEnd w:id="632"/>
      <w:bookmarkEnd w:id="633"/>
      <w:bookmarkEnd w:id="634"/>
      <w:bookmarkEnd w:id="635"/>
    </w:p>
    <w:p>
      <w:pPr>
        <w:pStyle w:val="178"/>
        <w:spacing w:afterLines="0" w:line="440" w:lineRule="exact"/>
        <w:ind w:left="0"/>
        <w:rPr>
          <w:rFonts w:ascii="Times New Roman" w:hAnsi="Times New Roman" w:eastAsia="仿宋_GB2312"/>
          <w:color w:val="auto"/>
          <w:szCs w:val="24"/>
          <w:highlight w:val="none"/>
        </w:rPr>
      </w:pPr>
      <w:bookmarkStart w:id="636" w:name="_Ref532679934"/>
      <w:bookmarkStart w:id="637" w:name="_Ref531956987"/>
      <w:r>
        <w:rPr>
          <w:rFonts w:ascii="Times New Roman" w:hAnsi="Times New Roman" w:eastAsia="仿宋_GB2312"/>
          <w:color w:val="auto"/>
          <w:szCs w:val="24"/>
          <w:highlight w:val="none"/>
        </w:rPr>
        <w:t>14.3.1 工程进度付款申请</w:t>
      </w:r>
      <w:bookmarkEnd w:id="636"/>
      <w:bookmarkEnd w:id="63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（1）人工费的申请</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（2）除专用合同条件另有约定外，承包人应在每月月末向工程师提交进度付款申请单，该进度付款申请单应包括下列内容：</w:t>
      </w:r>
    </w:p>
    <w:p>
      <w:pPr>
        <w:adjustRightInd w:val="0"/>
        <w:snapToGrid w:val="0"/>
        <w:spacing w:line="440" w:lineRule="exact"/>
        <w:ind w:firstLine="600"/>
        <w:rPr>
          <w:rFonts w:eastAsia="仿宋_GB2312"/>
          <w:color w:val="auto"/>
          <w:sz w:val="24"/>
          <w:highlight w:val="none"/>
        </w:rPr>
      </w:pPr>
      <w:bookmarkStart w:id="638" w:name="_Ref24496054"/>
      <w:r>
        <w:rPr>
          <w:rFonts w:eastAsia="仿宋_GB2312"/>
          <w:color w:val="auto"/>
          <w:sz w:val="24"/>
          <w:highlight w:val="none"/>
        </w:rPr>
        <w:t>1） 截至本次付款周期内已完成工作对应的金额；</w:t>
      </w:r>
      <w:bookmarkEnd w:id="63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扣除依据本款第（1）目约定中已扣除的人工费金额；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根据第13条[变更与调整]应增加和扣减的变更金额；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根据第14.2款[预付款]约定应支付的预付款和扣减的返还预付款；</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根据第14.6.2项[质量保证金的预留]约定应预留的质量保证金金额；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根据第19条[索赔]应增加和扣减的索赔金额；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对已签发的进度款支付证书中出现错误的修正，应在本次进度付款中支付或扣除的金额；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 根据合同约定应增加和扣减的其他金额。</w:t>
      </w:r>
    </w:p>
    <w:p>
      <w:pPr>
        <w:pStyle w:val="178"/>
        <w:spacing w:afterLines="0" w:line="440" w:lineRule="exact"/>
        <w:ind w:left="0"/>
        <w:rPr>
          <w:rFonts w:ascii="Times New Roman" w:hAnsi="Times New Roman" w:eastAsia="仿宋_GB2312"/>
          <w:color w:val="auto"/>
          <w:szCs w:val="24"/>
          <w:highlight w:val="none"/>
        </w:rPr>
      </w:pPr>
      <w:bookmarkStart w:id="639" w:name="_Ref531957608"/>
      <w:r>
        <w:rPr>
          <w:rFonts w:ascii="Times New Roman" w:hAnsi="Times New Roman" w:eastAsia="仿宋_GB2312"/>
          <w:color w:val="auto"/>
          <w:szCs w:val="24"/>
          <w:highlight w:val="none"/>
        </w:rPr>
        <w:t>14.3.2 进度付款审核和支付</w:t>
      </w:r>
      <w:bookmarkEnd w:id="639"/>
    </w:p>
    <w:p>
      <w:pPr>
        <w:pStyle w:val="180"/>
        <w:adjustRightInd w:val="0"/>
        <w:snapToGrid w:val="0"/>
        <w:spacing w:line="440" w:lineRule="exact"/>
        <w:ind w:left="0" w:firstLine="480" w:firstLineChars="200"/>
        <w:rPr>
          <w:rFonts w:eastAsia="仿宋_GB2312"/>
          <w:color w:val="auto"/>
          <w:sz w:val="24"/>
          <w:highlight w:val="none"/>
        </w:rPr>
      </w:pPr>
      <w:r>
        <w:rPr>
          <w:rFonts w:eastAsia="仿宋_GB2312"/>
          <w:color w:val="auto"/>
          <w:sz w:val="24"/>
          <w:highlight w:val="none"/>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pPr>
        <w:pStyle w:val="180"/>
        <w:adjustRightInd w:val="0"/>
        <w:snapToGrid w:val="0"/>
        <w:spacing w:line="440" w:lineRule="exact"/>
        <w:ind w:left="0" w:firstLine="480" w:firstLineChars="200"/>
        <w:rPr>
          <w:rFonts w:eastAsia="仿宋_GB2312"/>
          <w:color w:val="auto"/>
          <w:sz w:val="24"/>
          <w:highlight w:val="none"/>
        </w:rPr>
      </w:pPr>
      <w:r>
        <w:rPr>
          <w:rFonts w:eastAsia="仿宋_GB2312"/>
          <w:color w:val="auto"/>
          <w:sz w:val="24"/>
          <w:highlight w:val="none"/>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pPr>
        <w:pStyle w:val="180"/>
        <w:adjustRightInd w:val="0"/>
        <w:snapToGrid w:val="0"/>
        <w:spacing w:line="440" w:lineRule="exact"/>
        <w:ind w:left="0" w:firstLine="480" w:firstLineChars="200"/>
        <w:rPr>
          <w:rFonts w:eastAsia="仿宋_GB2312"/>
          <w:color w:val="auto"/>
          <w:sz w:val="24"/>
          <w:highlight w:val="none"/>
        </w:rPr>
      </w:pPr>
      <w:r>
        <w:rPr>
          <w:rFonts w:eastAsia="仿宋_GB2312"/>
          <w:color w:val="auto"/>
          <w:sz w:val="24"/>
          <w:highlight w:val="none"/>
        </w:rPr>
        <w:t>发包人签发进度款支付证书，不表明发包人已同意、批准或接受了承包人完成的相应部分的工作。</w:t>
      </w:r>
    </w:p>
    <w:p>
      <w:pPr>
        <w:pStyle w:val="178"/>
        <w:spacing w:afterLines="0" w:line="440" w:lineRule="exact"/>
        <w:ind w:left="0"/>
        <w:rPr>
          <w:rFonts w:ascii="Times New Roman" w:hAnsi="Times New Roman" w:eastAsia="仿宋_GB2312"/>
          <w:color w:val="auto"/>
          <w:szCs w:val="24"/>
          <w:highlight w:val="none"/>
        </w:rPr>
      </w:pPr>
      <w:bookmarkStart w:id="640" w:name="_Ref531957023"/>
      <w:r>
        <w:rPr>
          <w:rFonts w:ascii="Times New Roman" w:hAnsi="Times New Roman" w:eastAsia="仿宋_GB2312"/>
          <w:color w:val="auto"/>
          <w:szCs w:val="24"/>
          <w:highlight w:val="none"/>
        </w:rPr>
        <w:t>14.3.3 进度付款的修正</w:t>
      </w:r>
      <w:bookmarkEnd w:id="64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在对已签发的进度款支付证书进行阶段汇总和复核中发现错误、遗漏或重复的，发包人和承包人均有权提出修正申请。经发包人和承包人同意的修正，应在下期进度付款中支付或扣除。</w:t>
      </w:r>
    </w:p>
    <w:p>
      <w:pPr>
        <w:pStyle w:val="177"/>
        <w:widowControl/>
        <w:spacing w:afterLines="0" w:line="440" w:lineRule="exact"/>
        <w:ind w:left="0"/>
        <w:rPr>
          <w:rFonts w:ascii="Times New Roman" w:hAnsi="Times New Roman"/>
          <w:b w:val="0"/>
          <w:bCs/>
          <w:color w:val="auto"/>
          <w:highlight w:val="none"/>
        </w:rPr>
      </w:pPr>
      <w:bookmarkStart w:id="641" w:name="_Ref4538578"/>
      <w:bookmarkStart w:id="642" w:name="_Toc54862295"/>
      <w:bookmarkStart w:id="643" w:name="_Ref536647814"/>
      <w:bookmarkStart w:id="644" w:name="_Ref536647822"/>
      <w:r>
        <w:rPr>
          <w:rFonts w:ascii="Times New Roman" w:hAnsi="Times New Roman"/>
          <w:b w:val="0"/>
          <w:bCs/>
          <w:color w:val="auto"/>
          <w:highlight w:val="none"/>
        </w:rPr>
        <w:t>14.4 付款计划表</w:t>
      </w:r>
      <w:bookmarkEnd w:id="641"/>
      <w:bookmarkEnd w:id="642"/>
    </w:p>
    <w:p>
      <w:pPr>
        <w:pStyle w:val="178"/>
        <w:spacing w:afterLines="0" w:line="440" w:lineRule="exact"/>
        <w:ind w:left="0"/>
        <w:rPr>
          <w:rFonts w:ascii="Times New Roman" w:hAnsi="Times New Roman" w:eastAsia="仿宋_GB2312"/>
          <w:color w:val="auto"/>
          <w:szCs w:val="24"/>
          <w:highlight w:val="none"/>
        </w:rPr>
      </w:pPr>
      <w:bookmarkStart w:id="645" w:name="_Ref4570974"/>
      <w:r>
        <w:rPr>
          <w:rFonts w:ascii="Times New Roman" w:hAnsi="Times New Roman" w:eastAsia="仿宋_GB2312"/>
          <w:color w:val="auto"/>
          <w:szCs w:val="24"/>
          <w:highlight w:val="none"/>
        </w:rPr>
        <w:t>14.4.1 付款计划表的编制要求</w:t>
      </w:r>
      <w:bookmarkEnd w:id="64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除专用合同条件另有约定外，付款计划表按如下要求编制：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付款计划表中所列的每期付款金额，应为第14.3.1项[工程进度付款申请]每期进度款的估算金额；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实际进度与项目进度计划不一致的，合同当事人可按照第3.6款[商定或确定]修改付款计划表；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不采用付款计划表的，承包人应向工程师提交按季度编制的支付估算付款计划表，用于支付参考。</w:t>
      </w:r>
    </w:p>
    <w:p>
      <w:pPr>
        <w:pStyle w:val="178"/>
        <w:spacing w:afterLines="0" w:line="440" w:lineRule="exact"/>
        <w:ind w:left="0"/>
        <w:rPr>
          <w:rFonts w:ascii="Times New Roman" w:hAnsi="Times New Roman" w:eastAsia="仿宋_GB2312"/>
          <w:color w:val="auto"/>
          <w:szCs w:val="24"/>
          <w:highlight w:val="none"/>
        </w:rPr>
      </w:pPr>
      <w:bookmarkStart w:id="646" w:name="_Ref4571011"/>
      <w:r>
        <w:rPr>
          <w:rFonts w:ascii="Times New Roman" w:hAnsi="Times New Roman" w:eastAsia="仿宋_GB2312"/>
          <w:color w:val="auto"/>
          <w:szCs w:val="24"/>
          <w:highlight w:val="none"/>
        </w:rPr>
        <w:t>14.4.2 付款计划表的编制与审批</w:t>
      </w:r>
      <w:bookmarkEnd w:id="64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工程师应在收到付款计划表后7天内完成审核并报送发包人。发包人应在收到经工程师审核的付款计划表后7天内完成审批，经发包人批准的付款计划表为有约束力的付款计划表。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发包人逾期未完成付款计划表审批的，也未及时要求承包人进行修正和提供补充资料的，则承包人提交的付款计划表视为已经获得发包人批准。</w:t>
      </w:r>
    </w:p>
    <w:p>
      <w:pPr>
        <w:pStyle w:val="177"/>
        <w:widowControl/>
        <w:spacing w:afterLines="0" w:line="440" w:lineRule="exact"/>
        <w:ind w:left="0"/>
        <w:rPr>
          <w:rFonts w:ascii="Times New Roman" w:hAnsi="Times New Roman"/>
          <w:b w:val="0"/>
          <w:bCs/>
          <w:color w:val="auto"/>
          <w:highlight w:val="none"/>
        </w:rPr>
      </w:pPr>
      <w:bookmarkStart w:id="647" w:name="_Ref4538634"/>
      <w:bookmarkStart w:id="648" w:name="_Toc54862296"/>
      <w:r>
        <w:rPr>
          <w:rFonts w:ascii="Times New Roman" w:hAnsi="Times New Roman"/>
          <w:b w:val="0"/>
          <w:bCs/>
          <w:color w:val="auto"/>
          <w:highlight w:val="none"/>
        </w:rPr>
        <w:t>14.5 竣工结算</w:t>
      </w:r>
      <w:bookmarkEnd w:id="647"/>
      <w:bookmarkEnd w:id="648"/>
    </w:p>
    <w:p>
      <w:pPr>
        <w:pStyle w:val="178"/>
        <w:spacing w:afterLines="0" w:line="440" w:lineRule="exact"/>
        <w:ind w:left="0"/>
        <w:rPr>
          <w:rFonts w:ascii="Times New Roman" w:hAnsi="Times New Roman" w:eastAsia="仿宋_GB2312"/>
          <w:color w:val="auto"/>
          <w:szCs w:val="24"/>
          <w:highlight w:val="none"/>
        </w:rPr>
      </w:pPr>
      <w:bookmarkStart w:id="649" w:name="_Ref4571361"/>
      <w:r>
        <w:rPr>
          <w:rFonts w:ascii="Times New Roman" w:hAnsi="Times New Roman" w:eastAsia="仿宋_GB2312"/>
          <w:color w:val="auto"/>
          <w:szCs w:val="24"/>
          <w:highlight w:val="none"/>
        </w:rPr>
        <w:t>14.5.1 竣工结算申请</w:t>
      </w:r>
      <w:bookmarkEnd w:id="64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除专用合同条件另有约定外，竣工结算申请单应包括以下内容：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竣工结算合同价格；</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发包人已支付承包人的款项；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发包人应支付承包人的合同价款。</w:t>
      </w:r>
    </w:p>
    <w:p>
      <w:pPr>
        <w:pStyle w:val="178"/>
        <w:spacing w:afterLines="0" w:line="440" w:lineRule="exact"/>
        <w:ind w:left="0"/>
        <w:rPr>
          <w:rFonts w:ascii="Times New Roman" w:hAnsi="Times New Roman" w:eastAsia="仿宋_GB2312"/>
          <w:color w:val="auto"/>
          <w:szCs w:val="24"/>
          <w:highlight w:val="none"/>
        </w:rPr>
      </w:pPr>
      <w:bookmarkStart w:id="650" w:name="_Ref4571384"/>
      <w:r>
        <w:rPr>
          <w:rFonts w:ascii="Times New Roman" w:hAnsi="Times New Roman" w:eastAsia="仿宋_GB2312"/>
          <w:color w:val="auto"/>
          <w:szCs w:val="24"/>
          <w:highlight w:val="none"/>
        </w:rPr>
        <w:t>14.5.2 竣工结算审核</w:t>
      </w:r>
      <w:bookmarkEnd w:id="65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djustRightInd w:val="0"/>
        <w:snapToGrid w:val="0"/>
        <w:spacing w:line="440" w:lineRule="exact"/>
        <w:ind w:firstLine="600"/>
        <w:rPr>
          <w:rFonts w:eastAsia="仿宋_GB2312"/>
          <w:color w:val="auto"/>
          <w:sz w:val="24"/>
          <w:highlight w:val="none"/>
        </w:rPr>
      </w:pPr>
      <w:bookmarkStart w:id="651" w:name="_Ref4618006"/>
      <w:r>
        <w:rPr>
          <w:rFonts w:eastAsia="仿宋_GB2312"/>
          <w:color w:val="auto"/>
          <w:sz w:val="24"/>
          <w:highlight w:val="none"/>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65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pPr>
        <w:pStyle w:val="178"/>
        <w:spacing w:afterLines="0" w:line="440" w:lineRule="exact"/>
        <w:ind w:left="0"/>
        <w:rPr>
          <w:rFonts w:ascii="Times New Roman" w:hAnsi="Times New Roman" w:eastAsia="仿宋_GB2312"/>
          <w:color w:val="auto"/>
          <w:szCs w:val="24"/>
          <w:highlight w:val="none"/>
        </w:rPr>
      </w:pPr>
      <w:bookmarkStart w:id="652" w:name="_Ref15484305"/>
      <w:r>
        <w:rPr>
          <w:rFonts w:ascii="Times New Roman" w:hAnsi="Times New Roman" w:eastAsia="仿宋_GB2312"/>
          <w:color w:val="auto"/>
          <w:szCs w:val="24"/>
          <w:highlight w:val="none"/>
        </w:rPr>
        <w:t>14.5.3 扫尾工作清单</w:t>
      </w:r>
      <w:bookmarkEnd w:id="65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经双方协商，部分工作在工程竣工验收后进行的，承包人应当编制扫尾工作清单，扫尾工作清单中应当列明承包人应当完成的扫尾工作的内容及完成时间。</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承包人完成扫尾工作清单中的内容应取得的费用包含在第14.5.1项[竣工结算申请]及第14.5.2项[竣工结算审核]中一并结算。</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扫尾工作的缺陷责任期按第11条[缺陷责任与保修]处理。承包人未能按照扫尾工作清单约定的完成时间完成扫尾工作的，视为承包人原因导致的工程质量缺陷按照第11.3款[缺陷调查]处理。</w:t>
      </w:r>
    </w:p>
    <w:p>
      <w:pPr>
        <w:pStyle w:val="177"/>
        <w:widowControl/>
        <w:spacing w:afterLines="0" w:line="440" w:lineRule="exact"/>
        <w:ind w:left="0"/>
        <w:rPr>
          <w:rFonts w:ascii="Times New Roman" w:hAnsi="Times New Roman"/>
          <w:b w:val="0"/>
          <w:bCs/>
          <w:color w:val="auto"/>
          <w:highlight w:val="none"/>
        </w:rPr>
      </w:pPr>
      <w:bookmarkStart w:id="653" w:name="_Toc54862297"/>
      <w:bookmarkStart w:id="654" w:name="_Ref4617592"/>
      <w:bookmarkStart w:id="655" w:name="_Ref4571127"/>
      <w:bookmarkStart w:id="656" w:name="_Ref4617582"/>
      <w:bookmarkStart w:id="657" w:name="_Ref4582115"/>
      <w:bookmarkStart w:id="658" w:name="_Ref4571100"/>
      <w:bookmarkStart w:id="659" w:name="_Ref15395020"/>
      <w:bookmarkStart w:id="660" w:name="_Hlk15394931"/>
      <w:r>
        <w:rPr>
          <w:rFonts w:ascii="Times New Roman" w:hAnsi="Times New Roman"/>
          <w:b w:val="0"/>
          <w:bCs/>
          <w:color w:val="auto"/>
          <w:highlight w:val="none"/>
        </w:rPr>
        <w:t>14.6 质量保证金</w:t>
      </w:r>
      <w:bookmarkEnd w:id="643"/>
      <w:bookmarkEnd w:id="644"/>
      <w:bookmarkEnd w:id="653"/>
      <w:bookmarkEnd w:id="654"/>
      <w:bookmarkEnd w:id="655"/>
      <w:bookmarkEnd w:id="656"/>
      <w:bookmarkEnd w:id="657"/>
      <w:bookmarkEnd w:id="658"/>
      <w:bookmarkEnd w:id="65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经合同当事人协商一致提供质量保证金的，应在专用合同条件中予以明确。在工程项目竣工前，承包人已经提供履约担保的，发包人不得同时要求承包人提供质量保证金。</w:t>
      </w:r>
    </w:p>
    <w:bookmarkEnd w:id="660"/>
    <w:p>
      <w:pPr>
        <w:pStyle w:val="178"/>
        <w:spacing w:afterLines="0" w:line="440" w:lineRule="exact"/>
        <w:ind w:left="0"/>
        <w:rPr>
          <w:rFonts w:ascii="Times New Roman" w:hAnsi="Times New Roman" w:eastAsia="仿宋_GB2312"/>
          <w:color w:val="auto"/>
          <w:szCs w:val="24"/>
          <w:highlight w:val="none"/>
        </w:rPr>
      </w:pPr>
      <w:bookmarkStart w:id="661" w:name="_Ref531955069"/>
      <w:bookmarkStart w:id="662" w:name="_Ref531957153"/>
      <w:r>
        <w:rPr>
          <w:rFonts w:ascii="Times New Roman" w:hAnsi="Times New Roman" w:eastAsia="仿宋_GB2312"/>
          <w:color w:val="auto"/>
          <w:szCs w:val="24"/>
          <w:highlight w:val="none"/>
        </w:rPr>
        <w:t>14.6.1 承包人提供质量保证金的方式</w:t>
      </w:r>
      <w:bookmarkEnd w:id="66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承包人提供质量保证金有以下三种方式：</w:t>
      </w:r>
    </w:p>
    <w:p>
      <w:pPr>
        <w:adjustRightInd w:val="0"/>
        <w:snapToGrid w:val="0"/>
        <w:spacing w:line="440" w:lineRule="exact"/>
        <w:ind w:firstLine="600"/>
        <w:rPr>
          <w:rFonts w:eastAsia="仿宋_GB2312"/>
          <w:color w:val="auto"/>
          <w:sz w:val="24"/>
          <w:highlight w:val="none"/>
        </w:rPr>
      </w:pPr>
      <w:bookmarkStart w:id="663" w:name="_Ref531955096"/>
      <w:r>
        <w:rPr>
          <w:rFonts w:eastAsia="仿宋_GB2312"/>
          <w:color w:val="auto"/>
          <w:sz w:val="24"/>
          <w:highlight w:val="none"/>
        </w:rPr>
        <w:t>（1） 提交工程质量保证担保；</w:t>
      </w:r>
      <w:bookmarkEnd w:id="663"/>
    </w:p>
    <w:p>
      <w:pPr>
        <w:adjustRightInd w:val="0"/>
        <w:snapToGrid w:val="0"/>
        <w:spacing w:line="440" w:lineRule="exact"/>
        <w:ind w:firstLine="600"/>
        <w:rPr>
          <w:rFonts w:eastAsia="仿宋_GB2312"/>
          <w:color w:val="auto"/>
          <w:sz w:val="24"/>
          <w:highlight w:val="none"/>
        </w:rPr>
      </w:pPr>
      <w:bookmarkStart w:id="664" w:name="_Ref531955107"/>
      <w:r>
        <w:rPr>
          <w:rFonts w:eastAsia="仿宋_GB2312"/>
          <w:color w:val="auto"/>
          <w:sz w:val="24"/>
          <w:highlight w:val="none"/>
        </w:rPr>
        <w:t>（2） 预留相应比例的工程款；</w:t>
      </w:r>
      <w:bookmarkEnd w:id="664"/>
    </w:p>
    <w:p>
      <w:pPr>
        <w:adjustRightInd w:val="0"/>
        <w:snapToGrid w:val="0"/>
        <w:spacing w:line="440" w:lineRule="exact"/>
        <w:ind w:firstLine="600"/>
        <w:rPr>
          <w:rFonts w:eastAsia="仿宋_GB2312"/>
          <w:color w:val="auto"/>
          <w:sz w:val="24"/>
          <w:highlight w:val="none"/>
        </w:rPr>
      </w:pPr>
      <w:bookmarkStart w:id="665" w:name="_Ref531955117"/>
      <w:r>
        <w:rPr>
          <w:rFonts w:eastAsia="仿宋_GB2312"/>
          <w:color w:val="auto"/>
          <w:sz w:val="24"/>
          <w:highlight w:val="none"/>
        </w:rPr>
        <w:t>（3） 双方约定的其他方式。</w:t>
      </w:r>
      <w:bookmarkEnd w:id="66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pPr>
        <w:pStyle w:val="178"/>
        <w:spacing w:afterLines="0" w:line="440" w:lineRule="exact"/>
        <w:ind w:left="0"/>
        <w:rPr>
          <w:rFonts w:ascii="Times New Roman" w:hAnsi="Times New Roman" w:eastAsia="仿宋_GB2312"/>
          <w:color w:val="auto"/>
          <w:szCs w:val="24"/>
          <w:highlight w:val="none"/>
        </w:rPr>
      </w:pPr>
      <w:bookmarkStart w:id="666" w:name="_Ref18931667"/>
      <w:bookmarkStart w:id="667" w:name="_Ref15419738"/>
      <w:r>
        <w:rPr>
          <w:rFonts w:ascii="Times New Roman" w:hAnsi="Times New Roman" w:eastAsia="仿宋_GB2312"/>
          <w:color w:val="auto"/>
          <w:szCs w:val="24"/>
          <w:highlight w:val="none"/>
        </w:rPr>
        <w:t>14.6.2 质量保证金的预留</w:t>
      </w:r>
      <w:bookmarkEnd w:id="666"/>
      <w:bookmarkEnd w:id="66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双方约定采用预留相应比例的工程款方式提供质量保证金的，质量保证金的预留有以下三种方式：</w:t>
      </w:r>
    </w:p>
    <w:p>
      <w:pPr>
        <w:adjustRightInd w:val="0"/>
        <w:snapToGrid w:val="0"/>
        <w:spacing w:line="440" w:lineRule="exact"/>
        <w:ind w:firstLine="600"/>
        <w:rPr>
          <w:rFonts w:eastAsia="仿宋_GB2312"/>
          <w:color w:val="auto"/>
          <w:sz w:val="24"/>
          <w:highlight w:val="none"/>
        </w:rPr>
      </w:pPr>
      <w:bookmarkStart w:id="668" w:name="_Hlk18840714"/>
      <w:bookmarkStart w:id="669" w:name="_Ref531955143"/>
      <w:r>
        <w:rPr>
          <w:rFonts w:eastAsia="仿宋_GB2312"/>
          <w:color w:val="auto"/>
          <w:sz w:val="24"/>
          <w:highlight w:val="none"/>
        </w:rPr>
        <w:t>（1） 按专用合同条件的约定在支付工程进度款时逐次预留，直至预留的质量保证金总额达到专用合同条件约定的金额或比例为止</w:t>
      </w:r>
      <w:bookmarkEnd w:id="668"/>
      <w:r>
        <w:rPr>
          <w:rFonts w:eastAsia="仿宋_GB2312"/>
          <w:color w:val="auto"/>
          <w:sz w:val="24"/>
          <w:highlight w:val="none"/>
        </w:rPr>
        <w:t>。在此情形下，质量保证金的计算基数不包括预付款的支付、扣回以及价格调整的金额；</w:t>
      </w:r>
      <w:bookmarkEnd w:id="669"/>
    </w:p>
    <w:p>
      <w:pPr>
        <w:adjustRightInd w:val="0"/>
        <w:snapToGrid w:val="0"/>
        <w:spacing w:line="440" w:lineRule="exact"/>
        <w:ind w:firstLine="600"/>
        <w:rPr>
          <w:rFonts w:eastAsia="仿宋_GB2312"/>
          <w:color w:val="auto"/>
          <w:sz w:val="24"/>
          <w:highlight w:val="none"/>
        </w:rPr>
      </w:pPr>
      <w:bookmarkStart w:id="670" w:name="_Ref531955151"/>
      <w:r>
        <w:rPr>
          <w:rFonts w:eastAsia="仿宋_GB2312"/>
          <w:color w:val="auto"/>
          <w:sz w:val="24"/>
          <w:highlight w:val="none"/>
        </w:rPr>
        <w:t>（2） 工程竣工结算时一次性预留质量保证金；</w:t>
      </w:r>
      <w:bookmarkEnd w:id="670"/>
    </w:p>
    <w:p>
      <w:pPr>
        <w:adjustRightInd w:val="0"/>
        <w:snapToGrid w:val="0"/>
        <w:spacing w:line="440" w:lineRule="exact"/>
        <w:ind w:firstLine="600"/>
        <w:rPr>
          <w:rFonts w:eastAsia="仿宋_GB2312"/>
          <w:color w:val="auto"/>
          <w:sz w:val="24"/>
          <w:highlight w:val="none"/>
        </w:rPr>
      </w:pPr>
      <w:bookmarkStart w:id="671" w:name="_Ref531955161"/>
      <w:r>
        <w:rPr>
          <w:rFonts w:eastAsia="仿宋_GB2312"/>
          <w:color w:val="auto"/>
          <w:sz w:val="24"/>
          <w:highlight w:val="none"/>
        </w:rPr>
        <w:t>（3） 双方约定的其他预留方式。</w:t>
      </w:r>
      <w:bookmarkEnd w:id="67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pPr>
        <w:pStyle w:val="178"/>
        <w:spacing w:afterLines="0" w:line="440" w:lineRule="exact"/>
        <w:ind w:left="0"/>
        <w:rPr>
          <w:rFonts w:ascii="Times New Roman" w:hAnsi="Times New Roman" w:eastAsia="仿宋_GB2312"/>
          <w:color w:val="auto"/>
          <w:szCs w:val="24"/>
          <w:highlight w:val="none"/>
        </w:rPr>
      </w:pPr>
      <w:bookmarkStart w:id="672" w:name="_Ref532690096"/>
      <w:bookmarkStart w:id="673" w:name="_Ref4571243"/>
      <w:r>
        <w:rPr>
          <w:rFonts w:ascii="Times New Roman" w:hAnsi="Times New Roman" w:eastAsia="仿宋_GB2312"/>
          <w:color w:val="auto"/>
          <w:szCs w:val="24"/>
          <w:highlight w:val="none"/>
        </w:rPr>
        <w:t>14.6.3 质量保证金的</w:t>
      </w:r>
      <w:bookmarkEnd w:id="672"/>
      <w:r>
        <w:rPr>
          <w:rFonts w:ascii="Times New Roman" w:hAnsi="Times New Roman" w:eastAsia="仿宋_GB2312"/>
          <w:color w:val="auto"/>
          <w:szCs w:val="24"/>
          <w:highlight w:val="none"/>
        </w:rPr>
        <w:t>返还</w:t>
      </w:r>
      <w:bookmarkEnd w:id="67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缺陷责任期内，承包人认真履行合同约定的责任，缺陷责任期满，发包人根据第11.6款[缺陷责任期终止证书]向承包人颁发缺陷责任期终止证书后，承包人可向发包人申请返还质量保证金。</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在接到承包人返还质量保证金申请后，应于7天内将质量保证金返还承包人，逾期未返还的，应承担违约责任。发包人在接到承包人返还质量保证金申请后7天内不予答复，视同认可承包人的返还质量保证金申请。</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发包人和承包人对质量保证金预留、返还以及工程维修质量、费用有争议的，按本合同第20条[争议解决]约定的争议和纠纷解决程序处理。</w:t>
      </w:r>
    </w:p>
    <w:bookmarkEnd w:id="662"/>
    <w:p>
      <w:pPr>
        <w:pStyle w:val="177"/>
        <w:widowControl/>
        <w:spacing w:afterLines="0" w:line="440" w:lineRule="exact"/>
        <w:ind w:left="0"/>
        <w:rPr>
          <w:rFonts w:ascii="Times New Roman" w:hAnsi="Times New Roman"/>
          <w:b w:val="0"/>
          <w:bCs/>
          <w:color w:val="auto"/>
          <w:highlight w:val="none"/>
        </w:rPr>
      </w:pPr>
      <w:bookmarkStart w:id="674" w:name="_Ref531957339"/>
      <w:bookmarkStart w:id="675" w:name="_Toc54862298"/>
      <w:bookmarkStart w:id="676" w:name="_Ref531957341"/>
      <w:r>
        <w:rPr>
          <w:rFonts w:ascii="Times New Roman" w:hAnsi="Times New Roman"/>
          <w:b w:val="0"/>
          <w:bCs/>
          <w:color w:val="auto"/>
          <w:highlight w:val="none"/>
        </w:rPr>
        <w:t>14.7 最终结清</w:t>
      </w:r>
      <w:bookmarkEnd w:id="674"/>
      <w:bookmarkEnd w:id="675"/>
      <w:bookmarkEnd w:id="676"/>
    </w:p>
    <w:p>
      <w:pPr>
        <w:pStyle w:val="178"/>
        <w:spacing w:afterLines="0" w:line="440" w:lineRule="exact"/>
        <w:ind w:left="0"/>
        <w:rPr>
          <w:rFonts w:ascii="Times New Roman" w:hAnsi="Times New Roman" w:eastAsia="仿宋_GB2312"/>
          <w:color w:val="auto"/>
          <w:szCs w:val="24"/>
          <w:highlight w:val="none"/>
        </w:rPr>
      </w:pPr>
      <w:bookmarkStart w:id="677" w:name="_Ref531957350"/>
      <w:r>
        <w:rPr>
          <w:rFonts w:ascii="Times New Roman" w:hAnsi="Times New Roman" w:eastAsia="仿宋_GB2312"/>
          <w:color w:val="auto"/>
          <w:szCs w:val="24"/>
          <w:highlight w:val="none"/>
        </w:rPr>
        <w:t>14.7.1 最终结清申请</w:t>
      </w:r>
      <w:bookmarkEnd w:id="677"/>
      <w:r>
        <w:rPr>
          <w:rFonts w:ascii="Times New Roman" w:hAnsi="Times New Roman" w:eastAsia="仿宋_GB2312"/>
          <w:color w:val="auto"/>
          <w:szCs w:val="24"/>
          <w:highlight w:val="none"/>
        </w:rPr>
        <w:t>单</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除专用合同条件另有约定外，承包人应在缺陷责任期终止证书颁发后7天内，按专用合同条件约定的份数向发包人提交最终结清申请单，并提供相关证明材料。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除专用合同条件另有约定外，最终结清申请单应列明质量保证金、应扣除的质量保证金、缺陷责任期内发生的增减费用。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发包人对最终结清申请单内容有异议的，有权要求承包人进行修正和提供补充资料，承包人应向发包人提交修正后的最终结清申请单。</w:t>
      </w:r>
    </w:p>
    <w:p>
      <w:pPr>
        <w:pStyle w:val="178"/>
        <w:spacing w:afterLines="0" w:line="440" w:lineRule="exact"/>
        <w:ind w:left="0"/>
        <w:rPr>
          <w:rFonts w:ascii="Times New Roman" w:hAnsi="Times New Roman" w:eastAsia="仿宋_GB2312"/>
          <w:color w:val="auto"/>
          <w:szCs w:val="24"/>
          <w:highlight w:val="none"/>
        </w:rPr>
      </w:pPr>
      <w:bookmarkStart w:id="678" w:name="_Ref531957369"/>
      <w:bookmarkStart w:id="679" w:name="_Ref4624099"/>
      <w:r>
        <w:rPr>
          <w:rFonts w:ascii="Times New Roman" w:hAnsi="Times New Roman" w:eastAsia="仿宋_GB2312"/>
          <w:color w:val="auto"/>
          <w:szCs w:val="24"/>
          <w:highlight w:val="none"/>
        </w:rPr>
        <w:t>14.7.2 最终结清证书</w:t>
      </w:r>
      <w:bookmarkEnd w:id="678"/>
      <w:r>
        <w:rPr>
          <w:rFonts w:ascii="Times New Roman" w:hAnsi="Times New Roman" w:eastAsia="仿宋_GB2312"/>
          <w:color w:val="auto"/>
          <w:szCs w:val="24"/>
          <w:highlight w:val="none"/>
        </w:rPr>
        <w:t>和支付</w:t>
      </w:r>
      <w:bookmarkEnd w:id="67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除专用合同条件另有约定外，发包人应在颁发最终结清证书后7天内完成支付。发包人逾期支付的，按照贷款市场报价利率（LPR）支付利息；逾期支付超过56天的，按照贷款市场报价利率（LPR）的两倍支付利息。</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承包人对发包人颁发的最终结清证书有异议的，按第20条[争议解决]的约定办理。</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680" w:name="_Ref11874957"/>
      <w:bookmarkStart w:id="681" w:name="_Ref11920396"/>
      <w:bookmarkStart w:id="682" w:name="_Toc54862299"/>
      <w:bookmarkStart w:id="683" w:name="_Ref11920407"/>
      <w:r>
        <w:rPr>
          <w:rFonts w:ascii="Times New Roman" w:hAnsi="Times New Roman"/>
          <w:b w:val="0"/>
          <w:color w:val="auto"/>
          <w:sz w:val="24"/>
          <w:szCs w:val="24"/>
          <w:highlight w:val="none"/>
        </w:rPr>
        <w:t>第15条 违约</w:t>
      </w:r>
      <w:bookmarkEnd w:id="538"/>
      <w:bookmarkEnd w:id="542"/>
      <w:bookmarkEnd w:id="543"/>
      <w:bookmarkEnd w:id="680"/>
      <w:bookmarkEnd w:id="681"/>
      <w:bookmarkEnd w:id="682"/>
      <w:bookmarkEnd w:id="683"/>
    </w:p>
    <w:p>
      <w:pPr>
        <w:pStyle w:val="177"/>
        <w:widowControl/>
        <w:spacing w:afterLines="0" w:line="440" w:lineRule="exact"/>
        <w:ind w:left="0"/>
        <w:rPr>
          <w:rFonts w:ascii="Times New Roman" w:hAnsi="Times New Roman"/>
          <w:b w:val="0"/>
          <w:bCs/>
          <w:color w:val="auto"/>
          <w:highlight w:val="none"/>
        </w:rPr>
      </w:pPr>
      <w:bookmarkStart w:id="684" w:name="_Ref4534411"/>
      <w:bookmarkStart w:id="685" w:name="_Ref4534384"/>
      <w:bookmarkStart w:id="686" w:name="_Ref4534399"/>
      <w:bookmarkStart w:id="687" w:name="_Ref4534376"/>
      <w:bookmarkStart w:id="688" w:name="_Toc54862300"/>
      <w:r>
        <w:rPr>
          <w:rFonts w:ascii="Times New Roman" w:hAnsi="Times New Roman"/>
          <w:b w:val="0"/>
          <w:bCs/>
          <w:color w:val="auto"/>
          <w:highlight w:val="none"/>
        </w:rPr>
        <w:t>15.1 发包人违约</w:t>
      </w:r>
      <w:bookmarkEnd w:id="684"/>
      <w:bookmarkEnd w:id="685"/>
      <w:bookmarkEnd w:id="686"/>
      <w:bookmarkEnd w:id="687"/>
      <w:bookmarkEnd w:id="688"/>
    </w:p>
    <w:p>
      <w:pPr>
        <w:pStyle w:val="178"/>
        <w:spacing w:afterLines="0" w:line="440" w:lineRule="exact"/>
        <w:ind w:left="0"/>
        <w:rPr>
          <w:rFonts w:ascii="Times New Roman" w:hAnsi="Times New Roman" w:eastAsia="仿宋_GB2312"/>
          <w:color w:val="auto"/>
          <w:szCs w:val="24"/>
          <w:highlight w:val="none"/>
        </w:rPr>
      </w:pPr>
      <w:bookmarkStart w:id="689" w:name="_Ref3841087"/>
      <w:r>
        <w:rPr>
          <w:rFonts w:ascii="Times New Roman" w:hAnsi="Times New Roman" w:eastAsia="仿宋_GB2312"/>
          <w:color w:val="auto"/>
          <w:szCs w:val="24"/>
          <w:highlight w:val="none"/>
        </w:rPr>
        <w:t>15.1.1 发包人违约的情形</w:t>
      </w:r>
      <w:bookmarkEnd w:id="68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除专用合同条件另有约定外，在合同履行过程中发生的下列情形，属于发包人违约：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（1） 因发包人原因导致开始工作日期延误的； </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因发包人原因未能按合同约定支付合同价款的；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发包人违反第13.1.1项约定，自行实施被取消的工作或转由他人实施的；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因发包人违反合同约定造成工程暂停施工的；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工程师无正当理由没有在约定期限内发出复工指示，导致承包人无法复工的；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发包人明确表示或者以其行为表明不履行合同主要义务的；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发包人未能按照合同约定履行其他义务的。</w:t>
      </w:r>
    </w:p>
    <w:p>
      <w:pPr>
        <w:pStyle w:val="178"/>
        <w:spacing w:afterLines="0" w:line="440" w:lineRule="exact"/>
        <w:ind w:left="0"/>
        <w:rPr>
          <w:rFonts w:ascii="Times New Roman" w:hAnsi="Times New Roman" w:eastAsia="仿宋_GB2312"/>
          <w:color w:val="auto"/>
          <w:szCs w:val="24"/>
          <w:highlight w:val="none"/>
        </w:rPr>
      </w:pPr>
      <w:bookmarkStart w:id="690" w:name="_Ref4535692"/>
      <w:r>
        <w:rPr>
          <w:rFonts w:ascii="Times New Roman" w:hAnsi="Times New Roman" w:eastAsia="仿宋_GB2312"/>
          <w:color w:val="auto"/>
          <w:szCs w:val="24"/>
          <w:highlight w:val="none"/>
        </w:rPr>
        <w:t>15.1.2 通知改正</w:t>
      </w:r>
      <w:bookmarkEnd w:id="690"/>
    </w:p>
    <w:p>
      <w:pPr>
        <w:adjustRightInd w:val="0"/>
        <w:snapToGrid w:val="0"/>
        <w:spacing w:line="440" w:lineRule="exact"/>
        <w:ind w:firstLine="600"/>
        <w:rPr>
          <w:rFonts w:eastAsia="仿宋_GB2312"/>
          <w:color w:val="auto"/>
          <w:sz w:val="24"/>
          <w:highlight w:val="none"/>
        </w:rPr>
      </w:pPr>
      <w:bookmarkStart w:id="691" w:name="_Hlk16248297"/>
      <w:r>
        <w:rPr>
          <w:rFonts w:eastAsia="仿宋_GB2312"/>
          <w:color w:val="auto"/>
          <w:sz w:val="24"/>
          <w:highlight w:val="none"/>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691"/>
    </w:p>
    <w:p>
      <w:pPr>
        <w:pStyle w:val="178"/>
        <w:spacing w:afterLines="0" w:line="440" w:lineRule="exact"/>
        <w:ind w:left="0"/>
        <w:rPr>
          <w:rFonts w:ascii="Times New Roman" w:hAnsi="Times New Roman" w:eastAsia="仿宋_GB2312"/>
          <w:color w:val="auto"/>
          <w:szCs w:val="24"/>
          <w:highlight w:val="none"/>
        </w:rPr>
      </w:pPr>
      <w:bookmarkStart w:id="692" w:name="_Ref3841132"/>
      <w:r>
        <w:rPr>
          <w:rFonts w:ascii="Times New Roman" w:hAnsi="Times New Roman" w:eastAsia="仿宋_GB2312"/>
          <w:color w:val="auto"/>
          <w:szCs w:val="24"/>
          <w:highlight w:val="none"/>
        </w:rPr>
        <w:t>15.1.3 发包人违约的责任</w:t>
      </w:r>
      <w:bookmarkEnd w:id="692"/>
    </w:p>
    <w:p>
      <w:pPr>
        <w:adjustRightInd w:val="0"/>
        <w:snapToGrid w:val="0"/>
        <w:spacing w:line="440" w:lineRule="exact"/>
        <w:ind w:firstLine="600"/>
        <w:rPr>
          <w:rFonts w:eastAsia="仿宋_GB2312"/>
          <w:color w:val="auto"/>
          <w:sz w:val="24"/>
          <w:highlight w:val="none"/>
        </w:rPr>
      </w:pPr>
      <w:bookmarkStart w:id="693" w:name="_Hlk16247984"/>
      <w:r>
        <w:rPr>
          <w:rFonts w:eastAsia="仿宋_GB2312"/>
          <w:color w:val="auto"/>
          <w:sz w:val="24"/>
          <w:highlight w:val="none"/>
        </w:rPr>
        <w:t>发包人应承担因其违约给承包人增加的费用和（或）延误的工期，并支付承包人合理的利润。此外，合同当事人可在专用合同条件中另行约定发包人违约责任的承担方式和计算方法。</w:t>
      </w:r>
      <w:bookmarkEnd w:id="693"/>
    </w:p>
    <w:p>
      <w:pPr>
        <w:pStyle w:val="177"/>
        <w:widowControl/>
        <w:spacing w:afterLines="0" w:line="440" w:lineRule="exact"/>
        <w:ind w:left="0"/>
        <w:rPr>
          <w:rFonts w:ascii="Times New Roman" w:hAnsi="Times New Roman"/>
          <w:b w:val="0"/>
          <w:bCs/>
          <w:color w:val="auto"/>
          <w:highlight w:val="none"/>
        </w:rPr>
      </w:pPr>
      <w:bookmarkStart w:id="694" w:name="_Ref11958663"/>
      <w:bookmarkStart w:id="695" w:name="_Ref11958660"/>
      <w:bookmarkStart w:id="696" w:name="_Toc54862301"/>
      <w:r>
        <w:rPr>
          <w:rFonts w:ascii="Times New Roman" w:hAnsi="Times New Roman"/>
          <w:b w:val="0"/>
          <w:bCs/>
          <w:color w:val="auto"/>
          <w:highlight w:val="none"/>
        </w:rPr>
        <w:t>15.2 承包人违约</w:t>
      </w:r>
      <w:bookmarkEnd w:id="694"/>
      <w:bookmarkEnd w:id="695"/>
      <w:bookmarkEnd w:id="696"/>
    </w:p>
    <w:p>
      <w:pPr>
        <w:pStyle w:val="178"/>
        <w:spacing w:afterLines="0" w:line="440" w:lineRule="exact"/>
        <w:ind w:left="0"/>
        <w:rPr>
          <w:rFonts w:ascii="Times New Roman" w:hAnsi="Times New Roman" w:eastAsia="仿宋_GB2312"/>
          <w:color w:val="auto"/>
          <w:szCs w:val="24"/>
          <w:highlight w:val="none"/>
        </w:rPr>
      </w:pPr>
      <w:bookmarkStart w:id="697" w:name="_Ref3841153"/>
      <w:r>
        <w:rPr>
          <w:rFonts w:ascii="Times New Roman" w:hAnsi="Times New Roman" w:eastAsia="仿宋_GB2312"/>
          <w:color w:val="auto"/>
          <w:szCs w:val="24"/>
          <w:highlight w:val="none"/>
        </w:rPr>
        <w:t>15.2.1 承包人违约的情形</w:t>
      </w:r>
      <w:bookmarkEnd w:id="69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除专用合同条件另有约定外，在履行合同过程中发生的下列情况之一的，属于承包人违约：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承包人的原因导致的承包人文件、实施和竣工的工程不符合法律法规、工程质量验收标准以及合同约定；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承包人违反合同约定进行转包或违法分包的；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承包人违反约定采购和使用不合格材料或工程设备；</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因承包人原因导致工程质量不符合合同要求的；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承包人未经工程师批准，擅自将已按合同约定进入施工现场的施工设备、临时设施或材料撤离施工现场；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承包人未能按项目进度计划及时完成合同约定的工作，造成工期延误；</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由于承包人原因未能通过竣工试验或竣工后试验的；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 承包人在缺陷责任期及保修期内，未能在合理期限对工程缺陷进行修复，或拒绝按发包人指示进行修复的；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（9） 承包人明确表示或者以其行为表明不履行合同主要义务的；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 承包人未能按照合同约定履行其他义务的。</w:t>
      </w:r>
    </w:p>
    <w:p>
      <w:pPr>
        <w:pStyle w:val="178"/>
        <w:spacing w:afterLines="0" w:line="440" w:lineRule="exact"/>
        <w:ind w:left="0"/>
        <w:rPr>
          <w:rFonts w:ascii="Times New Roman" w:hAnsi="Times New Roman" w:eastAsia="仿宋_GB2312"/>
          <w:color w:val="auto"/>
          <w:szCs w:val="24"/>
          <w:highlight w:val="none"/>
        </w:rPr>
      </w:pPr>
      <w:bookmarkStart w:id="698" w:name="_Ref531958512"/>
      <w:r>
        <w:rPr>
          <w:rFonts w:ascii="Times New Roman" w:hAnsi="Times New Roman" w:eastAsia="仿宋_GB2312"/>
          <w:color w:val="auto"/>
          <w:szCs w:val="24"/>
          <w:highlight w:val="none"/>
        </w:rPr>
        <w:t>15.2.2 通知改正</w:t>
      </w:r>
      <w:bookmarkEnd w:id="69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承包人发生除第15.2.1项第(7)目、第(9)目约定以外的其他违约情况时，工程师可在专用合同条件约定的合理期限内向承包人发出整改通知，要求其在指定的期限内改正。</w:t>
      </w:r>
    </w:p>
    <w:p>
      <w:pPr>
        <w:pStyle w:val="178"/>
        <w:spacing w:afterLines="0" w:line="440" w:lineRule="exact"/>
        <w:ind w:left="0"/>
        <w:rPr>
          <w:rFonts w:ascii="Times New Roman" w:hAnsi="Times New Roman" w:eastAsia="仿宋_GB2312"/>
          <w:color w:val="auto"/>
          <w:szCs w:val="24"/>
          <w:highlight w:val="none"/>
        </w:rPr>
      </w:pPr>
      <w:bookmarkStart w:id="699" w:name="_Ref3841166"/>
      <w:r>
        <w:rPr>
          <w:rFonts w:ascii="Times New Roman" w:hAnsi="Times New Roman" w:eastAsia="仿宋_GB2312"/>
          <w:color w:val="auto"/>
          <w:szCs w:val="24"/>
          <w:highlight w:val="none"/>
        </w:rPr>
        <w:t>15.2.3 承包人违约的责任</w:t>
      </w:r>
      <w:bookmarkEnd w:id="69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承包人应承担因其违约行为而增加的费用和（或）延误的工期。此外，合同当事人可在专用合同条件中另行约定承包人违约责任的承担方式和计算方法。</w:t>
      </w:r>
    </w:p>
    <w:p>
      <w:pPr>
        <w:pStyle w:val="177"/>
        <w:widowControl/>
        <w:spacing w:afterLines="0" w:line="440" w:lineRule="exact"/>
        <w:ind w:left="0"/>
        <w:rPr>
          <w:rFonts w:ascii="Times New Roman" w:hAnsi="Times New Roman"/>
          <w:b w:val="0"/>
          <w:bCs/>
          <w:color w:val="auto"/>
          <w:highlight w:val="none"/>
        </w:rPr>
      </w:pPr>
      <w:bookmarkStart w:id="700" w:name="_Toc54862302"/>
      <w:r>
        <w:rPr>
          <w:rFonts w:ascii="Times New Roman" w:hAnsi="Times New Roman"/>
          <w:b w:val="0"/>
          <w:bCs/>
          <w:color w:val="auto"/>
          <w:highlight w:val="none"/>
        </w:rPr>
        <w:t>15.3 第三人造成的违约</w:t>
      </w:r>
      <w:bookmarkEnd w:id="70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在履行合同过程中，一方当事人因第三人的原因造成违约的，应当向对方当事人承担违约责任。一方当事人和第三人之间的纠纷，依照法律规定或者按照约定解决。</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701" w:name="_Toc54862303"/>
      <w:bookmarkStart w:id="702" w:name="_Ref4510572"/>
      <w:bookmarkStart w:id="703" w:name="_Ref3840457"/>
      <w:bookmarkStart w:id="704" w:name="_Ref532142069"/>
      <w:r>
        <w:rPr>
          <w:rFonts w:ascii="Times New Roman" w:hAnsi="Times New Roman"/>
          <w:b w:val="0"/>
          <w:color w:val="auto"/>
          <w:sz w:val="24"/>
          <w:szCs w:val="24"/>
          <w:highlight w:val="none"/>
        </w:rPr>
        <w:t>第16条 合同解除</w:t>
      </w:r>
      <w:bookmarkEnd w:id="701"/>
      <w:bookmarkEnd w:id="702"/>
    </w:p>
    <w:p>
      <w:pPr>
        <w:pStyle w:val="177"/>
        <w:widowControl/>
        <w:spacing w:afterLines="0" w:line="440" w:lineRule="exact"/>
        <w:ind w:left="0"/>
        <w:rPr>
          <w:rFonts w:ascii="Times New Roman" w:hAnsi="Times New Roman"/>
          <w:b w:val="0"/>
          <w:bCs/>
          <w:color w:val="auto"/>
          <w:highlight w:val="none"/>
        </w:rPr>
      </w:pPr>
      <w:bookmarkStart w:id="705" w:name="_Ref531958502"/>
      <w:bookmarkStart w:id="706" w:name="_Toc54862304"/>
      <w:bookmarkStart w:id="707" w:name="_Ref531958499"/>
      <w:r>
        <w:rPr>
          <w:rFonts w:ascii="Times New Roman" w:hAnsi="Times New Roman"/>
          <w:b w:val="0"/>
          <w:bCs/>
          <w:color w:val="auto"/>
          <w:highlight w:val="none"/>
        </w:rPr>
        <w:t>16.1 由发包人解除合同</w:t>
      </w:r>
      <w:bookmarkEnd w:id="705"/>
      <w:bookmarkEnd w:id="706"/>
      <w:bookmarkEnd w:id="707"/>
    </w:p>
    <w:p>
      <w:pPr>
        <w:pStyle w:val="178"/>
        <w:spacing w:afterLines="0" w:line="440" w:lineRule="exact"/>
        <w:ind w:left="0"/>
        <w:rPr>
          <w:rFonts w:ascii="Times New Roman" w:hAnsi="Times New Roman" w:eastAsia="仿宋_GB2312"/>
          <w:color w:val="auto"/>
          <w:szCs w:val="24"/>
          <w:highlight w:val="none"/>
        </w:rPr>
      </w:pPr>
      <w:bookmarkStart w:id="708" w:name="_Ref4535422"/>
      <w:r>
        <w:rPr>
          <w:rFonts w:ascii="Times New Roman" w:hAnsi="Times New Roman" w:eastAsia="仿宋_GB2312"/>
          <w:color w:val="auto"/>
          <w:szCs w:val="24"/>
          <w:highlight w:val="none"/>
        </w:rPr>
        <w:t>16.1.1 因承包人违约解除合同</w:t>
      </w:r>
      <w:bookmarkEnd w:id="70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发包人有权基于下列原因，以书面形式通知承包人解除合同，解除通知中应注明是根据第16.1.1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(5)目的情况下，发包人无须提前告知承包人其解除合同意向，可直接发出正式解除合同通知立即解除合同：</w:t>
      </w:r>
    </w:p>
    <w:p>
      <w:pPr>
        <w:adjustRightInd w:val="0"/>
        <w:snapToGrid w:val="0"/>
        <w:spacing w:line="440" w:lineRule="exact"/>
        <w:ind w:firstLine="600"/>
        <w:rPr>
          <w:rFonts w:eastAsia="仿宋_GB2312"/>
          <w:color w:val="auto"/>
          <w:sz w:val="24"/>
          <w:highlight w:val="none"/>
        </w:rPr>
      </w:pPr>
      <w:bookmarkStart w:id="709" w:name="_Ref531958536"/>
      <w:r>
        <w:rPr>
          <w:rFonts w:eastAsia="仿宋_GB2312"/>
          <w:color w:val="auto"/>
          <w:sz w:val="24"/>
          <w:highlight w:val="none"/>
        </w:rPr>
        <w:t>（1） 承包人未能遵守第4.2款</w:t>
      </w:r>
      <w:bookmarkStart w:id="710" w:name="_Hlk18839947"/>
      <w:r>
        <w:rPr>
          <w:rFonts w:eastAsia="仿宋_GB2312"/>
          <w:color w:val="auto"/>
          <w:sz w:val="24"/>
          <w:highlight w:val="none"/>
        </w:rPr>
        <w:t>[履约担保]</w:t>
      </w:r>
      <w:bookmarkEnd w:id="710"/>
      <w:r>
        <w:rPr>
          <w:rFonts w:eastAsia="仿宋_GB2312"/>
          <w:color w:val="auto"/>
          <w:sz w:val="24"/>
          <w:highlight w:val="none"/>
        </w:rPr>
        <w:t>的约定；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承包人未能遵守第4.5款[分包]有关分包和转包的约定；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承包人实际进度明显落后于进度计划，并且未按发包人的指令采取措施并修正进度计划；</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工程质量有严重缺陷，承包人无正当理由使修复开始日期拖延达28天以上；</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承包人明确表示或以自己的行为表明不履行合同、或经发包人以书面形式通知其履约后仍未能依约履行合同、或以不适当的方式履行合同；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未能通过的竣工试验、未能通过的竣工后试验，使工程的任何部分和（或）整个工程丧失了主要使用功能、生产功能；</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 因承包人的原因暂停工作超过56天且暂停影响到整个工程，或因承包人的原因暂停工作超过182天；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（9） 承包人未能遵守第8.2款[竣工日期]规定，延误超过182天；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 工程师根据第15.2.2项[通知改正]发出整改通知后，承包人在指定的合理期限内仍不纠正违约行为并致使合同目的不能实现的。</w:t>
      </w:r>
    </w:p>
    <w:bookmarkEnd w:id="709"/>
    <w:p>
      <w:pPr>
        <w:pStyle w:val="178"/>
        <w:spacing w:afterLines="0" w:line="440" w:lineRule="exact"/>
        <w:ind w:left="0"/>
        <w:rPr>
          <w:rFonts w:ascii="Times New Roman" w:hAnsi="Times New Roman" w:eastAsia="仿宋_GB2312"/>
          <w:color w:val="auto"/>
          <w:szCs w:val="24"/>
          <w:highlight w:val="none"/>
        </w:rPr>
      </w:pPr>
      <w:bookmarkStart w:id="711" w:name="_Ref3841839"/>
      <w:bookmarkStart w:id="712" w:name="_Ref4624315"/>
      <w:r>
        <w:rPr>
          <w:rFonts w:ascii="Times New Roman" w:hAnsi="Times New Roman" w:eastAsia="仿宋_GB2312"/>
          <w:color w:val="auto"/>
          <w:szCs w:val="24"/>
          <w:highlight w:val="none"/>
        </w:rPr>
        <w:t>16.1.2 因承包人违约解除合同后</w:t>
      </w:r>
      <w:bookmarkEnd w:id="711"/>
      <w:r>
        <w:rPr>
          <w:rFonts w:ascii="Times New Roman" w:hAnsi="Times New Roman" w:eastAsia="仿宋_GB2312"/>
          <w:color w:val="auto"/>
          <w:szCs w:val="24"/>
          <w:highlight w:val="none"/>
        </w:rPr>
        <w:t>承包人的义务</w:t>
      </w:r>
      <w:bookmarkEnd w:id="71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合同解除后，承包人应按以下约定执行：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除了为保护生命、财产或工程安全、清理和必须执行的工作外，停止执行所有被通知解除的工作，并将相关人员撤离现场；</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经发包人批准，承包人应将与被解除合同相关的和正在执行的分包合同及相关的责任和义务转让至发包人和（或）发包人指定方的名下，包括永久性工程及工程物资，以及相关工作；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移交已完成的永久性工程及负责已运抵现场的工程物资。在移交前，妥善做好己完工程和已运抵现场的工程物资的保管、维护和保养；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将发包人提供的所有信息及承包人为本工程编制的设计文件、技术资料及其它文件移交给发包人。在承包人留有的资料文件中，销毁与发包人提供的所有信息相关的数据及资料的备份；</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移交相应实施阶段已经付款的并已完成的和尚待完成的设计文件、图纸、资料、操作维修手册、施工组织设计、质检资料、竣工资料等；</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16.1.3 因承包人违约解除合同后的估价、付款和结算</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因承包人原因导致合同解除的，则合同当事人应在合同解除后28天内完成估价、付款和清算，并按以下约定执行：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合同解除后，按第3.6款[商定或确定]商定或确定承包人实际完成工作对应的合同价款，以及承包人已提供的材料、工程设备、施工设备和临时工程等的价值；</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合同解除后，承包人应支付的违约金；</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合同解除后，因解除合同给发包人造成的损失；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合同解除后，承包人应按照发包人的指示完成现场的清理和撤离；</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发包人和承包人应在合同解除后进行清算，出具最终结清付款证书，结清全部款项。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因承包人违约解除合同的，发包人有权暂停对承包人的付款，查清各项付款和已扣款项，发包人和承包人未能就合同解除后的清算和款项支付达成一致的，按照第20条[争议解决]的约定处理。</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16.1.4 因承包人违约解除合同的合同权益转让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pPr>
        <w:pStyle w:val="177"/>
        <w:widowControl/>
        <w:spacing w:afterLines="0" w:line="440" w:lineRule="exact"/>
        <w:ind w:left="0"/>
        <w:rPr>
          <w:rFonts w:ascii="Times New Roman" w:hAnsi="Times New Roman"/>
          <w:b w:val="0"/>
          <w:bCs/>
          <w:color w:val="auto"/>
          <w:highlight w:val="none"/>
        </w:rPr>
      </w:pPr>
      <w:bookmarkStart w:id="713" w:name="_Ref531958549"/>
      <w:bookmarkStart w:id="714" w:name="_Toc54862305"/>
      <w:bookmarkStart w:id="715" w:name="_Ref531958554"/>
      <w:r>
        <w:rPr>
          <w:rFonts w:ascii="Times New Roman" w:hAnsi="Times New Roman"/>
          <w:b w:val="0"/>
          <w:bCs/>
          <w:color w:val="auto"/>
          <w:highlight w:val="none"/>
        </w:rPr>
        <w:t>16.2 由承包人解除合同</w:t>
      </w:r>
      <w:bookmarkEnd w:id="713"/>
      <w:bookmarkEnd w:id="714"/>
      <w:bookmarkEnd w:id="715"/>
    </w:p>
    <w:p>
      <w:pPr>
        <w:pStyle w:val="178"/>
        <w:spacing w:afterLines="0" w:line="440" w:lineRule="exact"/>
        <w:ind w:left="0"/>
        <w:rPr>
          <w:rFonts w:ascii="Times New Roman" w:hAnsi="Times New Roman" w:eastAsia="仿宋_GB2312"/>
          <w:color w:val="auto"/>
          <w:szCs w:val="24"/>
          <w:highlight w:val="none"/>
        </w:rPr>
      </w:pPr>
      <w:bookmarkStart w:id="716" w:name="_Ref3841758"/>
      <w:r>
        <w:rPr>
          <w:rFonts w:ascii="Times New Roman" w:hAnsi="Times New Roman" w:eastAsia="仿宋_GB2312"/>
          <w:color w:val="auto"/>
          <w:szCs w:val="24"/>
          <w:highlight w:val="none"/>
        </w:rPr>
        <w:t>16.2.1 因发包人违约解除合同</w:t>
      </w:r>
      <w:bookmarkEnd w:id="71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承包人就发包人未能遵守第2.5.2项关于发包人的资金安排发出通知后42天内，仍未收到合理的证明；</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（2） 在第14条规定的付款时间到期后42天内，承包人仍未收到应付款项； </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发包人实质上未能根据合同约定履行其义务，构成根本性违约；</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发承包双方订立本合同协议书后的84天内，承包人未收到根据第8.1款[开始工作]的开始工作通知；</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发包人未能遵守第2.5.3项的约定提交支付担保；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发包人未能执行第15.1.2项[通知改正]的约定，致使合同目的不能实现的；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 因发包人的原因暂停工作超过56天且暂停影响到整个工程，或因发包人的原因暂停工作超过182天的；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（9） 因发包人原因造成开始工作日期迟于承包人收到中标通知书（或在无中标通知书的情况下，订立本合同之日）后第84天的。</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pPr>
        <w:pStyle w:val="178"/>
        <w:spacing w:afterLines="0" w:line="440" w:lineRule="exact"/>
        <w:ind w:left="0"/>
        <w:rPr>
          <w:rFonts w:ascii="Times New Roman" w:hAnsi="Times New Roman" w:eastAsia="仿宋_GB2312"/>
          <w:color w:val="auto"/>
          <w:szCs w:val="24"/>
          <w:highlight w:val="none"/>
        </w:rPr>
      </w:pPr>
      <w:bookmarkStart w:id="717" w:name="_Ref3842018"/>
      <w:bookmarkStart w:id="718" w:name="_Ref4624336"/>
      <w:r>
        <w:rPr>
          <w:rFonts w:ascii="Times New Roman" w:hAnsi="Times New Roman" w:eastAsia="仿宋_GB2312"/>
          <w:color w:val="auto"/>
          <w:szCs w:val="24"/>
          <w:highlight w:val="none"/>
        </w:rPr>
        <w:t>16.2.2 因发包人违约解除合同后</w:t>
      </w:r>
      <w:bookmarkEnd w:id="717"/>
      <w:r>
        <w:rPr>
          <w:rFonts w:ascii="Times New Roman" w:hAnsi="Times New Roman" w:eastAsia="仿宋_GB2312"/>
          <w:color w:val="auto"/>
          <w:szCs w:val="24"/>
          <w:highlight w:val="none"/>
        </w:rPr>
        <w:t>承包人的义务</w:t>
      </w:r>
      <w:bookmarkEnd w:id="718"/>
    </w:p>
    <w:p>
      <w:pPr>
        <w:pStyle w:val="180"/>
        <w:adjustRightInd w:val="0"/>
        <w:snapToGrid w:val="0"/>
        <w:spacing w:line="440" w:lineRule="exact"/>
        <w:ind w:left="400" w:firstLine="425"/>
        <w:rPr>
          <w:rFonts w:eastAsia="仿宋_GB2312"/>
          <w:color w:val="auto"/>
          <w:sz w:val="24"/>
          <w:highlight w:val="none"/>
        </w:rPr>
      </w:pPr>
      <w:r>
        <w:rPr>
          <w:rFonts w:eastAsia="仿宋_GB2312"/>
          <w:color w:val="auto"/>
          <w:sz w:val="24"/>
          <w:highlight w:val="none"/>
        </w:rPr>
        <w:t>合同解除后，承包人应按以下约定执行：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除为保护生命、财产、工程安全的工作外，停止所有进一步的工作；承包人因执行该保护工作而产生费用的，由发包人承担；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向发包人移交承包人已获得支付的承包人文件、生产设备、材料和其他工作；</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从现场运走除为了安全需要以外的所有属于承包人的其他货物，并撤离现场。</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16.2.3 因发包人违约解除合同后的付款</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承包人按照本款约定解除合同的，发包人应在解除合同后28天内支付下列款项，并退还履约担保：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合同解除前所完成工作的价款；</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承包人为工程施工订购并已付款的材料、工程设备和其他物品的价款；发包人付款后，该材料、工程设备和其他物品归发包人所有；</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承包人为完成工程所发生的，而发包人未支付的金额；</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承包人撤离施工现场以及遣散承包人人员的款项；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按照合同约定在合同解除前应支付的违约金；</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按照合同约定应当支付给承包人的其他款项；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按照合同约定应返还的质量保证金；</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 因解除合同给承包人造成的损失。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承包人应妥善做好已完工程和与工程有关的已购材料、工程设备的保护和移交工作，并将施工设备和人员撤出施工现场，发包人应为承包人撤出提供必要条件。</w:t>
      </w:r>
    </w:p>
    <w:p>
      <w:pPr>
        <w:pStyle w:val="177"/>
        <w:widowControl/>
        <w:spacing w:afterLines="0" w:line="440" w:lineRule="exact"/>
        <w:ind w:left="0"/>
        <w:rPr>
          <w:rFonts w:ascii="Times New Roman" w:hAnsi="Times New Roman"/>
          <w:b w:val="0"/>
          <w:bCs/>
          <w:color w:val="auto"/>
          <w:highlight w:val="none"/>
        </w:rPr>
      </w:pPr>
      <w:bookmarkStart w:id="719" w:name="_Ref3841966"/>
      <w:bookmarkStart w:id="720" w:name="_Toc54862306"/>
      <w:r>
        <w:rPr>
          <w:rFonts w:ascii="Times New Roman" w:hAnsi="Times New Roman"/>
          <w:b w:val="0"/>
          <w:bCs/>
          <w:color w:val="auto"/>
          <w:highlight w:val="none"/>
        </w:rPr>
        <w:t>16.3 合同解除后的事项</w:t>
      </w:r>
      <w:bookmarkEnd w:id="719"/>
      <w:bookmarkEnd w:id="720"/>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16.3.1 结算约定依然有效</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合同解除后，由发包人或由承包人解除合同的结算及结算后的付款约定仍然有效，直至解除合同的结算工作结清。</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16.3.2 解除合同的争议</w:t>
      </w:r>
    </w:p>
    <w:p>
      <w:pPr>
        <w:adjustRightInd w:val="0"/>
        <w:snapToGrid w:val="0"/>
        <w:spacing w:line="440" w:lineRule="exact"/>
        <w:ind w:firstLine="600"/>
        <w:rPr>
          <w:rFonts w:eastAsia="仿宋_GB2312"/>
          <w:color w:val="auto"/>
          <w:sz w:val="24"/>
          <w:highlight w:val="none"/>
        </w:rPr>
      </w:pPr>
      <w:bookmarkStart w:id="721" w:name="_Hlk18988355"/>
      <w:r>
        <w:rPr>
          <w:rFonts w:eastAsia="仿宋_GB2312"/>
          <w:color w:val="auto"/>
          <w:sz w:val="24"/>
          <w:highlight w:val="none"/>
        </w:rPr>
        <w:t>双方对解除合同或解除合同后的结算有争议的，按照第20条[争议解决]的约定处理。</w:t>
      </w:r>
      <w:bookmarkEnd w:id="721"/>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722" w:name="_Toc54862307"/>
      <w:bookmarkStart w:id="723" w:name="_Ref3840974"/>
      <w:bookmarkStart w:id="724" w:name="_Ref3840605"/>
      <w:r>
        <w:rPr>
          <w:rFonts w:ascii="Times New Roman" w:hAnsi="Times New Roman"/>
          <w:b w:val="0"/>
          <w:color w:val="auto"/>
          <w:sz w:val="24"/>
          <w:szCs w:val="24"/>
          <w:highlight w:val="none"/>
        </w:rPr>
        <w:t>第17条 不可抗力</w:t>
      </w:r>
      <w:bookmarkEnd w:id="722"/>
      <w:bookmarkEnd w:id="723"/>
    </w:p>
    <w:p>
      <w:pPr>
        <w:pStyle w:val="177"/>
        <w:widowControl/>
        <w:spacing w:afterLines="0" w:line="440" w:lineRule="exact"/>
        <w:ind w:left="0"/>
        <w:rPr>
          <w:rFonts w:ascii="Times New Roman" w:hAnsi="Times New Roman"/>
          <w:b w:val="0"/>
          <w:bCs/>
          <w:color w:val="auto"/>
          <w:highlight w:val="none"/>
        </w:rPr>
      </w:pPr>
      <w:bookmarkStart w:id="725" w:name="_Ref531958161"/>
      <w:bookmarkStart w:id="726" w:name="_Ref531958158"/>
      <w:bookmarkStart w:id="727" w:name="_Toc54862308"/>
      <w:r>
        <w:rPr>
          <w:rFonts w:ascii="Times New Roman" w:hAnsi="Times New Roman"/>
          <w:b w:val="0"/>
          <w:bCs/>
          <w:color w:val="auto"/>
          <w:highlight w:val="none"/>
        </w:rPr>
        <w:t>17.1 不可抗力的</w:t>
      </w:r>
      <w:bookmarkEnd w:id="725"/>
      <w:bookmarkEnd w:id="726"/>
      <w:r>
        <w:rPr>
          <w:rFonts w:ascii="Times New Roman" w:hAnsi="Times New Roman"/>
          <w:b w:val="0"/>
          <w:bCs/>
          <w:color w:val="auto"/>
          <w:highlight w:val="none"/>
        </w:rPr>
        <w:t>定义</w:t>
      </w:r>
      <w:bookmarkEnd w:id="72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pPr>
        <w:pStyle w:val="177"/>
        <w:widowControl/>
        <w:spacing w:afterLines="0" w:line="440" w:lineRule="exact"/>
        <w:ind w:left="0"/>
        <w:rPr>
          <w:rFonts w:ascii="Times New Roman" w:hAnsi="Times New Roman"/>
          <w:b w:val="0"/>
          <w:bCs/>
          <w:color w:val="auto"/>
          <w:highlight w:val="none"/>
        </w:rPr>
      </w:pPr>
      <w:bookmarkStart w:id="728" w:name="_Toc54862309"/>
      <w:r>
        <w:rPr>
          <w:rFonts w:ascii="Times New Roman" w:hAnsi="Times New Roman"/>
          <w:b w:val="0"/>
          <w:bCs/>
          <w:color w:val="auto"/>
          <w:highlight w:val="none"/>
        </w:rPr>
        <w:t>17.2 不可抗力的通知</w:t>
      </w:r>
      <w:bookmarkEnd w:id="72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合同一方当事人觉察或发现不可抗力事件发生，使其履行合同义务受到阻碍时，有义务立即通知合同另一方当事人和工程师，书面说明不可抗力和受阻碍的详细情况，并提供必要的证明。</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不可抗力持续发生的，合同一方当事人应每隔28天向合同另一方当事人和工程师提交中间报告，说明不可抗力和履行合同受阻的情况，并于不可抗力事件结束后28天内提交最终报告及有关资料。</w:t>
      </w:r>
    </w:p>
    <w:p>
      <w:pPr>
        <w:pStyle w:val="177"/>
        <w:widowControl/>
        <w:spacing w:afterLines="0" w:line="440" w:lineRule="exact"/>
        <w:ind w:left="0"/>
        <w:rPr>
          <w:rFonts w:ascii="Times New Roman" w:hAnsi="Times New Roman"/>
          <w:b w:val="0"/>
          <w:bCs/>
          <w:color w:val="auto"/>
          <w:highlight w:val="none"/>
        </w:rPr>
      </w:pPr>
      <w:bookmarkStart w:id="729" w:name="_Toc54862310"/>
      <w:r>
        <w:rPr>
          <w:rFonts w:ascii="Times New Roman" w:hAnsi="Times New Roman"/>
          <w:b w:val="0"/>
          <w:bCs/>
          <w:color w:val="auto"/>
          <w:highlight w:val="none"/>
        </w:rPr>
        <w:t>17.3 将损失减至最小的义务</w:t>
      </w:r>
      <w:bookmarkEnd w:id="72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pPr>
        <w:pStyle w:val="177"/>
        <w:widowControl/>
        <w:spacing w:afterLines="0" w:line="440" w:lineRule="exact"/>
        <w:ind w:left="0"/>
        <w:rPr>
          <w:rFonts w:ascii="Times New Roman" w:hAnsi="Times New Roman"/>
          <w:b w:val="0"/>
          <w:bCs/>
          <w:color w:val="auto"/>
          <w:highlight w:val="none"/>
        </w:rPr>
      </w:pPr>
      <w:bookmarkStart w:id="730" w:name="_Ref531958172"/>
      <w:bookmarkStart w:id="731" w:name="_Ref531958170"/>
      <w:bookmarkStart w:id="732" w:name="_Ref3840916"/>
      <w:bookmarkStart w:id="733" w:name="_Toc54862311"/>
      <w:r>
        <w:rPr>
          <w:rFonts w:ascii="Times New Roman" w:hAnsi="Times New Roman"/>
          <w:b w:val="0"/>
          <w:bCs/>
          <w:color w:val="auto"/>
          <w:highlight w:val="none"/>
        </w:rPr>
        <w:t>17.4 不可抗力后果</w:t>
      </w:r>
      <w:bookmarkEnd w:id="730"/>
      <w:bookmarkEnd w:id="731"/>
      <w:r>
        <w:rPr>
          <w:rFonts w:ascii="Times New Roman" w:hAnsi="Times New Roman"/>
          <w:b w:val="0"/>
          <w:bCs/>
          <w:color w:val="auto"/>
          <w:highlight w:val="none"/>
        </w:rPr>
        <w:t>的承担</w:t>
      </w:r>
      <w:bookmarkEnd w:id="732"/>
      <w:bookmarkEnd w:id="73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不可抗力导致的人员伤亡、财产损失、费用增加和（或）工期延误等后果，由合同当事人按以下原则承担：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永久工程，包括已运至施工现场的材料和工程设备的损害，以及因工程损害造成的第三人人员伤亡和财产损失由发包人承担；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承包人提供的施工设备的损坏由承包人承担；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发包人和承包人各自承担其人员伤亡及其他财产损失；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因不可抗力影响承包人履行合同约定的义务，已经引起或将引起工期延误的，应当顺延工期，由此导致承包人停工的费用损失由发包人和承包人合理分担，</w:t>
      </w:r>
      <w:bookmarkStart w:id="734" w:name="_Hlk51507024"/>
      <w:r>
        <w:rPr>
          <w:rFonts w:eastAsia="仿宋_GB2312"/>
          <w:color w:val="auto"/>
          <w:sz w:val="24"/>
          <w:highlight w:val="none"/>
        </w:rPr>
        <w:t>停工期间必须支付的现场必要的工人工资</w:t>
      </w:r>
      <w:bookmarkEnd w:id="734"/>
      <w:r>
        <w:rPr>
          <w:rFonts w:eastAsia="仿宋_GB2312"/>
          <w:color w:val="auto"/>
          <w:sz w:val="24"/>
          <w:highlight w:val="none"/>
        </w:rPr>
        <w:t>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因不可抗力引起或将引起工期延误，发包人指示赶工的，由此增加的赶工费用由发包人承担；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承包人在停工期间按照工程师或发包人要求照管、清理和修复工程的费用由发包人承担。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不可抗力引起的后果及造成的损失由合同当事人按照法律规定及合同约定各自承担。不可抗力发生前已完成的工程应当按照合同约定进行支付。</w:t>
      </w:r>
    </w:p>
    <w:p>
      <w:pPr>
        <w:pStyle w:val="177"/>
        <w:widowControl/>
        <w:spacing w:afterLines="0" w:line="440" w:lineRule="exact"/>
        <w:ind w:left="0"/>
        <w:rPr>
          <w:rFonts w:ascii="Times New Roman" w:hAnsi="Times New Roman"/>
          <w:b w:val="0"/>
          <w:bCs/>
          <w:color w:val="auto"/>
          <w:highlight w:val="none"/>
        </w:rPr>
      </w:pPr>
      <w:bookmarkStart w:id="735" w:name="_Toc54862312"/>
      <w:r>
        <w:rPr>
          <w:rFonts w:ascii="Times New Roman" w:hAnsi="Times New Roman"/>
          <w:b w:val="0"/>
          <w:bCs/>
          <w:color w:val="auto"/>
          <w:highlight w:val="none"/>
        </w:rPr>
        <w:t>17.5 不可抗力影响分包人</w:t>
      </w:r>
      <w:bookmarkEnd w:id="73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分包人根据分包合同的约定，有权获得更多或者更广的不可抗力而免除某些义务时，承包人不得以分包合同中不可抗力约定向发包人抗辩免除其义务。</w:t>
      </w:r>
    </w:p>
    <w:p>
      <w:pPr>
        <w:pStyle w:val="177"/>
        <w:widowControl/>
        <w:spacing w:afterLines="0" w:line="440" w:lineRule="exact"/>
        <w:ind w:left="0"/>
        <w:rPr>
          <w:rFonts w:ascii="Times New Roman" w:hAnsi="Times New Roman"/>
          <w:b w:val="0"/>
          <w:bCs/>
          <w:color w:val="auto"/>
          <w:highlight w:val="none"/>
        </w:rPr>
      </w:pPr>
      <w:bookmarkStart w:id="736" w:name="_Ref531958181"/>
      <w:bookmarkStart w:id="737" w:name="_Ref531958184"/>
      <w:bookmarkStart w:id="738" w:name="_Toc54862313"/>
      <w:bookmarkStart w:id="739" w:name="_Ref4538024"/>
      <w:bookmarkStart w:id="740" w:name="_Ref3840892"/>
      <w:r>
        <w:rPr>
          <w:rFonts w:ascii="Times New Roman" w:hAnsi="Times New Roman"/>
          <w:b w:val="0"/>
          <w:bCs/>
          <w:color w:val="auto"/>
          <w:highlight w:val="none"/>
        </w:rPr>
        <w:t>17.6 因不可抗力解除</w:t>
      </w:r>
      <w:bookmarkEnd w:id="736"/>
      <w:bookmarkEnd w:id="737"/>
      <w:r>
        <w:rPr>
          <w:rFonts w:ascii="Times New Roman" w:hAnsi="Times New Roman"/>
          <w:b w:val="0"/>
          <w:bCs/>
          <w:color w:val="auto"/>
          <w:highlight w:val="none"/>
        </w:rPr>
        <w:t>合同</w:t>
      </w:r>
      <w:bookmarkEnd w:id="738"/>
      <w:bookmarkEnd w:id="739"/>
      <w:bookmarkEnd w:id="74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合同解除前承包人已完成工作的价款；</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发包人指示承包人退货或解除订货合同而产生的费用，或因不能退货或解除合同而产生的损失；</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 承包人撤离施工现场以及遣散承包人人员的费用；</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按照合同约定在合同解除前应支付给承包人的其他款项；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扣减承包人按照合同约定应向发包人支付的款项；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 双方商定或确定的其他款项。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除专用合同条件另有约定外，合同解除后，发包人应当在商定或确定上述款项后28天内完成上述款项的支付。</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741" w:name="_Toc54862314"/>
      <w:bookmarkStart w:id="742" w:name="_Ref11848274"/>
      <w:bookmarkStart w:id="743" w:name="_Ref11848264"/>
      <w:r>
        <w:rPr>
          <w:rFonts w:ascii="Times New Roman" w:hAnsi="Times New Roman"/>
          <w:b w:val="0"/>
          <w:color w:val="auto"/>
          <w:sz w:val="24"/>
          <w:szCs w:val="24"/>
          <w:highlight w:val="none"/>
        </w:rPr>
        <w:t>第18条 保险</w:t>
      </w:r>
      <w:bookmarkEnd w:id="724"/>
      <w:bookmarkEnd w:id="741"/>
      <w:bookmarkEnd w:id="742"/>
      <w:bookmarkEnd w:id="743"/>
    </w:p>
    <w:p>
      <w:pPr>
        <w:pStyle w:val="177"/>
        <w:widowControl/>
        <w:spacing w:afterLines="0" w:line="440" w:lineRule="exact"/>
        <w:ind w:left="0"/>
        <w:rPr>
          <w:rFonts w:ascii="Times New Roman" w:hAnsi="Times New Roman"/>
          <w:b w:val="0"/>
          <w:bCs/>
          <w:color w:val="auto"/>
          <w:highlight w:val="none"/>
        </w:rPr>
      </w:pPr>
      <w:bookmarkStart w:id="744" w:name="_Ref3840734"/>
      <w:bookmarkStart w:id="745" w:name="_Toc54862315"/>
      <w:bookmarkStart w:id="746" w:name="_Ref3840730"/>
      <w:bookmarkStart w:id="747" w:name="_Ref531957911"/>
      <w:bookmarkStart w:id="748" w:name="_Ref531957914"/>
      <w:bookmarkStart w:id="749" w:name="_Toc351203616"/>
      <w:r>
        <w:rPr>
          <w:rFonts w:ascii="Times New Roman" w:hAnsi="Times New Roman"/>
          <w:b w:val="0"/>
          <w:bCs/>
          <w:color w:val="auto"/>
          <w:highlight w:val="none"/>
        </w:rPr>
        <w:t>18.1 设计和工程保险</w:t>
      </w:r>
      <w:bookmarkEnd w:id="744"/>
      <w:bookmarkEnd w:id="745"/>
      <w:bookmarkEnd w:id="746"/>
    </w:p>
    <w:bookmarkEnd w:id="747"/>
    <w:bookmarkEnd w:id="748"/>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18.1.2 双方应按照专用合同条件的约定投保第三者责任险，并在缺陷责任期终止证书颁发前维持其持续有效。第三者责任险最低投保额应在专用合同条件内约定。</w:t>
      </w:r>
    </w:p>
    <w:p>
      <w:pPr>
        <w:pStyle w:val="177"/>
        <w:widowControl/>
        <w:spacing w:afterLines="0" w:line="440" w:lineRule="exact"/>
        <w:ind w:left="0"/>
        <w:rPr>
          <w:rFonts w:ascii="Times New Roman" w:hAnsi="Times New Roman"/>
          <w:b w:val="0"/>
          <w:bCs/>
          <w:color w:val="auto"/>
          <w:highlight w:val="none"/>
        </w:rPr>
      </w:pPr>
      <w:bookmarkStart w:id="750" w:name="_Toc54862316"/>
      <w:bookmarkStart w:id="751" w:name="_Ref3840683"/>
      <w:r>
        <w:rPr>
          <w:rFonts w:ascii="Times New Roman" w:hAnsi="Times New Roman"/>
          <w:b w:val="0"/>
          <w:bCs/>
          <w:color w:val="auto"/>
          <w:highlight w:val="none"/>
        </w:rPr>
        <w:t>18.2 工伤和意外伤害保险</w:t>
      </w:r>
      <w:bookmarkEnd w:id="750"/>
      <w:bookmarkEnd w:id="751"/>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18.2.1 发包人应依照法律规定为其在施工现场的雇用人员办理工伤保险，缴纳工伤保险费；并要求工程师及由发包人为履行合同聘请的第三方在施工现场的雇用人员依法办理工伤保险。</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18.2.2 承包人应依照法律规定为其履行合同雇用的全部人员办理工伤保险，缴纳工伤保险费，并要求分包人及由承包人为履行合同聘请的第三方雇用的全部人员依法办理工伤保险。</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18.2.3 发包人和承包人可以为其施工现场的全部人员办理意外伤害保险并支付保险费，包括其员工及为履行合同聘请的第三方的人员，具体事项由合同当事人在专用合同条件约定。</w:t>
      </w:r>
    </w:p>
    <w:p>
      <w:pPr>
        <w:pStyle w:val="177"/>
        <w:widowControl/>
        <w:spacing w:afterLines="0" w:line="440" w:lineRule="exact"/>
        <w:ind w:left="0"/>
        <w:rPr>
          <w:rFonts w:ascii="Times New Roman" w:hAnsi="Times New Roman"/>
          <w:b w:val="0"/>
          <w:bCs/>
          <w:color w:val="auto"/>
          <w:highlight w:val="none"/>
        </w:rPr>
      </w:pPr>
      <w:bookmarkStart w:id="752" w:name="_Ref3840782"/>
      <w:bookmarkStart w:id="753" w:name="_Toc54862317"/>
      <w:r>
        <w:rPr>
          <w:rFonts w:ascii="Times New Roman" w:hAnsi="Times New Roman"/>
          <w:b w:val="0"/>
          <w:bCs/>
          <w:color w:val="auto"/>
          <w:highlight w:val="none"/>
        </w:rPr>
        <w:t>18.3 货物保险</w:t>
      </w:r>
      <w:bookmarkEnd w:id="752"/>
      <w:bookmarkEnd w:id="75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w:t>
      </w:r>
      <w:r>
        <w:rPr>
          <w:rFonts w:eastAsia="仿宋_GB2312"/>
          <w:iCs/>
          <w:color w:val="auto"/>
          <w:sz w:val="24"/>
          <w:highlight w:val="none"/>
        </w:rPr>
        <w:t>按照</w:t>
      </w:r>
      <w:r>
        <w:rPr>
          <w:rFonts w:eastAsia="仿宋_GB2312"/>
          <w:color w:val="auto"/>
          <w:sz w:val="24"/>
          <w:highlight w:val="none"/>
        </w:rPr>
        <w:t>专用合同条件的约定为</w:t>
      </w:r>
      <w:r>
        <w:rPr>
          <w:rFonts w:eastAsia="仿宋_GB2312"/>
          <w:iCs/>
          <w:color w:val="auto"/>
          <w:sz w:val="24"/>
          <w:highlight w:val="none"/>
        </w:rPr>
        <w:t>运抵现场的</w:t>
      </w:r>
      <w:r>
        <w:rPr>
          <w:rFonts w:eastAsia="仿宋_GB2312"/>
          <w:color w:val="auto"/>
          <w:sz w:val="24"/>
          <w:highlight w:val="none"/>
        </w:rPr>
        <w:t>施工设备、材料、工程设备和临时工程等办理财产保险，保险期限自上述货物运抵现场至其不再为工程所需要为止。</w:t>
      </w:r>
    </w:p>
    <w:p>
      <w:pPr>
        <w:pStyle w:val="177"/>
        <w:widowControl/>
        <w:spacing w:afterLines="0" w:line="440" w:lineRule="exact"/>
        <w:ind w:left="0"/>
        <w:rPr>
          <w:rFonts w:ascii="Times New Roman" w:hAnsi="Times New Roman"/>
          <w:b w:val="0"/>
          <w:bCs/>
          <w:color w:val="auto"/>
          <w:highlight w:val="none"/>
        </w:rPr>
      </w:pPr>
      <w:bookmarkStart w:id="754" w:name="_Ref4692238"/>
      <w:bookmarkStart w:id="755" w:name="_Ref4692231"/>
      <w:bookmarkStart w:id="756" w:name="_Toc54862318"/>
      <w:r>
        <w:rPr>
          <w:rFonts w:ascii="Times New Roman" w:hAnsi="Times New Roman"/>
          <w:b w:val="0"/>
          <w:bCs/>
          <w:color w:val="auto"/>
          <w:highlight w:val="none"/>
        </w:rPr>
        <w:t>18.4 其他保险</w:t>
      </w:r>
      <w:bookmarkEnd w:id="754"/>
      <w:bookmarkEnd w:id="755"/>
      <w:bookmarkEnd w:id="75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749"/>
      <w:r>
        <w:rPr>
          <w:rFonts w:eastAsia="仿宋_GB2312"/>
          <w:color w:val="auto"/>
          <w:sz w:val="24"/>
          <w:highlight w:val="none"/>
        </w:rPr>
        <w:t>保费用包含在合同价格中，但在合同执行过程中，新颁布适用的法律法规规定由承包人投保的强制保险，应根据本合同</w:t>
      </w:r>
      <w:bookmarkStart w:id="757" w:name="_Toc351203617"/>
      <w:bookmarkStart w:id="758" w:name="_Toc337558832"/>
      <w:bookmarkStart w:id="759" w:name="_Toc296503126"/>
      <w:bookmarkStart w:id="760" w:name="_Toc296346627"/>
      <w:r>
        <w:rPr>
          <w:rFonts w:eastAsia="仿宋_GB2312"/>
          <w:color w:val="auto"/>
          <w:sz w:val="24"/>
          <w:highlight w:val="none"/>
        </w:rPr>
        <w:t>第13条[变更与调整]的约定增加合同价款。</w:t>
      </w:r>
    </w:p>
    <w:p>
      <w:pPr>
        <w:pStyle w:val="177"/>
        <w:widowControl/>
        <w:spacing w:afterLines="0" w:line="440" w:lineRule="exact"/>
        <w:ind w:left="0"/>
        <w:rPr>
          <w:rFonts w:ascii="Times New Roman" w:hAnsi="Times New Roman"/>
          <w:b w:val="0"/>
          <w:bCs/>
          <w:color w:val="auto"/>
          <w:highlight w:val="none"/>
        </w:rPr>
      </w:pPr>
      <w:bookmarkStart w:id="761" w:name="_Ref3840659"/>
      <w:bookmarkStart w:id="762" w:name="_Toc54862319"/>
      <w:r>
        <w:rPr>
          <w:rFonts w:ascii="Times New Roman" w:hAnsi="Times New Roman"/>
          <w:b w:val="0"/>
          <w:bCs/>
          <w:color w:val="auto"/>
          <w:highlight w:val="none"/>
        </w:rPr>
        <w:t>18.5 对各项保险的一般要求</w:t>
      </w:r>
      <w:bookmarkEnd w:id="761"/>
      <w:bookmarkEnd w:id="762"/>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18.5.1 持续保险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合同当事人应与保险人保持联系，使保险人能够随时了</w:t>
      </w:r>
      <w:bookmarkEnd w:id="757"/>
      <w:r>
        <w:rPr>
          <w:rFonts w:eastAsia="仿宋_GB2312"/>
          <w:color w:val="auto"/>
          <w:sz w:val="24"/>
          <w:highlight w:val="none"/>
        </w:rPr>
        <w:t>解</w:t>
      </w:r>
      <w:bookmarkEnd w:id="758"/>
      <w:bookmarkEnd w:id="759"/>
      <w:bookmarkEnd w:id="760"/>
      <w:r>
        <w:rPr>
          <w:rFonts w:eastAsia="仿宋_GB2312"/>
          <w:color w:val="auto"/>
          <w:sz w:val="24"/>
          <w:highlight w:val="none"/>
        </w:rPr>
        <w:t>工程实施中的变动，并确保按保险合同条款要求持续保险。</w:t>
      </w:r>
    </w:p>
    <w:p>
      <w:pPr>
        <w:pStyle w:val="178"/>
        <w:spacing w:afterLines="0" w:line="440" w:lineRule="exact"/>
        <w:ind w:left="0"/>
        <w:rPr>
          <w:rFonts w:ascii="Times New Roman" w:hAnsi="Times New Roman" w:eastAsia="仿宋_GB2312"/>
          <w:color w:val="auto"/>
          <w:szCs w:val="24"/>
          <w:highlight w:val="none"/>
        </w:rPr>
      </w:pPr>
      <w:bookmarkStart w:id="763" w:name="_Ref4777650"/>
      <w:r>
        <w:rPr>
          <w:rFonts w:ascii="Times New Roman" w:hAnsi="Times New Roman" w:eastAsia="仿宋_GB2312"/>
          <w:color w:val="auto"/>
          <w:szCs w:val="24"/>
          <w:highlight w:val="none"/>
        </w:rPr>
        <w:t>18.5.2 保险凭证</w:t>
      </w:r>
      <w:bookmarkEnd w:id="76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合同当事人应及时向另一方当事人提交其已投保的各项保险的凭证和保险单复印件，保险单必须与专用合同条件约定的条件保持一致。</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18.5.3 未按约定投保的补救</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负有投保义务的一方当事人未按合同约定办理保险，或未能使保险持续有效的，则另一方当事人可代为办理，所需费用由负有投保义务的一方当事人承担。</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负有投保</w:t>
      </w:r>
      <w:bookmarkStart w:id="764" w:name="_Toc351203619"/>
      <w:bookmarkStart w:id="765" w:name="_Toc337558834"/>
      <w:r>
        <w:rPr>
          <w:rFonts w:eastAsia="仿宋_GB2312"/>
          <w:color w:val="auto"/>
          <w:sz w:val="24"/>
          <w:highlight w:val="none"/>
        </w:rPr>
        <w:t>义务的一方当事人未</w:t>
      </w:r>
      <w:bookmarkEnd w:id="764"/>
      <w:r>
        <w:rPr>
          <w:rFonts w:eastAsia="仿宋_GB2312"/>
          <w:color w:val="auto"/>
          <w:sz w:val="24"/>
          <w:highlight w:val="none"/>
        </w:rPr>
        <w:t>按</w:t>
      </w:r>
      <w:bookmarkEnd w:id="765"/>
      <w:r>
        <w:rPr>
          <w:rFonts w:eastAsia="仿宋_GB2312"/>
          <w:color w:val="auto"/>
          <w:sz w:val="24"/>
          <w:highlight w:val="none"/>
        </w:rPr>
        <w:t>合同约定办理某项保险，导致受益人未能得到足额赔偿的，由负有投保义务的一方当事人负责按照原应从该项保险得到的保险金数额进行补足。</w:t>
      </w:r>
    </w:p>
    <w:p>
      <w:pPr>
        <w:pStyle w:val="178"/>
        <w:spacing w:afterLines="0" w:line="440" w:lineRule="exact"/>
        <w:ind w:left="0"/>
        <w:rPr>
          <w:rFonts w:ascii="Times New Roman" w:hAnsi="Times New Roman" w:eastAsia="仿宋_GB2312"/>
          <w:color w:val="auto"/>
          <w:szCs w:val="24"/>
          <w:highlight w:val="none"/>
        </w:rPr>
      </w:pPr>
      <w:bookmarkStart w:id="766" w:name="_Ref4692685"/>
      <w:r>
        <w:rPr>
          <w:rFonts w:ascii="Times New Roman" w:hAnsi="Times New Roman" w:eastAsia="仿宋_GB2312"/>
          <w:color w:val="auto"/>
          <w:szCs w:val="24"/>
          <w:highlight w:val="none"/>
        </w:rPr>
        <w:t>18.5.4 通知义务</w:t>
      </w:r>
      <w:bookmarkEnd w:id="76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除专用合同条件另有约定外，任何一方当事人变更除工伤保险之外的保险合同时，应事先征得另一方当事人同意，并通知工程师。</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保险事故发生时，投保人应按照保险合同规定的条件和期限及时向保险人报告。发包人和承包人应当在知道保险事故发生后及时通知对方。</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双方按本条规定投保不减少双方在合同下的其他义务。</w:t>
      </w:r>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767" w:name="_Ref11874997"/>
      <w:bookmarkStart w:id="768" w:name="_Toc54862320"/>
      <w:r>
        <w:rPr>
          <w:rFonts w:ascii="Times New Roman" w:hAnsi="Times New Roman"/>
          <w:b w:val="0"/>
          <w:color w:val="auto"/>
          <w:sz w:val="24"/>
          <w:szCs w:val="24"/>
          <w:highlight w:val="none"/>
        </w:rPr>
        <w:t>第19条 索赔</w:t>
      </w:r>
      <w:bookmarkEnd w:id="703"/>
      <w:bookmarkEnd w:id="704"/>
      <w:bookmarkEnd w:id="767"/>
      <w:bookmarkEnd w:id="768"/>
    </w:p>
    <w:p>
      <w:pPr>
        <w:pStyle w:val="177"/>
        <w:widowControl/>
        <w:spacing w:afterLines="0" w:line="440" w:lineRule="exact"/>
        <w:ind w:left="0"/>
        <w:rPr>
          <w:rFonts w:ascii="Times New Roman" w:hAnsi="Times New Roman"/>
          <w:b w:val="0"/>
          <w:bCs/>
          <w:color w:val="auto"/>
          <w:highlight w:val="none"/>
        </w:rPr>
      </w:pPr>
      <w:bookmarkStart w:id="769" w:name="_Ref4798164"/>
      <w:bookmarkStart w:id="770" w:name="_Ref4798173"/>
      <w:bookmarkStart w:id="771" w:name="_Toc54862321"/>
      <w:r>
        <w:rPr>
          <w:rFonts w:ascii="Times New Roman" w:hAnsi="Times New Roman"/>
          <w:b w:val="0"/>
          <w:bCs/>
          <w:color w:val="auto"/>
          <w:highlight w:val="none"/>
        </w:rPr>
        <w:t>19.1 索赔</w:t>
      </w:r>
      <w:bookmarkEnd w:id="769"/>
      <w:bookmarkEnd w:id="770"/>
      <w:r>
        <w:rPr>
          <w:rFonts w:ascii="Times New Roman" w:hAnsi="Times New Roman"/>
          <w:b w:val="0"/>
          <w:bCs/>
          <w:color w:val="auto"/>
          <w:highlight w:val="none"/>
        </w:rPr>
        <w:t>的提出</w:t>
      </w:r>
      <w:bookmarkEnd w:id="771"/>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根据合同约定，任意一方认为有权得到追加/减少付款、延长缺陷责任期和（或）延长工期的，应按以下程序向对方提出索赔：</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索赔方应在发出索赔意向通知书后28天内，向对方正式递交索赔报告；索赔报告应详细说明索赔理由以及要求追加的付款金额、延长缺陷责任期和（或）延长的工期，并附必要的记录和证明材料；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索赔事件具有持续影响的，索赔方应每月递交延续索赔通知，说明持续影响的实际情况和记录，列出累计的追加付款金额、延长缺陷责任期和（或）工期延长天数；</w:t>
      </w:r>
    </w:p>
    <w:p>
      <w:pPr>
        <w:adjustRightInd w:val="0"/>
        <w:snapToGrid w:val="0"/>
        <w:spacing w:line="440" w:lineRule="exact"/>
        <w:ind w:firstLine="600"/>
        <w:rPr>
          <w:rFonts w:eastAsia="仿宋_GB2312"/>
          <w:color w:val="auto"/>
          <w:sz w:val="24"/>
          <w:highlight w:val="none"/>
        </w:rPr>
      </w:pPr>
      <w:bookmarkStart w:id="772" w:name="_Ref4796178"/>
      <w:r>
        <w:rPr>
          <w:rFonts w:eastAsia="仿宋_GB2312"/>
          <w:color w:val="auto"/>
          <w:sz w:val="24"/>
          <w:highlight w:val="none"/>
        </w:rPr>
        <w:t>（4） 在索赔事件影响结束后28天内，索赔方应向对方递交最终索赔报告，说明最终要求索赔的追加付款金额、延长缺陷责任期和（或）延长的工期，并附必要的记录和证明材料。</w:t>
      </w:r>
      <w:bookmarkEnd w:id="772"/>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 承包人作为索赔方时，其索赔意向通知书、索赔报告及相关索赔文件应向工程师提出；发包人作为索赔方时，其索赔意向通知书、索赔报告及相关索赔文件可自行向承包人提出或由工程师向承包人提出。</w:t>
      </w:r>
    </w:p>
    <w:p>
      <w:pPr>
        <w:pStyle w:val="177"/>
        <w:widowControl/>
        <w:spacing w:afterLines="0" w:line="440" w:lineRule="exact"/>
        <w:ind w:left="0"/>
        <w:rPr>
          <w:rFonts w:ascii="Times New Roman" w:hAnsi="Times New Roman"/>
          <w:b w:val="0"/>
          <w:bCs/>
          <w:color w:val="auto"/>
          <w:highlight w:val="none"/>
        </w:rPr>
      </w:pPr>
      <w:bookmarkStart w:id="773" w:name="_Ref4796262"/>
      <w:bookmarkStart w:id="774" w:name="_Toc54862322"/>
      <w:bookmarkStart w:id="775" w:name="_Ref4796254"/>
      <w:r>
        <w:rPr>
          <w:rFonts w:ascii="Times New Roman" w:hAnsi="Times New Roman"/>
          <w:b w:val="0"/>
          <w:bCs/>
          <w:color w:val="auto"/>
          <w:highlight w:val="none"/>
        </w:rPr>
        <w:t>19.2 承包人索赔的处理程序</w:t>
      </w:r>
      <w:bookmarkEnd w:id="773"/>
      <w:bookmarkEnd w:id="774"/>
      <w:bookmarkEnd w:id="77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工程师收到承包人提交的索赔报告后，应及时审查索赔报告的内容、查验承包人的记录和证明材料，必要时工程师可要求承包人提交全部原始记录副本。</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承包人接受索赔处理结果的，发包人应在作出索赔处理结果答复后28天内完成支付。承包人不接受索赔处理结果的，按照第20条[争议解决]约定处理。</w:t>
      </w:r>
    </w:p>
    <w:p>
      <w:pPr>
        <w:pStyle w:val="177"/>
        <w:widowControl/>
        <w:spacing w:afterLines="0" w:line="440" w:lineRule="exact"/>
        <w:ind w:left="0"/>
        <w:rPr>
          <w:rFonts w:ascii="Times New Roman" w:hAnsi="Times New Roman"/>
          <w:b w:val="0"/>
          <w:bCs/>
          <w:color w:val="auto"/>
          <w:highlight w:val="none"/>
        </w:rPr>
      </w:pPr>
      <w:bookmarkStart w:id="776" w:name="_Toc54862323"/>
      <w:r>
        <w:rPr>
          <w:rFonts w:ascii="Times New Roman" w:hAnsi="Times New Roman"/>
          <w:b w:val="0"/>
          <w:bCs/>
          <w:color w:val="auto"/>
          <w:highlight w:val="none"/>
        </w:rPr>
        <w:t>19.3 发包人索赔的处理程序</w:t>
      </w:r>
      <w:bookmarkEnd w:id="776"/>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承包人收到发包人提交的索赔报告后，应及时审查索赔报告的内容、查验发包人证明材料；</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承包人应在收到上述索赔报告或有关索赔的进一步证明材料后42天内，将索赔处理结果答复发包人。承包人在收到索赔通知书或有关索赔的进一步证明材料后的42天内不予答复的，视为认可索赔。</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发包人接受索赔处理结果的，发包人可从应支付给承包人的合同价款中扣除赔付的金额或延长缺陷责任期；发包人不接受索赔处理结果的，按第20条[争议解决]约定处理。</w:t>
      </w:r>
    </w:p>
    <w:p>
      <w:pPr>
        <w:pStyle w:val="177"/>
        <w:widowControl/>
        <w:spacing w:afterLines="0" w:line="440" w:lineRule="exact"/>
        <w:ind w:left="0"/>
        <w:rPr>
          <w:rFonts w:ascii="Times New Roman" w:hAnsi="Times New Roman"/>
          <w:b w:val="0"/>
          <w:bCs/>
          <w:color w:val="auto"/>
          <w:highlight w:val="none"/>
        </w:rPr>
      </w:pPr>
      <w:bookmarkStart w:id="777" w:name="_Toc54862324"/>
      <w:r>
        <w:rPr>
          <w:rFonts w:ascii="Times New Roman" w:hAnsi="Times New Roman"/>
          <w:b w:val="0"/>
          <w:bCs/>
          <w:color w:val="auto"/>
          <w:highlight w:val="none"/>
        </w:rPr>
        <w:t>19.4 提出索赔的期限</w:t>
      </w:r>
      <w:bookmarkEnd w:id="777"/>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承包人按第14.5款[竣工结算</w:t>
      </w:r>
      <w:bookmarkStart w:id="778" w:name="_Ref3826629"/>
      <w:bookmarkStart w:id="779" w:name="_Ref3826634"/>
      <w:r>
        <w:rPr>
          <w:rFonts w:eastAsia="仿宋_GB2312"/>
          <w:color w:val="auto"/>
          <w:sz w:val="24"/>
          <w:highlight w:val="none"/>
        </w:rPr>
        <w:t>]约定接收竣工付款证书后，应被认为已无权再提出在合同工程接收证书颁发前所发生的任何索赔。</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承包人按第14.7款[最终结清]提交的最终结清申请单中，只限于提出工程接收证书颁发后发生的索赔。提出索赔的期限均自接受最终结清证书时终止。</w:t>
      </w:r>
      <w:bookmarkEnd w:id="778"/>
      <w:bookmarkEnd w:id="779"/>
    </w:p>
    <w:p>
      <w:pPr>
        <w:pStyle w:val="176"/>
        <w:numPr>
          <w:ilvl w:val="0"/>
          <w:numId w:val="0"/>
        </w:numPr>
        <w:adjustRightInd w:val="0"/>
        <w:snapToGrid w:val="0"/>
        <w:spacing w:line="440" w:lineRule="exact"/>
        <w:rPr>
          <w:rFonts w:ascii="Times New Roman" w:hAnsi="Times New Roman"/>
          <w:b w:val="0"/>
          <w:color w:val="auto"/>
          <w:sz w:val="24"/>
          <w:szCs w:val="24"/>
          <w:highlight w:val="none"/>
        </w:rPr>
      </w:pPr>
      <w:bookmarkStart w:id="780" w:name="_Ref532197861"/>
      <w:bookmarkStart w:id="781" w:name="_Ref532142075"/>
      <w:bookmarkStart w:id="782" w:name="_Toc54862325"/>
      <w:r>
        <w:rPr>
          <w:rFonts w:ascii="Times New Roman" w:hAnsi="Times New Roman"/>
          <w:b w:val="0"/>
          <w:color w:val="auto"/>
          <w:sz w:val="24"/>
          <w:szCs w:val="24"/>
          <w:highlight w:val="none"/>
        </w:rPr>
        <w:t>第20条 争议解决</w:t>
      </w:r>
      <w:bookmarkEnd w:id="780"/>
      <w:bookmarkEnd w:id="781"/>
      <w:bookmarkEnd w:id="782"/>
    </w:p>
    <w:p>
      <w:pPr>
        <w:pStyle w:val="177"/>
        <w:widowControl/>
        <w:spacing w:afterLines="0" w:line="440" w:lineRule="exact"/>
        <w:ind w:left="0"/>
        <w:rPr>
          <w:rFonts w:ascii="Times New Roman" w:hAnsi="Times New Roman"/>
          <w:b w:val="0"/>
          <w:bCs/>
          <w:color w:val="auto"/>
          <w:highlight w:val="none"/>
        </w:rPr>
      </w:pPr>
      <w:bookmarkStart w:id="783" w:name="_Ref415507198"/>
      <w:bookmarkStart w:id="784" w:name="_Toc54862326"/>
      <w:r>
        <w:rPr>
          <w:rFonts w:ascii="Times New Roman" w:hAnsi="Times New Roman"/>
          <w:b w:val="0"/>
          <w:bCs/>
          <w:color w:val="auto"/>
          <w:highlight w:val="none"/>
        </w:rPr>
        <w:t>20.1 和解</w:t>
      </w:r>
      <w:bookmarkEnd w:id="783"/>
      <w:bookmarkEnd w:id="78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合同当事人可以就争议自行和解，自行和解达成协议的经双方签字并盖章后作为合同补充文件，双方均应遵照执行。</w:t>
      </w:r>
    </w:p>
    <w:p>
      <w:pPr>
        <w:pStyle w:val="177"/>
        <w:widowControl/>
        <w:spacing w:afterLines="0" w:line="440" w:lineRule="exact"/>
        <w:ind w:left="0"/>
        <w:rPr>
          <w:rFonts w:ascii="Times New Roman" w:hAnsi="Times New Roman"/>
          <w:b w:val="0"/>
          <w:bCs/>
          <w:color w:val="auto"/>
          <w:highlight w:val="none"/>
        </w:rPr>
      </w:pPr>
      <w:bookmarkStart w:id="785" w:name="_Toc54862327"/>
      <w:r>
        <w:rPr>
          <w:rFonts w:ascii="Times New Roman" w:hAnsi="Times New Roman"/>
          <w:b w:val="0"/>
          <w:bCs/>
          <w:color w:val="auto"/>
          <w:highlight w:val="none"/>
        </w:rPr>
        <w:t>20.2 调解</w:t>
      </w:r>
      <w:bookmarkEnd w:id="785"/>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合同当事人可以就争议请求建设行政主管部门、行业协会或其他第三方进行调解，调解达成协议的，经双方签字盖章后作为合同补充文件，双方均应遵照执行。</w:t>
      </w:r>
    </w:p>
    <w:p>
      <w:pPr>
        <w:pStyle w:val="177"/>
        <w:widowControl/>
        <w:spacing w:afterLines="0" w:line="440" w:lineRule="exact"/>
        <w:ind w:left="0"/>
        <w:rPr>
          <w:rFonts w:ascii="Times New Roman" w:hAnsi="Times New Roman"/>
          <w:b w:val="0"/>
          <w:bCs/>
          <w:color w:val="auto"/>
          <w:highlight w:val="none"/>
        </w:rPr>
      </w:pPr>
      <w:bookmarkStart w:id="786" w:name="_Toc54862328"/>
      <w:bookmarkStart w:id="787" w:name="_Ref532221527"/>
      <w:bookmarkStart w:id="788" w:name="_Ref532221532"/>
      <w:r>
        <w:rPr>
          <w:rFonts w:ascii="Times New Roman" w:hAnsi="Times New Roman"/>
          <w:b w:val="0"/>
          <w:bCs/>
          <w:color w:val="auto"/>
          <w:highlight w:val="none"/>
        </w:rPr>
        <w:t>20.3 争议评审</w:t>
      </w:r>
      <w:bookmarkEnd w:id="786"/>
      <w:bookmarkEnd w:id="787"/>
      <w:bookmarkEnd w:id="788"/>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合同当事人在专用合同条件中约定采取争议评审方式及评审规则解决争议的，按下列约定执行：</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20.3.1 争议评审小组的确定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除专用合同条件另有约定外，争议评审员报酬由发包人和承包人各承担一半。</w:t>
      </w:r>
    </w:p>
    <w:p>
      <w:pPr>
        <w:pStyle w:val="178"/>
        <w:spacing w:afterLines="0" w:line="440" w:lineRule="exact"/>
        <w:ind w:left="0"/>
        <w:rPr>
          <w:rFonts w:ascii="Times New Roman" w:hAnsi="Times New Roman" w:eastAsia="仿宋_GB2312"/>
          <w:color w:val="auto"/>
          <w:szCs w:val="24"/>
          <w:highlight w:val="none"/>
        </w:rPr>
      </w:pPr>
      <w:bookmarkStart w:id="789" w:name="_Ref532287270"/>
      <w:r>
        <w:rPr>
          <w:rFonts w:ascii="Times New Roman" w:hAnsi="Times New Roman" w:eastAsia="仿宋_GB2312"/>
          <w:color w:val="auto"/>
          <w:szCs w:val="24"/>
          <w:highlight w:val="none"/>
        </w:rPr>
        <w:t>20.3.2 争议的避免</w:t>
      </w:r>
      <w:bookmarkEnd w:id="789"/>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合同当事人协商一致，可以共同书面请求争议评审小组，就合同履行过程中可能出现争议的情况提供协助或进行非正式讨论，争议评审小组应给出公正的意见或建议。</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此类协助或非正式讨论可在任何会议、施工现场视察或其他场合进行，并且除专用合同条件另有约定外，发包人和承包人均应出席。</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争议评审小组在此类非正式讨论上给出的任何意见或建议，无论是口头还是书面的，对发包人和承包人不具有约束力，争议评审小组在之后的争议评审程序或决定中也不受此类意见或建议的约束。</w:t>
      </w:r>
    </w:p>
    <w:p>
      <w:pPr>
        <w:pStyle w:val="178"/>
        <w:spacing w:afterLines="0" w:line="440" w:lineRule="exact"/>
        <w:ind w:left="0"/>
        <w:rPr>
          <w:rFonts w:ascii="Times New Roman" w:hAnsi="Times New Roman" w:eastAsia="仿宋_GB2312"/>
          <w:color w:val="auto"/>
          <w:szCs w:val="24"/>
          <w:highlight w:val="none"/>
        </w:rPr>
      </w:pPr>
      <w:bookmarkStart w:id="790" w:name="_Ref4695594"/>
      <w:r>
        <w:rPr>
          <w:rFonts w:ascii="Times New Roman" w:hAnsi="Times New Roman" w:eastAsia="仿宋_GB2312"/>
          <w:color w:val="auto"/>
          <w:szCs w:val="24"/>
          <w:highlight w:val="none"/>
        </w:rPr>
        <w:t>20.3.3 争议评审小组的决定</w:t>
      </w:r>
      <w:bookmarkEnd w:id="790"/>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pPr>
        <w:pStyle w:val="178"/>
        <w:spacing w:afterLines="0" w:line="440" w:lineRule="exact"/>
        <w:ind w:left="0"/>
        <w:rPr>
          <w:rFonts w:ascii="Times New Roman" w:hAnsi="Times New Roman" w:eastAsia="仿宋_GB2312"/>
          <w:color w:val="auto"/>
          <w:szCs w:val="24"/>
          <w:highlight w:val="none"/>
        </w:rPr>
      </w:pPr>
      <w:r>
        <w:rPr>
          <w:rFonts w:ascii="Times New Roman" w:hAnsi="Times New Roman" w:eastAsia="仿宋_GB2312"/>
          <w:color w:val="auto"/>
          <w:szCs w:val="24"/>
          <w:highlight w:val="none"/>
        </w:rPr>
        <w:t>20.3.4 争议评审小组决定的效力</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争议评审小组作出的书面决定经合同当事人签字确认后，对双方具有约束力，双方应遵照执行。</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任何一方当事人不接受争议评审小组决定或不履行争议评审小组决定的，双方可选择采用其他争议解决方式。</w:t>
      </w:r>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任何一方当事人不接受争议评审小组的决定，并不影响暂时执行争议评审小组的决定，直到在后续的采用其他争议解决方式中对争议评审小组的决定进行了改变。</w:t>
      </w:r>
    </w:p>
    <w:p>
      <w:pPr>
        <w:pStyle w:val="177"/>
        <w:widowControl/>
        <w:spacing w:afterLines="0" w:line="440" w:lineRule="exact"/>
        <w:ind w:left="0"/>
        <w:rPr>
          <w:rFonts w:ascii="Times New Roman" w:hAnsi="Times New Roman"/>
          <w:b w:val="0"/>
          <w:bCs/>
          <w:color w:val="auto"/>
          <w:highlight w:val="none"/>
        </w:rPr>
      </w:pPr>
      <w:bookmarkStart w:id="791" w:name="_Ref532221752"/>
      <w:bookmarkStart w:id="792" w:name="_Ref532221748"/>
      <w:bookmarkStart w:id="793" w:name="_Toc54862329"/>
      <w:r>
        <w:rPr>
          <w:rFonts w:ascii="Times New Roman" w:hAnsi="Times New Roman"/>
          <w:b w:val="0"/>
          <w:bCs/>
          <w:color w:val="auto"/>
          <w:highlight w:val="none"/>
        </w:rPr>
        <w:t>20.4 仲裁或诉讼</w:t>
      </w:r>
      <w:bookmarkEnd w:id="791"/>
      <w:bookmarkEnd w:id="792"/>
      <w:bookmarkEnd w:id="793"/>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因合同及合同有关事项产生的争议，合同当事人可以在专用合同条件中约定以下一种方式解决争议：</w:t>
      </w:r>
    </w:p>
    <w:p>
      <w:pPr>
        <w:pStyle w:val="180"/>
        <w:adjustRightInd w:val="0"/>
        <w:snapToGrid w:val="0"/>
        <w:spacing w:line="440" w:lineRule="exact"/>
        <w:ind w:left="841"/>
        <w:rPr>
          <w:rFonts w:eastAsia="仿宋_GB2312"/>
          <w:color w:val="auto"/>
          <w:sz w:val="24"/>
          <w:highlight w:val="none"/>
        </w:rPr>
      </w:pPr>
      <w:r>
        <w:rPr>
          <w:rFonts w:eastAsia="仿宋_GB2312"/>
          <w:color w:val="auto"/>
          <w:sz w:val="24"/>
          <w:highlight w:val="none"/>
        </w:rPr>
        <w:t>（1） 向约定的仲裁委员会申请仲裁；</w:t>
      </w:r>
    </w:p>
    <w:p>
      <w:pPr>
        <w:pStyle w:val="180"/>
        <w:adjustRightInd w:val="0"/>
        <w:snapToGrid w:val="0"/>
        <w:spacing w:line="440" w:lineRule="exact"/>
        <w:ind w:left="841"/>
        <w:rPr>
          <w:rFonts w:eastAsia="仿宋_GB2312"/>
          <w:color w:val="auto"/>
          <w:sz w:val="24"/>
          <w:highlight w:val="none"/>
        </w:rPr>
      </w:pPr>
      <w:r>
        <w:rPr>
          <w:rFonts w:eastAsia="仿宋_GB2312"/>
          <w:color w:val="auto"/>
          <w:sz w:val="24"/>
          <w:highlight w:val="none"/>
        </w:rPr>
        <w:t>（2） 向有管辖权的人民法院起诉。</w:t>
      </w:r>
    </w:p>
    <w:p>
      <w:pPr>
        <w:pStyle w:val="177"/>
        <w:widowControl/>
        <w:spacing w:afterLines="0" w:line="440" w:lineRule="exact"/>
        <w:ind w:left="0"/>
        <w:rPr>
          <w:rFonts w:ascii="Times New Roman" w:hAnsi="Times New Roman"/>
          <w:b w:val="0"/>
          <w:bCs/>
          <w:color w:val="auto"/>
          <w:highlight w:val="none"/>
        </w:rPr>
      </w:pPr>
      <w:bookmarkStart w:id="794" w:name="_Toc54862330"/>
      <w:r>
        <w:rPr>
          <w:rFonts w:ascii="Times New Roman" w:hAnsi="Times New Roman"/>
          <w:b w:val="0"/>
          <w:bCs/>
          <w:color w:val="auto"/>
          <w:highlight w:val="none"/>
        </w:rPr>
        <w:t>20.5 争议解决条款效力</w:t>
      </w:r>
      <w:bookmarkEnd w:id="794"/>
    </w:p>
    <w:p>
      <w:pPr>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合同有关争议解决的条款独立存在，合同的不生效、无效、被撤销或者终止的，不影响合同中有关争议解决条款的效力。</w:t>
      </w:r>
    </w:p>
    <w:p>
      <w:pPr>
        <w:rPr>
          <w:color w:val="auto"/>
          <w:highlight w:val="none"/>
        </w:rPr>
      </w:pPr>
      <w:r>
        <w:rPr>
          <w:color w:val="auto"/>
          <w:highlight w:val="none"/>
        </w:rPr>
        <w:br w:type="page"/>
      </w:r>
    </w:p>
    <w:p>
      <w:pPr>
        <w:pStyle w:val="173"/>
        <w:keepNext w:val="0"/>
        <w:keepLines w:val="0"/>
        <w:widowControl/>
        <w:adjustRightInd w:val="0"/>
        <w:snapToGrid w:val="0"/>
        <w:spacing w:before="0" w:after="50" w:line="360" w:lineRule="auto"/>
        <w:rPr>
          <w:rFonts w:ascii="Times New Roman" w:hAnsi="Times New Roman" w:eastAsia="华文中宋"/>
          <w:color w:val="auto"/>
          <w:sz w:val="40"/>
          <w:szCs w:val="48"/>
          <w:highlight w:val="none"/>
        </w:rPr>
      </w:pPr>
      <w:bookmarkStart w:id="795" w:name="_Toc54862331"/>
      <w:r>
        <w:rPr>
          <w:rFonts w:ascii="Times New Roman" w:hAnsi="Times New Roman" w:eastAsia="华文中宋"/>
          <w:color w:val="auto"/>
          <w:sz w:val="40"/>
          <w:szCs w:val="48"/>
          <w:highlight w:val="none"/>
        </w:rPr>
        <w:t>第三部分 专用合同条件</w:t>
      </w:r>
      <w:bookmarkEnd w:id="795"/>
    </w:p>
    <w:p>
      <w:pPr>
        <w:pStyle w:val="181"/>
        <w:rPr>
          <w:rFonts w:ascii="Times New Roman" w:hAnsi="Times New Roman" w:eastAsia="黑体" w:cs="Times New Roman"/>
          <w:b w:val="0"/>
          <w:color w:val="auto"/>
          <w:szCs w:val="21"/>
          <w:highlight w:val="none"/>
        </w:rPr>
      </w:pPr>
      <w:bookmarkStart w:id="796" w:name="_Toc54862332"/>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r>
        <w:rPr>
          <w:rFonts w:ascii="Times New Roman" w:hAnsi="Times New Roman" w:eastAsia="黑体" w:cs="Times New Roman"/>
          <w:b w:val="0"/>
          <w:color w:val="auto"/>
          <w:sz w:val="24"/>
          <w:szCs w:val="24"/>
          <w:highlight w:val="none"/>
        </w:rPr>
        <w:t>第1条 一般约定</w:t>
      </w:r>
      <w:bookmarkEnd w:id="796"/>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 词语定义和解释</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1.1.1 合同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1.1.1.10 其他合同文件：</w:t>
      </w:r>
      <w:r>
        <w:rPr>
          <w:rFonts w:eastAsia="仿宋_GB2312"/>
          <w:color w:val="auto"/>
          <w:sz w:val="24"/>
          <w:highlight w:val="none"/>
          <w:u w:val="single"/>
        </w:rPr>
        <w:t>施工组织设计及方案、工程量增减及暂估价材料价格市场调查签证、补充协议等</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1.1.3 工程和设备</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1.1.3.5 单位/区段工程的范围：</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1.1.3.9 作为施工场所组成部分的其他场所包括：</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1.1.3.10 永久占地包括：</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1.1.3.11 临时占地包括：</w:t>
      </w:r>
      <w:r>
        <w:rPr>
          <w:rFonts w:eastAsia="仿宋_GB2312"/>
          <w:color w:val="auto"/>
          <w:sz w:val="24"/>
          <w:highlight w:val="none"/>
          <w:u w:val="single"/>
        </w:rPr>
        <w:t>发包人或其下属单位按双方协商的有偿租赁给承包人工程建设期间使用的临时占地</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1.2 语言文字</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本合同除使用汉语外，还使用</w:t>
      </w:r>
      <w:r>
        <w:rPr>
          <w:rFonts w:hint="eastAsia" w:eastAsia="仿宋_GB2312"/>
          <w:color w:val="auto"/>
          <w:sz w:val="24"/>
          <w:highlight w:val="none"/>
          <w:u w:val="single"/>
        </w:rPr>
        <w:t>/</w:t>
      </w:r>
      <w:r>
        <w:rPr>
          <w:rFonts w:eastAsia="仿宋_GB2312"/>
          <w:color w:val="auto"/>
          <w:sz w:val="24"/>
          <w:highlight w:val="none"/>
        </w:rPr>
        <w:t>语言。</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1.3 法律</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适用于合同的其他规范性文件：</w:t>
      </w:r>
      <w:r>
        <w:rPr>
          <w:rFonts w:eastAsia="仿宋_GB2312"/>
          <w:color w:val="auto"/>
          <w:sz w:val="24"/>
          <w:highlight w:val="none"/>
          <w:u w:val="single"/>
        </w:rPr>
        <w:t xml:space="preserve">《中华人民共和国民法典》、《中华人民共和国招标投标法实施条例》、《中华人民共和国建筑法》、《建筑工程质量管理条例》、《建设工程工程量清单计价规范》与《建筑工程施工质量验收统一标准》等建设工程施工及验收规范 </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 标准和规范</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1.4.1 适用于本合同的标准、规范（名称）包括：</w:t>
      </w:r>
      <w:r>
        <w:rPr>
          <w:rFonts w:eastAsia="仿宋_GB2312"/>
          <w:color w:val="auto"/>
          <w:sz w:val="24"/>
          <w:highlight w:val="none"/>
          <w:u w:val="single"/>
        </w:rPr>
        <w:t>国家及行业有关的规范、规程和标准</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1.4.2 发包人提供的国外标准、规范的名称：</w:t>
      </w:r>
      <w:r>
        <w:rPr>
          <w:rFonts w:hint="eastAsia" w:eastAsia="仿宋_GB2312"/>
          <w:color w:val="auto"/>
          <w:sz w:val="24"/>
          <w:highlight w:val="none"/>
          <w:u w:val="single"/>
        </w:rPr>
        <w:t>/</w:t>
      </w:r>
      <w:r>
        <w:rPr>
          <w:rFonts w:eastAsia="仿宋_GB2312"/>
          <w:color w:val="auto"/>
          <w:sz w:val="24"/>
          <w:highlight w:val="none"/>
        </w:rPr>
        <w:t>；发包人提供的国外标准、规范的份数：</w:t>
      </w:r>
      <w:r>
        <w:rPr>
          <w:rFonts w:hint="eastAsia" w:eastAsia="仿宋_GB2312"/>
          <w:color w:val="auto"/>
          <w:sz w:val="24"/>
          <w:highlight w:val="none"/>
          <w:u w:val="single"/>
        </w:rPr>
        <w:t>/</w:t>
      </w:r>
      <w:r>
        <w:rPr>
          <w:rFonts w:eastAsia="仿宋_GB2312"/>
          <w:color w:val="auto"/>
          <w:sz w:val="24"/>
          <w:highlight w:val="none"/>
        </w:rPr>
        <w:t>；发包人提供的国外标准、规范的时间：</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1.4.3 没有成文规范、标准规定的约定：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1.4.4 发包人对于工程的技术标准、功能要求：</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1.5 合同文件的优先顺序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合同文件组成及优先顺序为：</w:t>
      </w:r>
      <w:r>
        <w:rPr>
          <w:rFonts w:eastAsia="仿宋_GB2312"/>
          <w:color w:val="auto"/>
          <w:sz w:val="24"/>
          <w:highlight w:val="none"/>
          <w:u w:val="single"/>
        </w:rPr>
        <w:t>组成合同的各项文件应互相解释，互为说明。除专用合同条款另有约定外，解释合同文件的优先顺序如下：（1）合同协议书；（2）中标通知书（如有）；（3）投标函及其附录（如有）；（4）专用合同条款及其附件；（5）通用合同条款；（6）技术标准和要求；（7）图纸；（8）已标价工程量清单或预算书；（9）其他合同文件</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1.6 文件的提供和照管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1.6.1 发包人文件的提供</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发包人向承包人提供图纸的期限：</w:t>
      </w:r>
      <w:r>
        <w:rPr>
          <w:rFonts w:eastAsia="仿宋_GB2312"/>
          <w:color w:val="auto"/>
          <w:sz w:val="24"/>
          <w:highlight w:val="none"/>
          <w:u w:val="single"/>
        </w:rPr>
        <w:t>开工日期前14天</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发包人向承包人提供图纸的数量：</w:t>
      </w:r>
      <w:r>
        <w:rPr>
          <w:rFonts w:eastAsia="仿宋_GB2312"/>
          <w:color w:val="auto"/>
          <w:sz w:val="24"/>
          <w:highlight w:val="none"/>
          <w:u w:val="single"/>
        </w:rPr>
        <w:t>贰套</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发包人向承包人提供图纸的内容：</w:t>
      </w:r>
      <w:r>
        <w:rPr>
          <w:rFonts w:eastAsia="仿宋_GB2312"/>
          <w:color w:val="auto"/>
          <w:sz w:val="24"/>
          <w:highlight w:val="none"/>
          <w:u w:val="single"/>
        </w:rPr>
        <w:t>完整图纸贰套</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1.6.2 承包人文件的提供</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需要由承包人提供的文件，包括：</w:t>
      </w:r>
      <w:r>
        <w:rPr>
          <w:rFonts w:eastAsia="仿宋_GB2312"/>
          <w:color w:val="auto"/>
          <w:sz w:val="24"/>
          <w:highlight w:val="none"/>
          <w:u w:val="single"/>
        </w:rPr>
        <w:t>工程施工进度表、工程变更手续、签证单等；工程具备竣工验收条件后14天内，承包人按国家建设部、广东省及湛江市的有关规定、湛江市建设档案馆要求和发包人的要求编制工程竣工资料（包括施工原始记录、照片等资料），提供完整竣工图</w:t>
      </w:r>
      <w:r>
        <w:rPr>
          <w:rFonts w:hint="eastAsia" w:eastAsia="仿宋_GB2312"/>
          <w:color w:val="auto"/>
          <w:sz w:val="24"/>
          <w:highlight w:val="none"/>
          <w:u w:val="single"/>
        </w:rPr>
        <w:t>叁</w:t>
      </w:r>
      <w:r>
        <w:rPr>
          <w:rFonts w:eastAsia="仿宋_GB2312"/>
          <w:color w:val="auto"/>
          <w:sz w:val="24"/>
          <w:highlight w:val="none"/>
          <w:u w:val="single"/>
        </w:rPr>
        <w:t>套、竣工资料</w:t>
      </w:r>
      <w:r>
        <w:rPr>
          <w:rFonts w:hint="eastAsia" w:eastAsia="仿宋_GB2312"/>
          <w:color w:val="auto"/>
          <w:sz w:val="24"/>
          <w:highlight w:val="none"/>
          <w:u w:val="single"/>
        </w:rPr>
        <w:t>叁</w:t>
      </w:r>
      <w:r>
        <w:rPr>
          <w:rFonts w:eastAsia="仿宋_GB2312"/>
          <w:color w:val="auto"/>
          <w:sz w:val="24"/>
          <w:highlight w:val="none"/>
          <w:u w:val="single"/>
        </w:rPr>
        <w:t>套及竣工验收报告和相应的电子文件，并配合发包人及时向主管部门和监督部门备案</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承包人提供的文件的期限为：</w:t>
      </w:r>
      <w:r>
        <w:rPr>
          <w:rFonts w:eastAsia="仿宋_GB2312"/>
          <w:color w:val="auto"/>
          <w:sz w:val="24"/>
          <w:highlight w:val="none"/>
          <w:u w:val="single"/>
        </w:rPr>
        <w:t>工程施工进度表于每月的25日前提交，其他文件资料经双方确认后三日内提交</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承包人提供的文件的数量为：</w:t>
      </w:r>
      <w:r>
        <w:rPr>
          <w:rFonts w:eastAsia="仿宋_GB2312"/>
          <w:color w:val="auto"/>
          <w:sz w:val="24"/>
          <w:highlight w:val="none"/>
          <w:u w:val="single"/>
        </w:rPr>
        <w:t>8份</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承包人提供的文件的形式为：</w:t>
      </w:r>
      <w:r>
        <w:rPr>
          <w:rFonts w:eastAsia="仿宋_GB2312"/>
          <w:color w:val="auto"/>
          <w:sz w:val="24"/>
          <w:highlight w:val="none"/>
          <w:u w:val="single"/>
        </w:rPr>
        <w:t>书面递交</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发包人审批承包人文件的期限：</w:t>
      </w:r>
      <w:r>
        <w:rPr>
          <w:rFonts w:eastAsia="仿宋_GB2312"/>
          <w:color w:val="auto"/>
          <w:sz w:val="24"/>
          <w:highlight w:val="none"/>
          <w:u w:val="single"/>
        </w:rPr>
        <w:t>7天内</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1.6.4 文件的照管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关于现场文件准备的约定：</w:t>
      </w:r>
      <w:r>
        <w:rPr>
          <w:rFonts w:eastAsia="仿宋_GB2312"/>
          <w:color w:val="auto"/>
          <w:sz w:val="24"/>
          <w:highlight w:val="none"/>
          <w:u w:val="single"/>
        </w:rPr>
        <w:t>承包人应在施工现场存一套完整图纸供发包人检查使用</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1.7 联络</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1.7.2 发包人指定的送达方式（包括电子传输方式）：。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发包人的送达地址：。</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承包人指定的送达方式（包括电子传输方式）：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承包人的送达地址：。</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1.10 知识产权</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1.10.1 由发包人（或以发包人名义）编制的《发包人要求》和其他文件的著作权归属：</w:t>
      </w:r>
      <w:r>
        <w:rPr>
          <w:rFonts w:eastAsia="仿宋_GB2312"/>
          <w:color w:val="auto"/>
          <w:sz w:val="24"/>
          <w:highlight w:val="none"/>
          <w:u w:val="single"/>
        </w:rPr>
        <w:t>发包人</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1.10.2 由承包人（或以承包人名义）为实施工程所编制的文件、承包人完成的设计工作成果和建造完成的建筑物的知识产权归属：</w:t>
      </w:r>
      <w:r>
        <w:rPr>
          <w:rFonts w:eastAsia="仿宋_GB2312"/>
          <w:color w:val="auto"/>
          <w:sz w:val="24"/>
          <w:highlight w:val="none"/>
          <w:u w:val="single"/>
        </w:rPr>
        <w:t>发包人</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1.10.4 承包人在投标文件中采用的专利、专有技术、技术秘密的使用费的承担方式</w:t>
      </w:r>
      <w:r>
        <w:rPr>
          <w:rFonts w:eastAsia="仿宋_GB2312"/>
          <w:color w:val="auto"/>
          <w:sz w:val="24"/>
          <w:highlight w:val="none"/>
          <w:u w:val="single"/>
        </w:rPr>
        <w:t xml:space="preserve"> 由承包人承担</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1.11 保密</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双方订立的商业保密协议（名称）：，作为本合同附件。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双方订立的技术保密协议（名称）：，作为本合同附件。</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1.13 责任限制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承包人对发包人赔偿责任的最高限额为</w:t>
      </w:r>
      <w:r>
        <w:rPr>
          <w:rFonts w:hint="eastAsia" w:eastAsia="仿宋_GB2312"/>
          <w:color w:val="auto"/>
          <w:sz w:val="24"/>
          <w:highlight w:val="none"/>
          <w:u w:val="single"/>
        </w:rPr>
        <w:t>万</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1.14 建筑信息模型技术的应用</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关于建筑信息模型技术的开发、使用、存储、传输、交付及费用约定如下：。</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797" w:name="_Toc54862333"/>
      <w:r>
        <w:rPr>
          <w:rFonts w:ascii="Times New Roman" w:hAnsi="Times New Roman" w:eastAsia="黑体" w:cs="Times New Roman"/>
          <w:b w:val="0"/>
          <w:color w:val="auto"/>
          <w:sz w:val="24"/>
          <w:szCs w:val="24"/>
          <w:highlight w:val="none"/>
        </w:rPr>
        <w:t>第2条 发包人</w:t>
      </w:r>
      <w:bookmarkEnd w:id="797"/>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2.2 提供施工现场和工作条件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2.2.1 提供施工现场</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关于发包人应负责提供施工所需要的条件，包括：</w:t>
      </w:r>
      <w:r>
        <w:rPr>
          <w:rFonts w:eastAsia="仿宋_GB2312"/>
          <w:color w:val="auto"/>
          <w:sz w:val="24"/>
          <w:highlight w:val="none"/>
          <w:u w:val="single"/>
        </w:rPr>
        <w:t>施工用水用电及生活用水用电：根据实际使用数量，按湛江市徐闻县物价部门的有关规定扣回给发包人</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2.3 提供基础资料</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关于发包人应提供的基础资料的范围和期限：</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2.5 支付合同价款</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2.5.2 发包人提供资金来源证明及资金安排的期限要求：</w:t>
      </w:r>
      <w:r>
        <w:rPr>
          <w:rFonts w:hint="eastAsia" w:eastAsia="仿宋_GB2312"/>
          <w:color w:val="auto"/>
          <w:sz w:val="24"/>
          <w:highlight w:val="none"/>
          <w:u w:val="single"/>
        </w:rPr>
        <w:t>否</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2.5.3 发包人提供支付担保的形式、期限、金额（或比例）：</w:t>
      </w:r>
      <w:r>
        <w:rPr>
          <w:rFonts w:hint="eastAsia" w:eastAsia="仿宋_GB2312"/>
          <w:color w:val="auto"/>
          <w:sz w:val="24"/>
          <w:highlight w:val="none"/>
          <w:u w:val="single"/>
        </w:rPr>
        <w:t>无</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2.7 其他义务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发包人应履行的其他义务：。</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798" w:name="_Toc54862334"/>
      <w:r>
        <w:rPr>
          <w:rFonts w:ascii="Times New Roman" w:hAnsi="Times New Roman" w:eastAsia="黑体" w:cs="Times New Roman"/>
          <w:b w:val="0"/>
          <w:color w:val="auto"/>
          <w:sz w:val="24"/>
          <w:szCs w:val="24"/>
          <w:highlight w:val="none"/>
        </w:rPr>
        <w:t>第3条 发包人的管理</w:t>
      </w:r>
      <w:bookmarkEnd w:id="798"/>
    </w:p>
    <w:p>
      <w:pPr>
        <w:widowControl/>
        <w:adjustRightInd w:val="0"/>
        <w:snapToGrid w:val="0"/>
        <w:spacing w:line="440" w:lineRule="exact"/>
        <w:ind w:firstLine="640"/>
        <w:rPr>
          <w:rFonts w:eastAsia="黑体"/>
          <w:color w:val="auto"/>
          <w:sz w:val="24"/>
          <w:highlight w:val="none"/>
        </w:rPr>
      </w:pPr>
      <w:r>
        <w:rPr>
          <w:rFonts w:eastAsia="黑体"/>
          <w:color w:val="auto"/>
          <w:sz w:val="24"/>
          <w:highlight w:val="none"/>
        </w:rPr>
        <w:t>3.1 发包人代表</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发包人代表的姓名：；</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发包人代表的身份证号：；</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发包人代表的职务：；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发包人代表的联系电话：；</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发包人代表的电子邮箱：；</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发包人代表的通信地址：；</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发包人对发包人代表的授权范围如下：；</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发包人代表的职责：。</w:t>
      </w:r>
    </w:p>
    <w:p>
      <w:pPr>
        <w:widowControl/>
        <w:adjustRightInd w:val="0"/>
        <w:snapToGrid w:val="0"/>
        <w:spacing w:line="440" w:lineRule="exact"/>
        <w:ind w:firstLine="640"/>
        <w:rPr>
          <w:rFonts w:eastAsia="黑体"/>
          <w:color w:val="auto"/>
          <w:sz w:val="24"/>
          <w:highlight w:val="none"/>
        </w:rPr>
      </w:pPr>
      <w:r>
        <w:rPr>
          <w:rFonts w:eastAsia="黑体"/>
          <w:color w:val="auto"/>
          <w:sz w:val="24"/>
          <w:highlight w:val="none"/>
        </w:rPr>
        <w:t>3.2 发包人人员</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发包人人员姓名：；</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发包人人员职务：；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发包人人员职责：。</w:t>
      </w:r>
    </w:p>
    <w:p>
      <w:pPr>
        <w:widowControl/>
        <w:adjustRightInd w:val="0"/>
        <w:snapToGrid w:val="0"/>
        <w:spacing w:line="440" w:lineRule="exact"/>
        <w:ind w:firstLine="640"/>
        <w:rPr>
          <w:rFonts w:eastAsia="黑体"/>
          <w:color w:val="auto"/>
          <w:sz w:val="24"/>
          <w:highlight w:val="none"/>
        </w:rPr>
      </w:pPr>
      <w:r>
        <w:rPr>
          <w:rFonts w:eastAsia="黑体"/>
          <w:color w:val="auto"/>
          <w:sz w:val="24"/>
          <w:highlight w:val="none"/>
        </w:rPr>
        <w:t>3.3 工程师</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3.3.1 工程师名称：；工程师监督管理范围、内容：；工程师权限：。</w:t>
      </w:r>
    </w:p>
    <w:p>
      <w:pPr>
        <w:widowControl/>
        <w:adjustRightInd w:val="0"/>
        <w:snapToGrid w:val="0"/>
        <w:spacing w:line="440" w:lineRule="exact"/>
        <w:ind w:firstLine="640"/>
        <w:rPr>
          <w:rFonts w:eastAsia="黑体"/>
          <w:color w:val="auto"/>
          <w:sz w:val="24"/>
          <w:highlight w:val="none"/>
        </w:rPr>
      </w:pPr>
      <w:r>
        <w:rPr>
          <w:rFonts w:eastAsia="黑体"/>
          <w:color w:val="auto"/>
          <w:sz w:val="24"/>
          <w:highlight w:val="none"/>
        </w:rPr>
        <w:t>3.6 商定或确定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3.6.2 关于商定时间限制的具体约定：。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3.6.3 关于商定或确定效力的具体约定：；关于对工程师的确定提出异议的具体约定：。</w:t>
      </w:r>
    </w:p>
    <w:p>
      <w:pPr>
        <w:widowControl/>
        <w:adjustRightInd w:val="0"/>
        <w:snapToGrid w:val="0"/>
        <w:spacing w:line="440" w:lineRule="exact"/>
        <w:ind w:firstLine="640"/>
        <w:rPr>
          <w:rFonts w:eastAsia="黑体"/>
          <w:color w:val="auto"/>
          <w:sz w:val="24"/>
          <w:highlight w:val="none"/>
        </w:rPr>
      </w:pPr>
      <w:r>
        <w:rPr>
          <w:rFonts w:eastAsia="黑体"/>
          <w:color w:val="auto"/>
          <w:sz w:val="24"/>
          <w:highlight w:val="none"/>
        </w:rPr>
        <w:t>3.7 会议</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3.7.1 关于召开会议的具体约定：。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3.7.2 关于保存和提供会议纪要的具体约定：。</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799" w:name="_Toc54862335"/>
      <w:r>
        <w:rPr>
          <w:rFonts w:ascii="Times New Roman" w:hAnsi="Times New Roman" w:eastAsia="黑体" w:cs="Times New Roman"/>
          <w:b w:val="0"/>
          <w:color w:val="auto"/>
          <w:sz w:val="24"/>
          <w:szCs w:val="24"/>
          <w:highlight w:val="none"/>
        </w:rPr>
        <w:t>第4条 承包人</w:t>
      </w:r>
      <w:bookmarkEnd w:id="799"/>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4.1 承包人的一般义务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承包人应履行的其他义务：</w:t>
      </w:r>
      <w:r>
        <w:rPr>
          <w:rFonts w:eastAsia="仿宋_GB2312"/>
          <w:color w:val="auto"/>
          <w:sz w:val="24"/>
          <w:highlight w:val="none"/>
          <w:u w:val="single"/>
        </w:rPr>
        <w:t>积极接受建设该项目相关单位的监督，做好安全文明施工的各种措施并承担相应的责任，落实相关工作的责任人，并在开工前提交给发包人备案</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4.2 履约担保</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承包人是否提供履约担保：</w:t>
      </w:r>
      <w:r>
        <w:rPr>
          <w:rFonts w:hint="eastAsia" w:eastAsia="仿宋_GB2312"/>
          <w:color w:val="auto"/>
          <w:sz w:val="24"/>
          <w:highlight w:val="none"/>
          <w:u w:val="single"/>
        </w:rPr>
        <w:t>是</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履约担保的方式、金额及期限:</w:t>
      </w:r>
      <w:r>
        <w:rPr>
          <w:rFonts w:hint="eastAsia" w:eastAsia="仿宋_GB2312"/>
          <w:color w:val="auto"/>
          <w:sz w:val="24"/>
          <w:highlight w:val="none"/>
        </w:rPr>
        <w:t>1</w:t>
      </w:r>
      <w:r>
        <w:rPr>
          <w:rFonts w:eastAsia="仿宋_GB2312"/>
          <w:color w:val="auto"/>
          <w:sz w:val="24"/>
          <w:highlight w:val="none"/>
          <w:u w:val="single"/>
        </w:rPr>
        <w:t>、履约保证金的金额：中标价格×5%元人民币，即：     元。</w:t>
      </w:r>
      <w:r>
        <w:rPr>
          <w:rFonts w:hint="eastAsia" w:eastAsia="仿宋_GB2312"/>
          <w:color w:val="auto"/>
          <w:sz w:val="24"/>
          <w:highlight w:val="none"/>
          <w:u w:val="single"/>
        </w:rPr>
        <w:t>2</w:t>
      </w:r>
      <w:r>
        <w:rPr>
          <w:rFonts w:eastAsia="仿宋_GB2312"/>
          <w:color w:val="auto"/>
          <w:sz w:val="24"/>
          <w:highlight w:val="none"/>
          <w:u w:val="single"/>
        </w:rPr>
        <w:t>、履约保证金提供期限：合同签订后10日内支付至发包人指定账户；</w:t>
      </w:r>
      <w:r>
        <w:rPr>
          <w:rFonts w:hint="eastAsia" w:eastAsia="仿宋_GB2312"/>
          <w:color w:val="auto"/>
          <w:sz w:val="24"/>
          <w:highlight w:val="none"/>
          <w:u w:val="single"/>
        </w:rPr>
        <w:t>3</w:t>
      </w:r>
      <w:r>
        <w:rPr>
          <w:rFonts w:eastAsia="仿宋_GB2312"/>
          <w:color w:val="auto"/>
          <w:sz w:val="24"/>
          <w:highlight w:val="none"/>
          <w:u w:val="single"/>
        </w:rPr>
        <w:t>、履约保证金在项目竣（交）工验收合格后，如承包人在合同履行过程中没有违约情形，履约保证金在项目竣（交）工验收合格后，自动转为质量保证金（工程结算总价的3%），若履约保证金金额小于质量保证金金额的，承包人应于工程竣工验收合格结算后3个工作日内补足；若履约保证金金额大于质量保证金金额的，发包人于工程竣工验收合格结算后10个工作日内无息将差额部分退还承包人。</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4.3 工程总承包项目经理</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4.3.1 工程总承包项目经理姓名：；</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执业资格或职称类型：；</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执业资格证或职称证号码：；</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联系电话：；</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电子邮箱：；</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通信地址：。</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承包人未提交劳动合同，以及没有为工程总承包项目经理缴纳社会保险证明的违约责任：</w:t>
      </w:r>
      <w:r>
        <w:rPr>
          <w:rFonts w:eastAsia="仿宋_GB2312"/>
          <w:color w:val="auto"/>
          <w:sz w:val="24"/>
          <w:highlight w:val="none"/>
          <w:u w:val="single"/>
        </w:rPr>
        <w:t>发包人有权要求立即更换项目经理，并扣罚承包人5万元的工程款，并由承包人承担上述违约给发包人造成的一切损失</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4.3.2 工程总承包项目经理每月在现场的时间要求：</w:t>
      </w:r>
      <w:r>
        <w:rPr>
          <w:rFonts w:eastAsia="仿宋_GB2312"/>
          <w:color w:val="auto"/>
          <w:sz w:val="24"/>
          <w:highlight w:val="none"/>
          <w:u w:val="single"/>
        </w:rPr>
        <w:t>项目经理需常驻施工现场，且每月在施工现场时间不得少于22天，项目经理不得同时担任其他项目的项目经理。若项目经理确需离开施工现场，应取得发包人的书面同意。并且项目经理的通知中应当载明临时代行其职责的人员的注册执业资格、管理经验等资料，该人员应具备履行相应职责的能力</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工程总承包项目经理未经批准擅自离开施工现场的违约责任：</w:t>
      </w:r>
      <w:r>
        <w:rPr>
          <w:rFonts w:eastAsia="仿宋_GB2312"/>
          <w:color w:val="auto"/>
          <w:sz w:val="24"/>
          <w:highlight w:val="none"/>
          <w:u w:val="single"/>
        </w:rPr>
        <w:t>每次扣罚承包人5仟元工程款，并由承包人承担上述违约给发包人造成的一切损失</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4.3.3 承包人对工程总承包项目经理的授权范围:</w:t>
      </w:r>
      <w:r>
        <w:rPr>
          <w:rFonts w:eastAsia="仿宋_GB2312"/>
          <w:color w:val="auto"/>
          <w:sz w:val="24"/>
          <w:highlight w:val="none"/>
          <w:u w:val="single"/>
        </w:rPr>
        <w:t>履行施工合同，对本工程的施工管理</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4.3.4 承包人擅自更换工程总承包项目经理的违约责任：</w:t>
      </w:r>
      <w:r>
        <w:rPr>
          <w:rFonts w:eastAsia="仿宋_GB2312"/>
          <w:color w:val="auto"/>
          <w:sz w:val="24"/>
          <w:highlight w:val="none"/>
          <w:u w:val="single"/>
        </w:rPr>
        <w:t>每次扣罚承包人5仟元工程款，并由承包人承担上述违约给发包人造成的一切损失</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4.3.5 承包人无正当理由拒绝更换工程总承包项目经理的违约责任:</w:t>
      </w:r>
      <w:r>
        <w:rPr>
          <w:rFonts w:eastAsia="仿宋_GB2312"/>
          <w:color w:val="auto"/>
          <w:sz w:val="24"/>
          <w:highlight w:val="none"/>
          <w:u w:val="single"/>
        </w:rPr>
        <w:t>发包人扣罚承包人5万元工程款，由此产生的发包人一切损失由承包人承担</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4.4 承包人人员</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4.4.1 人员安排</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承包人提交项目管理机构及施工现场人员安排的报告的期限：</w:t>
      </w:r>
      <w:r>
        <w:rPr>
          <w:rFonts w:eastAsia="仿宋_GB2312"/>
          <w:color w:val="auto"/>
          <w:sz w:val="24"/>
          <w:highlight w:val="none"/>
          <w:u w:val="single"/>
        </w:rPr>
        <w:t>接到开工通知后7天内</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承包人提交关键人员信息及注册执业资格等证明其具备担任关键人员能力的相关文件的期限：开工日前</w:t>
      </w:r>
      <w:r>
        <w:rPr>
          <w:rFonts w:hint="eastAsia" w:eastAsia="仿宋_GB2312"/>
          <w:color w:val="auto"/>
          <w:sz w:val="24"/>
          <w:highlight w:val="none"/>
        </w:rPr>
        <w:t>7天</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4.4.2 关键人员更换</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承包人擅自更换关键人员的违约责任：</w:t>
      </w:r>
      <w:r>
        <w:rPr>
          <w:rFonts w:eastAsia="仿宋_GB2312"/>
          <w:color w:val="auto"/>
          <w:sz w:val="24"/>
          <w:highlight w:val="none"/>
          <w:u w:val="single"/>
        </w:rPr>
        <w:t>除项目经理外，每人每次扣罚工程款3000元，承包人承担上述违约给发包人造成的一切损失</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承包人无正当理由拒绝撤换关键人员的违约责任：</w:t>
      </w:r>
      <w:r>
        <w:rPr>
          <w:rFonts w:eastAsia="仿宋_GB2312"/>
          <w:color w:val="auto"/>
          <w:sz w:val="24"/>
          <w:highlight w:val="none"/>
          <w:u w:val="single"/>
        </w:rPr>
        <w:t>除项目经理外，每人扣减承包人工程款3000元，承包人承担上述违约给发包人造成的一切损失</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4.4.3 现场管理关键人员在岗要求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承包人现场管理关键人员离开施工现场的批准要求：</w:t>
      </w:r>
      <w:r>
        <w:rPr>
          <w:rFonts w:eastAsia="仿宋_GB2312"/>
          <w:color w:val="auto"/>
          <w:sz w:val="24"/>
          <w:highlight w:val="none"/>
          <w:u w:val="single"/>
        </w:rPr>
        <w:t>提前24小时报告发包人，由发包人书面同意后方可离开</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承包人现场管理关键人员擅自离开施工现场的违约责任：</w:t>
      </w:r>
      <w:r>
        <w:rPr>
          <w:rFonts w:eastAsia="仿宋_GB2312"/>
          <w:color w:val="auto"/>
          <w:sz w:val="24"/>
          <w:highlight w:val="none"/>
          <w:u w:val="single"/>
        </w:rPr>
        <w:t>除项目经理外，每人每次扣罚工程款3000元，承包人承担上述违约给发包人造成的一切损失</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4.5 分包</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4.5.1 一般约定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禁止分包的工程包括：</w:t>
      </w:r>
      <w:r>
        <w:rPr>
          <w:rFonts w:eastAsia="仿宋_GB2312"/>
          <w:color w:val="auto"/>
          <w:sz w:val="24"/>
          <w:highlight w:val="none"/>
          <w:u w:val="single"/>
        </w:rPr>
        <w:t>所有工程</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4.5.2 分包的确定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允许分包的工程包括：</w:t>
      </w:r>
      <w:r>
        <w:rPr>
          <w:rFonts w:eastAsia="仿宋_GB2312"/>
          <w:color w:val="auto"/>
          <w:sz w:val="24"/>
          <w:highlight w:val="none"/>
          <w:u w:val="single"/>
        </w:rPr>
        <w:t>设备制造及安装</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其他关于分包的约定：</w:t>
      </w:r>
      <w:r>
        <w:rPr>
          <w:rFonts w:hint="eastAsia" w:eastAsia="仿宋_GB2312"/>
          <w:color w:val="auto"/>
          <w:sz w:val="24"/>
          <w:highlight w:val="none"/>
          <w:u w:val="single"/>
        </w:rPr>
        <w:t>无</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4.5.5 分包合同价款支付</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rPr>
        <w:t>关于分包合同价款支付的约定：</w:t>
      </w:r>
      <w:r>
        <w:rPr>
          <w:rFonts w:eastAsia="仿宋_GB2312"/>
          <w:color w:val="auto"/>
          <w:sz w:val="24"/>
          <w:highlight w:val="none"/>
          <w:u w:val="single"/>
        </w:rPr>
        <w:t>以合同总金额</w:t>
      </w:r>
      <w:r>
        <w:rPr>
          <w:rFonts w:hint="eastAsia" w:eastAsia="仿宋_GB2312"/>
          <w:color w:val="auto"/>
          <w:sz w:val="24"/>
          <w:highlight w:val="none"/>
          <w:u w:val="single"/>
        </w:rPr>
        <w:t>68 %按13%税率及32%按9%税率</w:t>
      </w:r>
      <w:r>
        <w:rPr>
          <w:rFonts w:eastAsia="仿宋_GB2312"/>
          <w:color w:val="auto"/>
          <w:sz w:val="24"/>
          <w:highlight w:val="none"/>
          <w:u w:val="single"/>
        </w:rPr>
        <w:t>开具增值税专用发票。</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4.6 联合体</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4.6.2 联合体各成员的分工、费用收取、发票开具等事项：</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4.7 承包人现场查勘</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4.7.1 双方当事人对现场查勘的责任承担的约定：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4.8 不可预见的困难</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不可预见的困难包括：</w:t>
      </w:r>
      <w:r>
        <w:rPr>
          <w:rFonts w:hint="eastAsia" w:eastAsia="仿宋_GB2312"/>
          <w:color w:val="auto"/>
          <w:sz w:val="24"/>
          <w:highlight w:val="none"/>
          <w:u w:val="single"/>
        </w:rPr>
        <w:t>/</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00" w:name="_Toc54862336"/>
      <w:r>
        <w:rPr>
          <w:rFonts w:ascii="Times New Roman" w:hAnsi="Times New Roman" w:eastAsia="黑体" w:cs="Times New Roman"/>
          <w:b w:val="0"/>
          <w:color w:val="auto"/>
          <w:sz w:val="24"/>
          <w:szCs w:val="24"/>
          <w:highlight w:val="none"/>
        </w:rPr>
        <w:t>第5条 设计</w:t>
      </w:r>
      <w:bookmarkEnd w:id="800"/>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5.2 承包人文件审查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5.2.1 承包人文件审查的期限：。</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5.2.2 审查会议的审查形式和时间安排为：，审查会议的相关费用由承担。</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5.2.3 关于第三方审查单位的约定：。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5.3 培训</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培训的时长为，承包人应为培训提供的人员、设施和其它必要条件为。</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5.4 竣工文件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5.4.1 竣工文件的形式、提供的份数、技术标准以及其它相关要求：。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5.4.3 关于竣工文件的其他约定：。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5.5 操作和维修手册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5.5.3 对最终操作和维修手册的约定：。</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01" w:name="_Toc54862337"/>
      <w:r>
        <w:rPr>
          <w:rFonts w:ascii="Times New Roman" w:hAnsi="Times New Roman" w:eastAsia="黑体" w:cs="Times New Roman"/>
          <w:b w:val="0"/>
          <w:color w:val="auto"/>
          <w:sz w:val="24"/>
          <w:szCs w:val="24"/>
          <w:highlight w:val="none"/>
        </w:rPr>
        <w:t>第6条 材料、工程设备</w:t>
      </w:r>
      <w:bookmarkEnd w:id="801"/>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6.1 实施方法</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rPr>
        <w:t>双方当事人约定的实施方法、设备、设施和材料：</w:t>
      </w:r>
      <w:r>
        <w:rPr>
          <w:rFonts w:eastAsia="仿宋_GB2312"/>
          <w:color w:val="auto"/>
          <w:sz w:val="24"/>
          <w:highlight w:val="none"/>
          <w:u w:val="single"/>
        </w:rPr>
        <w:t>（1）因发包人原因未能在计划开工日期前7天内下达开工通知的违约责任：工期相应顺延，由此增加的费用及利润不予补偿。</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2）因发包人原因未能按合同约定支付合同价款的违约责任：承包人可向发包人发出通知，要求发包人采取有效措施纠正违约行为。发包人收到承包人通知后15天内仍不纠正违约行为的，承包人有权暂停相应部位工程施工。</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（3）发包人违反第10.1款〔变更的范围〕第（2）项约定，自行实施被取消的工作或转由他人实施的违约责任：无。</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（4）发包人提供的材料、工程设备的规格、数量或质量不符合合同约定，或因发包人原因导致交货日期延误或交货地点变更等情况的违约责任：工期相应顺延，由此增加的费用及利润不予补偿。</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（5）因发包人违反合同约定造成暂停施工的违约责任：承包人有权要求发包人增加由此发生的费用及顺延工期。</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u w:val="single"/>
        </w:rPr>
        <w:t>（6）发包人无正当理由没有在约定期限内发出复工指示，导致承包人无法复工的违约责任：承包人有权要求发包人增加由此发生的费用及顺延工期</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6.2 材料和工程设备</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6.2.1 发包人提供的材料和工程设备</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发包人提供的材料和工程设备验收后，由</w:t>
      </w:r>
      <w:r>
        <w:rPr>
          <w:rFonts w:eastAsia="仿宋_GB2312"/>
          <w:color w:val="auto"/>
          <w:sz w:val="24"/>
          <w:highlight w:val="none"/>
          <w:u w:val="single"/>
        </w:rPr>
        <w:t>承包人</w:t>
      </w:r>
      <w:r>
        <w:rPr>
          <w:rFonts w:eastAsia="仿宋_GB2312"/>
          <w:color w:val="auto"/>
          <w:sz w:val="24"/>
          <w:highlight w:val="none"/>
        </w:rPr>
        <w:t>负责接收、运输和保管。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6.2.2 承包人提供的材料和工程设备</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材料和工程设备的类别、估算数量：</w:t>
      </w:r>
      <w:r>
        <w:rPr>
          <w:rFonts w:eastAsia="仿宋_GB2312"/>
          <w:color w:val="auto"/>
          <w:sz w:val="24"/>
          <w:highlight w:val="none"/>
          <w:u w:val="single"/>
        </w:rPr>
        <w:t>按通用合同条款执行</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竣工后试验的生产性材料的类别或（和）清单：</w:t>
      </w:r>
      <w:r>
        <w:rPr>
          <w:rFonts w:eastAsia="仿宋_GB2312"/>
          <w:color w:val="auto"/>
          <w:sz w:val="24"/>
          <w:highlight w:val="none"/>
          <w:u w:val="single"/>
        </w:rPr>
        <w:t>按通用合同条款执行</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6.2.3 材料和工程设备的保管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发包人供应的材料和工程设备的保管费用由</w:t>
      </w:r>
      <w:r>
        <w:rPr>
          <w:rFonts w:eastAsia="仿宋_GB2312"/>
          <w:color w:val="auto"/>
          <w:sz w:val="24"/>
          <w:highlight w:val="none"/>
          <w:u w:val="single"/>
        </w:rPr>
        <w:t>承包人</w:t>
      </w:r>
      <w:r>
        <w:rPr>
          <w:rFonts w:eastAsia="仿宋_GB2312"/>
          <w:color w:val="auto"/>
          <w:sz w:val="24"/>
          <w:highlight w:val="none"/>
        </w:rPr>
        <w:t>承担。</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承包人提交保管、维护方案的时间：</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发包人提供的库房、堆场、设施和设备：</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6.3 样品</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6.3.1 样品的报送与封存</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需要承包人报送样品的材料或工程设备，样品种类、名称、规格、数量：</w:t>
      </w:r>
      <w:r>
        <w:rPr>
          <w:rFonts w:eastAsia="仿宋_GB2312"/>
          <w:color w:val="auto"/>
          <w:sz w:val="24"/>
          <w:highlight w:val="none"/>
          <w:u w:val="single"/>
        </w:rPr>
        <w:t>按通用合同条款执行</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6.4 质量检查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6.4.1 工程质量要求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工程质量的特殊标准或要求：。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6.4.2 质量检查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除通用合同条件已列明的质量检查的地点外，发包人有权进行质量检查的其他地点：。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6.4.3 隐蔽工程检查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关于隐蔽工程和中间验收的特别约定：。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6.5 由承包人试验和检验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6.5.1 试验设备与试验人员</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试验的内容、时间和地点：。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试验所需要的试验设备、取样装置、试验场所和试验条件：。</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rPr>
        <w:t>试验和检验费用的计价原则：。</w:t>
      </w:r>
    </w:p>
    <w:p>
      <w:pPr>
        <w:pStyle w:val="181"/>
        <w:widowControl/>
        <w:adjustRightInd w:val="0"/>
        <w:snapToGrid w:val="0"/>
        <w:spacing w:line="440" w:lineRule="exact"/>
        <w:rPr>
          <w:rFonts w:ascii="Times New Roman" w:hAnsi="Times New Roman" w:eastAsia="黑体" w:cs="Times New Roman"/>
          <w:color w:val="auto"/>
          <w:sz w:val="24"/>
          <w:szCs w:val="24"/>
          <w:highlight w:val="none"/>
        </w:rPr>
      </w:pPr>
      <w:bookmarkStart w:id="802" w:name="_Toc54862338"/>
      <w:r>
        <w:rPr>
          <w:rFonts w:ascii="Times New Roman" w:hAnsi="Times New Roman" w:eastAsia="黑体" w:cs="Times New Roman"/>
          <w:color w:val="auto"/>
          <w:sz w:val="24"/>
          <w:szCs w:val="24"/>
          <w:highlight w:val="none"/>
        </w:rPr>
        <w:t>第7条 施工</w:t>
      </w:r>
      <w:bookmarkEnd w:id="802"/>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7.1 交通运输</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7.1.1 出入现场的权利</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关于出入现场的权利的约定：。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7.1.2 场外交通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关于场外交通的特别约定：。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7.1.3 场内交通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关于场内交通的特别约定：。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关于场内交通与场外交通边界的约定：。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7.1.4 超大件和超重件的运输</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运输超大件或超重件所需的道路和桥梁临时加固改造费用和其他有关费用由承担。</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7.2 施工设备和临时设施</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7.2.1 承包人提供的施工设备和临时设施</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临时设施的费用和临时占地手续和费用承担的特别约定：。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7.2.2 发包人提供的施工设备和临时设施</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发包人提供的施工设备或临时设施范围：。</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7.3 现场合作</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关于现场合作费用的特别约定：。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7.4 测量放线</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7.4.1 关于测量放线的特别约定的技术规范：。施工控制网资料的告知期限：。</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7.5 现场劳动用工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7.5.2 合同当事人对建筑工人工资清偿事宜和违约责任的约定：。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7.6 安全文明施工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7.6.1 安全生产要求</w:t>
      </w:r>
    </w:p>
    <w:p>
      <w:pPr>
        <w:widowControl/>
        <w:adjustRightInd w:val="0"/>
        <w:snapToGrid w:val="0"/>
        <w:spacing w:line="440" w:lineRule="exact"/>
        <w:ind w:left="124" w:leftChars="59" w:firstLine="600"/>
        <w:rPr>
          <w:rFonts w:eastAsia="仿宋_GB2312"/>
          <w:color w:val="auto"/>
          <w:sz w:val="24"/>
          <w:highlight w:val="none"/>
        </w:rPr>
      </w:pPr>
      <w:r>
        <w:rPr>
          <w:rFonts w:eastAsia="仿宋_GB2312"/>
          <w:color w:val="auto"/>
          <w:sz w:val="24"/>
          <w:highlight w:val="none"/>
        </w:rPr>
        <w:t>合同当事人对安全施工的要求：。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7.6.3 文明施工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合同当事人对文明施工的要求：。</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7.9 临时性公用设施</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关于临时性公用设施的特别约定：。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7.10 现场安保</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承包人现场安保义务的特别约定：。</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03" w:name="_Toc54862339"/>
      <w:r>
        <w:rPr>
          <w:rFonts w:ascii="Times New Roman" w:hAnsi="Times New Roman" w:eastAsia="黑体" w:cs="Times New Roman"/>
          <w:b w:val="0"/>
          <w:color w:val="auto"/>
          <w:sz w:val="24"/>
          <w:szCs w:val="24"/>
          <w:highlight w:val="none"/>
        </w:rPr>
        <w:t>第8条 工期和进度</w:t>
      </w:r>
      <w:bookmarkEnd w:id="803"/>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8.1 开始工作</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8.1.1 开始准备工作：</w:t>
      </w:r>
      <w:r>
        <w:rPr>
          <w:rFonts w:eastAsia="仿宋_GB2312"/>
          <w:color w:val="auto"/>
          <w:sz w:val="24"/>
          <w:highlight w:val="none"/>
          <w:u w:val="single"/>
        </w:rPr>
        <w:t xml:space="preserve">承包人应在合同签订后14天内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8.1.2 发包人可在计划开始工作之日起84日后发出开始工作通知的特殊情形：</w:t>
      </w:r>
      <w:r>
        <w:rPr>
          <w:rFonts w:eastAsia="仿宋_GB2312"/>
          <w:color w:val="auto"/>
          <w:sz w:val="24"/>
          <w:highlight w:val="none"/>
          <w:u w:val="single"/>
        </w:rPr>
        <w:t>按通用合同条款</w:t>
      </w:r>
      <w:r>
        <w:rPr>
          <w:rFonts w:hint="eastAsia" w:eastAsia="仿宋_GB2312"/>
          <w:color w:val="auto"/>
          <w:sz w:val="24"/>
          <w:highlight w:val="none"/>
          <w:u w:val="single"/>
        </w:rPr>
        <w:t>执行</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8.2 竣工日期</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竣工日期的约定：</w:t>
      </w:r>
      <w:r>
        <w:rPr>
          <w:rFonts w:hint="eastAsia" w:eastAsia="仿宋_GB2312"/>
          <w:color w:val="auto"/>
          <w:sz w:val="24"/>
          <w:highlight w:val="none"/>
          <w:u w:val="single"/>
        </w:rPr>
        <w:t>150日历天</w:t>
      </w:r>
      <w:r>
        <w:rPr>
          <w:rFonts w:eastAsia="仿宋_GB2312"/>
          <w:color w:val="auto"/>
          <w:sz w:val="24"/>
          <w:highlight w:val="none"/>
          <w:u w:val="single"/>
        </w:rPr>
        <w:t>完成安装交付使用</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8.3 项目实施计划</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8.3.1 项目实施计划的内容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项目实施计划的内容：。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8.3.2 项目实施计划的提交和修改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项目实施计划的提交及修改期限：。</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8.4 项目进度计划</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8.4.1 工程师在收到进度计划后确认或提出修改意见的期限：。</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8.4.2 进度计划的具体要求：。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关键路径及关键路径变化的确定原则：。</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承包人提交项目进度计划的份数和时间：。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8.4.3 进度计划的修订</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承包人提交修订项目进度计划申请报告的期限：。</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发包人批复修订项目进度计划申请报告的期限：。</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承包人答复发包人提出修订合同计划的期限：。</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8.5 进度报告</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进度报告的具体要求：。</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8.7 工期延误</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8.7.2 因承包人原因导致工期延误</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因承包人原因造成工期延误，逾期竣工违约金的计算方法为：</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每延迟一天竣工扣减承包人工程款人民币3000元，逾期超过25日，发包人有权单方解除本合同，并没收全部履约保证金，且发包人有权选聘第三方完成承包人尚未完成的工程或其他工作，费用全部由承包人承担，发包人有权直接从承包人的工程款中划拨给第三方，不足部分由承包人补足，与此同时，承包人还应向发包人支付合同总价（即最终结算价）5%的违约金，不足以弥补损失的，承包人另行赔偿。</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8.7.3 行政审批迟延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行政审批报送的职责分工：</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8.7.4 异常恶劣的气候条件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双方约定视为异常恶劣的气候条件的情形：</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8.8 工期提前</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8.8.2 承包人提前竣工的奖励：</w:t>
      </w:r>
      <w:r>
        <w:rPr>
          <w:rFonts w:hint="eastAsia" w:eastAsia="仿宋_GB2312"/>
          <w:color w:val="auto"/>
          <w:sz w:val="24"/>
          <w:highlight w:val="none"/>
          <w:u w:val="single"/>
        </w:rPr>
        <w:t>/</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04" w:name="_Toc54862340"/>
      <w:r>
        <w:rPr>
          <w:rFonts w:ascii="Times New Roman" w:hAnsi="Times New Roman" w:eastAsia="黑体" w:cs="Times New Roman"/>
          <w:b w:val="0"/>
          <w:color w:val="auto"/>
          <w:sz w:val="24"/>
          <w:szCs w:val="24"/>
          <w:highlight w:val="none"/>
        </w:rPr>
        <w:t>第9条 竣工试验</w:t>
      </w:r>
      <w:bookmarkEnd w:id="804"/>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9.1 竣工试验的义务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9.1.3 竣工试验的阶段、内容和顺序：。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竣工试验的操作要求：。</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05" w:name="_Toc4784273"/>
      <w:bookmarkEnd w:id="805"/>
      <w:bookmarkStart w:id="806" w:name="_Toc4784272"/>
      <w:bookmarkEnd w:id="806"/>
      <w:bookmarkStart w:id="807" w:name="_Toc54862341"/>
      <w:r>
        <w:rPr>
          <w:rFonts w:ascii="Times New Roman" w:hAnsi="Times New Roman" w:eastAsia="黑体" w:cs="Times New Roman"/>
          <w:b w:val="0"/>
          <w:color w:val="auto"/>
          <w:sz w:val="24"/>
          <w:szCs w:val="24"/>
          <w:highlight w:val="none"/>
        </w:rPr>
        <w:t>第10条 验收和工程接收</w:t>
      </w:r>
      <w:bookmarkEnd w:id="807"/>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10.1 竣工验收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10.1.2 关于竣工验收程序的约定：</w:t>
      </w:r>
      <w:r>
        <w:rPr>
          <w:rFonts w:eastAsia="仿宋_GB2312"/>
          <w:color w:val="auto"/>
          <w:sz w:val="24"/>
          <w:highlight w:val="none"/>
          <w:u w:val="single"/>
        </w:rPr>
        <w:t>按通用合同条款执行</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bookmarkStart w:id="808" w:name="_Hlk46406260"/>
      <w:r>
        <w:rPr>
          <w:rFonts w:eastAsia="仿宋_GB2312"/>
          <w:color w:val="auto"/>
          <w:sz w:val="24"/>
          <w:highlight w:val="none"/>
        </w:rPr>
        <w:t>发包人不按照合同约定组织竣工验收、颁发工程接受证书的违约金的计算方式：</w:t>
      </w:r>
      <w:r>
        <w:rPr>
          <w:rFonts w:eastAsia="仿宋_GB2312"/>
          <w:color w:val="auto"/>
          <w:sz w:val="24"/>
          <w:highlight w:val="none"/>
          <w:u w:val="single"/>
        </w:rPr>
        <w:t>按通用合同条款执行</w:t>
      </w:r>
      <w:r>
        <w:rPr>
          <w:rFonts w:eastAsia="仿宋_GB2312"/>
          <w:color w:val="auto"/>
          <w:sz w:val="24"/>
          <w:highlight w:val="none"/>
        </w:rPr>
        <w:t>。</w:t>
      </w:r>
    </w:p>
    <w:bookmarkEnd w:id="808"/>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10.3工程的接收</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10.3.1工程接收的先后顺序、时间安排和其他要求：。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10.3.2 接受工程时承包人需提交竣工验收资料的类别、内容、份数和提交时间：。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10.3.3 发包人逾期接收工程的违约责任：</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10.3.4 承包人无正当理由不移交工程的违约责任：</w:t>
      </w:r>
      <w:r>
        <w:rPr>
          <w:rFonts w:eastAsia="仿宋_GB2312"/>
          <w:color w:val="auto"/>
          <w:sz w:val="24"/>
          <w:highlight w:val="none"/>
          <w:u w:val="single"/>
        </w:rPr>
        <w:t>工期违约：每延迟一天，支付3000（元/天）违约金，发包人有权直接从履约保证金中予以扣除，不足部分由承包人另行补足，延误工期达25天以上的，发包人有权解除合同，非因恶劣天气导致无法施工而持续停工7日或累计停工20日以上的，发包人有权解除合同。因本条原因发包人解除合同的，发包人有权没收履约保证金，且发包人有权选聘第三方完成承包人沿未完成的工程或其他工作，费用全部由承包人承担，发包人有权直接从承包人的工程款中划拨给第三方，工程款不足部分由承包人补足，与此同时，承包人还应该向发包人支付合同总价5%的违约金，不足以弥补损失的，承包人另行赔偿。质量违约：由承包人原因造成的质量缺陷，承包人应负责维修，并承担鉴定及维修费用。承包人在发包人发出通知（发出特快专递）后3日内仍不维修的或维修不符合要求的，发包人有权另行聘请第三方维修，相关维修费用由承包人承担；按照合同总额3%支付违约金，发包人有权直接从质量保证金中予以扣除，不足部分由承包人另行补足；赔偿发包人经第三方鉴定的损失费</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10.4 接收证书</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10.4.1 工程接收证书颁发时间：</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10.5 竣工退场</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10.5.1 竣工退场的相关约定：</w:t>
      </w:r>
      <w:r>
        <w:rPr>
          <w:rFonts w:eastAsia="仿宋_GB2312"/>
          <w:color w:val="auto"/>
          <w:sz w:val="24"/>
          <w:highlight w:val="none"/>
          <w:u w:val="single"/>
        </w:rPr>
        <w:t>工程竣工验收后，需在缺陷责任期内继续工作的人员、使用的施工设备和临时设施外，其余的人员、施工设备和临时设备、临时设施等均应按要求撤离施工场地或拆除</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09" w:name="_Toc54862342"/>
      <w:r>
        <w:rPr>
          <w:rFonts w:ascii="Times New Roman" w:hAnsi="Times New Roman" w:eastAsia="黑体" w:cs="Times New Roman"/>
          <w:b w:val="0"/>
          <w:color w:val="auto"/>
          <w:sz w:val="24"/>
          <w:szCs w:val="24"/>
          <w:highlight w:val="none"/>
        </w:rPr>
        <w:t>第11条 缺陷责任与保修</w:t>
      </w:r>
      <w:bookmarkEnd w:id="809"/>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11.2 缺陷责任期</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缺陷责任期的期限：</w:t>
      </w:r>
      <w:r>
        <w:rPr>
          <w:rFonts w:eastAsia="仿宋_GB2312"/>
          <w:color w:val="auto"/>
          <w:sz w:val="24"/>
          <w:highlight w:val="none"/>
          <w:u w:val="single"/>
        </w:rPr>
        <w:t>自竣工验收合格之日起满两年</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11.3 缺陷调查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11.3.4 修复通知</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承包人收到保修通知并到达工程现场的合理时间：</w:t>
      </w:r>
      <w:r>
        <w:rPr>
          <w:rFonts w:hint="eastAsia" w:eastAsia="仿宋_GB2312"/>
          <w:color w:val="auto"/>
          <w:sz w:val="24"/>
          <w:highlight w:val="none"/>
          <w:u w:val="single"/>
        </w:rPr>
        <w:t>2个小时内</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11.6 缺陷责任期终止证书</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于缺陷责任期届满后天内向发包人发出缺陷责任期届满通知，发包人应在收到缺陷责任期满通知后天内核实承包人是否履行缺陷修复义务，承包人未能履行缺陷修复义务的，发包人有权扣除相应金额的维修费用。发包人应在收到缺陷责任期届满通知后天内，向承包人颁发缺陷责任期终止证书。</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11.7 保修责任</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工程质量保修范围、期限和责任为：</w:t>
      </w:r>
      <w:r>
        <w:rPr>
          <w:rFonts w:eastAsia="仿宋_GB2312"/>
          <w:color w:val="auto"/>
          <w:sz w:val="24"/>
          <w:highlight w:val="none"/>
          <w:u w:val="single"/>
        </w:rPr>
        <w:t>按《工程质量保修书执行》规定</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0" w:name="_Toc54862343"/>
      <w:r>
        <w:rPr>
          <w:rFonts w:ascii="Times New Roman" w:hAnsi="Times New Roman" w:eastAsia="黑体" w:cs="Times New Roman"/>
          <w:b w:val="0"/>
          <w:color w:val="auto"/>
          <w:sz w:val="24"/>
          <w:szCs w:val="24"/>
          <w:highlight w:val="none"/>
        </w:rPr>
        <w:t>第12条 竣工后试验</w:t>
      </w:r>
      <w:bookmarkEnd w:id="810"/>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本合同工程是否包含竣工后试验：</w:t>
      </w:r>
      <w:r>
        <w:rPr>
          <w:rFonts w:hint="eastAsia" w:eastAsia="仿宋_GB2312"/>
          <w:color w:val="auto"/>
          <w:sz w:val="24"/>
          <w:highlight w:val="none"/>
          <w:u w:val="single"/>
        </w:rPr>
        <w:t>是</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12.1 竣工后试验的程序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eastAsia="仿宋_GB2312"/>
          <w:color w:val="auto"/>
          <w:sz w:val="24"/>
          <w:highlight w:val="none"/>
          <w:u w:val="single"/>
        </w:rPr>
        <w:t>承包方</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1" w:name="_Toc54862344"/>
      <w:r>
        <w:rPr>
          <w:rFonts w:ascii="Times New Roman" w:hAnsi="Times New Roman" w:eastAsia="黑体" w:cs="Times New Roman"/>
          <w:b w:val="0"/>
          <w:color w:val="auto"/>
          <w:sz w:val="24"/>
          <w:szCs w:val="24"/>
          <w:highlight w:val="none"/>
        </w:rPr>
        <w:t>第13条 变更与调整</w:t>
      </w:r>
      <w:bookmarkEnd w:id="811"/>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13.2 承包人的合理化建议</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13.2.2 工程师应在收到承包人提交的合理化建议后日内审查完毕并报送发包人，发现其中存在技术上的缺陷，应通知承包人修改。发包人应在收到工程师报送的合理化建议后日内审批完毕。合理化建议经发包人批准的，工程师应及时发出变更指示，由此引起的合同价格调整按照执行。发包人不同意变更的，工程师应书面通知承包人</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13.2.3 承包人提出的合理化变更建议的利益分享约定：。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13.3 变更程序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13.3.3 变更估价</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13.3.3.1 变更估价原则</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关于变更估价原则的约定：。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13.4 暂估价</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13.4.1 依法必须招标的暂估价项目</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承包人可以参与投标的暂估价项目范围：。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承包人不得参与投标的暂估价项目范围：。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招投标程序及其他约定：。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13.4.2 不属于依法必须招标的暂估价项目</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不属于依法必须招标的暂估价项目的协商及估价的约定：。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13.5 暂列金额</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其他关于暂列金额使用的约定：。</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13.8 市场价格波动引起的调整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13.8.2 关于是否采用《价格指数权重表》的约定：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13.8.3 关于采用其他方式调整合同价款的约定：</w:t>
      </w:r>
      <w:r>
        <w:rPr>
          <w:rFonts w:eastAsia="仿宋_GB2312"/>
          <w:color w:val="auto"/>
          <w:sz w:val="24"/>
          <w:highlight w:val="none"/>
          <w:u w:val="single"/>
        </w:rPr>
        <w:t>合同履行过程中，任何原因导致工程价款增加的（含签证），增加额度未超合同总价5%的（含5%）工程价款均由乙方承担，增加额度超出合同总价5%且在10%（不含10%）以内的部分工程价款，经甲方书面确认审批同意后由甲方承担，未经甲方审批同意实施的由乙方承担。工程价款超过合同总价10%以上的部分不予审批实施</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2" w:name="_Toc54862345"/>
      <w:r>
        <w:rPr>
          <w:rFonts w:ascii="Times New Roman" w:hAnsi="Times New Roman" w:eastAsia="黑体" w:cs="Times New Roman"/>
          <w:b w:val="0"/>
          <w:color w:val="auto"/>
          <w:sz w:val="24"/>
          <w:szCs w:val="24"/>
          <w:highlight w:val="none"/>
        </w:rPr>
        <w:t>第14条 合同价格与支付</w:t>
      </w:r>
      <w:bookmarkEnd w:id="812"/>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14.1 合同价格形式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14.1.1 关于合同价格形式的约定：</w:t>
      </w:r>
      <w:r>
        <w:rPr>
          <w:rFonts w:eastAsia="仿宋_GB2312"/>
          <w:color w:val="auto"/>
          <w:sz w:val="24"/>
          <w:highlight w:val="none"/>
          <w:u w:val="single"/>
        </w:rPr>
        <w:t>本工程采用固定总价合同，中标价为合同价</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1、总价合同。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总价包含的风险范围：各种因素引起的材料价格、人工工资、施工机械使用费、管理费、利润等变化及其他风险因素，在约定的范围内总价合同不作调整。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风险费用的计算方法：</w:t>
      </w:r>
      <w:r>
        <w:rPr>
          <w:rFonts w:hint="eastAsia" w:eastAsia="仿宋_GB2312"/>
          <w:color w:val="auto"/>
          <w:sz w:val="24"/>
          <w:highlight w:val="non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风险范围以外合同价格的调整方法：</w:t>
      </w:r>
      <w:r>
        <w:rPr>
          <w:rFonts w:hint="eastAsia" w:eastAsia="仿宋_GB2312"/>
          <w:color w:val="auto"/>
          <w:sz w:val="24"/>
          <w:highlight w:val="none"/>
        </w:rPr>
        <w:t>/</w:t>
      </w:r>
      <w:r>
        <w:rPr>
          <w:rFonts w:eastAsia="仿宋_GB2312"/>
          <w:color w:val="auto"/>
          <w:sz w:val="24"/>
          <w:highlight w:val="none"/>
        </w:rPr>
        <w:t xml:space="preserve">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3、甲乙双方同意的以下结算原则：</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（1）本工程采用固定总价合同，中标价为合同价。</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本招标工程的最后结算根据发包人提供工程的施工图、施工图说明、相关资料及说明，按《建设工程工程量清单计价规范》（GB50500-2013）、《房屋建筑与装饰工程工程量计算规范》（GB50854-2013）标准及2018年《广东省建筑工程计价办法及综合定额》的规定进行工程结算。</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合同履行过程中，任何原因导致工程价款增加的（含签证），增加额度未超合同总价5%的（含5%）工程价款均由乙方承担，增加额度超出合同总价5%且在10%（不含10%）以内的部分工程价款，经甲方书面确认审批同意后由甲方承担，未经甲方审批同意实施的由乙方承担。工程价款超过合同总价10%以上的部分不予审批实施。</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结算时，以现场工程量为依据，除发包人引起的工程变更及经发包人书面同意的设计变更、暂定量、暂定材料价、规费外，其余不作调整。在施工过程中由于设计变更的非承包人原因导致的工程量增罚而引起的工程价款调整的项目，必须得到发包人和现场监理工程师的书面同意和签证，并执行湛建管[2004]137号文的规定才能进行相应调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市区、城镇、城郊的工程如不满足绿色施工标准，不执行施工场尘污染防治，用工实名管理的工程，按系数计算的绿色施工安全防护措施费，结算时对实际不执行施工扬尘污染防治项问题的，应分别按相应专业工程绿色施工安全防护措施费基本费率的11.67%计算扣减工程款，实际不执行用工实名管理项问题的按基本费率4%扣减工程款，该两项费用实际实施情况以建设单位、监理单位、施工单位三方签证及附上照片为据。</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（6）由于发包人引起的工程变更，设计变更的结算按照如下规定执行：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若合同价中有相应或类似的单价，则按中标价的相应单价计算；</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若合同价中没有相应或类似的单价，则按现行有关定额计算或法定信息价并乘以中标价与招标控制价的比值；</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若现行定额没有，则由发包人、承包人和监理公司进行市场调查，按市场价乘以中标价与招标控制价的比值，并报有关部门审核后确定。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14.1.2 关于合同价格调整的约定：。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14.1.3 按实际完成的工程量支付工程价款的计量方法、估价方法：。</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14.2 预付款</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14.2.1 预付款支付</w:t>
      </w:r>
    </w:p>
    <w:p>
      <w:pPr>
        <w:widowControl/>
        <w:adjustRightInd w:val="0"/>
        <w:snapToGrid w:val="0"/>
        <w:spacing w:line="440" w:lineRule="exact"/>
        <w:ind w:left="598" w:leftChars="285"/>
        <w:rPr>
          <w:rFonts w:eastAsia="仿宋_GB2312"/>
          <w:color w:val="auto"/>
          <w:sz w:val="24"/>
          <w:highlight w:val="none"/>
        </w:rPr>
      </w:pPr>
      <w:r>
        <w:rPr>
          <w:rFonts w:eastAsia="仿宋_GB2312"/>
          <w:color w:val="auto"/>
          <w:sz w:val="24"/>
          <w:highlight w:val="none"/>
        </w:rPr>
        <w:t>预付款的金额或比例为</w:t>
      </w:r>
      <w:r>
        <w:rPr>
          <w:rFonts w:hint="eastAsia" w:ascii="宋体" w:hAnsi="宋体" w:cs="宋体"/>
          <w:color w:val="auto"/>
          <w:sz w:val="24"/>
          <w:highlight w:val="none"/>
        </w:rPr>
        <w:t xml:space="preserve"> </w:t>
      </w:r>
      <w:r>
        <w:rPr>
          <w:rFonts w:hint="eastAsia" w:eastAsia="仿宋_GB2312"/>
          <w:color w:val="auto"/>
          <w:highlight w:val="none"/>
        </w:rPr>
        <w:t>本工程合同签订付合同总金额的30%给承包人作备料款</w:t>
      </w:r>
      <w:r>
        <w:rPr>
          <w:rFonts w:hint="eastAsia" w:ascii="宋体" w:hAnsi="宋体" w:cs="宋体"/>
          <w:color w:val="auto"/>
          <w:highlight w:val="none"/>
        </w:rPr>
        <w:t>。</w:t>
      </w:r>
      <w:r>
        <w:rPr>
          <w:rFonts w:eastAsia="仿宋_GB2312"/>
          <w:color w:val="auto"/>
          <w:sz w:val="24"/>
          <w:highlight w:val="none"/>
        </w:rPr>
        <w:t>预付款支付期限：</w:t>
      </w:r>
      <w:r>
        <w:rPr>
          <w:rFonts w:hint="eastAsia" w:eastAsia="仿宋_GB2312"/>
          <w:color w:val="auto"/>
          <w:highlight w:val="none"/>
        </w:rPr>
        <w:t>施工队进场后45天内</w:t>
      </w:r>
      <w:r>
        <w:rPr>
          <w:rFonts w:eastAsia="仿宋_GB2312"/>
          <w:color w:val="auto"/>
          <w:sz w:val="24"/>
          <w:highlight w:val="none"/>
        </w:rPr>
        <w:t>。</w:t>
      </w:r>
    </w:p>
    <w:p>
      <w:pPr>
        <w:spacing w:line="440" w:lineRule="exact"/>
        <w:ind w:firstLine="600" w:firstLineChars="250"/>
        <w:rPr>
          <w:rFonts w:eastAsia="仿宋_GB2312"/>
          <w:color w:val="auto"/>
          <w:sz w:val="24"/>
          <w:highlight w:val="none"/>
        </w:rPr>
      </w:pPr>
      <w:r>
        <w:rPr>
          <w:rFonts w:eastAsia="仿宋_GB2312"/>
          <w:color w:val="auto"/>
          <w:sz w:val="24"/>
          <w:highlight w:val="none"/>
        </w:rPr>
        <w:t>预付款扣回的方式：。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14.2.2预付款担保</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提供预付款担保期限：。</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预付款担保形式：。</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14.3 工程进度款</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14.3.1 工程进度付款申请</w:t>
      </w:r>
    </w:p>
    <w:p>
      <w:pPr>
        <w:spacing w:line="440" w:lineRule="exact"/>
        <w:ind w:firstLine="360" w:firstLineChars="150"/>
        <w:rPr>
          <w:rFonts w:eastAsia="仿宋_GB2312"/>
          <w:strike/>
          <w:color w:val="auto"/>
          <w:highlight w:val="none"/>
        </w:rPr>
      </w:pPr>
      <w:r>
        <w:rPr>
          <w:rFonts w:eastAsia="仿宋_GB2312"/>
          <w:color w:val="auto"/>
          <w:sz w:val="24"/>
          <w:highlight w:val="none"/>
        </w:rPr>
        <w:t>工程进度付款申请方式：</w:t>
      </w:r>
      <w:r>
        <w:rPr>
          <w:rFonts w:eastAsia="仿宋_GB2312"/>
          <w:color w:val="auto"/>
          <w:sz w:val="24"/>
          <w:highlight w:val="none"/>
        </w:rPr>
        <w:t>工程进度</w:t>
      </w:r>
      <w:r>
        <w:rPr>
          <w:rFonts w:ascii="宋体" w:hAnsi="宋体" w:cs="宋体"/>
          <w:color w:val="auto"/>
          <w:sz w:val="24"/>
          <w:highlight w:val="none"/>
        </w:rPr>
        <w:t>款经监理工程师确认后的七天内</w:t>
      </w:r>
      <w:r>
        <w:rPr>
          <w:rFonts w:hint="eastAsia" w:ascii="宋体" w:hAnsi="宋体" w:cs="宋体"/>
          <w:color w:val="auto"/>
          <w:sz w:val="24"/>
          <w:highlight w:val="none"/>
        </w:rPr>
        <w:t>，</w:t>
      </w:r>
      <w:r>
        <w:rPr>
          <w:rFonts w:ascii="宋体" w:hAnsi="宋体" w:cs="宋体"/>
          <w:color w:val="auto"/>
          <w:sz w:val="24"/>
          <w:highlight w:val="none"/>
        </w:rPr>
        <w:t>承包人向发包人提交付款申请函和已完成土建和设备进度清单明细表</w:t>
      </w:r>
      <w:r>
        <w:rPr>
          <w:rFonts w:hint="eastAsia" w:ascii="宋体" w:hAnsi="宋体" w:cs="宋体"/>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承包人提交进度付款申请单的格式、内容、份数和时间：。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进度付款申请单应包括的内容：</w:t>
      </w:r>
      <w:r>
        <w:rPr>
          <w:rFonts w:eastAsia="仿宋_GB2312"/>
          <w:color w:val="auto"/>
          <w:sz w:val="24"/>
          <w:highlight w:val="none"/>
        </w:rPr>
        <w:t>经监理工程师确认的付款申请</w:t>
      </w:r>
      <w:r>
        <w:rPr>
          <w:rFonts w:ascii="宋体" w:hAnsi="宋体" w:cs="宋体"/>
          <w:color w:val="auto"/>
          <w:sz w:val="24"/>
          <w:highlight w:val="none"/>
        </w:rPr>
        <w:t>函和已完成土建和设备进度清单明细表</w:t>
      </w:r>
      <w:r>
        <w:rPr>
          <w:rFonts w:hint="eastAsia" w:ascii="宋体" w:hAnsi="宋体" w:cs="宋体"/>
          <w:color w:val="auto"/>
          <w:sz w:val="24"/>
          <w:highlight w:val="none"/>
        </w:rPr>
        <w:t>，</w:t>
      </w:r>
      <w:r>
        <w:rPr>
          <w:rFonts w:ascii="宋体" w:hAnsi="宋体" w:cs="宋体"/>
          <w:color w:val="auto"/>
          <w:sz w:val="24"/>
          <w:highlight w:val="none"/>
        </w:rPr>
        <w:t>相应金额的发票，设备和土建工程需分别开具发票</w:t>
      </w:r>
      <w:r>
        <w:rPr>
          <w:rFonts w:hint="eastAsia" w:ascii="宋体" w:hAnsi="宋体" w:cs="宋体"/>
          <w:color w:val="auto"/>
          <w:sz w:val="24"/>
          <w:highlight w:val="none"/>
        </w:rPr>
        <w:t>。</w:t>
      </w:r>
      <w:r>
        <w:rPr>
          <w:rFonts w:eastAsia="仿宋_GB2312"/>
          <w:color w:val="auto"/>
          <w:sz w:val="24"/>
          <w:highlight w:val="none"/>
        </w:rPr>
        <w:t xml:space="preserve"> </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14.3.2 进度付款审核和支付</w:t>
      </w:r>
    </w:p>
    <w:p>
      <w:pPr>
        <w:spacing w:line="440" w:lineRule="exact"/>
        <w:ind w:firstLine="360" w:firstLineChars="150"/>
        <w:rPr>
          <w:rFonts w:eastAsia="仿宋_GB2312"/>
          <w:strike/>
          <w:color w:val="auto"/>
          <w:highlight w:val="none"/>
        </w:rPr>
      </w:pPr>
      <w:r>
        <w:rPr>
          <w:rFonts w:eastAsia="仿宋_GB2312"/>
          <w:color w:val="auto"/>
          <w:sz w:val="24"/>
          <w:highlight w:val="none"/>
        </w:rPr>
        <w:t>进度付款的审核方式和支付的约定：</w:t>
      </w:r>
      <w:r>
        <w:rPr>
          <w:rFonts w:hint="eastAsia" w:eastAsia="仿宋_GB2312"/>
          <w:color w:val="auto"/>
          <w:highlight w:val="none"/>
        </w:rPr>
        <w:t>发包人分别按设备和土建工程施工形象进度款支付至合同总金额的80%时停止，待竣工验收测试合格连续生产一个月后</w:t>
      </w:r>
      <w:r>
        <w:rPr>
          <w:rFonts w:hint="eastAsia" w:ascii="宋体" w:hAnsi="宋体" w:cs="宋体"/>
          <w:color w:val="auto"/>
          <w:highlight w:val="none"/>
        </w:rPr>
        <w:t>，</w:t>
      </w:r>
      <w:r>
        <w:rPr>
          <w:rFonts w:hint="eastAsia" w:eastAsia="仿宋_GB2312"/>
          <w:color w:val="auto"/>
          <w:highlight w:val="none"/>
        </w:rPr>
        <w:t>第三方审核机构的结算审核报告签字确认后60天内支付至工程竣工结算价。承包人需</w:t>
      </w:r>
      <w:r>
        <w:rPr>
          <w:rFonts w:eastAsia="仿宋_GB2312"/>
          <w:color w:val="auto"/>
          <w:sz w:val="24"/>
          <w:highlight w:val="none"/>
          <w:u w:val="single"/>
        </w:rPr>
        <w:t>以合同总金额</w:t>
      </w:r>
      <w:r>
        <w:rPr>
          <w:rFonts w:hint="eastAsia" w:eastAsia="仿宋_GB2312"/>
          <w:color w:val="auto"/>
          <w:sz w:val="24"/>
          <w:highlight w:val="none"/>
          <w:u w:val="single"/>
        </w:rPr>
        <w:t>68 %按13%税率及32%按9%税率的同比例</w:t>
      </w:r>
      <w:r>
        <w:rPr>
          <w:rFonts w:eastAsia="仿宋_GB2312"/>
          <w:color w:val="auto"/>
          <w:sz w:val="24"/>
          <w:highlight w:val="none"/>
          <w:u w:val="single"/>
        </w:rPr>
        <w:t>开具增值税专用发票</w:t>
      </w:r>
      <w:r>
        <w:rPr>
          <w:rFonts w:hint="eastAsia" w:eastAsia="仿宋_GB2312"/>
          <w:color w:val="auto"/>
          <w:highlight w:val="none"/>
        </w:rPr>
        <w:t>。</w:t>
      </w:r>
    </w:p>
    <w:p>
      <w:pPr>
        <w:widowControl/>
        <w:adjustRightInd w:val="0"/>
        <w:snapToGrid w:val="0"/>
        <w:spacing w:line="440" w:lineRule="exact"/>
        <w:ind w:firstLine="600"/>
        <w:rPr>
          <w:rFonts w:eastAsia="仿宋_GB2312"/>
          <w:color w:val="auto"/>
          <w:sz w:val="24"/>
          <w:highlight w:val="none"/>
        </w:rPr>
      </w:pP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发包人应在进度款支付证书或临时进度款支付证书签发后的天内完成支付，发包人逾期支付进度款的，应按照支付违约金。</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承包人应在发包人支付任何一笔工程款前    日内先行开具付款金额额度的增值税专用发票（税率为    %）给发包人。否则，发包人有权拒绝付款。</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14.4 付款计划表</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14.4.1 付款计划表的编制要求：。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14.4.2 付款计划表的编制与审批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付款计划表的编制：。</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14.5 竣工结算</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14.5.1 竣工结算申请</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承包人提交竣工结算申请的时间：</w:t>
      </w:r>
      <w:r>
        <w:rPr>
          <w:rFonts w:eastAsia="仿宋_GB2312"/>
          <w:color w:val="auto"/>
          <w:sz w:val="24"/>
          <w:highlight w:val="none"/>
          <w:u w:val="single"/>
        </w:rPr>
        <w:t>在工程项目竣工验收符合合同要求后60个日历天内</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竣工结算申请的资料清单和份数：</w:t>
      </w:r>
      <w:r>
        <w:rPr>
          <w:rFonts w:eastAsia="仿宋_GB2312"/>
          <w:color w:val="auto"/>
          <w:sz w:val="24"/>
          <w:highlight w:val="none"/>
          <w:u w:val="single"/>
        </w:rPr>
        <w:t>按发包人和第三方审核机构审核结算的要求提供</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竣工结算申请单的内容应包括：</w:t>
      </w:r>
      <w:r>
        <w:rPr>
          <w:rFonts w:eastAsia="仿宋_GB2312"/>
          <w:color w:val="auto"/>
          <w:sz w:val="24"/>
          <w:highlight w:val="none"/>
          <w:u w:val="single"/>
        </w:rPr>
        <w:t>按发包人和第三方审核机构审核结算的要求提供</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14.5.2 竣工结算审核</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发包人审批竣工付款申请单的期限：</w:t>
      </w:r>
      <w:r>
        <w:rPr>
          <w:rFonts w:eastAsia="仿宋_GB2312"/>
          <w:color w:val="auto"/>
          <w:sz w:val="24"/>
          <w:highlight w:val="none"/>
          <w:u w:val="single"/>
        </w:rPr>
        <w:t xml:space="preserve"> 发包人在30个日历天内初步审核后向第三方审核机构报送项目竣工结算。超过期限报送的结算资料不构成结算依据（因发包人、第三方审核机构等单位要求限期补充资料的情况除外）；竣工结算报告和完整的竣工结算资料（一式三份）一并报发包人后，发包人方接受承包人的工程竣工结算价款支付申请</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发包人完成竣工付款的期限：</w:t>
      </w:r>
      <w:r>
        <w:rPr>
          <w:rFonts w:eastAsia="仿宋_GB2312"/>
          <w:color w:val="auto"/>
          <w:sz w:val="24"/>
          <w:highlight w:val="none"/>
          <w:u w:val="single"/>
        </w:rPr>
        <w:t>承包人的工程竣工结算价款支付申请经发包人批准后30个日历天内</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关于竣工付款证书异议部分复核的方式和程序：</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14.6 质量保证金</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14.6.1 承包人提供质量保证金的方式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质量保证金采用以下第</w:t>
      </w:r>
      <w:r>
        <w:rPr>
          <w:rFonts w:hint="eastAsia" w:eastAsia="仿宋_GB2312"/>
          <w:color w:val="auto"/>
          <w:sz w:val="24"/>
          <w:highlight w:val="none"/>
          <w:u w:val="single"/>
        </w:rPr>
        <w:t>3</w:t>
      </w:r>
      <w:r>
        <w:rPr>
          <w:rFonts w:eastAsia="仿宋_GB2312"/>
          <w:color w:val="auto"/>
          <w:sz w:val="24"/>
          <w:highlight w:val="none"/>
        </w:rPr>
        <w:t>种方式：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工程质量保证担保，保证金额为：；</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%的工程款；</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其他方式：</w:t>
      </w:r>
      <w:r>
        <w:rPr>
          <w:rFonts w:eastAsia="仿宋_GB2312"/>
          <w:color w:val="auto"/>
          <w:sz w:val="24"/>
          <w:highlight w:val="none"/>
          <w:u w:val="single"/>
        </w:rPr>
        <w:t xml:space="preserve"> 履约保证金自动转为质量保证金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14.6.2 质量保证金的预留</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质量保证金的预留采取以下第</w:t>
      </w:r>
      <w:r>
        <w:rPr>
          <w:rFonts w:hint="eastAsia" w:eastAsia="仿宋_GB2312"/>
          <w:color w:val="auto"/>
          <w:sz w:val="24"/>
          <w:highlight w:val="none"/>
          <w:u w:val="single"/>
        </w:rPr>
        <w:t>3</w:t>
      </w:r>
      <w:r>
        <w:rPr>
          <w:rFonts w:eastAsia="仿宋_GB2312"/>
          <w:color w:val="auto"/>
          <w:sz w:val="24"/>
          <w:highlight w:val="none"/>
        </w:rPr>
        <w:t>种方式：</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在支付工程进度款时逐次预留的质量保证金的比例：，在此情形下，质量保证金的计算基数不包括预付款的支付、扣回以及价格调整的金额；</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工程竣工结算时一次性预留专用合同条件第14.6.1项第(2)目约定的工程款预留比例的质量保证金；</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 xml:space="preserve">(3) 其他预留方式: </w:t>
      </w:r>
      <w:r>
        <w:rPr>
          <w:rFonts w:eastAsia="仿宋_GB2312"/>
          <w:color w:val="auto"/>
          <w:sz w:val="24"/>
          <w:highlight w:val="none"/>
          <w:u w:val="single"/>
        </w:rPr>
        <w:t>履约保证金自动转为质量保证金</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关于质量保证金的补充约定：</w:t>
      </w:r>
      <w:r>
        <w:rPr>
          <w:rFonts w:eastAsia="仿宋_GB2312"/>
          <w:color w:val="auto"/>
          <w:sz w:val="24"/>
          <w:highlight w:val="none"/>
          <w:u w:val="single"/>
        </w:rPr>
        <w:t xml:space="preserve"> 发包人在竣工验收合格之日起，质保期满后14个工作日内不计利息退还</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14.7 最终结清</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14.7.1 最终结清申请单</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当事人双方关于最终结清申请的其他约定：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14.7.2 最终结清证书和支付</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当事人双方关于最终结清支付的其他约定：</w:t>
      </w:r>
      <w:r>
        <w:rPr>
          <w:rFonts w:hint="eastAsia" w:eastAsia="仿宋_GB2312"/>
          <w:color w:val="auto"/>
          <w:sz w:val="24"/>
          <w:highlight w:val="none"/>
          <w:u w:val="single"/>
        </w:rPr>
        <w:t>/</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3" w:name="_Toc54862346"/>
      <w:r>
        <w:rPr>
          <w:rFonts w:ascii="Times New Roman" w:hAnsi="Times New Roman" w:eastAsia="黑体" w:cs="Times New Roman"/>
          <w:b w:val="0"/>
          <w:color w:val="auto"/>
          <w:sz w:val="24"/>
          <w:szCs w:val="24"/>
          <w:highlight w:val="none"/>
        </w:rPr>
        <w:t>第15条 违约</w:t>
      </w:r>
      <w:bookmarkEnd w:id="813"/>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15.1 发包人违约</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15.1.1 发包人违约的情形</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发包人违约的其他情形</w:t>
      </w:r>
      <w:r>
        <w:rPr>
          <w:rFonts w:hint="eastAsia" w:eastAsia="仿宋_GB2312"/>
          <w:color w:val="auto"/>
          <w:sz w:val="24"/>
          <w:highlight w:val="none"/>
        </w:rPr>
        <w:t>：</w:t>
      </w:r>
      <w:r>
        <w:rPr>
          <w:rFonts w:eastAsia="仿宋_GB2312"/>
          <w:color w:val="auto"/>
          <w:sz w:val="24"/>
          <w:highlight w:val="none"/>
          <w:u w:val="single"/>
        </w:rPr>
        <w:t>按通用合同条款执行</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15.1.3 发包人违约的责任</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rPr>
        <w:t>发包人违约责任的承担方式和计算方法：</w:t>
      </w:r>
      <w:r>
        <w:rPr>
          <w:rFonts w:eastAsia="仿宋_GB2312"/>
          <w:color w:val="auto"/>
          <w:sz w:val="24"/>
          <w:highlight w:val="none"/>
          <w:u w:val="single"/>
        </w:rPr>
        <w:t>（1）因发包人原因未能在计划开工日期前7天内下达开工通知的违约责任：工期相应顺延，由此增加的费用及利润不予补偿。</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2）因发包人原因未能按合同约定支付合同价款的违约责任：承包人可向发包人发出通知，要求发包人采取有效措施纠正违约行为。发包人收到承包人通知后15天内仍不纠正违约行为的，承包人有权暂停相应部位工程施工。</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（3）发包人违反第10.1款〔变更的范围〕第（2）项约定，自行实施被取消的工作或转由他人实施的违约责任：无。</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（4）发包人提供的材料、工程设备的规格、数量或质量不符合合同约定，或因发包人原因导致交货日期延误或交货地点变更等情况的违约责任：工期相应顺延，由此增加的费用及利润不予补偿。</w:t>
      </w:r>
    </w:p>
    <w:p>
      <w:pPr>
        <w:widowControl/>
        <w:adjustRightInd w:val="0"/>
        <w:snapToGrid w:val="0"/>
        <w:spacing w:line="440" w:lineRule="exact"/>
        <w:ind w:firstLine="600"/>
        <w:rPr>
          <w:rFonts w:eastAsia="仿宋_GB2312"/>
          <w:color w:val="auto"/>
          <w:sz w:val="24"/>
          <w:highlight w:val="none"/>
          <w:u w:val="single"/>
        </w:rPr>
      </w:pPr>
      <w:r>
        <w:rPr>
          <w:rFonts w:eastAsia="仿宋_GB2312"/>
          <w:color w:val="auto"/>
          <w:sz w:val="24"/>
          <w:highlight w:val="none"/>
          <w:u w:val="single"/>
        </w:rPr>
        <w:t>（5）因发包人违反合同约定造成暂停施工的违约责任：承包人有权要求发包人增加由此发生的费用及顺延工期。</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u w:val="single"/>
        </w:rPr>
        <w:t>（6）发包人无正当理由没有在约定期限内发出复工指示，导致承包人无法复工的违约责任：承包人有权要求发包人增加由此发生的费用及顺延工期。</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15.2 承包人违约</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15.2.1 承包人违约的情形</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承包人违约的其他情形：</w:t>
      </w:r>
      <w:r>
        <w:rPr>
          <w:rFonts w:eastAsia="仿宋_GB2312"/>
          <w:color w:val="auto"/>
          <w:sz w:val="24"/>
          <w:highlight w:val="none"/>
          <w:u w:val="single"/>
        </w:rPr>
        <w:t>按通用合同条款执行</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15.2.2 通知改正</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工程师通知承包人改正的合理期限是：</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15.2.3 承包人违约的责任</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承包人违约责任的承担方式和计算方法：</w:t>
      </w:r>
      <w:r>
        <w:rPr>
          <w:rFonts w:eastAsia="仿宋_GB2312"/>
          <w:color w:val="auto"/>
          <w:sz w:val="24"/>
          <w:highlight w:val="none"/>
          <w:u w:val="single"/>
        </w:rPr>
        <w:t>工期违约：每延迟一天，支付3000（元/天）违约金，发包人有权直接从履约保证金中予以扣除，不足部分由承包人另行补足，延误工期达25天以上的，发包人有权解除合同，非因恶劣天气导致无法施工而持续停工7日或累计停工20日以上的，发包人有权解除合同。因本条原因发包人解除合同的，发包人有权没收履约保证金，且发包人有权选聘第三方完成承包人沿未完成的工程或其他工作，费用全部由承包人承担，发包人有权直接从承包人的工程款中划拨给第三方，工程款不足部分由承包人补足，与此同时，承包人还应该向发包人支付合同总价5%的违约金，不足以弥补损失的，承包人另行赔偿。质量违约：由承包人原因造成的质量缺陷，承包人应负责维修，并承担鉴定及维修费用。承包人在发包人发出通知（发出特快专递）后3日内仍不维修的或维修不符合要求的，发包人有权另行聘请第三方维修，相关维修费用由承包人承担；按照合同总额3%支付违约金，发包人有权直接从质量保证金中予以扣除，不足部分由承包人另行补足；赔偿发包人经第三方鉴定的损失费</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4" w:name="_Toc54862347"/>
      <w:r>
        <w:rPr>
          <w:rFonts w:ascii="Times New Roman" w:hAnsi="Times New Roman" w:eastAsia="黑体" w:cs="Times New Roman"/>
          <w:b w:val="0"/>
          <w:color w:val="auto"/>
          <w:sz w:val="24"/>
          <w:szCs w:val="24"/>
          <w:highlight w:val="none"/>
        </w:rPr>
        <w:t>第16条 合同解除</w:t>
      </w:r>
      <w:bookmarkEnd w:id="814"/>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16.1 由发包人解除合同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16.1.1 因承包人违约解除合同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双方约定可由发包人解除合同的其他事由：</w:t>
      </w:r>
      <w:r>
        <w:rPr>
          <w:rFonts w:eastAsia="仿宋_GB2312"/>
          <w:color w:val="auto"/>
          <w:sz w:val="24"/>
          <w:highlight w:val="none"/>
          <w:u w:val="single"/>
        </w:rPr>
        <w:t xml:space="preserve"> 承包人按〔发包人违约的情形〕约定暂停施工满30天后发包人仍不纠正其违约行为并致使合同目的不能实现的，承包人有权解除合同 </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16.2 由承包人解除合同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16.2.1 因发包人违约解除合同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双方约定可由承包人解除合同的其他事由：</w:t>
      </w:r>
      <w:r>
        <w:rPr>
          <w:rFonts w:eastAsia="仿宋_GB2312"/>
          <w:color w:val="auto"/>
          <w:sz w:val="24"/>
          <w:highlight w:val="none"/>
          <w:u w:val="single"/>
        </w:rPr>
        <w:t>发包人有权没收履约保证金且承包人还应向发包人支付合同总价20%的违约金，并向发包人赔偿全部损失</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5" w:name="_Toc54862348"/>
      <w:r>
        <w:rPr>
          <w:rFonts w:ascii="Times New Roman" w:hAnsi="Times New Roman" w:eastAsia="黑体" w:cs="Times New Roman"/>
          <w:b w:val="0"/>
          <w:color w:val="auto"/>
          <w:sz w:val="24"/>
          <w:szCs w:val="24"/>
          <w:highlight w:val="none"/>
        </w:rPr>
        <w:t>第17条 不可抗力</w:t>
      </w:r>
      <w:bookmarkEnd w:id="815"/>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17.1 不可抗力的定义</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除通用合同条件约定的不可抗力事件之外，视为不可抗力的其他情形：</w:t>
      </w:r>
      <w:r>
        <w:rPr>
          <w:rFonts w:eastAsia="仿宋_GB2312"/>
          <w:color w:val="auto"/>
          <w:sz w:val="24"/>
          <w:highlight w:val="none"/>
          <w:u w:val="single"/>
        </w:rPr>
        <w:t>地震、滑坡、火山爆发、火灾、洪涝灾害或潮汐、台风或旋风、飓风、风暴、闪电、或其它险恶的气候条件、核泄漏、原子弹及压力波，或其它自然灾难：①正面吹袭湛江市的十级以上台风或龙卷风；②项目所在地范围内六级以上地震；③项目所在地范围内日最大降水量超过200mm的特大暴雨；④空中飞行物坠落；⑤非发包人、承包人责任造成的爆炸、火灾。对以上几种形式，应以造成灾害和影响施工为准。其它未提及的不可抗力情形执行本工程施工合同的通用条款，并执行国家有关规定</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17.6 因不可抗力解除合同</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合同解除后，发包人应当在商定或确定发包人应支付款项后的</w:t>
      </w:r>
      <w:r>
        <w:rPr>
          <w:rFonts w:hint="eastAsia" w:eastAsia="仿宋_GB2312"/>
          <w:color w:val="auto"/>
          <w:sz w:val="24"/>
          <w:highlight w:val="none"/>
          <w:u w:val="single"/>
        </w:rPr>
        <w:t>30</w:t>
      </w:r>
      <w:r>
        <w:rPr>
          <w:rFonts w:eastAsia="仿宋_GB2312"/>
          <w:color w:val="auto"/>
          <w:sz w:val="24"/>
          <w:highlight w:val="none"/>
        </w:rPr>
        <w:t>天内完成款项的支付。</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6" w:name="_Toc4784277"/>
      <w:bookmarkEnd w:id="816"/>
      <w:bookmarkStart w:id="817" w:name="_Toc4784276"/>
      <w:bookmarkEnd w:id="817"/>
      <w:bookmarkStart w:id="818" w:name="_Toc54862349"/>
      <w:r>
        <w:rPr>
          <w:rFonts w:ascii="Times New Roman" w:hAnsi="Times New Roman" w:eastAsia="黑体" w:cs="Times New Roman"/>
          <w:b w:val="0"/>
          <w:color w:val="auto"/>
          <w:sz w:val="24"/>
          <w:szCs w:val="24"/>
          <w:highlight w:val="none"/>
        </w:rPr>
        <w:t>第18条 保险</w:t>
      </w:r>
      <w:bookmarkEnd w:id="818"/>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18.1 设计和工程保险</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18.1.1 双方当事人关于设计和工程保险的特别约定：</w:t>
      </w:r>
      <w:r>
        <w:rPr>
          <w:rFonts w:eastAsia="仿宋_GB2312"/>
          <w:color w:val="auto"/>
          <w:sz w:val="24"/>
          <w:highlight w:val="none"/>
          <w:u w:val="single"/>
        </w:rPr>
        <w:t xml:space="preserve"> 承包人应该投保建筑工程及安装工程相关保险，因投保产生的保险费和其他相关费用由承包人自行承担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18.1.2 双方当事人关于第三方责任险的特别约定：</w:t>
      </w:r>
      <w:r>
        <w:rPr>
          <w:rFonts w:eastAsia="仿宋_GB2312"/>
          <w:color w:val="auto"/>
          <w:sz w:val="24"/>
          <w:highlight w:val="none"/>
          <w:u w:val="single"/>
        </w:rPr>
        <w:t xml:space="preserve"> 承包人需为其施工现场的承包人所属全部人员购买意外伤害保险并支付保险费 </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18.2 工伤和意外伤害保险</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18.2.3 关于工伤保险和意外伤害保险的特别约定：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18.3 货物保险</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关于承包人应为其施工设备、材料、工程设备和临时工程等办理财产保险的特别约定：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18.4 其他保险</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关于其他保险的约定：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18.5 对各项保险的一般要求</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18.5.2 保险凭证</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保险单的条件：</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18.5.4 通知义务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关于变更保险合同时的通知义务的约定：</w:t>
      </w:r>
      <w:r>
        <w:rPr>
          <w:rFonts w:hint="eastAsia" w:eastAsia="仿宋_GB2312"/>
          <w:color w:val="auto"/>
          <w:sz w:val="24"/>
          <w:highlight w:val="none"/>
          <w:u w:val="single"/>
        </w:rPr>
        <w:t>/</w:t>
      </w:r>
      <w:r>
        <w:rPr>
          <w:rFonts w:eastAsia="仿宋_GB2312"/>
          <w:color w:val="auto"/>
          <w:sz w:val="24"/>
          <w:highlight w:val="none"/>
        </w:rPr>
        <w:t>。</w:t>
      </w:r>
    </w:p>
    <w:p>
      <w:pPr>
        <w:pStyle w:val="181"/>
        <w:widowControl/>
        <w:adjustRightInd w:val="0"/>
        <w:snapToGrid w:val="0"/>
        <w:spacing w:line="440" w:lineRule="exact"/>
        <w:rPr>
          <w:rFonts w:ascii="Times New Roman" w:hAnsi="Times New Roman" w:eastAsia="黑体" w:cs="Times New Roman"/>
          <w:b w:val="0"/>
          <w:color w:val="auto"/>
          <w:sz w:val="24"/>
          <w:szCs w:val="24"/>
          <w:highlight w:val="none"/>
        </w:rPr>
      </w:pPr>
      <w:bookmarkStart w:id="819" w:name="_Toc54862350"/>
      <w:r>
        <w:rPr>
          <w:rFonts w:ascii="Times New Roman" w:hAnsi="Times New Roman" w:eastAsia="黑体" w:cs="Times New Roman"/>
          <w:b w:val="0"/>
          <w:color w:val="auto"/>
          <w:sz w:val="24"/>
          <w:szCs w:val="24"/>
          <w:highlight w:val="none"/>
        </w:rPr>
        <w:t>第20条 争议解决</w:t>
      </w:r>
      <w:bookmarkEnd w:id="819"/>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20.3 争议评审</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合同当事人是否同意将工程争议提交争议评审小组决定：</w:t>
      </w:r>
      <w:r>
        <w:rPr>
          <w:rFonts w:eastAsia="仿宋_GB2312"/>
          <w:color w:val="auto"/>
          <w:sz w:val="24"/>
          <w:highlight w:val="none"/>
          <w:u w:val="single"/>
        </w:rPr>
        <w:t xml:space="preserve"> 同意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20.3.1 争议评审小组的确定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争议评审小组成员的人数：</w:t>
      </w:r>
      <w:r>
        <w:rPr>
          <w:rFonts w:hint="eastAsia" w:eastAsia="仿宋_GB2312"/>
          <w:color w:val="auto"/>
          <w:sz w:val="24"/>
          <w:highlight w:val="none"/>
          <w:u w:val="single"/>
        </w:rPr>
        <w:t>3</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争议评审小组成员的确定：</w:t>
      </w:r>
      <w:r>
        <w:rPr>
          <w:rFonts w:eastAsia="仿宋_GB2312"/>
          <w:color w:val="auto"/>
          <w:sz w:val="24"/>
          <w:highlight w:val="none"/>
          <w:u w:val="single"/>
        </w:rPr>
        <w:t xml:space="preserve">  选择三名争议评审员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选定争议避免/评审组的期限：</w:t>
      </w:r>
      <w:r>
        <w:rPr>
          <w:rFonts w:eastAsia="仿宋_GB2312"/>
          <w:color w:val="auto"/>
          <w:sz w:val="24"/>
          <w:highlight w:val="none"/>
          <w:u w:val="single"/>
        </w:rPr>
        <w:t xml:space="preserve"> 按通用合同条款执行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评审机构：</w:t>
      </w:r>
      <w:r>
        <w:rPr>
          <w:rFonts w:eastAsia="仿宋_GB2312"/>
          <w:color w:val="auto"/>
          <w:sz w:val="24"/>
          <w:highlight w:val="none"/>
          <w:u w:val="single"/>
        </w:rPr>
        <w:t xml:space="preserve"> 按通用合同条款执行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其他事项的约定：</w:t>
      </w:r>
      <w:r>
        <w:rPr>
          <w:rFonts w:eastAsia="仿宋_GB2312"/>
          <w:color w:val="auto"/>
          <w:sz w:val="24"/>
          <w:highlight w:val="none"/>
          <w:u w:val="single"/>
        </w:rPr>
        <w:t xml:space="preserve">  按通用合同条款执行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争议评审员报酬的承担人：</w:t>
      </w:r>
      <w:r>
        <w:rPr>
          <w:rFonts w:eastAsia="仿宋_GB2312"/>
          <w:color w:val="auto"/>
          <w:sz w:val="24"/>
          <w:highlight w:val="none"/>
          <w:u w:val="single"/>
        </w:rPr>
        <w:t xml:space="preserve"> 按通用合同条款执行  </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20.3.2 争议的避免</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发包人和承包人是否均出席争议避免的非正式讨论：</w:t>
      </w:r>
      <w:r>
        <w:rPr>
          <w:rFonts w:hint="eastAsia" w:eastAsia="仿宋_GB2312"/>
          <w:color w:val="auto"/>
          <w:sz w:val="24"/>
          <w:highlight w:val="none"/>
          <w:u w:val="single"/>
        </w:rPr>
        <w:t>是</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20.3.3 争议评审小组的决定</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关于争议评审小组的决定的特别约定：</w:t>
      </w:r>
      <w:r>
        <w:rPr>
          <w:rFonts w:hint="eastAsia" w:eastAsia="仿宋_GB2312"/>
          <w:color w:val="auto"/>
          <w:sz w:val="24"/>
          <w:highlight w:val="none"/>
          <w:u w:val="single"/>
        </w:rPr>
        <w:t>/</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20.4 仲裁或诉讼</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因合同及合同有关事项发生的争议，按下列第</w:t>
      </w:r>
      <w:r>
        <w:rPr>
          <w:rFonts w:hint="eastAsia" w:eastAsia="仿宋_GB2312"/>
          <w:color w:val="auto"/>
          <w:sz w:val="24"/>
          <w:highlight w:val="none"/>
          <w:u w:val="single"/>
        </w:rPr>
        <w:t>2</w:t>
      </w:r>
      <w:r>
        <w:rPr>
          <w:rFonts w:eastAsia="仿宋_GB2312"/>
          <w:color w:val="auto"/>
          <w:sz w:val="24"/>
          <w:highlight w:val="none"/>
        </w:rPr>
        <w:t>种方式解决：</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（1）向仲裁委员会申请仲裁；</w:t>
      </w:r>
    </w:p>
    <w:p>
      <w:pPr>
        <w:widowControl/>
        <w:adjustRightInd w:val="0"/>
        <w:snapToGrid w:val="0"/>
        <w:spacing w:line="440" w:lineRule="exact"/>
        <w:ind w:firstLine="600"/>
        <w:rPr>
          <w:rFonts w:eastAsia="仿宋_GB2312"/>
          <w:color w:val="auto"/>
          <w:sz w:val="30"/>
          <w:szCs w:val="30"/>
          <w:highlight w:val="none"/>
        </w:rPr>
      </w:pPr>
      <w:r>
        <w:rPr>
          <w:rFonts w:eastAsia="仿宋_GB2312"/>
          <w:color w:val="auto"/>
          <w:sz w:val="24"/>
          <w:highlight w:val="none"/>
        </w:rPr>
        <w:t>（2）向</w:t>
      </w:r>
      <w:r>
        <w:rPr>
          <w:rFonts w:eastAsia="仿宋_GB2312"/>
          <w:color w:val="auto"/>
          <w:sz w:val="24"/>
          <w:highlight w:val="none"/>
          <w:u w:val="single"/>
        </w:rPr>
        <w:t xml:space="preserve"> 工程所在地 </w:t>
      </w:r>
      <w:r>
        <w:rPr>
          <w:rFonts w:eastAsia="仿宋_GB2312"/>
          <w:color w:val="auto"/>
          <w:sz w:val="24"/>
          <w:highlight w:val="none"/>
        </w:rPr>
        <w:t>人民法院起诉。</w:t>
      </w:r>
    </w:p>
    <w:p>
      <w:pPr>
        <w:ind w:firstLine="600"/>
        <w:rPr>
          <w:rFonts w:eastAsia="仿宋_GB2312"/>
          <w:color w:val="auto"/>
          <w:sz w:val="30"/>
          <w:szCs w:val="30"/>
          <w:highlight w:val="none"/>
        </w:rPr>
        <w:sectPr>
          <w:headerReference r:id="rId14" w:type="default"/>
          <w:pgSz w:w="11906" w:h="16838"/>
          <w:pgMar w:top="1440" w:right="1800" w:bottom="1440" w:left="1800" w:header="720" w:footer="998" w:gutter="0"/>
          <w:cols w:space="720" w:num="1"/>
          <w:docGrid w:linePitch="326" w:charSpace="0"/>
        </w:sectPr>
      </w:pPr>
    </w:p>
    <w:p>
      <w:pPr>
        <w:pStyle w:val="173"/>
        <w:keepNext w:val="0"/>
        <w:keepLines w:val="0"/>
        <w:widowControl/>
        <w:adjustRightInd w:val="0"/>
        <w:snapToGrid w:val="0"/>
        <w:spacing w:before="0" w:after="50" w:line="360" w:lineRule="auto"/>
        <w:jc w:val="left"/>
        <w:rPr>
          <w:rFonts w:ascii="Times New Roman" w:hAnsi="Times New Roman" w:eastAsia="黑体"/>
          <w:color w:val="auto"/>
          <w:sz w:val="24"/>
          <w:szCs w:val="24"/>
          <w:highlight w:val="none"/>
        </w:rPr>
      </w:pPr>
      <w:bookmarkStart w:id="820" w:name="_Toc54862351"/>
      <w:r>
        <w:rPr>
          <w:rFonts w:ascii="Times New Roman" w:hAnsi="Times New Roman" w:eastAsia="黑体"/>
          <w:color w:val="auto"/>
          <w:sz w:val="24"/>
          <w:szCs w:val="24"/>
          <w:highlight w:val="none"/>
        </w:rPr>
        <w:t>专用合同条件附件</w:t>
      </w:r>
      <w:bookmarkEnd w:id="820"/>
    </w:p>
    <w:p>
      <w:pPr>
        <w:rPr>
          <w:color w:val="auto"/>
          <w:sz w:val="24"/>
          <w:highlight w:val="none"/>
        </w:rPr>
      </w:pPr>
    </w:p>
    <w:p>
      <w:pPr>
        <w:ind w:firstLine="600"/>
        <w:rPr>
          <w:rFonts w:eastAsia="仿宋_GB2312"/>
          <w:color w:val="auto"/>
          <w:sz w:val="24"/>
          <w:highlight w:val="none"/>
        </w:rPr>
      </w:pPr>
      <w:r>
        <w:rPr>
          <w:rFonts w:eastAsia="仿宋_GB2312"/>
          <w:color w:val="auto"/>
          <w:sz w:val="24"/>
          <w:highlight w:val="none"/>
        </w:rPr>
        <w:t>附件1：发包人要求</w:t>
      </w:r>
    </w:p>
    <w:p>
      <w:pPr>
        <w:ind w:firstLine="600"/>
        <w:rPr>
          <w:rFonts w:eastAsia="仿宋_GB2312"/>
          <w:color w:val="auto"/>
          <w:sz w:val="24"/>
          <w:highlight w:val="none"/>
        </w:rPr>
      </w:pPr>
      <w:r>
        <w:rPr>
          <w:rFonts w:eastAsia="仿宋_GB2312"/>
          <w:color w:val="auto"/>
          <w:sz w:val="24"/>
          <w:highlight w:val="none"/>
        </w:rPr>
        <w:t>附件2：</w:t>
      </w:r>
      <w:r>
        <w:rPr>
          <w:rFonts w:hint="eastAsia" w:eastAsia="仿宋_GB2312"/>
          <w:color w:val="auto"/>
          <w:sz w:val="24"/>
          <w:highlight w:val="none"/>
        </w:rPr>
        <w:t>承</w:t>
      </w:r>
      <w:r>
        <w:rPr>
          <w:rFonts w:eastAsia="仿宋_GB2312"/>
          <w:color w:val="auto"/>
          <w:sz w:val="24"/>
          <w:highlight w:val="none"/>
        </w:rPr>
        <w:t>包人供应材料设备一览表</w:t>
      </w:r>
    </w:p>
    <w:p>
      <w:pPr>
        <w:ind w:firstLine="600"/>
        <w:rPr>
          <w:rFonts w:eastAsia="仿宋_GB2312"/>
          <w:color w:val="auto"/>
          <w:sz w:val="24"/>
          <w:highlight w:val="none"/>
        </w:rPr>
      </w:pPr>
      <w:r>
        <w:rPr>
          <w:rFonts w:eastAsia="仿宋_GB2312"/>
          <w:color w:val="auto"/>
          <w:sz w:val="24"/>
          <w:highlight w:val="none"/>
        </w:rPr>
        <w:t>附件3：工程质量保修书</w:t>
      </w:r>
    </w:p>
    <w:p>
      <w:pPr>
        <w:ind w:firstLine="600"/>
        <w:rPr>
          <w:rFonts w:eastAsia="仿宋_GB2312"/>
          <w:color w:val="auto"/>
          <w:sz w:val="24"/>
          <w:highlight w:val="none"/>
        </w:rPr>
      </w:pPr>
      <w:r>
        <w:rPr>
          <w:rFonts w:eastAsia="仿宋_GB2312"/>
          <w:color w:val="auto"/>
          <w:sz w:val="24"/>
          <w:highlight w:val="none"/>
        </w:rPr>
        <w:t>附件4：主要建设工程文件目录</w:t>
      </w:r>
    </w:p>
    <w:p>
      <w:pPr>
        <w:ind w:firstLine="600"/>
        <w:rPr>
          <w:rFonts w:eastAsia="仿宋_GB2312"/>
          <w:color w:val="auto"/>
          <w:sz w:val="24"/>
          <w:highlight w:val="none"/>
        </w:rPr>
      </w:pPr>
      <w:r>
        <w:rPr>
          <w:rFonts w:eastAsia="仿宋_GB2312"/>
          <w:color w:val="auto"/>
          <w:sz w:val="24"/>
          <w:highlight w:val="none"/>
        </w:rPr>
        <w:t>附件5：承包人主要管理人员表</w:t>
      </w:r>
    </w:p>
    <w:p>
      <w:pPr>
        <w:ind w:firstLine="600"/>
        <w:rPr>
          <w:rFonts w:eastAsia="仿宋_GB2312"/>
          <w:color w:val="auto"/>
          <w:sz w:val="24"/>
          <w:highlight w:val="none"/>
        </w:rPr>
      </w:pPr>
      <w:r>
        <w:rPr>
          <w:rFonts w:eastAsia="仿宋_GB2312"/>
          <w:color w:val="auto"/>
          <w:sz w:val="24"/>
          <w:highlight w:val="none"/>
        </w:rPr>
        <w:t>附件6：价格指数权重表</w:t>
      </w:r>
    </w:p>
    <w:p>
      <w:pPr>
        <w:rPr>
          <w:color w:val="auto"/>
          <w:highlight w:val="none"/>
        </w:rPr>
      </w:pPr>
    </w:p>
    <w:p>
      <w:pPr>
        <w:rPr>
          <w:color w:val="auto"/>
          <w:highlight w:val="none"/>
        </w:rPr>
      </w:pPr>
    </w:p>
    <w:p>
      <w:pPr>
        <w:rPr>
          <w:color w:val="auto"/>
          <w:highlight w:val="none"/>
        </w:rPr>
      </w:pPr>
    </w:p>
    <w:p>
      <w:pPr>
        <w:jc w:val="left"/>
        <w:rPr>
          <w:color w:val="auto"/>
          <w:highlight w:val="none"/>
        </w:rPr>
      </w:pPr>
      <w:r>
        <w:rPr>
          <w:color w:val="auto"/>
          <w:highlight w:val="none"/>
        </w:rPr>
        <w:br w:type="page"/>
      </w:r>
    </w:p>
    <w:p>
      <w:pPr>
        <w:pStyle w:val="182"/>
        <w:numPr>
          <w:ilvl w:val="0"/>
          <w:numId w:val="0"/>
        </w:numPr>
        <w:jc w:val="left"/>
        <w:rPr>
          <w:rFonts w:ascii="Times New Roman" w:hAnsi="Times New Roman"/>
          <w:color w:val="auto"/>
          <w:highlight w:val="none"/>
        </w:rPr>
      </w:pPr>
      <w:bookmarkStart w:id="821" w:name="_Toc54862352"/>
      <w:bookmarkStart w:id="822" w:name="_Hlk38571789"/>
      <w:r>
        <w:rPr>
          <w:rFonts w:ascii="Times New Roman" w:hAnsi="Times New Roman"/>
          <w:color w:val="auto"/>
          <w:highlight w:val="none"/>
        </w:rPr>
        <w:t>附件1 《发包人要求》</w:t>
      </w:r>
      <w:bookmarkEnd w:id="821"/>
    </w:p>
    <w:bookmarkEnd w:id="822"/>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《发包人要求》通常包括但不限于以下内容：</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一、功能要求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（一）工程目的。</w:t>
      </w:r>
      <w:r>
        <w:rPr>
          <w:rFonts w:hint="eastAsia" w:cs="宋体"/>
          <w:color w:val="auto"/>
          <w:sz w:val="28"/>
          <w:szCs w:val="28"/>
          <w:highlight w:val="none"/>
        </w:rPr>
        <w:t>压榨车间后五座恒比式压榨机为使用多年的旧设备，输蔗带最初设计宽度为1670mm，不适应目前榨量，蔗渣水分一般情况下在52%左右，生产安全率低，能耗高，各项生产经济指标不理想。针对以上存在问题进行技术改造升级，通过项目建设，能达到性能保证指标。</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（二）工程规模。</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（三）性能保证指标（性能保证表）</w:t>
      </w:r>
      <w:r>
        <w:rPr>
          <w:rFonts w:hint="eastAsia" w:cs="宋体"/>
          <w:color w:val="auto"/>
          <w:highlight w:val="none"/>
        </w:rPr>
        <w:t>（1）压榨更正抽出率 ≥96.5%；（2）蔗渣水份 ≤48%；（3）甘蔗破碎度 ≥88%；（4）榨机干油脂耗用量≤40Kg/万吨蔗</w:t>
      </w:r>
      <w:r>
        <w:rPr>
          <w:rFonts w:eastAsia="仿宋_GB2312"/>
          <w:color w:val="auto"/>
          <w:sz w:val="24"/>
          <w:highlight w:val="none"/>
        </w:rPr>
        <w:t>。</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（四）产能保证指标。</w:t>
      </w:r>
      <w:r>
        <w:rPr>
          <w:rFonts w:hint="eastAsia" w:cs="宋体"/>
          <w:color w:val="auto"/>
          <w:highlight w:val="none"/>
        </w:rPr>
        <w:t>压榨能力 ≥6000吨/日。</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二、工程范围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（一）概述</w:t>
      </w:r>
      <w:r>
        <w:rPr>
          <w:rFonts w:hint="eastAsia" w:ascii="宋体" w:hAnsi="宋体" w:cs="宋体"/>
          <w:color w:val="auto"/>
          <w:sz w:val="24"/>
          <w:highlight w:val="none"/>
        </w:rPr>
        <w:t>。</w:t>
      </w:r>
      <w:r>
        <w:rPr>
          <w:rFonts w:hint="eastAsia" w:ascii="宋体" w:hAnsi="宋体" w:cs="宋体"/>
          <w:color w:val="auto"/>
          <w:szCs w:val="28"/>
          <w:highlight w:val="none"/>
          <w:u w:val="single"/>
        </w:rPr>
        <w:t>原料处理间输蔗带宽度加大至2000mm，同时配套更新改造撕解机、除铁器等设备。原料处理间由原1段1670mm链板式输蔗机、一条皮带机更换为2段2000mm链板式输蔗机、一条1700mm快速胶带。原1670mm蔗刀机更换为满足配套蔗带规格2000mm蔗刀机，共3台。其中3#蔗刀机使用原710KW电机。蔗刀机电压为6.3KV。旧房屋拆除，重建压榨间连通的原料间。压榨间保留原1#φ850x1700压榨机，2#～6#φ810x1600压榨机替换成全新的五座φ850x1700斜调圆销式压榨机。取消原来的分配箱和开放齿及前辊液压马达系统，更换成扭矩为130吨米的行星减速机和710Kw的直流电机以及一套柔性联轴器。配套DCS控制系统及生产作业视频监控系统。</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（二）包括的工作</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永久工程的设计、采购、施工范围。</w:t>
      </w:r>
      <w:r>
        <w:rPr>
          <w:rFonts w:hint="eastAsia" w:ascii="宋体" w:hAnsi="宋体" w:cs="宋体"/>
          <w:color w:val="auto"/>
          <w:szCs w:val="28"/>
          <w:highlight w:val="none"/>
        </w:rPr>
        <w:t>按招标文件提供的设备清单、施工图、工程量清单、有关资料、说明和涉及的标准、规范所涉及的内容，范围包括：设备购置及安装，建筑工程设计图纸所包含的全部工程内容。</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临时工程的设计与施工范围。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竣工验收工作范围。</w:t>
      </w:r>
    </w:p>
    <w:p>
      <w:pPr>
        <w:ind w:firstLine="240" w:firstLineChars="100"/>
        <w:rPr>
          <w:rFonts w:cs="宋体"/>
          <w:color w:val="auto"/>
          <w:highlight w:val="none"/>
        </w:rPr>
      </w:pPr>
      <w:r>
        <w:rPr>
          <w:rFonts w:eastAsia="仿宋_GB2312"/>
          <w:color w:val="auto"/>
          <w:sz w:val="24"/>
          <w:highlight w:val="none"/>
        </w:rPr>
        <w:t>4. 技术服务工作范围。</w:t>
      </w:r>
      <w:r>
        <w:rPr>
          <w:rFonts w:hint="eastAsia" w:cs="宋体"/>
          <w:color w:val="auto"/>
          <w:highlight w:val="none"/>
        </w:rPr>
        <w:t>技术服务资料</w:t>
      </w:r>
    </w:p>
    <w:p>
      <w:pPr>
        <w:rPr>
          <w:rFonts w:cs="宋体"/>
          <w:color w:val="auto"/>
          <w:highlight w:val="none"/>
        </w:rPr>
      </w:pPr>
      <w:r>
        <w:rPr>
          <w:rFonts w:hint="eastAsia" w:cs="宋体"/>
          <w:color w:val="auto"/>
          <w:highlight w:val="none"/>
        </w:rPr>
        <w:t xml:space="preserve">    </w:t>
      </w:r>
      <w:r>
        <w:rPr>
          <w:rFonts w:hint="eastAsia" w:cs="宋体"/>
          <w:color w:val="auto"/>
          <w:highlight w:val="none"/>
        </w:rPr>
        <w:t>（1）承包人需提供完整的技术资料和技术数据（一式六份）。</w:t>
      </w:r>
    </w:p>
    <w:p>
      <w:pPr>
        <w:rPr>
          <w:rFonts w:cs="宋体"/>
          <w:color w:val="auto"/>
          <w:highlight w:val="none"/>
        </w:rPr>
      </w:pPr>
      <w:r>
        <w:rPr>
          <w:rFonts w:hint="eastAsia" w:cs="宋体"/>
          <w:color w:val="auto"/>
          <w:highlight w:val="none"/>
        </w:rPr>
        <w:t xml:space="preserve">    包括设备的设计能力，设备的过载能力，操作参数的变化范围，完整的技术规格，操作规程。设备的基础图，设备布置图（包括平面图和剖面图）。）所有电气、仪表设备的技术资料、包括型号、规格、结构形式、防护等级、生产厂家及合格证书。系统的电气原理图和接线图。系统的使用说明书（操作规程和调试维护方法）。</w:t>
      </w:r>
    </w:p>
    <w:p>
      <w:pPr>
        <w:ind w:firstLine="315" w:firstLineChars="150"/>
        <w:rPr>
          <w:rFonts w:cs="宋体"/>
          <w:color w:val="auto"/>
          <w:highlight w:val="none"/>
        </w:rPr>
      </w:pPr>
      <w:r>
        <w:rPr>
          <w:rFonts w:hint="eastAsia" w:cs="宋体"/>
          <w:color w:val="auto"/>
          <w:highlight w:val="none"/>
        </w:rPr>
        <w:t>售后技术服务</w:t>
      </w:r>
    </w:p>
    <w:p>
      <w:pPr>
        <w:ind w:firstLine="315" w:firstLineChars="150"/>
        <w:rPr>
          <w:rFonts w:cs="宋体"/>
          <w:color w:val="auto"/>
          <w:highlight w:val="none"/>
        </w:rPr>
      </w:pPr>
      <w:r>
        <w:rPr>
          <w:rFonts w:hint="eastAsia" w:cs="宋体"/>
          <w:color w:val="auto"/>
          <w:highlight w:val="none"/>
        </w:rPr>
        <w:t>（1）在榨季运行期间，承包人应提供技术服务的，承包人需派出胜任的、身体健康的技术人员驻现场免费进行技术服务，确保发包人榨季正常生产。</w:t>
      </w:r>
    </w:p>
    <w:p>
      <w:pPr>
        <w:rPr>
          <w:rFonts w:cs="宋体"/>
          <w:color w:val="auto"/>
          <w:highlight w:val="none"/>
        </w:rPr>
      </w:pPr>
      <w:r>
        <w:rPr>
          <w:rFonts w:hint="eastAsia" w:cs="宋体"/>
          <w:color w:val="auto"/>
          <w:highlight w:val="none"/>
        </w:rPr>
        <w:t xml:space="preserve">     （2）发包人对承包人提供的设备有疑问的，承包人负责24小时内给予答复，需要来人处理的，3天内到设备现场提供服务。</w:t>
      </w:r>
    </w:p>
    <w:p>
      <w:pPr>
        <w:widowControl/>
        <w:wordWrap w:val="0"/>
        <w:topLinePunct/>
        <w:adjustRightInd w:val="0"/>
        <w:snapToGrid w:val="0"/>
        <w:spacing w:line="440" w:lineRule="exact"/>
        <w:rPr>
          <w:rFonts w:eastAsia="仿宋_GB2312"/>
          <w:color w:val="auto"/>
          <w:sz w:val="24"/>
          <w:highlight w:val="none"/>
        </w:rPr>
      </w:pPr>
      <w:r>
        <w:rPr>
          <w:rFonts w:hint="eastAsia" w:cs="宋体"/>
          <w:color w:val="auto"/>
          <w:highlight w:val="none"/>
        </w:rPr>
        <w:t xml:space="preserve">  （3）在发包人方需要时，承包人要向发包人提供现场技术培训，使发包人维护人员具有熟练的调试能力和一定的维护技能。</w:t>
      </w:r>
    </w:p>
    <w:p>
      <w:pPr>
        <w:ind w:firstLine="480" w:firstLineChars="200"/>
        <w:rPr>
          <w:rFonts w:cs="宋体"/>
          <w:color w:val="auto"/>
          <w:highlight w:val="none"/>
        </w:rPr>
      </w:pPr>
      <w:r>
        <w:rPr>
          <w:rFonts w:eastAsia="仿宋_GB2312"/>
          <w:color w:val="auto"/>
          <w:sz w:val="24"/>
          <w:highlight w:val="none"/>
        </w:rPr>
        <w:t>5. 培训工作范围。</w:t>
      </w:r>
      <w:r>
        <w:rPr>
          <w:rFonts w:hint="eastAsia" w:cs="宋体"/>
          <w:color w:val="auto"/>
          <w:sz w:val="24"/>
          <w:highlight w:val="none"/>
        </w:rPr>
        <w:t>控制系统培训：系统维护人员培训不少于4人， 培训内容要求掌握系统软件简单开发能力，系统故障维护等能力；操作培训不少于15人，要求掌握基本设备操作技能和操作使用的工具。实现对压榨蔗刀机、输蔗机、抛蔗机、电磁吸铁器、扫带机、榨机、耙齿机、渗透汁曲筛以及各种泵浦等的控制和监控，实现对稀油站状态的监控。</w:t>
      </w:r>
    </w:p>
    <w:p>
      <w:pPr>
        <w:widowControl/>
        <w:wordWrap w:val="0"/>
        <w:topLinePunct/>
        <w:adjustRightInd w:val="0"/>
        <w:snapToGrid w:val="0"/>
        <w:spacing w:line="440" w:lineRule="exact"/>
        <w:ind w:firstLine="600"/>
        <w:rPr>
          <w:rFonts w:cs="宋体"/>
          <w:color w:val="auto"/>
          <w:highlight w:val="none"/>
        </w:rPr>
      </w:pPr>
      <w:r>
        <w:rPr>
          <w:rFonts w:hint="eastAsia" w:cs="宋体"/>
          <w:color w:val="auto"/>
          <w:highlight w:val="none"/>
        </w:rPr>
        <w:t>其它设备技术培训，若发包人需要培训的，承包人需要提供技术培训</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 保修工作范围。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（三）工作界区</w:t>
      </w:r>
      <w:r>
        <w:rPr>
          <w:rFonts w:hint="eastAsia" w:ascii="宋体" w:hAnsi="宋体" w:cs="宋体"/>
          <w:color w:val="auto"/>
          <w:sz w:val="24"/>
          <w:highlight w:val="none"/>
        </w:rPr>
        <w:t xml:space="preserve"> 。</w:t>
      </w:r>
      <w:r>
        <w:rPr>
          <w:rFonts w:hint="eastAsia" w:ascii="宋体" w:hAnsi="宋体" w:cs="宋体"/>
          <w:color w:val="auto"/>
          <w:sz w:val="24"/>
          <w:highlight w:val="none"/>
        </w:rPr>
        <w:t>本工程为总承包工程。包括但不限于设备采购、运输、安装调试（含利旧设备）、检测、试运行、土建工程、旧设备拆除搬迁、工期、安全、质量和其他售后服务等在内的一切应提供的服务</w:t>
      </w:r>
      <w:r>
        <w:rPr>
          <w:rFonts w:hint="eastAsia" w:ascii="宋体" w:hAnsi="宋体" w:cs="宋体"/>
          <w:color w:val="auto"/>
          <w:sz w:val="24"/>
          <w:highlight w:val="none"/>
        </w:rPr>
        <w:t xml:space="preserve"> </w:t>
      </w:r>
      <w:r>
        <w:rPr>
          <w:rFonts w:hint="eastAsia" w:ascii="宋体" w:hAnsi="宋体" w:cs="宋体"/>
          <w:color w:val="auto"/>
          <w:sz w:val="24"/>
          <w:highlight w:val="none"/>
        </w:rPr>
        <w:t>。</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（四）发包人提供的现场条件</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施工用电。</w:t>
      </w:r>
      <w:r>
        <w:rPr>
          <w:rFonts w:eastAsia="仿宋_GB2312"/>
          <w:color w:val="auto"/>
          <w:sz w:val="24"/>
          <w:highlight w:val="none"/>
          <w:u w:val="single"/>
        </w:rPr>
        <w:t>施工用电及生活用电：根据实际使用数量，按湛江市徐闻县物价部门的有关规定扣回给发包人</w:t>
      </w:r>
      <w:r>
        <w:rPr>
          <w:rFonts w:hint="eastAsia" w:ascii="宋体" w:hAnsi="宋体" w:cs="宋体"/>
          <w:color w:val="auto"/>
          <w:sz w:val="24"/>
          <w:highlight w:val="none"/>
          <w:u w:val="single"/>
        </w:rPr>
        <w:t>。</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施工用水。</w:t>
      </w:r>
      <w:r>
        <w:rPr>
          <w:rFonts w:eastAsia="仿宋_GB2312"/>
          <w:color w:val="auto"/>
          <w:sz w:val="24"/>
          <w:highlight w:val="none"/>
          <w:u w:val="single"/>
        </w:rPr>
        <w:t>施工用水及生活用水：根据实际使用数量，按湛江市徐闻县物价部门的有关规定扣回给发包人</w:t>
      </w:r>
      <w:r>
        <w:rPr>
          <w:rFonts w:hint="eastAsia" w:ascii="宋体" w:hAnsi="宋体" w:cs="宋体"/>
          <w:color w:val="auto"/>
          <w:sz w:val="24"/>
          <w:highlight w:val="none"/>
          <w:u w:val="single"/>
        </w:rPr>
        <w:t>。</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 施工排水。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4.施工道路。</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（五）发包人提供的技术文件</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除另有批准外，承包人的工作需要遵照发包人的下列技术文件:</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 发包人需求任务书。</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 发包人已完成的设计文件。</w:t>
      </w:r>
    </w:p>
    <w:p>
      <w:pPr>
        <w:widowControl/>
        <w:wordWrap w:val="0"/>
        <w:topLinePunct/>
        <w:adjustRightInd w:val="0"/>
        <w:snapToGrid w:val="0"/>
        <w:spacing w:line="440" w:lineRule="exact"/>
        <w:ind w:firstLine="600"/>
        <w:rPr>
          <w:rFonts w:eastAsia="仿宋_GB2312"/>
          <w:color w:val="auto"/>
          <w:sz w:val="24"/>
          <w:highlight w:val="none"/>
        </w:rPr>
      </w:pP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三、工艺安排或要求（如有）</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四、时间要求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（一）开始工作时间。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（二）设计完成时间。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（三）进度计划。</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（四）竣工时间。</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（五）缺陷责任期。</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（六）其他时间要求。</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五、技术要求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（一）设计阶段和设计任务。</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（二）设计标准和规范。</w:t>
      </w:r>
    </w:p>
    <w:p>
      <w:pPr>
        <w:widowControl/>
        <w:wordWrap w:val="0"/>
        <w:topLinePunct/>
        <w:adjustRightInd w:val="0"/>
        <w:snapToGrid w:val="0"/>
        <w:spacing w:line="440" w:lineRule="exact"/>
        <w:ind w:firstLine="600"/>
        <w:rPr>
          <w:rFonts w:hint="eastAsia" w:eastAsia="仿宋_GB2312"/>
          <w:color w:val="auto"/>
          <w:sz w:val="24"/>
          <w:highlight w:val="none"/>
          <w:lang w:eastAsia="zh-CN"/>
        </w:rPr>
      </w:pPr>
      <w:r>
        <w:rPr>
          <w:rFonts w:eastAsia="仿宋_GB2312"/>
          <w:color w:val="auto"/>
          <w:sz w:val="24"/>
          <w:highlight w:val="none"/>
        </w:rPr>
        <w:t>（三）技术标准和要求</w:t>
      </w:r>
      <w:r>
        <w:rPr>
          <w:rFonts w:hint="eastAsia" w:eastAsia="仿宋_GB2312"/>
          <w:color w:val="auto"/>
          <w:sz w:val="24"/>
          <w:highlight w:val="none"/>
          <w:lang w:eastAsia="zh-CN"/>
        </w:rPr>
        <w:t>，</w:t>
      </w:r>
      <w:r>
        <w:rPr>
          <w:rFonts w:eastAsia="仿宋_GB2312"/>
          <w:color w:val="auto"/>
          <w:sz w:val="24"/>
          <w:highlight w:val="none"/>
        </w:rPr>
        <w:t>按照发包人的用户需求书</w:t>
      </w:r>
      <w:r>
        <w:rPr>
          <w:rFonts w:hint="eastAsia" w:eastAsia="仿宋_GB2312"/>
          <w:color w:val="auto"/>
          <w:sz w:val="24"/>
          <w:highlight w:val="none"/>
          <w:lang w:eastAsia="zh-CN"/>
        </w:rPr>
        <w:t>。</w:t>
      </w:r>
    </w:p>
    <w:p>
      <w:pPr>
        <w:widowControl/>
        <w:wordWrap w:val="0"/>
        <w:topLinePunct/>
        <w:adjustRightInd w:val="0"/>
        <w:snapToGrid w:val="0"/>
        <w:spacing w:line="440" w:lineRule="exact"/>
        <w:ind w:firstLine="600"/>
        <w:rPr>
          <w:rFonts w:hint="eastAsia" w:eastAsia="仿宋_GB2312"/>
          <w:color w:val="auto"/>
          <w:sz w:val="24"/>
          <w:highlight w:val="none"/>
          <w:lang w:eastAsia="zh-CN"/>
        </w:rPr>
      </w:pPr>
      <w:r>
        <w:rPr>
          <w:rFonts w:eastAsia="仿宋_GB2312"/>
          <w:color w:val="auto"/>
          <w:sz w:val="24"/>
          <w:highlight w:val="none"/>
        </w:rPr>
        <w:t>（四）质量标准</w:t>
      </w:r>
      <w:r>
        <w:rPr>
          <w:rFonts w:hint="eastAsia" w:eastAsia="仿宋_GB2312"/>
          <w:color w:val="auto"/>
          <w:sz w:val="24"/>
          <w:highlight w:val="none"/>
          <w:lang w:eastAsia="zh-CN"/>
        </w:rPr>
        <w:t>，</w:t>
      </w:r>
      <w:r>
        <w:rPr>
          <w:rFonts w:eastAsia="仿宋_GB2312"/>
          <w:color w:val="auto"/>
          <w:sz w:val="24"/>
          <w:highlight w:val="none"/>
        </w:rPr>
        <w:t>按照发包人的用户需求书</w:t>
      </w:r>
      <w:r>
        <w:rPr>
          <w:rFonts w:hint="eastAsia" w:eastAsia="仿宋_GB2312"/>
          <w:color w:val="auto"/>
          <w:sz w:val="24"/>
          <w:highlight w:val="none"/>
          <w:lang w:eastAsia="zh-CN"/>
        </w:rPr>
        <w:t>。</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（五）设计、施工和设备监造、试验（如有）。</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（六）样品。</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（七）发包人提供的其他条件，如发包人或其委托的第三人提供的设计、工艺包、用于试验检验的工器具等，以及据此对承包人提出的予以配套的要求。</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六、竣工试验</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（一）第一阶段，如对单车试验等的要求，包括试验前准备。</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（二）第二阶段，如对联动试车、投料试车等的要求，包括人员、设备、材料、燃料、电力、消耗品、工具等必要条件。</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（三）第三阶段，如对性能测试及其他竣工试验的要求，包括产能指标、产品质量标准、运营指标、环保指标等。</w:t>
      </w:r>
    </w:p>
    <w:p>
      <w:pPr>
        <w:spacing w:line="440" w:lineRule="exact"/>
        <w:ind w:firstLine="360" w:firstLineChars="150"/>
        <w:rPr>
          <w:color w:val="auto"/>
          <w:highlight w:val="none"/>
        </w:rPr>
      </w:pPr>
      <w:r>
        <w:rPr>
          <w:rFonts w:eastAsia="黑体"/>
          <w:color w:val="auto"/>
          <w:sz w:val="24"/>
          <w:highlight w:val="none"/>
        </w:rPr>
        <w:t>七、竣工验收</w:t>
      </w:r>
      <w:r>
        <w:rPr>
          <w:rFonts w:hint="eastAsia" w:eastAsia="黑体"/>
          <w:color w:val="auto"/>
          <w:sz w:val="24"/>
          <w:highlight w:val="none"/>
        </w:rPr>
        <w:t xml:space="preserve"> </w:t>
      </w:r>
      <w:r>
        <w:rPr>
          <w:rFonts w:hint="eastAsia"/>
          <w:color w:val="auto"/>
          <w:highlight w:val="none"/>
        </w:rPr>
        <w:t>项目完成后生产能力及技术要</w:t>
      </w:r>
      <w:r>
        <w:rPr>
          <w:rFonts w:hint="eastAsia"/>
          <w:bCs/>
          <w:color w:val="auto"/>
          <w:highlight w:val="none"/>
        </w:rPr>
        <w:t>确保满足初步设计、施工图及需方生产需求。</w:t>
      </w:r>
      <w:r>
        <w:rPr>
          <w:rFonts w:hint="eastAsia"/>
          <w:color w:val="auto"/>
          <w:highlight w:val="none"/>
        </w:rPr>
        <w:t>质量符合国家或行业现行标准要求。</w:t>
      </w:r>
    </w:p>
    <w:p>
      <w:pPr>
        <w:widowControl/>
        <w:wordWrap w:val="0"/>
        <w:topLinePunct/>
        <w:adjustRightInd w:val="0"/>
        <w:snapToGrid w:val="0"/>
        <w:spacing w:line="440" w:lineRule="exact"/>
        <w:ind w:firstLine="600"/>
        <w:rPr>
          <w:rFonts w:eastAsia="黑体"/>
          <w:color w:val="auto"/>
          <w:sz w:val="24"/>
          <w:highlight w:val="none"/>
        </w:rPr>
      </w:pPr>
      <w:r>
        <w:rPr>
          <w:rFonts w:hint="eastAsia" w:cs="宋体"/>
          <w:color w:val="auto"/>
          <w:highlight w:val="none"/>
        </w:rPr>
        <w:t>项目完工后，由发包方、承包方、监理方，设计方等相关人员按有关要求以及现行甘蔗制糖行业标准为依据共同验收。 特种设备（电动双梁起重机）安装通过检验并取得使用登记证后交付使用。</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八、竣工后试验（如有）</w:t>
      </w:r>
      <w:r>
        <w:rPr>
          <w:rFonts w:eastAsia="仿宋_GB2312"/>
          <w:color w:val="auto"/>
          <w:sz w:val="24"/>
          <w:highlight w:val="none"/>
        </w:rPr>
        <w:t>竣工后试验全部电力、水、污水处理、燃料、消耗品和材料，以及全部其他仪器、协助、文件或其他信息、设备、工具、劳力，启动工程设备，并组织安排有适当资质、经验和能力的工作人员等必要条件的提供方：</w:t>
      </w:r>
      <w:r>
        <w:rPr>
          <w:rFonts w:hint="eastAsia" w:eastAsia="仿宋_GB2312"/>
          <w:color w:val="auto"/>
          <w:sz w:val="24"/>
          <w:highlight w:val="none"/>
          <w:u w:val="single"/>
        </w:rPr>
        <w:t>承包方</w:t>
      </w:r>
      <w:r>
        <w:rPr>
          <w:rFonts w:eastAsia="仿宋_GB2312"/>
          <w:color w:val="auto"/>
          <w:sz w:val="24"/>
          <w:highlight w:val="none"/>
        </w:rPr>
        <w:t>。</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九、文件要求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（一）设计文件，及其相关审批、核准、备案要求。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（二）沟通计划。</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（三）风险管理计划。</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（四）竣工文件和工程的其他记录。</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（五）操作和维修手册。</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（六）其他承包人文件。</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十、工程项目管理规定</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（一）质量。</w:t>
      </w:r>
      <w:r>
        <w:rPr>
          <w:rFonts w:hint="eastAsia"/>
          <w:color w:val="auto"/>
          <w:highlight w:val="none"/>
        </w:rPr>
        <w:t>质量符合国家或行业现行标准要求。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（二）进度，包括里程碑进度计划（如果有）。</w:t>
      </w:r>
    </w:p>
    <w:p>
      <w:pPr>
        <w:spacing w:line="440" w:lineRule="exact"/>
        <w:ind w:firstLine="600" w:firstLineChars="250"/>
        <w:rPr>
          <w:rFonts w:eastAsia="仿宋_GB2312"/>
          <w:color w:val="auto"/>
          <w:sz w:val="24"/>
          <w:highlight w:val="none"/>
        </w:rPr>
      </w:pPr>
      <w:r>
        <w:rPr>
          <w:rFonts w:eastAsia="仿宋_GB2312"/>
          <w:color w:val="auto"/>
          <w:sz w:val="24"/>
          <w:highlight w:val="none"/>
        </w:rPr>
        <w:t>（三）支付。</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（四）HSE（健康、安全与环境管理体系）。</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（五）沟通。</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（六）变更。</w:t>
      </w:r>
      <w:r>
        <w:rPr>
          <w:rFonts w:eastAsia="仿宋_GB2312"/>
          <w:color w:val="auto"/>
          <w:sz w:val="24"/>
          <w:highlight w:val="none"/>
        </w:rPr>
        <w:t>总价包含的风险范围：各种因素引起的材料价格、人工工资、施工机械使用费、管理费、利润等变化及其他风险因素，在约定的范围内总价合同不作调整。</w:t>
      </w:r>
      <w:r>
        <w:rPr>
          <w:rFonts w:eastAsia="仿宋_GB2312"/>
          <w:color w:val="auto"/>
          <w:sz w:val="24"/>
          <w:highlight w:val="none"/>
          <w:u w:val="single"/>
        </w:rPr>
        <w:t>合同履行过程中，任何原因导致工程价款增加的（含签证），增加额度未超合同总价5%的（含5%）工程价款均由乙方承担，增加额度超出合同总价5%且在10%（不含10%）以内的部分工程价款，经甲方书面确认审批同意后由甲方承担，未经甲方审批同意实施的由乙方承担。工程价款超过合同总价10%以上的部分不予审批实施</w:t>
      </w:r>
      <w:r>
        <w:rPr>
          <w:rFonts w:eastAsia="仿宋_GB2312"/>
          <w:color w:val="auto"/>
          <w:sz w:val="24"/>
          <w:highlight w:val="none"/>
        </w:rPr>
        <w:t>。</w:t>
      </w:r>
    </w:p>
    <w:p>
      <w:pPr>
        <w:widowControl/>
        <w:wordWrap w:val="0"/>
        <w:topLinePunct/>
        <w:adjustRightInd w:val="0"/>
        <w:snapToGrid w:val="0"/>
        <w:spacing w:line="440" w:lineRule="exact"/>
        <w:ind w:firstLine="600"/>
        <w:rPr>
          <w:rFonts w:eastAsia="黑体"/>
          <w:color w:val="auto"/>
          <w:sz w:val="24"/>
          <w:highlight w:val="none"/>
        </w:rPr>
      </w:pPr>
      <w:r>
        <w:rPr>
          <w:rFonts w:eastAsia="黑体"/>
          <w:color w:val="auto"/>
          <w:sz w:val="24"/>
          <w:highlight w:val="none"/>
        </w:rPr>
        <w:t>十一、其他要求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（一）对承包人的主要人员资格要求。</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（二）相关审批、核准和备案手续的办理。</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（三）对项目业主人员的操作培训。</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（四）分包。</w:t>
      </w:r>
      <w:r>
        <w:rPr>
          <w:rFonts w:eastAsia="仿宋_GB2312"/>
          <w:color w:val="auto"/>
          <w:sz w:val="24"/>
          <w:highlight w:val="none"/>
        </w:rPr>
        <w:t>允许分包的工程包括：</w:t>
      </w:r>
      <w:r>
        <w:rPr>
          <w:rFonts w:eastAsia="仿宋_GB2312"/>
          <w:color w:val="auto"/>
          <w:sz w:val="24"/>
          <w:highlight w:val="none"/>
          <w:u w:val="single"/>
        </w:rPr>
        <w:t>设备制造及安装</w:t>
      </w:r>
      <w:r>
        <w:rPr>
          <w:rFonts w:eastAsia="仿宋_GB2312"/>
          <w:color w:val="auto"/>
          <w:sz w:val="24"/>
          <w:highlight w:val="none"/>
        </w:rPr>
        <w:t>。</w:t>
      </w:r>
    </w:p>
    <w:p>
      <w:pPr>
        <w:widowControl/>
        <w:wordWrap w:val="0"/>
        <w:topLinePunct/>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（五）设备供应商</w:t>
      </w:r>
      <w:r>
        <w:rPr>
          <w:rFonts w:eastAsia="仿宋_GB2312"/>
          <w:color w:val="auto"/>
          <w:sz w:val="24"/>
          <w:highlight w:val="none"/>
        </w:rPr>
        <w:t>。</w:t>
      </w:r>
      <w:r>
        <w:rPr>
          <w:rFonts w:hint="eastAsia" w:ascii="宋体" w:hAnsi="宋体" w:cs="宋体"/>
          <w:color w:val="auto"/>
          <w:szCs w:val="28"/>
          <w:highlight w:val="none"/>
        </w:rPr>
        <w:t>本工程招标范围内的主要材料和工程设备经发包方书面确认同意，中标人方可采购。</w:t>
      </w:r>
    </w:p>
    <w:p>
      <w:pPr>
        <w:widowControl/>
        <w:wordWrap w:val="0"/>
        <w:topLinePunct/>
        <w:adjustRightInd w:val="0"/>
        <w:snapToGrid w:val="0"/>
        <w:spacing w:line="440" w:lineRule="exact"/>
        <w:ind w:firstLine="480" w:firstLineChars="200"/>
        <w:rPr>
          <w:rFonts w:eastAsia="仿宋_GB2312"/>
          <w:color w:val="auto"/>
          <w:sz w:val="24"/>
          <w:highlight w:val="none"/>
        </w:rPr>
      </w:pPr>
      <w:r>
        <w:rPr>
          <w:rFonts w:eastAsia="仿宋_GB2312"/>
          <w:color w:val="auto"/>
          <w:sz w:val="24"/>
          <w:highlight w:val="none"/>
        </w:rPr>
        <w:t>（六）缺陷责任期的服务要求。</w:t>
      </w:r>
    </w:p>
    <w:p>
      <w:pPr>
        <w:jc w:val="left"/>
        <w:rPr>
          <w:color w:val="auto"/>
          <w:highlight w:val="none"/>
        </w:rPr>
        <w:sectPr>
          <w:pgSz w:w="11906" w:h="16838"/>
          <w:pgMar w:top="1440" w:right="1800" w:bottom="1440" w:left="1800" w:header="720" w:footer="998" w:gutter="0"/>
          <w:cols w:space="720" w:num="1"/>
          <w:docGrid w:linePitch="326" w:charSpace="0"/>
        </w:sectPr>
      </w:pPr>
    </w:p>
    <w:p>
      <w:pPr>
        <w:pStyle w:val="182"/>
        <w:numPr>
          <w:ilvl w:val="0"/>
          <w:numId w:val="0"/>
        </w:numPr>
        <w:jc w:val="both"/>
        <w:rPr>
          <w:rFonts w:ascii="Times New Roman" w:hAnsi="Times New Roman"/>
          <w:color w:val="auto"/>
          <w:highlight w:val="none"/>
        </w:rPr>
      </w:pPr>
      <w:bookmarkStart w:id="823" w:name="_Toc54862353"/>
      <w:bookmarkStart w:id="824" w:name="_Toc20171894"/>
      <w:r>
        <w:rPr>
          <w:rFonts w:ascii="Times New Roman" w:hAnsi="Times New Roman"/>
          <w:color w:val="auto"/>
          <w:highlight w:val="none"/>
        </w:rPr>
        <w:t xml:space="preserve">附件2 </w:t>
      </w:r>
      <w:r>
        <w:rPr>
          <w:rFonts w:hint="eastAsia" w:ascii="Times New Roman" w:hAnsi="Times New Roman"/>
          <w:color w:val="auto"/>
          <w:highlight w:val="none"/>
        </w:rPr>
        <w:t>承</w:t>
      </w:r>
      <w:r>
        <w:rPr>
          <w:rFonts w:ascii="Times New Roman" w:hAnsi="Times New Roman"/>
          <w:color w:val="auto"/>
          <w:highlight w:val="none"/>
        </w:rPr>
        <w:t>包人供应材料设备一览表</w:t>
      </w:r>
      <w:bookmarkEnd w:id="823"/>
      <w:bookmarkEnd w:id="824"/>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2"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序号</w:t>
            </w:r>
          </w:p>
        </w:tc>
        <w:tc>
          <w:tcPr>
            <w:tcW w:w="1165"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材料、设备品种</w:t>
            </w:r>
          </w:p>
        </w:tc>
        <w:tc>
          <w:tcPr>
            <w:tcW w:w="1126"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规格型号</w:t>
            </w:r>
          </w:p>
        </w:tc>
        <w:tc>
          <w:tcPr>
            <w:tcW w:w="567"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单位</w:t>
            </w:r>
          </w:p>
        </w:tc>
        <w:tc>
          <w:tcPr>
            <w:tcW w:w="686"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数量</w:t>
            </w:r>
          </w:p>
        </w:tc>
        <w:tc>
          <w:tcPr>
            <w:tcW w:w="992"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单价（元）</w:t>
            </w:r>
          </w:p>
        </w:tc>
        <w:tc>
          <w:tcPr>
            <w:tcW w:w="1134"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质量等级</w:t>
            </w:r>
          </w:p>
        </w:tc>
        <w:tc>
          <w:tcPr>
            <w:tcW w:w="1134"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供应时间</w:t>
            </w:r>
          </w:p>
        </w:tc>
        <w:tc>
          <w:tcPr>
            <w:tcW w:w="1134"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送达地点</w:t>
            </w:r>
          </w:p>
        </w:tc>
        <w:tc>
          <w:tcPr>
            <w:tcW w:w="709"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noWrap/>
            <w:vAlign w:val="center"/>
          </w:tcPr>
          <w:p>
            <w:pPr>
              <w:pStyle w:val="2"/>
              <w:rPr>
                <w:rFonts w:eastAsia="仿宋_GB2312"/>
                <w:color w:val="auto"/>
                <w:highlight w:val="none"/>
              </w:rPr>
            </w:pPr>
          </w:p>
        </w:tc>
        <w:tc>
          <w:tcPr>
            <w:tcW w:w="1165" w:type="dxa"/>
            <w:tcBorders>
              <w:top w:val="double" w:color="auto" w:sz="6" w:space="0"/>
              <w:bottom w:val="single" w:color="auto" w:sz="6" w:space="0"/>
            </w:tcBorders>
            <w:noWrap/>
            <w:vAlign w:val="center"/>
          </w:tcPr>
          <w:p>
            <w:pPr>
              <w:pStyle w:val="2"/>
              <w:rPr>
                <w:rFonts w:eastAsia="仿宋_GB2312"/>
                <w:color w:val="auto"/>
                <w:highlight w:val="none"/>
              </w:rPr>
            </w:pPr>
          </w:p>
        </w:tc>
        <w:tc>
          <w:tcPr>
            <w:tcW w:w="1126" w:type="dxa"/>
            <w:tcBorders>
              <w:top w:val="double" w:color="auto" w:sz="6" w:space="0"/>
              <w:bottom w:val="single" w:color="auto" w:sz="6" w:space="0"/>
            </w:tcBorders>
            <w:noWrap/>
            <w:vAlign w:val="center"/>
          </w:tcPr>
          <w:p>
            <w:pPr>
              <w:pStyle w:val="2"/>
              <w:rPr>
                <w:rFonts w:eastAsia="仿宋_GB2312"/>
                <w:color w:val="auto"/>
                <w:highlight w:val="none"/>
              </w:rPr>
            </w:pPr>
          </w:p>
        </w:tc>
        <w:tc>
          <w:tcPr>
            <w:tcW w:w="567" w:type="dxa"/>
            <w:tcBorders>
              <w:top w:val="double" w:color="auto" w:sz="6" w:space="0"/>
              <w:bottom w:val="single" w:color="auto" w:sz="6" w:space="0"/>
            </w:tcBorders>
            <w:noWrap/>
            <w:vAlign w:val="center"/>
          </w:tcPr>
          <w:p>
            <w:pPr>
              <w:pStyle w:val="2"/>
              <w:rPr>
                <w:rFonts w:eastAsia="仿宋_GB2312"/>
                <w:color w:val="auto"/>
                <w:highlight w:val="none"/>
              </w:rPr>
            </w:pPr>
          </w:p>
        </w:tc>
        <w:tc>
          <w:tcPr>
            <w:tcW w:w="686" w:type="dxa"/>
            <w:tcBorders>
              <w:top w:val="double" w:color="auto" w:sz="6" w:space="0"/>
              <w:bottom w:val="single" w:color="auto" w:sz="6" w:space="0"/>
            </w:tcBorders>
            <w:noWrap/>
            <w:vAlign w:val="center"/>
          </w:tcPr>
          <w:p>
            <w:pPr>
              <w:pStyle w:val="2"/>
              <w:rPr>
                <w:rFonts w:eastAsia="仿宋_GB2312"/>
                <w:color w:val="auto"/>
                <w:highlight w:val="none"/>
              </w:rPr>
            </w:pPr>
          </w:p>
        </w:tc>
        <w:tc>
          <w:tcPr>
            <w:tcW w:w="992" w:type="dxa"/>
            <w:tcBorders>
              <w:top w:val="double" w:color="auto" w:sz="6" w:space="0"/>
              <w:bottom w:val="single" w:color="auto" w:sz="6" w:space="0"/>
            </w:tcBorders>
            <w:noWrap/>
          </w:tcPr>
          <w:p>
            <w:pPr>
              <w:pStyle w:val="2"/>
              <w:rPr>
                <w:rFonts w:eastAsia="仿宋_GB2312"/>
                <w:color w:val="auto"/>
                <w:highlight w:val="none"/>
              </w:rPr>
            </w:pPr>
          </w:p>
        </w:tc>
        <w:tc>
          <w:tcPr>
            <w:tcW w:w="1134" w:type="dxa"/>
            <w:tcBorders>
              <w:top w:val="double" w:color="auto" w:sz="6" w:space="0"/>
              <w:bottom w:val="single" w:color="auto" w:sz="6" w:space="0"/>
            </w:tcBorders>
            <w:noWrap/>
            <w:vAlign w:val="center"/>
          </w:tcPr>
          <w:p>
            <w:pPr>
              <w:pStyle w:val="2"/>
              <w:rPr>
                <w:rFonts w:eastAsia="仿宋_GB2312"/>
                <w:color w:val="auto"/>
                <w:highlight w:val="none"/>
              </w:rPr>
            </w:pPr>
          </w:p>
        </w:tc>
        <w:tc>
          <w:tcPr>
            <w:tcW w:w="1134" w:type="dxa"/>
            <w:tcBorders>
              <w:top w:val="double" w:color="auto" w:sz="6" w:space="0"/>
              <w:bottom w:val="single" w:color="auto" w:sz="6" w:space="0"/>
            </w:tcBorders>
            <w:noWrap/>
            <w:vAlign w:val="center"/>
          </w:tcPr>
          <w:p>
            <w:pPr>
              <w:pStyle w:val="2"/>
              <w:rPr>
                <w:rFonts w:eastAsia="仿宋_GB2312"/>
                <w:color w:val="auto"/>
                <w:highlight w:val="none"/>
              </w:rPr>
            </w:pPr>
          </w:p>
        </w:tc>
        <w:tc>
          <w:tcPr>
            <w:tcW w:w="1134" w:type="dxa"/>
            <w:tcBorders>
              <w:top w:val="double" w:color="auto" w:sz="6" w:space="0"/>
              <w:bottom w:val="single" w:color="auto" w:sz="6" w:space="0"/>
            </w:tcBorders>
            <w:noWrap/>
            <w:vAlign w:val="center"/>
          </w:tcPr>
          <w:p>
            <w:pPr>
              <w:pStyle w:val="2"/>
              <w:rPr>
                <w:rFonts w:eastAsia="仿宋_GB2312"/>
                <w:color w:val="auto"/>
                <w:highlight w:val="none"/>
              </w:rPr>
            </w:pPr>
          </w:p>
        </w:tc>
        <w:tc>
          <w:tcPr>
            <w:tcW w:w="709" w:type="dxa"/>
            <w:tcBorders>
              <w:top w:val="double" w:color="auto" w:sz="6" w:space="0"/>
              <w:bottom w:val="single" w:color="auto" w:sz="6" w:space="0"/>
            </w:tcBorders>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552" w:type="dxa"/>
            <w:tcBorders>
              <w:top w:val="nil"/>
            </w:tcBorders>
            <w:noWrap/>
            <w:vAlign w:val="center"/>
          </w:tcPr>
          <w:p>
            <w:pPr>
              <w:pStyle w:val="2"/>
              <w:rPr>
                <w:rFonts w:eastAsia="仿宋_GB2312"/>
                <w:color w:val="auto"/>
                <w:highlight w:val="none"/>
              </w:rPr>
            </w:pPr>
          </w:p>
        </w:tc>
        <w:tc>
          <w:tcPr>
            <w:tcW w:w="1165" w:type="dxa"/>
            <w:tcBorders>
              <w:top w:val="nil"/>
            </w:tcBorders>
            <w:noWrap/>
            <w:vAlign w:val="center"/>
          </w:tcPr>
          <w:p>
            <w:pPr>
              <w:pStyle w:val="2"/>
              <w:rPr>
                <w:rFonts w:eastAsia="仿宋_GB2312"/>
                <w:color w:val="auto"/>
                <w:highlight w:val="none"/>
              </w:rPr>
            </w:pPr>
          </w:p>
        </w:tc>
        <w:tc>
          <w:tcPr>
            <w:tcW w:w="1126" w:type="dxa"/>
            <w:tcBorders>
              <w:top w:val="nil"/>
            </w:tcBorders>
            <w:noWrap/>
            <w:vAlign w:val="center"/>
          </w:tcPr>
          <w:p>
            <w:pPr>
              <w:pStyle w:val="2"/>
              <w:rPr>
                <w:rFonts w:eastAsia="仿宋_GB2312"/>
                <w:color w:val="auto"/>
                <w:highlight w:val="none"/>
              </w:rPr>
            </w:pPr>
          </w:p>
        </w:tc>
        <w:tc>
          <w:tcPr>
            <w:tcW w:w="567" w:type="dxa"/>
            <w:tcBorders>
              <w:top w:val="nil"/>
            </w:tcBorders>
            <w:noWrap/>
            <w:vAlign w:val="center"/>
          </w:tcPr>
          <w:p>
            <w:pPr>
              <w:pStyle w:val="2"/>
              <w:rPr>
                <w:rFonts w:eastAsia="仿宋_GB2312"/>
                <w:color w:val="auto"/>
                <w:highlight w:val="none"/>
              </w:rPr>
            </w:pPr>
          </w:p>
        </w:tc>
        <w:tc>
          <w:tcPr>
            <w:tcW w:w="686" w:type="dxa"/>
            <w:tcBorders>
              <w:top w:val="nil"/>
            </w:tcBorders>
            <w:noWrap/>
            <w:vAlign w:val="center"/>
          </w:tcPr>
          <w:p>
            <w:pPr>
              <w:pStyle w:val="2"/>
              <w:rPr>
                <w:rFonts w:eastAsia="仿宋_GB2312"/>
                <w:color w:val="auto"/>
                <w:highlight w:val="none"/>
              </w:rPr>
            </w:pPr>
          </w:p>
        </w:tc>
        <w:tc>
          <w:tcPr>
            <w:tcW w:w="992" w:type="dxa"/>
            <w:tcBorders>
              <w:top w:val="nil"/>
            </w:tcBorders>
            <w:noWrap/>
          </w:tcPr>
          <w:p>
            <w:pPr>
              <w:pStyle w:val="2"/>
              <w:rPr>
                <w:rFonts w:eastAsia="仿宋_GB2312"/>
                <w:color w:val="auto"/>
                <w:highlight w:val="none"/>
              </w:rPr>
            </w:pPr>
          </w:p>
        </w:tc>
        <w:tc>
          <w:tcPr>
            <w:tcW w:w="1134" w:type="dxa"/>
            <w:tcBorders>
              <w:top w:val="nil"/>
            </w:tcBorders>
            <w:noWrap/>
            <w:vAlign w:val="center"/>
          </w:tcPr>
          <w:p>
            <w:pPr>
              <w:pStyle w:val="2"/>
              <w:rPr>
                <w:rFonts w:eastAsia="仿宋_GB2312"/>
                <w:color w:val="auto"/>
                <w:highlight w:val="none"/>
              </w:rPr>
            </w:pPr>
          </w:p>
        </w:tc>
        <w:tc>
          <w:tcPr>
            <w:tcW w:w="1134" w:type="dxa"/>
            <w:tcBorders>
              <w:top w:val="nil"/>
            </w:tcBorders>
            <w:noWrap/>
            <w:vAlign w:val="center"/>
          </w:tcPr>
          <w:p>
            <w:pPr>
              <w:pStyle w:val="2"/>
              <w:rPr>
                <w:rFonts w:eastAsia="仿宋_GB2312"/>
                <w:color w:val="auto"/>
                <w:highlight w:val="none"/>
              </w:rPr>
            </w:pPr>
          </w:p>
        </w:tc>
        <w:tc>
          <w:tcPr>
            <w:tcW w:w="1134" w:type="dxa"/>
            <w:tcBorders>
              <w:top w:val="nil"/>
            </w:tcBorders>
            <w:noWrap/>
            <w:vAlign w:val="center"/>
          </w:tcPr>
          <w:p>
            <w:pPr>
              <w:pStyle w:val="2"/>
              <w:rPr>
                <w:rFonts w:eastAsia="仿宋_GB2312"/>
                <w:color w:val="auto"/>
                <w:highlight w:val="none"/>
              </w:rPr>
            </w:pPr>
          </w:p>
        </w:tc>
        <w:tc>
          <w:tcPr>
            <w:tcW w:w="709" w:type="dxa"/>
            <w:tcBorders>
              <w:top w:val="nil"/>
            </w:tcBorders>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552" w:type="dxa"/>
            <w:noWrap/>
            <w:vAlign w:val="center"/>
          </w:tcPr>
          <w:p>
            <w:pPr>
              <w:pStyle w:val="2"/>
              <w:rPr>
                <w:rFonts w:eastAsia="仿宋_GB2312"/>
                <w:color w:val="auto"/>
                <w:highlight w:val="none"/>
              </w:rPr>
            </w:pPr>
          </w:p>
        </w:tc>
        <w:tc>
          <w:tcPr>
            <w:tcW w:w="1165" w:type="dxa"/>
            <w:noWrap/>
            <w:vAlign w:val="center"/>
          </w:tcPr>
          <w:p>
            <w:pPr>
              <w:pStyle w:val="2"/>
              <w:rPr>
                <w:rFonts w:eastAsia="仿宋_GB2312"/>
                <w:color w:val="auto"/>
                <w:highlight w:val="none"/>
              </w:rPr>
            </w:pPr>
          </w:p>
        </w:tc>
        <w:tc>
          <w:tcPr>
            <w:tcW w:w="1126" w:type="dxa"/>
            <w:noWrap/>
            <w:vAlign w:val="center"/>
          </w:tcPr>
          <w:p>
            <w:pPr>
              <w:pStyle w:val="2"/>
              <w:rPr>
                <w:rFonts w:eastAsia="仿宋_GB2312"/>
                <w:color w:val="auto"/>
                <w:highlight w:val="none"/>
              </w:rPr>
            </w:pPr>
          </w:p>
        </w:tc>
        <w:tc>
          <w:tcPr>
            <w:tcW w:w="567" w:type="dxa"/>
            <w:noWrap/>
            <w:vAlign w:val="center"/>
          </w:tcPr>
          <w:p>
            <w:pPr>
              <w:pStyle w:val="2"/>
              <w:rPr>
                <w:rFonts w:eastAsia="仿宋_GB2312"/>
                <w:color w:val="auto"/>
                <w:highlight w:val="none"/>
              </w:rPr>
            </w:pPr>
          </w:p>
        </w:tc>
        <w:tc>
          <w:tcPr>
            <w:tcW w:w="686" w:type="dxa"/>
            <w:noWrap/>
            <w:vAlign w:val="center"/>
          </w:tcPr>
          <w:p>
            <w:pPr>
              <w:pStyle w:val="2"/>
              <w:rPr>
                <w:rFonts w:eastAsia="仿宋_GB2312"/>
                <w:color w:val="auto"/>
                <w:highlight w:val="none"/>
              </w:rPr>
            </w:pPr>
          </w:p>
        </w:tc>
        <w:tc>
          <w:tcPr>
            <w:tcW w:w="992" w:type="dxa"/>
            <w:noWrap/>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709"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pStyle w:val="2"/>
              <w:rPr>
                <w:rFonts w:eastAsia="仿宋_GB2312"/>
                <w:color w:val="auto"/>
                <w:highlight w:val="none"/>
              </w:rPr>
            </w:pPr>
          </w:p>
        </w:tc>
        <w:tc>
          <w:tcPr>
            <w:tcW w:w="1165" w:type="dxa"/>
            <w:noWrap/>
            <w:vAlign w:val="center"/>
          </w:tcPr>
          <w:p>
            <w:pPr>
              <w:pStyle w:val="2"/>
              <w:rPr>
                <w:rFonts w:eastAsia="仿宋_GB2312"/>
                <w:color w:val="auto"/>
                <w:highlight w:val="none"/>
              </w:rPr>
            </w:pPr>
          </w:p>
        </w:tc>
        <w:tc>
          <w:tcPr>
            <w:tcW w:w="1126" w:type="dxa"/>
            <w:noWrap/>
            <w:vAlign w:val="center"/>
          </w:tcPr>
          <w:p>
            <w:pPr>
              <w:pStyle w:val="2"/>
              <w:rPr>
                <w:rFonts w:eastAsia="仿宋_GB2312"/>
                <w:color w:val="auto"/>
                <w:highlight w:val="none"/>
              </w:rPr>
            </w:pPr>
          </w:p>
        </w:tc>
        <w:tc>
          <w:tcPr>
            <w:tcW w:w="567" w:type="dxa"/>
            <w:noWrap/>
            <w:vAlign w:val="center"/>
          </w:tcPr>
          <w:p>
            <w:pPr>
              <w:pStyle w:val="2"/>
              <w:rPr>
                <w:rFonts w:eastAsia="仿宋_GB2312"/>
                <w:color w:val="auto"/>
                <w:highlight w:val="none"/>
              </w:rPr>
            </w:pPr>
          </w:p>
        </w:tc>
        <w:tc>
          <w:tcPr>
            <w:tcW w:w="686" w:type="dxa"/>
            <w:noWrap/>
            <w:vAlign w:val="center"/>
          </w:tcPr>
          <w:p>
            <w:pPr>
              <w:pStyle w:val="2"/>
              <w:rPr>
                <w:rFonts w:eastAsia="仿宋_GB2312"/>
                <w:color w:val="auto"/>
                <w:highlight w:val="none"/>
              </w:rPr>
            </w:pPr>
          </w:p>
        </w:tc>
        <w:tc>
          <w:tcPr>
            <w:tcW w:w="992" w:type="dxa"/>
            <w:noWrap/>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709"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pStyle w:val="2"/>
              <w:rPr>
                <w:rFonts w:eastAsia="仿宋_GB2312"/>
                <w:color w:val="auto"/>
                <w:highlight w:val="none"/>
              </w:rPr>
            </w:pPr>
          </w:p>
        </w:tc>
        <w:tc>
          <w:tcPr>
            <w:tcW w:w="1165" w:type="dxa"/>
            <w:noWrap/>
            <w:vAlign w:val="center"/>
          </w:tcPr>
          <w:p>
            <w:pPr>
              <w:pStyle w:val="2"/>
              <w:rPr>
                <w:rFonts w:eastAsia="仿宋_GB2312"/>
                <w:color w:val="auto"/>
                <w:highlight w:val="none"/>
              </w:rPr>
            </w:pPr>
          </w:p>
        </w:tc>
        <w:tc>
          <w:tcPr>
            <w:tcW w:w="1126" w:type="dxa"/>
            <w:noWrap/>
            <w:vAlign w:val="center"/>
          </w:tcPr>
          <w:p>
            <w:pPr>
              <w:pStyle w:val="2"/>
              <w:rPr>
                <w:rFonts w:eastAsia="仿宋_GB2312"/>
                <w:color w:val="auto"/>
                <w:highlight w:val="none"/>
              </w:rPr>
            </w:pPr>
          </w:p>
        </w:tc>
        <w:tc>
          <w:tcPr>
            <w:tcW w:w="567" w:type="dxa"/>
            <w:noWrap/>
            <w:vAlign w:val="center"/>
          </w:tcPr>
          <w:p>
            <w:pPr>
              <w:pStyle w:val="2"/>
              <w:rPr>
                <w:rFonts w:eastAsia="仿宋_GB2312"/>
                <w:color w:val="auto"/>
                <w:highlight w:val="none"/>
              </w:rPr>
            </w:pPr>
          </w:p>
        </w:tc>
        <w:tc>
          <w:tcPr>
            <w:tcW w:w="686" w:type="dxa"/>
            <w:noWrap/>
            <w:vAlign w:val="center"/>
          </w:tcPr>
          <w:p>
            <w:pPr>
              <w:pStyle w:val="2"/>
              <w:rPr>
                <w:rFonts w:eastAsia="仿宋_GB2312"/>
                <w:color w:val="auto"/>
                <w:highlight w:val="none"/>
              </w:rPr>
            </w:pPr>
          </w:p>
        </w:tc>
        <w:tc>
          <w:tcPr>
            <w:tcW w:w="992" w:type="dxa"/>
            <w:noWrap/>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709"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pStyle w:val="2"/>
              <w:rPr>
                <w:rFonts w:eastAsia="仿宋_GB2312"/>
                <w:color w:val="auto"/>
                <w:highlight w:val="none"/>
              </w:rPr>
            </w:pPr>
          </w:p>
        </w:tc>
        <w:tc>
          <w:tcPr>
            <w:tcW w:w="1165" w:type="dxa"/>
            <w:noWrap/>
            <w:vAlign w:val="center"/>
          </w:tcPr>
          <w:p>
            <w:pPr>
              <w:pStyle w:val="2"/>
              <w:rPr>
                <w:rFonts w:eastAsia="仿宋_GB2312"/>
                <w:color w:val="auto"/>
                <w:highlight w:val="none"/>
              </w:rPr>
            </w:pPr>
          </w:p>
        </w:tc>
        <w:tc>
          <w:tcPr>
            <w:tcW w:w="1126" w:type="dxa"/>
            <w:noWrap/>
            <w:vAlign w:val="center"/>
          </w:tcPr>
          <w:p>
            <w:pPr>
              <w:pStyle w:val="2"/>
              <w:rPr>
                <w:rFonts w:eastAsia="仿宋_GB2312"/>
                <w:color w:val="auto"/>
                <w:highlight w:val="none"/>
              </w:rPr>
            </w:pPr>
          </w:p>
        </w:tc>
        <w:tc>
          <w:tcPr>
            <w:tcW w:w="567" w:type="dxa"/>
            <w:noWrap/>
            <w:vAlign w:val="center"/>
          </w:tcPr>
          <w:p>
            <w:pPr>
              <w:pStyle w:val="2"/>
              <w:rPr>
                <w:rFonts w:eastAsia="仿宋_GB2312"/>
                <w:color w:val="auto"/>
                <w:highlight w:val="none"/>
              </w:rPr>
            </w:pPr>
          </w:p>
        </w:tc>
        <w:tc>
          <w:tcPr>
            <w:tcW w:w="686" w:type="dxa"/>
            <w:noWrap/>
            <w:vAlign w:val="center"/>
          </w:tcPr>
          <w:p>
            <w:pPr>
              <w:pStyle w:val="2"/>
              <w:rPr>
                <w:rFonts w:eastAsia="仿宋_GB2312"/>
                <w:color w:val="auto"/>
                <w:highlight w:val="none"/>
              </w:rPr>
            </w:pPr>
          </w:p>
        </w:tc>
        <w:tc>
          <w:tcPr>
            <w:tcW w:w="992" w:type="dxa"/>
            <w:noWrap/>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709"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pStyle w:val="2"/>
              <w:rPr>
                <w:rFonts w:eastAsia="仿宋_GB2312"/>
                <w:color w:val="auto"/>
                <w:highlight w:val="none"/>
              </w:rPr>
            </w:pPr>
          </w:p>
        </w:tc>
        <w:tc>
          <w:tcPr>
            <w:tcW w:w="1165" w:type="dxa"/>
            <w:noWrap/>
            <w:vAlign w:val="center"/>
          </w:tcPr>
          <w:p>
            <w:pPr>
              <w:pStyle w:val="2"/>
              <w:rPr>
                <w:rFonts w:eastAsia="仿宋_GB2312"/>
                <w:color w:val="auto"/>
                <w:highlight w:val="none"/>
              </w:rPr>
            </w:pPr>
          </w:p>
        </w:tc>
        <w:tc>
          <w:tcPr>
            <w:tcW w:w="1126" w:type="dxa"/>
            <w:noWrap/>
            <w:vAlign w:val="center"/>
          </w:tcPr>
          <w:p>
            <w:pPr>
              <w:pStyle w:val="2"/>
              <w:rPr>
                <w:rFonts w:eastAsia="仿宋_GB2312"/>
                <w:color w:val="auto"/>
                <w:highlight w:val="none"/>
              </w:rPr>
            </w:pPr>
          </w:p>
        </w:tc>
        <w:tc>
          <w:tcPr>
            <w:tcW w:w="567" w:type="dxa"/>
            <w:noWrap/>
            <w:vAlign w:val="center"/>
          </w:tcPr>
          <w:p>
            <w:pPr>
              <w:pStyle w:val="2"/>
              <w:rPr>
                <w:rFonts w:eastAsia="仿宋_GB2312"/>
                <w:color w:val="auto"/>
                <w:highlight w:val="none"/>
              </w:rPr>
            </w:pPr>
          </w:p>
        </w:tc>
        <w:tc>
          <w:tcPr>
            <w:tcW w:w="686" w:type="dxa"/>
            <w:noWrap/>
            <w:vAlign w:val="center"/>
          </w:tcPr>
          <w:p>
            <w:pPr>
              <w:pStyle w:val="2"/>
              <w:rPr>
                <w:rFonts w:eastAsia="仿宋_GB2312"/>
                <w:color w:val="auto"/>
                <w:highlight w:val="none"/>
              </w:rPr>
            </w:pPr>
          </w:p>
        </w:tc>
        <w:tc>
          <w:tcPr>
            <w:tcW w:w="992" w:type="dxa"/>
            <w:noWrap/>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709"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pStyle w:val="2"/>
              <w:rPr>
                <w:rFonts w:eastAsia="仿宋_GB2312"/>
                <w:color w:val="auto"/>
                <w:highlight w:val="none"/>
              </w:rPr>
            </w:pPr>
          </w:p>
        </w:tc>
        <w:tc>
          <w:tcPr>
            <w:tcW w:w="1165" w:type="dxa"/>
            <w:noWrap/>
            <w:vAlign w:val="center"/>
          </w:tcPr>
          <w:p>
            <w:pPr>
              <w:pStyle w:val="2"/>
              <w:rPr>
                <w:rFonts w:eastAsia="仿宋_GB2312"/>
                <w:color w:val="auto"/>
                <w:highlight w:val="none"/>
              </w:rPr>
            </w:pPr>
          </w:p>
        </w:tc>
        <w:tc>
          <w:tcPr>
            <w:tcW w:w="1126" w:type="dxa"/>
            <w:noWrap/>
            <w:vAlign w:val="center"/>
          </w:tcPr>
          <w:p>
            <w:pPr>
              <w:pStyle w:val="2"/>
              <w:rPr>
                <w:rFonts w:eastAsia="仿宋_GB2312"/>
                <w:color w:val="auto"/>
                <w:highlight w:val="none"/>
              </w:rPr>
            </w:pPr>
          </w:p>
        </w:tc>
        <w:tc>
          <w:tcPr>
            <w:tcW w:w="567" w:type="dxa"/>
            <w:noWrap/>
            <w:vAlign w:val="center"/>
          </w:tcPr>
          <w:p>
            <w:pPr>
              <w:pStyle w:val="2"/>
              <w:rPr>
                <w:rFonts w:eastAsia="仿宋_GB2312"/>
                <w:color w:val="auto"/>
                <w:highlight w:val="none"/>
              </w:rPr>
            </w:pPr>
          </w:p>
        </w:tc>
        <w:tc>
          <w:tcPr>
            <w:tcW w:w="686" w:type="dxa"/>
            <w:noWrap/>
            <w:vAlign w:val="center"/>
          </w:tcPr>
          <w:p>
            <w:pPr>
              <w:pStyle w:val="2"/>
              <w:rPr>
                <w:rFonts w:eastAsia="仿宋_GB2312"/>
                <w:color w:val="auto"/>
                <w:highlight w:val="none"/>
              </w:rPr>
            </w:pPr>
          </w:p>
        </w:tc>
        <w:tc>
          <w:tcPr>
            <w:tcW w:w="992" w:type="dxa"/>
            <w:noWrap/>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709"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pStyle w:val="2"/>
              <w:rPr>
                <w:rFonts w:eastAsia="仿宋_GB2312"/>
                <w:color w:val="auto"/>
                <w:highlight w:val="none"/>
              </w:rPr>
            </w:pPr>
          </w:p>
        </w:tc>
        <w:tc>
          <w:tcPr>
            <w:tcW w:w="1165" w:type="dxa"/>
            <w:noWrap/>
            <w:vAlign w:val="center"/>
          </w:tcPr>
          <w:p>
            <w:pPr>
              <w:pStyle w:val="2"/>
              <w:rPr>
                <w:rFonts w:eastAsia="仿宋_GB2312"/>
                <w:color w:val="auto"/>
                <w:highlight w:val="none"/>
              </w:rPr>
            </w:pPr>
          </w:p>
        </w:tc>
        <w:tc>
          <w:tcPr>
            <w:tcW w:w="1126" w:type="dxa"/>
            <w:noWrap/>
            <w:vAlign w:val="center"/>
          </w:tcPr>
          <w:p>
            <w:pPr>
              <w:pStyle w:val="2"/>
              <w:rPr>
                <w:rFonts w:eastAsia="仿宋_GB2312"/>
                <w:color w:val="auto"/>
                <w:highlight w:val="none"/>
              </w:rPr>
            </w:pPr>
          </w:p>
        </w:tc>
        <w:tc>
          <w:tcPr>
            <w:tcW w:w="567" w:type="dxa"/>
            <w:noWrap/>
            <w:vAlign w:val="center"/>
          </w:tcPr>
          <w:p>
            <w:pPr>
              <w:pStyle w:val="2"/>
              <w:rPr>
                <w:rFonts w:eastAsia="仿宋_GB2312"/>
                <w:color w:val="auto"/>
                <w:highlight w:val="none"/>
              </w:rPr>
            </w:pPr>
          </w:p>
        </w:tc>
        <w:tc>
          <w:tcPr>
            <w:tcW w:w="686" w:type="dxa"/>
            <w:noWrap/>
            <w:vAlign w:val="center"/>
          </w:tcPr>
          <w:p>
            <w:pPr>
              <w:pStyle w:val="2"/>
              <w:rPr>
                <w:rFonts w:eastAsia="仿宋_GB2312"/>
                <w:color w:val="auto"/>
                <w:highlight w:val="none"/>
              </w:rPr>
            </w:pPr>
          </w:p>
        </w:tc>
        <w:tc>
          <w:tcPr>
            <w:tcW w:w="992" w:type="dxa"/>
            <w:noWrap/>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1134" w:type="dxa"/>
            <w:noWrap/>
            <w:vAlign w:val="center"/>
          </w:tcPr>
          <w:p>
            <w:pPr>
              <w:pStyle w:val="2"/>
              <w:rPr>
                <w:rFonts w:eastAsia="仿宋_GB2312"/>
                <w:color w:val="auto"/>
                <w:highlight w:val="none"/>
              </w:rPr>
            </w:pPr>
          </w:p>
        </w:tc>
        <w:tc>
          <w:tcPr>
            <w:tcW w:w="709"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pPr>
              <w:rPr>
                <w:rFonts w:eastAsia="仿宋_GB2312"/>
                <w:color w:val="auto"/>
                <w:highlight w:val="none"/>
              </w:rPr>
            </w:pPr>
          </w:p>
        </w:tc>
        <w:tc>
          <w:tcPr>
            <w:tcW w:w="1165" w:type="dxa"/>
            <w:noWrap/>
            <w:vAlign w:val="center"/>
          </w:tcPr>
          <w:p>
            <w:pPr>
              <w:rPr>
                <w:rFonts w:eastAsia="仿宋_GB2312"/>
                <w:color w:val="auto"/>
                <w:highlight w:val="none"/>
              </w:rPr>
            </w:pPr>
          </w:p>
        </w:tc>
        <w:tc>
          <w:tcPr>
            <w:tcW w:w="1126" w:type="dxa"/>
            <w:noWrap/>
            <w:vAlign w:val="center"/>
          </w:tcPr>
          <w:p>
            <w:pPr>
              <w:rPr>
                <w:rFonts w:eastAsia="仿宋_GB2312"/>
                <w:color w:val="auto"/>
                <w:highlight w:val="none"/>
              </w:rPr>
            </w:pPr>
          </w:p>
        </w:tc>
        <w:tc>
          <w:tcPr>
            <w:tcW w:w="567" w:type="dxa"/>
            <w:noWrap/>
            <w:vAlign w:val="center"/>
          </w:tcPr>
          <w:p>
            <w:pPr>
              <w:rPr>
                <w:rFonts w:eastAsia="仿宋_GB2312"/>
                <w:color w:val="auto"/>
                <w:highlight w:val="none"/>
              </w:rPr>
            </w:pPr>
          </w:p>
        </w:tc>
        <w:tc>
          <w:tcPr>
            <w:tcW w:w="686" w:type="dxa"/>
            <w:noWrap/>
            <w:vAlign w:val="center"/>
          </w:tcPr>
          <w:p>
            <w:pPr>
              <w:rPr>
                <w:rFonts w:eastAsia="仿宋_GB2312"/>
                <w:color w:val="auto"/>
                <w:highlight w:val="none"/>
              </w:rPr>
            </w:pPr>
          </w:p>
        </w:tc>
        <w:tc>
          <w:tcPr>
            <w:tcW w:w="992" w:type="dxa"/>
            <w:noWrap/>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1134" w:type="dxa"/>
            <w:noWrap/>
            <w:vAlign w:val="center"/>
          </w:tcPr>
          <w:p>
            <w:pPr>
              <w:rPr>
                <w:rFonts w:eastAsia="仿宋_GB2312"/>
                <w:color w:val="auto"/>
                <w:highlight w:val="none"/>
              </w:rPr>
            </w:pPr>
          </w:p>
        </w:tc>
        <w:tc>
          <w:tcPr>
            <w:tcW w:w="709" w:type="dxa"/>
            <w:noWrap/>
            <w:vAlign w:val="center"/>
          </w:tcPr>
          <w:p>
            <w:pPr>
              <w:rPr>
                <w:rFonts w:eastAsia="仿宋_GB2312"/>
                <w:color w:val="auto"/>
                <w:highlight w:val="none"/>
              </w:rPr>
            </w:pPr>
          </w:p>
        </w:tc>
      </w:tr>
    </w:tbl>
    <w:p>
      <w:pPr>
        <w:rPr>
          <w:color w:val="auto"/>
          <w:highlight w:val="none"/>
        </w:rPr>
        <w:sectPr>
          <w:pgSz w:w="11906" w:h="16838"/>
          <w:pgMar w:top="1440" w:right="1800" w:bottom="1440" w:left="1800" w:header="720" w:footer="998" w:gutter="0"/>
          <w:cols w:space="720" w:num="1"/>
          <w:docGrid w:linePitch="326" w:charSpace="0"/>
        </w:sectPr>
      </w:pPr>
    </w:p>
    <w:p>
      <w:pPr>
        <w:rPr>
          <w:rFonts w:ascii="黑体" w:hAnsi="黑体" w:eastAsia="黑体" w:cs="黑体"/>
          <w:b/>
          <w:bCs/>
          <w:color w:val="auto"/>
          <w:sz w:val="30"/>
          <w:szCs w:val="30"/>
          <w:highlight w:val="none"/>
        </w:rPr>
      </w:pPr>
      <w:bookmarkStart w:id="825" w:name="_Toc54862354"/>
      <w:bookmarkStart w:id="826" w:name="_Toc20171895"/>
      <w:r>
        <w:rPr>
          <w:rFonts w:hint="eastAsia" w:ascii="黑体" w:hAnsi="黑体" w:eastAsia="黑体" w:cs="黑体"/>
          <w:b/>
          <w:bCs/>
          <w:color w:val="auto"/>
          <w:sz w:val="30"/>
          <w:szCs w:val="30"/>
          <w:highlight w:val="none"/>
        </w:rPr>
        <w:t>附件3 工程质量保修书</w:t>
      </w:r>
      <w:bookmarkEnd w:id="825"/>
      <w:bookmarkEnd w:id="826"/>
    </w:p>
    <w:p>
      <w:pPr>
        <w:widowControl/>
        <w:adjustRightInd w:val="0"/>
        <w:snapToGrid w:val="0"/>
        <w:spacing w:line="440" w:lineRule="exact"/>
        <w:ind w:firstLine="480" w:firstLineChars="200"/>
        <w:rPr>
          <w:rFonts w:eastAsia="仿宋_GB2312"/>
          <w:color w:val="auto"/>
          <w:sz w:val="24"/>
          <w:highlight w:val="none"/>
        </w:rPr>
      </w:pPr>
      <w:r>
        <w:rPr>
          <w:rFonts w:eastAsia="仿宋_GB2312"/>
          <w:color w:val="auto"/>
          <w:sz w:val="24"/>
          <w:highlight w:val="none"/>
        </w:rPr>
        <w:t>发包人（全称）：</w:t>
      </w:r>
      <w:r>
        <w:rPr>
          <w:rFonts w:hint="eastAsia" w:ascii="华文中宋" w:hAnsi="华文中宋" w:eastAsia="华文中宋"/>
          <w:color w:val="auto"/>
          <w:sz w:val="28"/>
          <w:szCs w:val="28"/>
          <w:highlight w:val="none"/>
          <w:u w:val="single"/>
        </w:rPr>
        <w:t>广东广垦华丰糖业有限公司</w:t>
      </w:r>
    </w:p>
    <w:p>
      <w:pPr>
        <w:widowControl/>
        <w:adjustRightInd w:val="0"/>
        <w:snapToGrid w:val="0"/>
        <w:spacing w:line="440" w:lineRule="exact"/>
        <w:ind w:firstLine="480" w:firstLineChars="200"/>
        <w:rPr>
          <w:rFonts w:eastAsia="仿宋_GB2312"/>
          <w:color w:val="auto"/>
          <w:sz w:val="24"/>
          <w:highlight w:val="none"/>
        </w:rPr>
      </w:pPr>
      <w:r>
        <w:rPr>
          <w:rFonts w:eastAsia="仿宋_GB2312"/>
          <w:color w:val="auto"/>
          <w:sz w:val="24"/>
          <w:highlight w:val="none"/>
        </w:rPr>
        <w:t>承包人（全称）：</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发包人和承包人根据《中华人民共和国建筑法》和《建设工程质量管理条例》，经协商一致就（</w:t>
      </w:r>
      <w:r>
        <w:rPr>
          <w:rFonts w:hint="eastAsia" w:ascii="华文中宋" w:hAnsi="华文中宋" w:eastAsia="华文中宋"/>
          <w:color w:val="auto"/>
          <w:sz w:val="28"/>
          <w:szCs w:val="28"/>
          <w:highlight w:val="none"/>
          <w:u w:val="single"/>
        </w:rPr>
        <w:t>2023年广东农垦糖蔗产业集群华丰公司压榨机改造及预处理系统配套工程项目</w:t>
      </w:r>
      <w:r>
        <w:rPr>
          <w:rFonts w:eastAsia="仿宋_GB2312"/>
          <w:color w:val="auto"/>
          <w:sz w:val="24"/>
          <w:highlight w:val="none"/>
        </w:rPr>
        <w:t>）订立工程质量保修书。</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一、工程质量保修范围和内容</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承包人在质量保修期内，按照有关法律规定和合同约定，承担工程质量保修责任。</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华文中宋" w:hAnsi="华文中宋" w:eastAsia="华文中宋"/>
          <w:color w:val="auto"/>
          <w:highlight w:val="none"/>
          <w:u w:val="thick"/>
        </w:rPr>
        <w:t>本合同的所有工程内容及增加、变更工程内容</w:t>
      </w:r>
      <w:r>
        <w:rPr>
          <w:rFonts w:eastAsia="仿宋_GB2312"/>
          <w:color w:val="auto"/>
          <w:sz w:val="24"/>
          <w:highlight w:val="none"/>
        </w:rPr>
        <w:t>。</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二、质量保修期</w:t>
      </w:r>
    </w:p>
    <w:p>
      <w:pPr>
        <w:widowControl/>
        <w:adjustRightInd w:val="0"/>
        <w:snapToGrid w:val="0"/>
        <w:spacing w:line="440" w:lineRule="exact"/>
        <w:ind w:left="359" w:leftChars="171" w:firstLine="240" w:firstLineChars="100"/>
        <w:rPr>
          <w:rFonts w:ascii="宋体" w:hAnsi="宋体" w:cs="宋体"/>
          <w:color w:val="auto"/>
          <w:sz w:val="24"/>
          <w:highlight w:val="none"/>
        </w:rPr>
      </w:pPr>
      <w:r>
        <w:rPr>
          <w:rFonts w:eastAsia="仿宋_GB2312"/>
          <w:color w:val="auto"/>
          <w:sz w:val="24"/>
          <w:highlight w:val="none"/>
        </w:rPr>
        <w:t>根据《建设工程质量管理条例》及有关规定，工程的质量保修期如下： 1</w:t>
      </w:r>
      <w:r>
        <w:rPr>
          <w:rFonts w:eastAsia="仿宋_GB2312"/>
          <w:color w:val="auto"/>
          <w:sz w:val="24"/>
          <w:highlight w:val="none"/>
        </w:rPr>
        <w:t>．</w:t>
      </w:r>
      <w:r>
        <w:rPr>
          <w:rFonts w:eastAsia="仿宋_GB2312"/>
          <w:color w:val="auto"/>
          <w:sz w:val="24"/>
          <w:highlight w:val="none"/>
        </w:rPr>
        <w:t>地基</w:t>
      </w:r>
      <w:r>
        <w:rPr>
          <w:rFonts w:eastAsia="仿宋_GB2312"/>
          <w:color w:val="auto"/>
          <w:sz w:val="24"/>
          <w:highlight w:val="none"/>
        </w:rPr>
        <w:t>基础</w:t>
      </w:r>
      <w:r>
        <w:rPr>
          <w:rFonts w:eastAsia="仿宋_GB2312"/>
          <w:color w:val="auto"/>
          <w:sz w:val="24"/>
          <w:highlight w:val="none"/>
        </w:rPr>
        <w:t>工程和主体结构工程为设计文件规定的工程合理使用年限；</w:t>
      </w:r>
      <w:r>
        <w:rPr>
          <w:rFonts w:hint="eastAsia" w:ascii="宋体" w:hAnsi="宋体" w:cs="宋体"/>
          <w:color w:val="auto"/>
          <w:sz w:val="24"/>
          <w:highlight w:val="none"/>
        </w:rPr>
        <w:t>50年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2．屋面防水工程、有防水要求的卫生间、房间和外墙面的防渗为</w:t>
      </w:r>
      <w:r>
        <w:rPr>
          <w:rFonts w:hint="eastAsia" w:ascii="宋体" w:hAnsi="宋体" w:cs="宋体"/>
          <w:color w:val="auto"/>
          <w:sz w:val="24"/>
          <w:highlight w:val="none"/>
        </w:rPr>
        <w:t>5</w:t>
      </w:r>
      <w:r>
        <w:rPr>
          <w:rFonts w:eastAsia="仿宋_GB2312"/>
          <w:color w:val="auto"/>
          <w:sz w:val="24"/>
          <w:highlight w:val="none"/>
        </w:rPr>
        <w:t>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3．装修工程为</w:t>
      </w:r>
      <w:r>
        <w:rPr>
          <w:rFonts w:hint="eastAsia" w:ascii="宋体" w:hAnsi="宋体" w:cs="宋体"/>
          <w:color w:val="auto"/>
          <w:sz w:val="24"/>
          <w:highlight w:val="none"/>
        </w:rPr>
        <w:t>2</w:t>
      </w:r>
      <w:r>
        <w:rPr>
          <w:rFonts w:eastAsia="仿宋_GB2312"/>
          <w:color w:val="auto"/>
          <w:sz w:val="24"/>
          <w:highlight w:val="none"/>
        </w:rPr>
        <w:t>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4．电气管线、给排水管道、设备安装工程为</w:t>
      </w:r>
      <w:r>
        <w:rPr>
          <w:rFonts w:hint="eastAsia" w:ascii="宋体" w:hAnsi="宋体" w:cs="宋体"/>
          <w:color w:val="auto"/>
          <w:sz w:val="24"/>
          <w:highlight w:val="none"/>
        </w:rPr>
        <w:t>2</w:t>
      </w:r>
      <w:r>
        <w:rPr>
          <w:rFonts w:eastAsia="仿宋_GB2312"/>
          <w:color w:val="auto"/>
          <w:sz w:val="24"/>
          <w:highlight w:val="none"/>
        </w:rPr>
        <w:t>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5．供热与供冷系统为个采暖期、供冷期；</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6．住宅小区内的给排水设施、道路等配套工程为年；</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7．其他项目保修期限约定如下：</w:t>
      </w:r>
      <w:r>
        <w:rPr>
          <w:rFonts w:eastAsia="仿宋_GB2312"/>
          <w:color w:val="auto"/>
          <w:highlight w:val="none"/>
          <w:u w:val="single"/>
        </w:rPr>
        <w:t>所有供货产品质量保证期限为二年</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质量保修期自工程竣工验收合格之日起计算。</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三、缺陷责任期</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工程缺陷责任期为</w:t>
      </w:r>
      <w:r>
        <w:rPr>
          <w:rFonts w:hint="eastAsia" w:ascii="宋体" w:hAnsi="宋体" w:cs="宋体"/>
          <w:color w:val="auto"/>
          <w:sz w:val="24"/>
          <w:highlight w:val="none"/>
        </w:rPr>
        <w:t>24</w:t>
      </w:r>
      <w:r>
        <w:rPr>
          <w:rFonts w:eastAsia="仿宋_GB2312"/>
          <w:color w:val="auto"/>
          <w:sz w:val="24"/>
          <w:highlight w:val="none"/>
        </w:rPr>
        <w:t>个月，缺陷责任期自工程通过竣工验收之日起计算。单位/区段工程先于全部工程进行验收，单位/区段工程缺陷责任期自单位/区段工程验收合格之日起算。</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缺陷责任期终止后，发包人应返还剩余的质量保证金。</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四、质量保修责任</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1．属于保修范围、内容的项目，承包人应当在接到保修通知之日起7天内派人保修。承包人不在约定期限内派人保修的，发包人可以委托他人修理。</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2．发生紧急事故需抢修的，承包人在接到事故通知后，应当立即到达事故现场抢修。</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4．质量保修完成后，由发包人组织验收。</w:t>
      </w:r>
    </w:p>
    <w:p>
      <w:pPr>
        <w:widowControl/>
        <w:adjustRightInd w:val="0"/>
        <w:snapToGrid w:val="0"/>
        <w:spacing w:line="440" w:lineRule="exact"/>
        <w:ind w:firstLine="600"/>
        <w:rPr>
          <w:rFonts w:eastAsia="黑体"/>
          <w:color w:val="auto"/>
          <w:sz w:val="24"/>
          <w:highlight w:val="none"/>
        </w:rPr>
      </w:pPr>
      <w:r>
        <w:rPr>
          <w:rFonts w:eastAsia="黑体"/>
          <w:color w:val="auto"/>
          <w:sz w:val="24"/>
          <w:highlight w:val="none"/>
        </w:rPr>
        <w:t>五、保修费用</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保修费用由造成质量缺陷的责任方承担。</w:t>
      </w:r>
    </w:p>
    <w:p>
      <w:pPr>
        <w:widowControl/>
        <w:adjustRightInd w:val="0"/>
        <w:snapToGrid w:val="0"/>
        <w:spacing w:line="440" w:lineRule="exact"/>
        <w:ind w:firstLine="600"/>
        <w:rPr>
          <w:rFonts w:eastAsia="仿宋_GB2312"/>
          <w:color w:val="auto"/>
          <w:sz w:val="24"/>
          <w:highlight w:val="none"/>
          <w:u w:val="single"/>
        </w:rPr>
      </w:pPr>
      <w:r>
        <w:rPr>
          <w:rFonts w:eastAsia="黑体"/>
          <w:color w:val="auto"/>
          <w:sz w:val="24"/>
          <w:highlight w:val="none"/>
        </w:rPr>
        <w:t>六、双方约定的其他工程质量保修事项</w:t>
      </w:r>
      <w:r>
        <w:rPr>
          <w:rFonts w:eastAsia="仿宋_GB2312"/>
          <w:color w:val="auto"/>
          <w:sz w:val="24"/>
          <w:highlight w:val="none"/>
        </w:rPr>
        <w:t>：。</w:t>
      </w:r>
    </w:p>
    <w:p>
      <w:pPr>
        <w:widowControl/>
        <w:adjustRightInd w:val="0"/>
        <w:snapToGrid w:val="0"/>
        <w:spacing w:line="440" w:lineRule="exact"/>
        <w:ind w:firstLine="600"/>
        <w:rPr>
          <w:rFonts w:eastAsia="仿宋_GB2312"/>
          <w:color w:val="auto"/>
          <w:sz w:val="24"/>
          <w:highlight w:val="none"/>
        </w:rPr>
      </w:pPr>
      <w:r>
        <w:rPr>
          <w:rFonts w:eastAsia="仿宋_GB2312"/>
          <w:color w:val="auto"/>
          <w:sz w:val="24"/>
          <w:highlight w:val="none"/>
        </w:rPr>
        <w:t>工程质量保修书由发包人、承包人在工程竣工验收前共同签署，作为工程总承包合同附件，其有效期限至保修期满。</w:t>
      </w:r>
    </w:p>
    <w:p>
      <w:pPr>
        <w:widowControl/>
        <w:adjustRightInd w:val="0"/>
        <w:snapToGrid w:val="0"/>
        <w:spacing w:line="440" w:lineRule="exact"/>
        <w:ind w:firstLine="600"/>
        <w:rPr>
          <w:rFonts w:eastAsia="仿宋_GB2312"/>
          <w:color w:val="auto"/>
          <w:sz w:val="24"/>
          <w:highlight w:val="none"/>
        </w:rPr>
        <w:sectPr>
          <w:pgSz w:w="11906" w:h="16838"/>
          <w:pgMar w:top="1440" w:right="1800" w:bottom="1440" w:left="1800" w:header="720" w:footer="998" w:gutter="0"/>
          <w:cols w:space="720" w:num="1"/>
          <w:docGrid w:linePitch="326" w:charSpace="0"/>
        </w:sectPr>
      </w:pPr>
      <w:r>
        <w:rPr>
          <w:rFonts w:hint="eastAsia" w:eastAsia="仿宋_GB2312"/>
          <w:color w:val="auto"/>
          <w:sz w:val="24"/>
          <w:highlight w:val="none"/>
        </w:rPr>
        <w:t>（以下无正文）</w:t>
      </w:r>
    </w:p>
    <w:p>
      <w:pPr>
        <w:spacing w:line="500" w:lineRule="exact"/>
        <w:rPr>
          <w:rFonts w:eastAsia="仿宋_GB2312"/>
          <w:color w:val="auto"/>
          <w:sz w:val="24"/>
          <w:highlight w:val="none"/>
        </w:rPr>
      </w:pPr>
      <w:r>
        <w:rPr>
          <w:rFonts w:eastAsia="仿宋_GB2312"/>
          <w:color w:val="auto"/>
          <w:sz w:val="24"/>
          <w:highlight w:val="none"/>
        </w:rPr>
        <w:t>（本页为</w:t>
      </w:r>
      <w:r>
        <w:rPr>
          <w:rFonts w:hint="eastAsia" w:eastAsia="仿宋_GB2312"/>
          <w:color w:val="auto"/>
          <w:sz w:val="24"/>
          <w:highlight w:val="none"/>
        </w:rPr>
        <w:t>工程质量保修书</w:t>
      </w:r>
      <w:r>
        <w:rPr>
          <w:rFonts w:eastAsia="仿宋_GB2312"/>
          <w:color w:val="auto"/>
          <w:sz w:val="24"/>
          <w:highlight w:val="none"/>
        </w:rPr>
        <w:t>签署页）</w:t>
      </w:r>
    </w:p>
    <w:p>
      <w:pPr>
        <w:widowControl/>
        <w:adjustRightInd w:val="0"/>
        <w:snapToGrid w:val="0"/>
        <w:spacing w:line="440" w:lineRule="exact"/>
        <w:rPr>
          <w:rFonts w:eastAsia="仿宋_GB2312"/>
          <w:color w:val="auto"/>
          <w:sz w:val="24"/>
          <w:highlight w:val="none"/>
        </w:rPr>
      </w:pPr>
    </w:p>
    <w:p>
      <w:pPr>
        <w:jc w:val="left"/>
        <w:rPr>
          <w:color w:val="auto"/>
          <w:sz w:val="30"/>
          <w:szCs w:val="30"/>
          <w:highlight w:val="none"/>
        </w:rPr>
      </w:pPr>
    </w:p>
    <w:tbl>
      <w:tblPr>
        <w:tblStyle w:val="4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hint="eastAsia" w:eastAsia="仿宋_GB2312"/>
                <w:color w:val="auto"/>
                <w:sz w:val="24"/>
                <w:highlight w:val="none"/>
              </w:rPr>
              <w:t>发包</w:t>
            </w:r>
            <w:r>
              <w:rPr>
                <w:rFonts w:eastAsia="仿宋_GB2312"/>
                <w:color w:val="auto"/>
                <w:sz w:val="24"/>
                <w:highlight w:val="none"/>
              </w:rPr>
              <w:t>人（盖章）：</w:t>
            </w:r>
          </w:p>
          <w:p>
            <w:pPr>
              <w:adjustRightInd w:val="0"/>
              <w:snapToGrid w:val="0"/>
              <w:spacing w:line="360" w:lineRule="auto"/>
              <w:jc w:val="left"/>
              <w:rPr>
                <w:rFonts w:eastAsia="仿宋_GB2312"/>
                <w:color w:val="auto"/>
                <w:sz w:val="24"/>
                <w:highlight w:val="none"/>
              </w:rPr>
            </w:pPr>
          </w:p>
          <w:p>
            <w:pPr>
              <w:adjustRightInd w:val="0"/>
              <w:snapToGrid w:val="0"/>
              <w:spacing w:line="360" w:lineRule="auto"/>
              <w:jc w:val="left"/>
              <w:rPr>
                <w:rFonts w:eastAsia="仿宋_GB2312"/>
                <w:color w:val="auto"/>
                <w:sz w:val="24"/>
                <w:highlight w:val="none"/>
              </w:rPr>
            </w:pPr>
          </w:p>
        </w:tc>
        <w:tc>
          <w:tcPr>
            <w:tcW w:w="4518" w:type="dxa"/>
            <w:noWrap/>
          </w:tcPr>
          <w:p>
            <w:pPr>
              <w:adjustRightInd w:val="0"/>
              <w:snapToGrid w:val="0"/>
              <w:spacing w:line="360" w:lineRule="auto"/>
              <w:jc w:val="left"/>
              <w:rPr>
                <w:rFonts w:eastAsia="仿宋_GB2312"/>
                <w:color w:val="auto"/>
                <w:sz w:val="24"/>
                <w:highlight w:val="none"/>
              </w:rPr>
            </w:pPr>
            <w:r>
              <w:rPr>
                <w:rFonts w:hint="eastAsia" w:eastAsia="仿宋_GB2312"/>
                <w:color w:val="auto"/>
                <w:sz w:val="24"/>
                <w:highlight w:val="none"/>
              </w:rPr>
              <w:t>承包</w:t>
            </w:r>
            <w:r>
              <w:rPr>
                <w:rFonts w:eastAsia="仿宋_GB2312"/>
                <w:color w:val="auto"/>
                <w:sz w:val="24"/>
                <w:highlight w:val="none"/>
              </w:rPr>
              <w:t>人（盖章）：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住所：</w:t>
            </w: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邮政编码：</w:t>
            </w: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邮政编码：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法定代表人或其授权的代理人</w:t>
            </w:r>
            <w:r>
              <w:rPr>
                <w:rFonts w:hint="eastAsia" w:eastAsia="仿宋_GB2312"/>
                <w:color w:val="auto"/>
                <w:sz w:val="24"/>
                <w:highlight w:val="none"/>
              </w:rPr>
              <w:t>（签名）：</w:t>
            </w:r>
          </w:p>
          <w:p>
            <w:pPr>
              <w:adjustRightInd w:val="0"/>
              <w:snapToGrid w:val="0"/>
              <w:spacing w:line="360" w:lineRule="auto"/>
              <w:jc w:val="left"/>
              <w:rPr>
                <w:rFonts w:eastAsia="仿宋_GB2312"/>
                <w:color w:val="auto"/>
                <w:sz w:val="24"/>
                <w:highlight w:val="none"/>
                <w:u w:val="single"/>
              </w:rPr>
            </w:pPr>
          </w:p>
          <w:p>
            <w:pPr>
              <w:adjustRightInd w:val="0"/>
              <w:snapToGrid w:val="0"/>
              <w:spacing w:line="360" w:lineRule="auto"/>
              <w:jc w:val="left"/>
              <w:rPr>
                <w:rFonts w:eastAsia="仿宋_GB2312"/>
                <w:color w:val="auto"/>
                <w:sz w:val="24"/>
                <w:highlight w:val="none"/>
              </w:rPr>
            </w:pP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法定代表人或其授权的代理人</w:t>
            </w:r>
            <w:r>
              <w:rPr>
                <w:rFonts w:hint="eastAsia" w:eastAsia="仿宋_GB2312"/>
                <w:color w:val="auto"/>
                <w:sz w:val="24"/>
                <w:highlight w:val="none"/>
              </w:rPr>
              <w:t>（签名）：</w:t>
            </w:r>
          </w:p>
          <w:p>
            <w:pPr>
              <w:adjustRightInd w:val="0"/>
              <w:snapToGrid w:val="0"/>
              <w:spacing w:line="360" w:lineRule="auto"/>
              <w:jc w:val="left"/>
              <w:rPr>
                <w:rFonts w:eastAsia="仿宋_GB2312"/>
                <w:color w:val="auto"/>
                <w:sz w:val="24"/>
                <w:highlight w:val="none"/>
                <w:u w:val="single"/>
              </w:rPr>
            </w:pPr>
          </w:p>
          <w:p>
            <w:pPr>
              <w:adjustRightInd w:val="0"/>
              <w:snapToGrid w:val="0"/>
              <w:spacing w:line="360" w:lineRule="auto"/>
              <w:jc w:val="left"/>
              <w:rPr>
                <w:rFonts w:eastAsia="仿宋_GB2312"/>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开户银行：</w:t>
            </w: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账号：</w:t>
            </w: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电话</w:t>
            </w:r>
            <w:r>
              <w:rPr>
                <w:rFonts w:hint="eastAsia" w:eastAsia="仿宋_GB2312"/>
                <w:color w:val="auto"/>
                <w:sz w:val="24"/>
                <w:highlight w:val="none"/>
              </w:rPr>
              <w:t>：</w:t>
            </w: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传真：</w:t>
            </w: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电子邮箱：</w:t>
            </w:r>
          </w:p>
        </w:tc>
        <w:tc>
          <w:tcPr>
            <w:tcW w:w="4518" w:type="dxa"/>
            <w:noWrap/>
          </w:tcPr>
          <w:p>
            <w:pPr>
              <w:adjustRightInd w:val="0"/>
              <w:snapToGrid w:val="0"/>
              <w:spacing w:line="360" w:lineRule="auto"/>
              <w:jc w:val="left"/>
              <w:rPr>
                <w:rFonts w:eastAsia="仿宋_GB2312"/>
                <w:color w:val="auto"/>
                <w:sz w:val="24"/>
                <w:highlight w:val="none"/>
              </w:rPr>
            </w:pPr>
            <w:r>
              <w:rPr>
                <w:rFonts w:eastAsia="仿宋_GB2312"/>
                <w:color w:val="auto"/>
                <w:sz w:val="24"/>
                <w:highlight w:val="none"/>
              </w:rPr>
              <w:t>电子邮箱：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18" w:type="dxa"/>
            <w:noWrap/>
          </w:tcPr>
          <w:p>
            <w:pPr>
              <w:adjustRightInd w:val="0"/>
              <w:snapToGrid w:val="0"/>
              <w:spacing w:line="360" w:lineRule="auto"/>
              <w:jc w:val="left"/>
              <w:rPr>
                <w:rFonts w:eastAsia="仿宋_GB2312"/>
                <w:color w:val="auto"/>
                <w:sz w:val="24"/>
                <w:highlight w:val="none"/>
              </w:rPr>
            </w:pPr>
            <w:r>
              <w:rPr>
                <w:rFonts w:hint="eastAsia" w:eastAsia="仿宋_GB2312"/>
                <w:color w:val="auto"/>
                <w:sz w:val="24"/>
                <w:highlight w:val="none"/>
              </w:rPr>
              <w:t>签订日期：    年    月    日</w:t>
            </w:r>
          </w:p>
        </w:tc>
        <w:tc>
          <w:tcPr>
            <w:tcW w:w="4518" w:type="dxa"/>
            <w:noWrap/>
          </w:tcPr>
          <w:p>
            <w:pPr>
              <w:adjustRightInd w:val="0"/>
              <w:snapToGrid w:val="0"/>
              <w:spacing w:line="360" w:lineRule="auto"/>
              <w:jc w:val="left"/>
              <w:rPr>
                <w:rFonts w:eastAsia="仿宋_GB2312"/>
                <w:color w:val="auto"/>
                <w:sz w:val="24"/>
                <w:highlight w:val="none"/>
              </w:rPr>
            </w:pPr>
            <w:r>
              <w:rPr>
                <w:rFonts w:hint="eastAsia" w:eastAsia="仿宋_GB2312"/>
                <w:color w:val="auto"/>
                <w:sz w:val="24"/>
                <w:highlight w:val="none"/>
              </w:rPr>
              <w:t>签订日期：    年    月    日</w:t>
            </w:r>
          </w:p>
        </w:tc>
      </w:tr>
    </w:tbl>
    <w:p>
      <w:pPr>
        <w:jc w:val="left"/>
        <w:rPr>
          <w:color w:val="auto"/>
          <w:sz w:val="30"/>
          <w:szCs w:val="30"/>
          <w:highlight w:val="none"/>
        </w:rPr>
        <w:sectPr>
          <w:pgSz w:w="11906" w:h="16838"/>
          <w:pgMar w:top="1440" w:right="1800" w:bottom="1440" w:left="1800" w:header="720" w:footer="998" w:gutter="0"/>
          <w:cols w:space="720" w:num="1"/>
          <w:docGrid w:linePitch="326" w:charSpace="0"/>
        </w:sectPr>
      </w:pPr>
    </w:p>
    <w:p>
      <w:pPr>
        <w:rPr>
          <w:rFonts w:ascii="黑体" w:hAnsi="黑体" w:eastAsia="黑体" w:cs="黑体"/>
          <w:b/>
          <w:bCs/>
          <w:color w:val="auto"/>
          <w:sz w:val="30"/>
          <w:szCs w:val="30"/>
          <w:highlight w:val="none"/>
        </w:rPr>
      </w:pPr>
      <w:bookmarkStart w:id="827" w:name="_Toc54862355"/>
      <w:bookmarkStart w:id="828" w:name="_Toc20171896"/>
      <w:r>
        <w:rPr>
          <w:rFonts w:ascii="黑体" w:hAnsi="黑体" w:eastAsia="黑体" w:cs="黑体"/>
          <w:b/>
          <w:bCs/>
          <w:color w:val="auto"/>
          <w:sz w:val="30"/>
          <w:szCs w:val="30"/>
          <w:highlight w:val="none"/>
        </w:rPr>
        <w:t>附件4 主要建设工程文件目录</w:t>
      </w:r>
      <w:bookmarkEnd w:id="827"/>
      <w:bookmarkEnd w:id="828"/>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文件名称</w:t>
            </w:r>
          </w:p>
        </w:tc>
        <w:tc>
          <w:tcPr>
            <w:tcW w:w="1276"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套数</w:t>
            </w:r>
          </w:p>
        </w:tc>
        <w:tc>
          <w:tcPr>
            <w:tcW w:w="1450"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费用（元）</w:t>
            </w:r>
          </w:p>
        </w:tc>
        <w:tc>
          <w:tcPr>
            <w:tcW w:w="1243" w:type="dxa"/>
            <w:tcBorders>
              <w:top w:val="single" w:color="auto" w:sz="12" w:space="0"/>
              <w:bottom w:val="double" w:color="auto" w:sz="6" w:space="0"/>
            </w:tcBorders>
            <w:noWrap/>
            <w:vAlign w:val="center"/>
          </w:tcPr>
          <w:p>
            <w:pPr>
              <w:pStyle w:val="2"/>
              <w:rPr>
                <w:rFonts w:eastAsia="仿宋_GB2312"/>
                <w:color w:val="auto"/>
                <w:sz w:val="21"/>
                <w:highlight w:val="none"/>
              </w:rPr>
            </w:pPr>
            <w:r>
              <w:rPr>
                <w:rFonts w:eastAsia="仿宋_GB2312"/>
                <w:color w:val="auto"/>
                <w:sz w:val="21"/>
                <w:highlight w:val="none"/>
              </w:rPr>
              <w:t>质量</w:t>
            </w:r>
          </w:p>
        </w:tc>
        <w:tc>
          <w:tcPr>
            <w:tcW w:w="1450" w:type="dxa"/>
            <w:tcBorders>
              <w:top w:val="single" w:color="auto" w:sz="12" w:space="0"/>
              <w:bottom w:val="double" w:color="auto" w:sz="6" w:space="0"/>
            </w:tcBorders>
            <w:noWrap/>
          </w:tcPr>
          <w:p>
            <w:pPr>
              <w:jc w:val="center"/>
              <w:rPr>
                <w:rFonts w:eastAsia="仿宋_GB2312"/>
                <w:color w:val="auto"/>
                <w:highlight w:val="none"/>
              </w:rPr>
            </w:pPr>
            <w:r>
              <w:rPr>
                <w:rFonts w:eastAsia="仿宋_GB2312"/>
                <w:color w:val="auto"/>
                <w:highlight w:val="none"/>
              </w:rPr>
              <w:t>移交时间</w:t>
            </w:r>
          </w:p>
        </w:tc>
        <w:tc>
          <w:tcPr>
            <w:tcW w:w="1670" w:type="dxa"/>
            <w:tcBorders>
              <w:top w:val="single" w:color="auto" w:sz="12" w:space="0"/>
              <w:bottom w:val="double" w:color="auto" w:sz="6" w:space="0"/>
            </w:tcBorders>
            <w:noWrap/>
          </w:tcPr>
          <w:p>
            <w:pPr>
              <w:jc w:val="center"/>
              <w:rPr>
                <w:rFonts w:eastAsia="仿宋_GB2312"/>
                <w:color w:val="auto"/>
                <w:highlight w:val="none"/>
              </w:rPr>
            </w:pPr>
            <w:r>
              <w:rPr>
                <w:rFonts w:eastAsia="仿宋_GB2312"/>
                <w:color w:val="auto"/>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noWrap/>
            <w:vAlign w:val="center"/>
          </w:tcPr>
          <w:p>
            <w:pPr>
              <w:pStyle w:val="2"/>
              <w:rPr>
                <w:rFonts w:eastAsia="仿宋_GB2312"/>
                <w:color w:val="auto"/>
                <w:highlight w:val="none"/>
              </w:rPr>
            </w:pPr>
          </w:p>
        </w:tc>
        <w:tc>
          <w:tcPr>
            <w:tcW w:w="1276" w:type="dxa"/>
            <w:tcBorders>
              <w:top w:val="double" w:color="auto" w:sz="6" w:space="0"/>
              <w:bottom w:val="single" w:color="auto" w:sz="6" w:space="0"/>
            </w:tcBorders>
            <w:noWrap/>
            <w:vAlign w:val="center"/>
          </w:tcPr>
          <w:p>
            <w:pPr>
              <w:pStyle w:val="2"/>
              <w:rPr>
                <w:rFonts w:eastAsia="仿宋_GB2312"/>
                <w:color w:val="auto"/>
                <w:highlight w:val="none"/>
              </w:rPr>
            </w:pPr>
          </w:p>
        </w:tc>
        <w:tc>
          <w:tcPr>
            <w:tcW w:w="1450" w:type="dxa"/>
            <w:tcBorders>
              <w:top w:val="double" w:color="auto" w:sz="6" w:space="0"/>
              <w:bottom w:val="single" w:color="auto" w:sz="6" w:space="0"/>
            </w:tcBorders>
            <w:noWrap/>
            <w:vAlign w:val="center"/>
          </w:tcPr>
          <w:p>
            <w:pPr>
              <w:pStyle w:val="2"/>
              <w:rPr>
                <w:rFonts w:eastAsia="仿宋_GB2312"/>
                <w:color w:val="auto"/>
                <w:highlight w:val="none"/>
              </w:rPr>
            </w:pPr>
          </w:p>
        </w:tc>
        <w:tc>
          <w:tcPr>
            <w:tcW w:w="1243" w:type="dxa"/>
            <w:tcBorders>
              <w:top w:val="double" w:color="auto" w:sz="6" w:space="0"/>
              <w:bottom w:val="single" w:color="auto" w:sz="6" w:space="0"/>
            </w:tcBorders>
            <w:noWrap/>
            <w:vAlign w:val="center"/>
          </w:tcPr>
          <w:p>
            <w:pPr>
              <w:pStyle w:val="2"/>
              <w:rPr>
                <w:rFonts w:eastAsia="仿宋_GB2312"/>
                <w:color w:val="auto"/>
                <w:highlight w:val="none"/>
              </w:rPr>
            </w:pPr>
          </w:p>
        </w:tc>
        <w:tc>
          <w:tcPr>
            <w:tcW w:w="1450" w:type="dxa"/>
            <w:tcBorders>
              <w:top w:val="double" w:color="auto" w:sz="6" w:space="0"/>
              <w:bottom w:val="single" w:color="auto" w:sz="6" w:space="0"/>
            </w:tcBorders>
            <w:noWrap/>
            <w:vAlign w:val="center"/>
          </w:tcPr>
          <w:p>
            <w:pPr>
              <w:pStyle w:val="2"/>
              <w:rPr>
                <w:rFonts w:eastAsia="仿宋_GB2312"/>
                <w:color w:val="auto"/>
                <w:highlight w:val="none"/>
              </w:rPr>
            </w:pPr>
          </w:p>
        </w:tc>
        <w:tc>
          <w:tcPr>
            <w:tcW w:w="1670" w:type="dxa"/>
            <w:tcBorders>
              <w:top w:val="double" w:color="auto" w:sz="6" w:space="0"/>
              <w:bottom w:val="single" w:color="auto" w:sz="6" w:space="0"/>
            </w:tcBorders>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noWrap/>
            <w:vAlign w:val="center"/>
          </w:tcPr>
          <w:p>
            <w:pPr>
              <w:pStyle w:val="2"/>
              <w:rPr>
                <w:rFonts w:eastAsia="仿宋_GB2312"/>
                <w:color w:val="auto"/>
                <w:highlight w:val="none"/>
              </w:rPr>
            </w:pPr>
          </w:p>
        </w:tc>
        <w:tc>
          <w:tcPr>
            <w:tcW w:w="1276" w:type="dxa"/>
            <w:tcBorders>
              <w:top w:val="nil"/>
            </w:tcBorders>
            <w:noWrap/>
            <w:vAlign w:val="center"/>
          </w:tcPr>
          <w:p>
            <w:pPr>
              <w:pStyle w:val="2"/>
              <w:rPr>
                <w:rFonts w:eastAsia="仿宋_GB2312"/>
                <w:color w:val="auto"/>
                <w:highlight w:val="none"/>
              </w:rPr>
            </w:pPr>
          </w:p>
        </w:tc>
        <w:tc>
          <w:tcPr>
            <w:tcW w:w="1450" w:type="dxa"/>
            <w:tcBorders>
              <w:top w:val="nil"/>
            </w:tcBorders>
            <w:noWrap/>
            <w:vAlign w:val="center"/>
          </w:tcPr>
          <w:p>
            <w:pPr>
              <w:pStyle w:val="2"/>
              <w:rPr>
                <w:rFonts w:eastAsia="仿宋_GB2312"/>
                <w:color w:val="auto"/>
                <w:highlight w:val="none"/>
              </w:rPr>
            </w:pPr>
          </w:p>
        </w:tc>
        <w:tc>
          <w:tcPr>
            <w:tcW w:w="1243" w:type="dxa"/>
            <w:tcBorders>
              <w:top w:val="nil"/>
            </w:tcBorders>
            <w:noWrap/>
            <w:vAlign w:val="center"/>
          </w:tcPr>
          <w:p>
            <w:pPr>
              <w:pStyle w:val="2"/>
              <w:rPr>
                <w:rFonts w:eastAsia="仿宋_GB2312"/>
                <w:color w:val="auto"/>
                <w:highlight w:val="none"/>
              </w:rPr>
            </w:pPr>
          </w:p>
        </w:tc>
        <w:tc>
          <w:tcPr>
            <w:tcW w:w="1450" w:type="dxa"/>
            <w:tcBorders>
              <w:top w:val="nil"/>
            </w:tcBorders>
            <w:noWrap/>
            <w:vAlign w:val="center"/>
          </w:tcPr>
          <w:p>
            <w:pPr>
              <w:pStyle w:val="2"/>
              <w:rPr>
                <w:rFonts w:eastAsia="仿宋_GB2312"/>
                <w:color w:val="auto"/>
                <w:highlight w:val="none"/>
              </w:rPr>
            </w:pPr>
          </w:p>
        </w:tc>
        <w:tc>
          <w:tcPr>
            <w:tcW w:w="1670" w:type="dxa"/>
            <w:tcBorders>
              <w:top w:val="nil"/>
            </w:tcBorders>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pPr>
              <w:pStyle w:val="2"/>
              <w:rPr>
                <w:rFonts w:eastAsia="仿宋_GB2312"/>
                <w:color w:val="auto"/>
                <w:highlight w:val="none"/>
              </w:rPr>
            </w:pPr>
          </w:p>
        </w:tc>
        <w:tc>
          <w:tcPr>
            <w:tcW w:w="1276"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243"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670"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pPr>
              <w:pStyle w:val="2"/>
              <w:rPr>
                <w:rFonts w:eastAsia="仿宋_GB2312"/>
                <w:color w:val="auto"/>
                <w:highlight w:val="none"/>
              </w:rPr>
            </w:pPr>
          </w:p>
        </w:tc>
        <w:tc>
          <w:tcPr>
            <w:tcW w:w="1276"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243"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670"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pPr>
              <w:pStyle w:val="2"/>
              <w:rPr>
                <w:rFonts w:eastAsia="仿宋_GB2312"/>
                <w:color w:val="auto"/>
                <w:highlight w:val="none"/>
              </w:rPr>
            </w:pPr>
          </w:p>
        </w:tc>
        <w:tc>
          <w:tcPr>
            <w:tcW w:w="1276"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243"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670"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pPr>
              <w:pStyle w:val="2"/>
              <w:rPr>
                <w:rFonts w:eastAsia="仿宋_GB2312"/>
                <w:color w:val="auto"/>
                <w:highlight w:val="none"/>
              </w:rPr>
            </w:pPr>
          </w:p>
        </w:tc>
        <w:tc>
          <w:tcPr>
            <w:tcW w:w="1276"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243"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670"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pPr>
              <w:pStyle w:val="2"/>
              <w:rPr>
                <w:rFonts w:eastAsia="仿宋_GB2312"/>
                <w:color w:val="auto"/>
                <w:highlight w:val="none"/>
              </w:rPr>
            </w:pPr>
          </w:p>
        </w:tc>
        <w:tc>
          <w:tcPr>
            <w:tcW w:w="1276"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243"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670"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pPr>
              <w:pStyle w:val="2"/>
              <w:rPr>
                <w:rFonts w:eastAsia="仿宋_GB2312"/>
                <w:color w:val="auto"/>
                <w:highlight w:val="none"/>
              </w:rPr>
            </w:pPr>
          </w:p>
        </w:tc>
        <w:tc>
          <w:tcPr>
            <w:tcW w:w="1276"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243"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670"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pPr>
              <w:pStyle w:val="2"/>
              <w:rPr>
                <w:rFonts w:eastAsia="仿宋_GB2312"/>
                <w:color w:val="auto"/>
                <w:highlight w:val="none"/>
              </w:rPr>
            </w:pPr>
          </w:p>
        </w:tc>
        <w:tc>
          <w:tcPr>
            <w:tcW w:w="1276"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243" w:type="dxa"/>
            <w:noWrap/>
            <w:vAlign w:val="center"/>
          </w:tcPr>
          <w:p>
            <w:pPr>
              <w:pStyle w:val="2"/>
              <w:rPr>
                <w:rFonts w:eastAsia="仿宋_GB2312"/>
                <w:color w:val="auto"/>
                <w:highlight w:val="none"/>
              </w:rPr>
            </w:pPr>
          </w:p>
        </w:tc>
        <w:tc>
          <w:tcPr>
            <w:tcW w:w="1450" w:type="dxa"/>
            <w:noWrap/>
            <w:vAlign w:val="center"/>
          </w:tcPr>
          <w:p>
            <w:pPr>
              <w:pStyle w:val="2"/>
              <w:rPr>
                <w:rFonts w:eastAsia="仿宋_GB2312"/>
                <w:color w:val="auto"/>
                <w:highlight w:val="none"/>
              </w:rPr>
            </w:pPr>
          </w:p>
        </w:tc>
        <w:tc>
          <w:tcPr>
            <w:tcW w:w="1670" w:type="dxa"/>
            <w:noWrap/>
            <w:vAlign w:val="center"/>
          </w:tcPr>
          <w:p>
            <w:pPr>
              <w:pStyle w:val="2"/>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pPr>
              <w:rPr>
                <w:rFonts w:eastAsia="仿宋_GB2312"/>
                <w:color w:val="auto"/>
                <w:highlight w:val="none"/>
              </w:rPr>
            </w:pPr>
          </w:p>
        </w:tc>
        <w:tc>
          <w:tcPr>
            <w:tcW w:w="1276"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243" w:type="dxa"/>
            <w:noWrap/>
          </w:tcPr>
          <w:p>
            <w:pPr>
              <w:rPr>
                <w:rFonts w:eastAsia="仿宋_GB2312"/>
                <w:color w:val="auto"/>
                <w:highlight w:val="none"/>
              </w:rPr>
            </w:pPr>
          </w:p>
        </w:tc>
        <w:tc>
          <w:tcPr>
            <w:tcW w:w="1450" w:type="dxa"/>
            <w:noWrap/>
          </w:tcPr>
          <w:p>
            <w:pPr>
              <w:rPr>
                <w:rFonts w:eastAsia="仿宋_GB2312"/>
                <w:color w:val="auto"/>
                <w:highlight w:val="none"/>
              </w:rPr>
            </w:pPr>
          </w:p>
        </w:tc>
        <w:tc>
          <w:tcPr>
            <w:tcW w:w="1670" w:type="dxa"/>
            <w:noWrap/>
          </w:tcPr>
          <w:p>
            <w:pPr>
              <w:rPr>
                <w:rFonts w:eastAsia="仿宋_GB2312"/>
                <w:color w:val="auto"/>
                <w:highlight w:val="none"/>
              </w:rPr>
            </w:pPr>
          </w:p>
        </w:tc>
      </w:tr>
    </w:tbl>
    <w:p>
      <w:pPr>
        <w:rPr>
          <w:color w:val="auto"/>
          <w:highlight w:val="none"/>
        </w:rPr>
      </w:pPr>
    </w:p>
    <w:p>
      <w:pPr>
        <w:rPr>
          <w:color w:val="auto"/>
          <w:highlight w:val="none"/>
        </w:rPr>
      </w:pPr>
    </w:p>
    <w:p>
      <w:pPr>
        <w:rPr>
          <w:color w:val="auto"/>
          <w:highlight w:val="none"/>
        </w:rPr>
      </w:pPr>
    </w:p>
    <w:p>
      <w:pPr>
        <w:rPr>
          <w:color w:val="auto"/>
          <w:highlight w:val="none"/>
        </w:rPr>
        <w:sectPr>
          <w:pgSz w:w="11906" w:h="16838"/>
          <w:pgMar w:top="1440" w:right="1800" w:bottom="1440" w:left="1800" w:header="720" w:footer="998" w:gutter="0"/>
          <w:cols w:space="720" w:num="1"/>
          <w:docGrid w:linePitch="326" w:charSpace="0"/>
        </w:sectPr>
      </w:pPr>
    </w:p>
    <w:p>
      <w:pPr>
        <w:pStyle w:val="182"/>
        <w:numPr>
          <w:ilvl w:val="0"/>
          <w:numId w:val="0"/>
        </w:numPr>
        <w:jc w:val="left"/>
        <w:rPr>
          <w:rFonts w:ascii="Times New Roman" w:hAnsi="Times New Roman"/>
          <w:color w:val="auto"/>
          <w:highlight w:val="none"/>
        </w:rPr>
      </w:pPr>
      <w:bookmarkStart w:id="829" w:name="_Toc20171897"/>
      <w:bookmarkStart w:id="830" w:name="_Toc54862356"/>
      <w:r>
        <w:rPr>
          <w:rFonts w:ascii="Times New Roman" w:hAnsi="Times New Roman"/>
          <w:color w:val="auto"/>
          <w:highlight w:val="none"/>
        </w:rPr>
        <w:t>附件5 承包人主要管理人员表</w:t>
      </w:r>
      <w:bookmarkEnd w:id="829"/>
      <w:bookmarkEnd w:id="830"/>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ign w:val="center"/>
          </w:tcPr>
          <w:p>
            <w:pPr>
              <w:pStyle w:val="2"/>
              <w:ind w:firstLine="420"/>
              <w:rPr>
                <w:rFonts w:eastAsia="仿宋_GB2312"/>
                <w:color w:val="auto"/>
                <w:sz w:val="21"/>
                <w:szCs w:val="21"/>
                <w:highlight w:val="none"/>
              </w:rPr>
            </w:pPr>
            <w:r>
              <w:rPr>
                <w:rFonts w:eastAsia="仿宋_GB2312"/>
                <w:color w:val="auto"/>
                <w:sz w:val="21"/>
                <w:szCs w:val="21"/>
                <w:highlight w:val="none"/>
              </w:rPr>
              <w:t>名    称</w:t>
            </w:r>
          </w:p>
        </w:tc>
        <w:tc>
          <w:tcPr>
            <w:tcW w:w="1418" w:type="dxa"/>
            <w:tcBorders>
              <w:top w:val="single" w:color="auto" w:sz="12" w:space="0"/>
              <w:bottom w:val="double" w:color="auto" w:sz="6" w:space="0"/>
            </w:tcBorders>
            <w:noWrap/>
            <w:vAlign w:val="center"/>
          </w:tcPr>
          <w:p>
            <w:pPr>
              <w:pStyle w:val="2"/>
              <w:ind w:firstLine="420"/>
              <w:rPr>
                <w:rFonts w:eastAsia="仿宋_GB2312"/>
                <w:color w:val="auto"/>
                <w:sz w:val="21"/>
                <w:szCs w:val="21"/>
                <w:highlight w:val="none"/>
              </w:rPr>
            </w:pPr>
            <w:r>
              <w:rPr>
                <w:rFonts w:eastAsia="仿宋_GB2312"/>
                <w:color w:val="auto"/>
                <w:sz w:val="21"/>
                <w:szCs w:val="21"/>
                <w:highlight w:val="none"/>
              </w:rPr>
              <w:t>姓名</w:t>
            </w:r>
          </w:p>
        </w:tc>
        <w:tc>
          <w:tcPr>
            <w:tcW w:w="1134" w:type="dxa"/>
            <w:tcBorders>
              <w:top w:val="single" w:color="auto" w:sz="12" w:space="0"/>
              <w:bottom w:val="double" w:color="auto" w:sz="6" w:space="0"/>
            </w:tcBorders>
            <w:noWrap/>
            <w:vAlign w:val="center"/>
          </w:tcPr>
          <w:p>
            <w:pPr>
              <w:pStyle w:val="2"/>
              <w:ind w:firstLine="420"/>
              <w:rPr>
                <w:rFonts w:eastAsia="仿宋_GB2312"/>
                <w:color w:val="auto"/>
                <w:sz w:val="21"/>
                <w:szCs w:val="21"/>
                <w:highlight w:val="none"/>
              </w:rPr>
            </w:pPr>
            <w:r>
              <w:rPr>
                <w:rFonts w:eastAsia="仿宋_GB2312"/>
                <w:color w:val="auto"/>
                <w:sz w:val="21"/>
                <w:szCs w:val="21"/>
                <w:highlight w:val="none"/>
              </w:rPr>
              <w:t>职务</w:t>
            </w:r>
          </w:p>
        </w:tc>
        <w:tc>
          <w:tcPr>
            <w:tcW w:w="1134" w:type="dxa"/>
            <w:tcBorders>
              <w:top w:val="single" w:color="auto" w:sz="12" w:space="0"/>
              <w:bottom w:val="double" w:color="auto" w:sz="6" w:space="0"/>
            </w:tcBorders>
            <w:noWrap/>
            <w:vAlign w:val="center"/>
          </w:tcPr>
          <w:p>
            <w:pPr>
              <w:pStyle w:val="2"/>
              <w:ind w:firstLine="420"/>
              <w:rPr>
                <w:rFonts w:eastAsia="仿宋_GB2312"/>
                <w:color w:val="auto"/>
                <w:sz w:val="21"/>
                <w:szCs w:val="21"/>
                <w:highlight w:val="none"/>
              </w:rPr>
            </w:pPr>
            <w:r>
              <w:rPr>
                <w:rFonts w:eastAsia="仿宋_GB2312"/>
                <w:color w:val="auto"/>
                <w:sz w:val="21"/>
                <w:szCs w:val="21"/>
                <w:highlight w:val="none"/>
              </w:rPr>
              <w:t>职称</w:t>
            </w:r>
          </w:p>
        </w:tc>
        <w:tc>
          <w:tcPr>
            <w:tcW w:w="3896" w:type="dxa"/>
            <w:tcBorders>
              <w:top w:val="single" w:color="auto" w:sz="12" w:space="0"/>
              <w:bottom w:val="double" w:color="auto" w:sz="6" w:space="0"/>
            </w:tcBorders>
            <w:noWrap/>
            <w:vAlign w:val="center"/>
          </w:tcPr>
          <w:p>
            <w:pPr>
              <w:pStyle w:val="2"/>
              <w:ind w:firstLine="420"/>
              <w:rPr>
                <w:rFonts w:eastAsia="仿宋_GB2312"/>
                <w:color w:val="auto"/>
                <w:sz w:val="21"/>
                <w:szCs w:val="21"/>
                <w:highlight w:val="none"/>
              </w:rPr>
            </w:pPr>
            <w:r>
              <w:rPr>
                <w:rFonts w:eastAsia="仿宋_GB2312"/>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ign w:val="center"/>
          </w:tcPr>
          <w:p>
            <w:pPr>
              <w:pStyle w:val="2"/>
              <w:ind w:firstLine="420"/>
              <w:rPr>
                <w:rFonts w:eastAsia="仿宋_GB2312"/>
                <w:color w:val="auto"/>
                <w:sz w:val="21"/>
                <w:szCs w:val="21"/>
                <w:highlight w:val="none"/>
              </w:rPr>
            </w:pPr>
            <w:r>
              <w:rPr>
                <w:rFonts w:eastAsia="仿宋_GB2312"/>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ign w:val="center"/>
          </w:tcPr>
          <w:p>
            <w:pPr>
              <w:pStyle w:val="2"/>
              <w:rPr>
                <w:rFonts w:eastAsia="仿宋_GB2312"/>
                <w:color w:val="auto"/>
                <w:sz w:val="21"/>
                <w:szCs w:val="21"/>
                <w:highlight w:val="none"/>
              </w:rPr>
            </w:pPr>
            <w:r>
              <w:rPr>
                <w:rFonts w:eastAsia="仿宋_GB2312"/>
                <w:color w:val="auto"/>
                <w:sz w:val="21"/>
                <w:szCs w:val="21"/>
                <w:highlight w:val="none"/>
              </w:rPr>
              <w:t>项目主管</w:t>
            </w:r>
          </w:p>
        </w:tc>
        <w:tc>
          <w:tcPr>
            <w:tcW w:w="1418" w:type="dxa"/>
            <w:tcBorders>
              <w:top w:val="nil"/>
            </w:tcBorders>
            <w:noWrap/>
            <w:vAlign w:val="center"/>
          </w:tcPr>
          <w:p>
            <w:pPr>
              <w:pStyle w:val="2"/>
              <w:ind w:firstLine="420"/>
              <w:rPr>
                <w:rFonts w:eastAsia="仿宋_GB2312"/>
                <w:color w:val="auto"/>
                <w:sz w:val="21"/>
                <w:szCs w:val="21"/>
                <w:highlight w:val="none"/>
              </w:rPr>
            </w:pPr>
          </w:p>
        </w:tc>
        <w:tc>
          <w:tcPr>
            <w:tcW w:w="1134" w:type="dxa"/>
            <w:tcBorders>
              <w:top w:val="nil"/>
            </w:tcBorders>
            <w:noWrap/>
            <w:vAlign w:val="center"/>
          </w:tcPr>
          <w:p>
            <w:pPr>
              <w:pStyle w:val="2"/>
              <w:ind w:firstLine="420"/>
              <w:rPr>
                <w:rFonts w:eastAsia="仿宋_GB2312"/>
                <w:color w:val="auto"/>
                <w:sz w:val="21"/>
                <w:szCs w:val="21"/>
                <w:highlight w:val="none"/>
              </w:rPr>
            </w:pPr>
          </w:p>
        </w:tc>
        <w:tc>
          <w:tcPr>
            <w:tcW w:w="1134" w:type="dxa"/>
            <w:tcBorders>
              <w:top w:val="nil"/>
            </w:tcBorders>
            <w:noWrap/>
            <w:vAlign w:val="center"/>
          </w:tcPr>
          <w:p>
            <w:pPr>
              <w:pStyle w:val="2"/>
              <w:ind w:firstLine="420"/>
              <w:rPr>
                <w:rFonts w:eastAsia="仿宋_GB2312"/>
                <w:color w:val="auto"/>
                <w:sz w:val="21"/>
                <w:szCs w:val="21"/>
                <w:highlight w:val="none"/>
              </w:rPr>
            </w:pPr>
          </w:p>
        </w:tc>
        <w:tc>
          <w:tcPr>
            <w:tcW w:w="3896" w:type="dxa"/>
            <w:tcBorders>
              <w:top w:val="nil"/>
            </w:tcBorders>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ign w:val="center"/>
          </w:tcPr>
          <w:p>
            <w:pPr>
              <w:pStyle w:val="2"/>
              <w:ind w:firstLine="420"/>
              <w:rPr>
                <w:rFonts w:eastAsia="仿宋_GB2312"/>
                <w:color w:val="auto"/>
                <w:sz w:val="21"/>
                <w:szCs w:val="21"/>
                <w:highlight w:val="none"/>
              </w:rPr>
            </w:pP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ign w:val="center"/>
          </w:tcPr>
          <w:p>
            <w:pPr>
              <w:pStyle w:val="2"/>
              <w:rPr>
                <w:rFonts w:eastAsia="仿宋_GB2312"/>
                <w:color w:val="auto"/>
                <w:sz w:val="21"/>
                <w:szCs w:val="21"/>
                <w:highlight w:val="none"/>
              </w:rPr>
            </w:pPr>
            <w:r>
              <w:rPr>
                <w:rFonts w:eastAsia="仿宋_GB2312"/>
                <w:color w:val="auto"/>
                <w:sz w:val="21"/>
                <w:szCs w:val="21"/>
                <w:highlight w:val="none"/>
              </w:rPr>
              <w:t>其他人员</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ign w:val="center"/>
          </w:tcPr>
          <w:p>
            <w:pPr>
              <w:pStyle w:val="2"/>
              <w:ind w:firstLine="420"/>
              <w:rPr>
                <w:rFonts w:eastAsia="仿宋_GB2312"/>
                <w:color w:val="auto"/>
                <w:sz w:val="21"/>
                <w:szCs w:val="21"/>
                <w:highlight w:val="none"/>
              </w:rPr>
            </w:pP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ign w:val="center"/>
          </w:tcPr>
          <w:p>
            <w:pPr>
              <w:pStyle w:val="2"/>
              <w:ind w:firstLine="420"/>
              <w:rPr>
                <w:rFonts w:eastAsia="仿宋_GB2312"/>
                <w:color w:val="auto"/>
                <w:sz w:val="21"/>
                <w:szCs w:val="21"/>
                <w:highlight w:val="none"/>
              </w:rPr>
            </w:pPr>
            <w:r>
              <w:rPr>
                <w:rFonts w:eastAsia="仿宋_GB2312"/>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工程总承包</w:t>
            </w:r>
          </w:p>
          <w:p>
            <w:pPr>
              <w:pStyle w:val="2"/>
              <w:rPr>
                <w:rFonts w:eastAsia="仿宋_GB2312"/>
                <w:color w:val="auto"/>
                <w:sz w:val="21"/>
                <w:szCs w:val="21"/>
                <w:highlight w:val="none"/>
              </w:rPr>
            </w:pPr>
            <w:r>
              <w:rPr>
                <w:rFonts w:eastAsia="仿宋_GB2312"/>
                <w:color w:val="auto"/>
                <w:sz w:val="21"/>
                <w:szCs w:val="21"/>
                <w:highlight w:val="none"/>
              </w:rPr>
              <w:t>项目经理</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项目副经理</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设计负责人</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采购负责人</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施工负责人</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技术负责人</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造价管理</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质量管理</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计划管理</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安全管理</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环境管理</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ign w:val="center"/>
          </w:tcPr>
          <w:p>
            <w:pPr>
              <w:pStyle w:val="2"/>
              <w:rPr>
                <w:rFonts w:eastAsia="仿宋_GB2312"/>
                <w:color w:val="auto"/>
                <w:sz w:val="21"/>
                <w:szCs w:val="21"/>
                <w:highlight w:val="none"/>
              </w:rPr>
            </w:pPr>
            <w:r>
              <w:rPr>
                <w:rFonts w:eastAsia="仿宋_GB2312"/>
                <w:color w:val="auto"/>
                <w:sz w:val="21"/>
                <w:szCs w:val="21"/>
                <w:highlight w:val="none"/>
              </w:rPr>
              <w:t>其他人员</w:t>
            </w: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pPr>
              <w:pStyle w:val="2"/>
              <w:ind w:firstLine="420"/>
              <w:rPr>
                <w:rFonts w:eastAsia="仿宋_GB2312"/>
                <w:color w:val="auto"/>
                <w:sz w:val="21"/>
                <w:szCs w:val="21"/>
                <w:highlight w:val="none"/>
              </w:rPr>
            </w:pPr>
          </w:p>
        </w:tc>
        <w:tc>
          <w:tcPr>
            <w:tcW w:w="1418" w:type="dxa"/>
            <w:tcBorders>
              <w:bottom w:val="nil"/>
            </w:tcBorders>
            <w:noWrap/>
            <w:vAlign w:val="center"/>
          </w:tcPr>
          <w:p>
            <w:pPr>
              <w:pStyle w:val="2"/>
              <w:ind w:firstLine="420"/>
              <w:rPr>
                <w:rFonts w:eastAsia="仿宋_GB2312"/>
                <w:color w:val="auto"/>
                <w:sz w:val="21"/>
                <w:szCs w:val="21"/>
                <w:highlight w:val="none"/>
              </w:rPr>
            </w:pPr>
          </w:p>
        </w:tc>
        <w:tc>
          <w:tcPr>
            <w:tcW w:w="1134" w:type="dxa"/>
            <w:tcBorders>
              <w:bottom w:val="nil"/>
            </w:tcBorders>
            <w:noWrap/>
            <w:vAlign w:val="center"/>
          </w:tcPr>
          <w:p>
            <w:pPr>
              <w:pStyle w:val="2"/>
              <w:ind w:firstLine="420"/>
              <w:rPr>
                <w:rFonts w:eastAsia="仿宋_GB2312"/>
                <w:color w:val="auto"/>
                <w:sz w:val="21"/>
                <w:szCs w:val="21"/>
                <w:highlight w:val="none"/>
              </w:rPr>
            </w:pPr>
          </w:p>
        </w:tc>
        <w:tc>
          <w:tcPr>
            <w:tcW w:w="1134" w:type="dxa"/>
            <w:tcBorders>
              <w:bottom w:val="nil"/>
            </w:tcBorders>
            <w:noWrap/>
            <w:vAlign w:val="center"/>
          </w:tcPr>
          <w:p>
            <w:pPr>
              <w:pStyle w:val="2"/>
              <w:ind w:firstLine="420"/>
              <w:rPr>
                <w:rFonts w:eastAsia="仿宋_GB2312"/>
                <w:color w:val="auto"/>
                <w:sz w:val="21"/>
                <w:szCs w:val="21"/>
                <w:highlight w:val="none"/>
              </w:rPr>
            </w:pPr>
          </w:p>
        </w:tc>
        <w:tc>
          <w:tcPr>
            <w:tcW w:w="3896" w:type="dxa"/>
            <w:tcBorders>
              <w:bottom w:val="nil"/>
            </w:tcBorders>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pPr>
              <w:pStyle w:val="2"/>
              <w:ind w:firstLine="420"/>
              <w:rPr>
                <w:rFonts w:eastAsia="仿宋_GB2312"/>
                <w:color w:val="auto"/>
                <w:sz w:val="21"/>
                <w:szCs w:val="21"/>
                <w:highlight w:val="none"/>
              </w:rPr>
            </w:pP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pPr>
              <w:pStyle w:val="2"/>
              <w:ind w:firstLine="420"/>
              <w:rPr>
                <w:rFonts w:eastAsia="仿宋_GB2312"/>
                <w:color w:val="auto"/>
                <w:sz w:val="21"/>
                <w:szCs w:val="21"/>
                <w:highlight w:val="none"/>
              </w:rPr>
            </w:pP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pPr>
              <w:pStyle w:val="2"/>
              <w:ind w:firstLine="420"/>
              <w:rPr>
                <w:rFonts w:eastAsia="仿宋_GB2312"/>
                <w:color w:val="auto"/>
                <w:sz w:val="21"/>
                <w:szCs w:val="21"/>
                <w:highlight w:val="none"/>
              </w:rPr>
            </w:pPr>
          </w:p>
        </w:tc>
        <w:tc>
          <w:tcPr>
            <w:tcW w:w="1418"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1134" w:type="dxa"/>
            <w:noWrap/>
            <w:vAlign w:val="center"/>
          </w:tcPr>
          <w:p>
            <w:pPr>
              <w:pStyle w:val="2"/>
              <w:ind w:firstLine="420"/>
              <w:rPr>
                <w:rFonts w:eastAsia="仿宋_GB2312"/>
                <w:color w:val="auto"/>
                <w:sz w:val="21"/>
                <w:szCs w:val="21"/>
                <w:highlight w:val="none"/>
              </w:rPr>
            </w:pPr>
          </w:p>
        </w:tc>
        <w:tc>
          <w:tcPr>
            <w:tcW w:w="3896" w:type="dxa"/>
            <w:noWrap/>
            <w:vAlign w:val="center"/>
          </w:tcPr>
          <w:p>
            <w:pPr>
              <w:pStyle w:val="2"/>
              <w:ind w:firstLine="420"/>
              <w:rPr>
                <w:rFonts w:eastAsia="仿宋_GB2312"/>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ign w:val="center"/>
          </w:tcPr>
          <w:p>
            <w:pPr>
              <w:pStyle w:val="2"/>
              <w:rPr>
                <w:rFonts w:eastAsia="仿宋_GB2312"/>
                <w:color w:val="auto"/>
                <w:highlight w:val="none"/>
              </w:rPr>
            </w:pPr>
          </w:p>
        </w:tc>
        <w:tc>
          <w:tcPr>
            <w:tcW w:w="1418" w:type="dxa"/>
            <w:tcBorders>
              <w:bottom w:val="single" w:color="auto" w:sz="12" w:space="0"/>
            </w:tcBorders>
            <w:noWrap/>
            <w:vAlign w:val="center"/>
          </w:tcPr>
          <w:p>
            <w:pPr>
              <w:pStyle w:val="2"/>
              <w:rPr>
                <w:rFonts w:eastAsia="仿宋_GB2312"/>
                <w:color w:val="auto"/>
                <w:highlight w:val="none"/>
              </w:rPr>
            </w:pPr>
          </w:p>
        </w:tc>
        <w:tc>
          <w:tcPr>
            <w:tcW w:w="1134" w:type="dxa"/>
            <w:tcBorders>
              <w:bottom w:val="single" w:color="auto" w:sz="12" w:space="0"/>
            </w:tcBorders>
            <w:noWrap/>
            <w:vAlign w:val="center"/>
          </w:tcPr>
          <w:p>
            <w:pPr>
              <w:pStyle w:val="2"/>
              <w:rPr>
                <w:rFonts w:eastAsia="仿宋_GB2312"/>
                <w:color w:val="auto"/>
                <w:highlight w:val="none"/>
              </w:rPr>
            </w:pPr>
          </w:p>
        </w:tc>
        <w:tc>
          <w:tcPr>
            <w:tcW w:w="1134" w:type="dxa"/>
            <w:tcBorders>
              <w:bottom w:val="single" w:color="auto" w:sz="12" w:space="0"/>
            </w:tcBorders>
            <w:noWrap/>
            <w:vAlign w:val="center"/>
          </w:tcPr>
          <w:p>
            <w:pPr>
              <w:pStyle w:val="2"/>
              <w:rPr>
                <w:rFonts w:eastAsia="仿宋_GB2312"/>
                <w:color w:val="auto"/>
                <w:highlight w:val="none"/>
              </w:rPr>
            </w:pPr>
          </w:p>
        </w:tc>
        <w:tc>
          <w:tcPr>
            <w:tcW w:w="3896" w:type="dxa"/>
            <w:tcBorders>
              <w:bottom w:val="single" w:color="auto" w:sz="12" w:space="0"/>
            </w:tcBorders>
            <w:noWrap/>
            <w:vAlign w:val="center"/>
          </w:tcPr>
          <w:p>
            <w:pPr>
              <w:pStyle w:val="2"/>
              <w:rPr>
                <w:rFonts w:eastAsia="仿宋_GB2312"/>
                <w:color w:val="auto"/>
                <w:highlight w:val="none"/>
              </w:rPr>
            </w:pPr>
          </w:p>
        </w:tc>
      </w:tr>
    </w:tbl>
    <w:p>
      <w:pPr>
        <w:rPr>
          <w:rFonts w:eastAsia="黑体"/>
          <w:b/>
          <w:color w:val="auto"/>
          <w:sz w:val="30"/>
          <w:szCs w:val="30"/>
          <w:highlight w:val="none"/>
        </w:rPr>
      </w:pPr>
      <w:r>
        <w:rPr>
          <w:color w:val="auto"/>
          <w:highlight w:val="none"/>
        </w:rPr>
        <w:br w:type="page"/>
      </w:r>
      <w:bookmarkStart w:id="831" w:name="_Toc54862357"/>
      <w:r>
        <w:rPr>
          <w:rFonts w:eastAsia="黑体"/>
          <w:b/>
          <w:color w:val="auto"/>
          <w:sz w:val="30"/>
          <w:szCs w:val="30"/>
          <w:highlight w:val="none"/>
        </w:rPr>
        <w:t>附件6 价格指数权重表</w:t>
      </w:r>
      <w:bookmarkEnd w:id="831"/>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noWrap/>
          </w:tcPr>
          <w:p>
            <w:pPr>
              <w:rPr>
                <w:rFonts w:eastAsia="仿宋_GB2312"/>
                <w:color w:val="auto"/>
                <w:sz w:val="22"/>
                <w:szCs w:val="18"/>
                <w:highlight w:val="none"/>
              </w:rPr>
            </w:pPr>
            <w:r>
              <w:rPr>
                <w:rFonts w:eastAsia="仿宋_GB2312"/>
                <w:color w:val="auto"/>
                <w:sz w:val="22"/>
                <w:szCs w:val="18"/>
                <w:highlight w:val="none"/>
              </w:rPr>
              <w:t>序号</w:t>
            </w:r>
          </w:p>
        </w:tc>
        <w:tc>
          <w:tcPr>
            <w:tcW w:w="1460" w:type="dxa"/>
            <w:gridSpan w:val="2"/>
            <w:vMerge w:val="restart"/>
            <w:noWrap/>
          </w:tcPr>
          <w:p>
            <w:pPr>
              <w:rPr>
                <w:rFonts w:eastAsia="仿宋_GB2312"/>
                <w:color w:val="auto"/>
                <w:sz w:val="22"/>
                <w:szCs w:val="18"/>
                <w:highlight w:val="none"/>
              </w:rPr>
            </w:pPr>
            <w:r>
              <w:rPr>
                <w:rFonts w:eastAsia="仿宋_GB2312"/>
                <w:color w:val="auto"/>
                <w:sz w:val="22"/>
                <w:szCs w:val="18"/>
                <w:highlight w:val="none"/>
              </w:rPr>
              <w:t>名称</w:t>
            </w:r>
          </w:p>
        </w:tc>
        <w:tc>
          <w:tcPr>
            <w:tcW w:w="2295" w:type="dxa"/>
            <w:gridSpan w:val="2"/>
            <w:noWrap/>
          </w:tcPr>
          <w:p>
            <w:pPr>
              <w:rPr>
                <w:rFonts w:eastAsia="仿宋_GB2312"/>
                <w:color w:val="auto"/>
                <w:sz w:val="22"/>
                <w:szCs w:val="18"/>
                <w:highlight w:val="none"/>
              </w:rPr>
            </w:pPr>
            <w:r>
              <w:rPr>
                <w:rFonts w:eastAsia="仿宋_GB2312"/>
                <w:color w:val="auto"/>
                <w:sz w:val="22"/>
                <w:szCs w:val="18"/>
                <w:highlight w:val="none"/>
              </w:rPr>
              <w:t>变更权重B</w:t>
            </w:r>
          </w:p>
        </w:tc>
        <w:tc>
          <w:tcPr>
            <w:tcW w:w="2445" w:type="dxa"/>
            <w:gridSpan w:val="2"/>
            <w:noWrap/>
          </w:tcPr>
          <w:p>
            <w:pPr>
              <w:rPr>
                <w:rFonts w:eastAsia="仿宋_GB2312"/>
                <w:color w:val="auto"/>
                <w:sz w:val="22"/>
                <w:szCs w:val="18"/>
                <w:highlight w:val="none"/>
              </w:rPr>
            </w:pPr>
            <w:r>
              <w:rPr>
                <w:rFonts w:eastAsia="仿宋_GB2312"/>
                <w:color w:val="auto"/>
                <w:sz w:val="22"/>
                <w:szCs w:val="18"/>
                <w:highlight w:val="none"/>
              </w:rPr>
              <w:t>基本价格指数F0</w:t>
            </w:r>
          </w:p>
        </w:tc>
        <w:tc>
          <w:tcPr>
            <w:tcW w:w="1380" w:type="dxa"/>
            <w:noWrap/>
          </w:tcPr>
          <w:p>
            <w:pPr>
              <w:rPr>
                <w:rFonts w:eastAsia="仿宋_GB2312"/>
                <w:color w:val="auto"/>
                <w:sz w:val="22"/>
                <w:szCs w:val="18"/>
                <w:highlight w:val="none"/>
              </w:rPr>
            </w:pPr>
            <w:r>
              <w:rPr>
                <w:rFonts w:eastAsia="仿宋_GB2312"/>
                <w:color w:val="auto"/>
                <w:sz w:val="22"/>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noWrap/>
          </w:tcPr>
          <w:p>
            <w:pPr>
              <w:rPr>
                <w:rFonts w:eastAsia="仿宋_GB2312"/>
                <w:color w:val="auto"/>
                <w:sz w:val="22"/>
                <w:szCs w:val="18"/>
                <w:highlight w:val="none"/>
              </w:rPr>
            </w:pPr>
          </w:p>
        </w:tc>
        <w:tc>
          <w:tcPr>
            <w:tcW w:w="1460" w:type="dxa"/>
            <w:gridSpan w:val="2"/>
            <w:vMerge w:val="continue"/>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代号</w:t>
            </w:r>
          </w:p>
        </w:tc>
        <w:tc>
          <w:tcPr>
            <w:tcW w:w="1080" w:type="dxa"/>
            <w:noWrap/>
          </w:tcPr>
          <w:p>
            <w:pPr>
              <w:rPr>
                <w:rFonts w:eastAsia="仿宋_GB2312"/>
                <w:color w:val="auto"/>
                <w:sz w:val="22"/>
                <w:szCs w:val="18"/>
                <w:highlight w:val="none"/>
              </w:rPr>
            </w:pPr>
            <w:r>
              <w:rPr>
                <w:rFonts w:eastAsia="仿宋_GB2312"/>
                <w:color w:val="auto"/>
                <w:sz w:val="22"/>
                <w:szCs w:val="18"/>
                <w:highlight w:val="none"/>
              </w:rPr>
              <w:t>权重</w:t>
            </w:r>
          </w:p>
        </w:tc>
        <w:tc>
          <w:tcPr>
            <w:tcW w:w="1215" w:type="dxa"/>
            <w:noWrap/>
          </w:tcPr>
          <w:p>
            <w:pPr>
              <w:rPr>
                <w:rFonts w:eastAsia="仿宋_GB2312"/>
                <w:color w:val="auto"/>
                <w:sz w:val="22"/>
                <w:szCs w:val="18"/>
                <w:highlight w:val="none"/>
              </w:rPr>
            </w:pPr>
            <w:r>
              <w:rPr>
                <w:rFonts w:eastAsia="仿宋_GB2312"/>
                <w:color w:val="auto"/>
                <w:sz w:val="22"/>
                <w:szCs w:val="18"/>
                <w:highlight w:val="none"/>
              </w:rPr>
              <w:t>代号</w:t>
            </w:r>
          </w:p>
        </w:tc>
        <w:tc>
          <w:tcPr>
            <w:tcW w:w="1230" w:type="dxa"/>
            <w:noWrap/>
          </w:tcPr>
          <w:p>
            <w:pPr>
              <w:rPr>
                <w:rFonts w:eastAsia="仿宋_GB2312"/>
                <w:color w:val="auto"/>
                <w:sz w:val="22"/>
                <w:szCs w:val="18"/>
                <w:highlight w:val="none"/>
              </w:rPr>
            </w:pPr>
            <w:r>
              <w:rPr>
                <w:rFonts w:eastAsia="仿宋_GB2312"/>
                <w:color w:val="auto"/>
                <w:sz w:val="22"/>
                <w:szCs w:val="18"/>
                <w:highlight w:val="none"/>
              </w:rPr>
              <w:t>指数</w:t>
            </w: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pPr>
              <w:rPr>
                <w:rFonts w:eastAsia="仿宋_GB2312"/>
                <w:color w:val="auto"/>
                <w:sz w:val="22"/>
                <w:szCs w:val="18"/>
                <w:highlight w:val="none"/>
              </w:rPr>
            </w:pPr>
          </w:p>
        </w:tc>
        <w:tc>
          <w:tcPr>
            <w:tcW w:w="584" w:type="dxa"/>
            <w:vMerge w:val="restart"/>
            <w:noWrap/>
          </w:tcPr>
          <w:p>
            <w:pPr>
              <w:rPr>
                <w:rFonts w:eastAsia="仿宋_GB2312"/>
                <w:color w:val="auto"/>
                <w:sz w:val="22"/>
                <w:szCs w:val="18"/>
                <w:highlight w:val="none"/>
              </w:rPr>
            </w:pPr>
            <w:r>
              <w:rPr>
                <w:rFonts w:eastAsia="仿宋_GB2312"/>
                <w:color w:val="auto"/>
                <w:sz w:val="22"/>
                <w:szCs w:val="18"/>
                <w:highlight w:val="none"/>
              </w:rPr>
              <w:t>变</w:t>
            </w:r>
          </w:p>
          <w:p>
            <w:pPr>
              <w:rPr>
                <w:rFonts w:eastAsia="仿宋_GB2312"/>
                <w:color w:val="auto"/>
                <w:sz w:val="22"/>
                <w:szCs w:val="18"/>
                <w:highlight w:val="none"/>
              </w:rPr>
            </w:pPr>
            <w:r>
              <w:rPr>
                <w:rFonts w:eastAsia="仿宋_GB2312"/>
                <w:color w:val="auto"/>
                <w:sz w:val="22"/>
                <w:szCs w:val="18"/>
                <w:highlight w:val="none"/>
              </w:rPr>
              <w:t>值</w:t>
            </w:r>
          </w:p>
          <w:p>
            <w:pPr>
              <w:rPr>
                <w:rFonts w:eastAsia="仿宋_GB2312"/>
                <w:color w:val="auto"/>
                <w:sz w:val="22"/>
                <w:szCs w:val="18"/>
                <w:highlight w:val="none"/>
              </w:rPr>
            </w:pPr>
            <w:r>
              <w:rPr>
                <w:rFonts w:eastAsia="仿宋_GB2312"/>
                <w:color w:val="auto"/>
                <w:sz w:val="22"/>
                <w:szCs w:val="18"/>
                <w:highlight w:val="none"/>
              </w:rPr>
              <w:t>部</w:t>
            </w:r>
          </w:p>
          <w:p>
            <w:pPr>
              <w:rPr>
                <w:rFonts w:eastAsia="仿宋_GB2312"/>
                <w:color w:val="auto"/>
                <w:sz w:val="22"/>
                <w:szCs w:val="18"/>
                <w:highlight w:val="none"/>
              </w:rPr>
            </w:pPr>
            <w:r>
              <w:rPr>
                <w:rFonts w:eastAsia="仿宋_GB2312"/>
                <w:color w:val="auto"/>
                <w:sz w:val="22"/>
                <w:szCs w:val="18"/>
                <w:highlight w:val="none"/>
              </w:rPr>
              <w:t>分</w:t>
            </w:r>
          </w:p>
        </w:tc>
        <w:tc>
          <w:tcPr>
            <w:tcW w:w="876"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B1</w:t>
            </w:r>
          </w:p>
        </w:tc>
        <w:tc>
          <w:tcPr>
            <w:tcW w:w="1080"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F01</w:t>
            </w:r>
          </w:p>
        </w:tc>
        <w:tc>
          <w:tcPr>
            <w:tcW w:w="1230" w:type="dxa"/>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pPr>
              <w:rPr>
                <w:rFonts w:eastAsia="仿宋_GB2312"/>
                <w:color w:val="auto"/>
                <w:sz w:val="22"/>
                <w:szCs w:val="18"/>
                <w:highlight w:val="none"/>
              </w:rPr>
            </w:pPr>
          </w:p>
        </w:tc>
        <w:tc>
          <w:tcPr>
            <w:tcW w:w="584" w:type="dxa"/>
            <w:vMerge w:val="continue"/>
            <w:noWrap/>
          </w:tcPr>
          <w:p>
            <w:pPr>
              <w:rPr>
                <w:rFonts w:eastAsia="仿宋_GB2312"/>
                <w:color w:val="auto"/>
                <w:sz w:val="22"/>
                <w:szCs w:val="18"/>
                <w:highlight w:val="none"/>
              </w:rPr>
            </w:pPr>
          </w:p>
        </w:tc>
        <w:tc>
          <w:tcPr>
            <w:tcW w:w="876"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B2</w:t>
            </w:r>
          </w:p>
        </w:tc>
        <w:tc>
          <w:tcPr>
            <w:tcW w:w="1080"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F02</w:t>
            </w:r>
          </w:p>
        </w:tc>
        <w:tc>
          <w:tcPr>
            <w:tcW w:w="1230" w:type="dxa"/>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pPr>
              <w:rPr>
                <w:rFonts w:eastAsia="仿宋_GB2312"/>
                <w:color w:val="auto"/>
                <w:sz w:val="22"/>
                <w:szCs w:val="18"/>
                <w:highlight w:val="none"/>
              </w:rPr>
            </w:pPr>
          </w:p>
        </w:tc>
        <w:tc>
          <w:tcPr>
            <w:tcW w:w="584" w:type="dxa"/>
            <w:vMerge w:val="continue"/>
            <w:noWrap/>
          </w:tcPr>
          <w:p>
            <w:pPr>
              <w:rPr>
                <w:rFonts w:eastAsia="仿宋_GB2312"/>
                <w:color w:val="auto"/>
                <w:sz w:val="22"/>
                <w:szCs w:val="18"/>
                <w:highlight w:val="none"/>
              </w:rPr>
            </w:pPr>
          </w:p>
        </w:tc>
        <w:tc>
          <w:tcPr>
            <w:tcW w:w="876"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B3</w:t>
            </w:r>
          </w:p>
        </w:tc>
        <w:tc>
          <w:tcPr>
            <w:tcW w:w="1080"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F03</w:t>
            </w:r>
          </w:p>
        </w:tc>
        <w:tc>
          <w:tcPr>
            <w:tcW w:w="1230" w:type="dxa"/>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pPr>
              <w:rPr>
                <w:rFonts w:eastAsia="仿宋_GB2312"/>
                <w:color w:val="auto"/>
                <w:sz w:val="22"/>
                <w:szCs w:val="18"/>
                <w:highlight w:val="none"/>
              </w:rPr>
            </w:pPr>
          </w:p>
        </w:tc>
        <w:tc>
          <w:tcPr>
            <w:tcW w:w="584" w:type="dxa"/>
            <w:vMerge w:val="continue"/>
            <w:noWrap/>
          </w:tcPr>
          <w:p>
            <w:pPr>
              <w:rPr>
                <w:rFonts w:eastAsia="仿宋_GB2312"/>
                <w:color w:val="auto"/>
                <w:sz w:val="22"/>
                <w:szCs w:val="18"/>
                <w:highlight w:val="none"/>
              </w:rPr>
            </w:pPr>
          </w:p>
        </w:tc>
        <w:tc>
          <w:tcPr>
            <w:tcW w:w="876"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B4</w:t>
            </w:r>
          </w:p>
        </w:tc>
        <w:tc>
          <w:tcPr>
            <w:tcW w:w="1080"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r>
              <w:rPr>
                <w:rFonts w:eastAsia="仿宋_GB2312"/>
                <w:color w:val="auto"/>
                <w:sz w:val="22"/>
                <w:szCs w:val="18"/>
                <w:highlight w:val="none"/>
              </w:rPr>
              <w:t>F04</w:t>
            </w:r>
          </w:p>
        </w:tc>
        <w:tc>
          <w:tcPr>
            <w:tcW w:w="1230" w:type="dxa"/>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pPr>
              <w:rPr>
                <w:rFonts w:eastAsia="仿宋_GB2312"/>
                <w:color w:val="auto"/>
                <w:sz w:val="22"/>
                <w:szCs w:val="18"/>
                <w:highlight w:val="none"/>
              </w:rPr>
            </w:pPr>
          </w:p>
        </w:tc>
        <w:tc>
          <w:tcPr>
            <w:tcW w:w="584" w:type="dxa"/>
            <w:vMerge w:val="continue"/>
            <w:noWrap/>
          </w:tcPr>
          <w:p>
            <w:pPr>
              <w:rPr>
                <w:rFonts w:eastAsia="仿宋_GB2312"/>
                <w:color w:val="auto"/>
                <w:sz w:val="22"/>
                <w:szCs w:val="18"/>
                <w:highlight w:val="none"/>
              </w:rPr>
            </w:pPr>
          </w:p>
        </w:tc>
        <w:tc>
          <w:tcPr>
            <w:tcW w:w="876"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p>
        </w:tc>
        <w:tc>
          <w:tcPr>
            <w:tcW w:w="1080"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p>
        </w:tc>
        <w:tc>
          <w:tcPr>
            <w:tcW w:w="1230" w:type="dxa"/>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pPr>
              <w:rPr>
                <w:rFonts w:eastAsia="仿宋_GB2312"/>
                <w:color w:val="auto"/>
                <w:sz w:val="22"/>
                <w:szCs w:val="18"/>
                <w:highlight w:val="none"/>
              </w:rPr>
            </w:pPr>
          </w:p>
        </w:tc>
        <w:tc>
          <w:tcPr>
            <w:tcW w:w="584" w:type="dxa"/>
            <w:vMerge w:val="continue"/>
            <w:noWrap/>
          </w:tcPr>
          <w:p>
            <w:pPr>
              <w:rPr>
                <w:rFonts w:eastAsia="仿宋_GB2312"/>
                <w:color w:val="auto"/>
                <w:sz w:val="22"/>
                <w:szCs w:val="18"/>
                <w:highlight w:val="none"/>
              </w:rPr>
            </w:pPr>
          </w:p>
        </w:tc>
        <w:tc>
          <w:tcPr>
            <w:tcW w:w="876"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p>
        </w:tc>
        <w:tc>
          <w:tcPr>
            <w:tcW w:w="1080"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p>
        </w:tc>
        <w:tc>
          <w:tcPr>
            <w:tcW w:w="1230" w:type="dxa"/>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tcPr>
          <w:p>
            <w:pPr>
              <w:rPr>
                <w:rFonts w:eastAsia="仿宋_GB2312"/>
                <w:color w:val="auto"/>
                <w:sz w:val="22"/>
                <w:szCs w:val="18"/>
                <w:highlight w:val="none"/>
              </w:rPr>
            </w:pPr>
            <w:r>
              <w:rPr>
                <w:rFonts w:eastAsia="仿宋_GB2312"/>
                <w:color w:val="auto"/>
                <w:sz w:val="22"/>
                <w:szCs w:val="18"/>
                <w:highlight w:val="none"/>
              </w:rPr>
              <w:t>定值部分权重A</w:t>
            </w:r>
          </w:p>
        </w:tc>
        <w:tc>
          <w:tcPr>
            <w:tcW w:w="1215" w:type="dxa"/>
            <w:noWrap/>
          </w:tcPr>
          <w:p>
            <w:pPr>
              <w:rPr>
                <w:rFonts w:eastAsia="仿宋_GB2312"/>
                <w:color w:val="auto"/>
                <w:sz w:val="22"/>
                <w:szCs w:val="18"/>
                <w:highlight w:val="none"/>
              </w:rPr>
            </w:pPr>
          </w:p>
        </w:tc>
        <w:tc>
          <w:tcPr>
            <w:tcW w:w="1080" w:type="dxa"/>
            <w:noWrap/>
          </w:tcPr>
          <w:p>
            <w:pPr>
              <w:rPr>
                <w:rFonts w:eastAsia="仿宋_GB2312"/>
                <w:color w:val="auto"/>
                <w:sz w:val="22"/>
                <w:szCs w:val="18"/>
                <w:highlight w:val="none"/>
              </w:rPr>
            </w:pPr>
          </w:p>
        </w:tc>
        <w:tc>
          <w:tcPr>
            <w:tcW w:w="1215" w:type="dxa"/>
            <w:noWrap/>
          </w:tcPr>
          <w:p>
            <w:pPr>
              <w:rPr>
                <w:rFonts w:eastAsia="仿宋_GB2312"/>
                <w:color w:val="auto"/>
                <w:sz w:val="22"/>
                <w:szCs w:val="18"/>
                <w:highlight w:val="none"/>
              </w:rPr>
            </w:pPr>
          </w:p>
        </w:tc>
        <w:tc>
          <w:tcPr>
            <w:tcW w:w="1230" w:type="dxa"/>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tcPr>
          <w:p>
            <w:pPr>
              <w:rPr>
                <w:rFonts w:eastAsia="仿宋_GB2312"/>
                <w:color w:val="auto"/>
                <w:sz w:val="22"/>
                <w:szCs w:val="18"/>
                <w:highlight w:val="none"/>
              </w:rPr>
            </w:pPr>
            <w:r>
              <w:rPr>
                <w:rFonts w:eastAsia="仿宋_GB2312"/>
                <w:color w:val="auto"/>
                <w:sz w:val="22"/>
                <w:szCs w:val="18"/>
                <w:highlight w:val="none"/>
              </w:rPr>
              <w:t>合计</w:t>
            </w:r>
          </w:p>
        </w:tc>
        <w:tc>
          <w:tcPr>
            <w:tcW w:w="2295" w:type="dxa"/>
            <w:gridSpan w:val="2"/>
            <w:noWrap/>
          </w:tcPr>
          <w:p>
            <w:pPr>
              <w:rPr>
                <w:rFonts w:eastAsia="仿宋_GB2312"/>
                <w:color w:val="auto"/>
                <w:sz w:val="22"/>
                <w:szCs w:val="18"/>
                <w:highlight w:val="none"/>
              </w:rPr>
            </w:pPr>
          </w:p>
        </w:tc>
        <w:tc>
          <w:tcPr>
            <w:tcW w:w="2445" w:type="dxa"/>
            <w:gridSpan w:val="2"/>
            <w:noWrap/>
          </w:tcPr>
          <w:p>
            <w:pPr>
              <w:rPr>
                <w:rFonts w:eastAsia="仿宋_GB2312"/>
                <w:color w:val="auto"/>
                <w:sz w:val="22"/>
                <w:szCs w:val="18"/>
                <w:highlight w:val="none"/>
              </w:rPr>
            </w:pPr>
          </w:p>
        </w:tc>
        <w:tc>
          <w:tcPr>
            <w:tcW w:w="1380" w:type="dxa"/>
            <w:noWrap/>
          </w:tcPr>
          <w:p>
            <w:pPr>
              <w:rPr>
                <w:rFonts w:eastAsia="仿宋_GB2312"/>
                <w:color w:val="auto"/>
                <w:sz w:val="22"/>
                <w:szCs w:val="18"/>
                <w:highlight w:val="none"/>
              </w:rPr>
            </w:pPr>
          </w:p>
        </w:tc>
      </w:tr>
    </w:tbl>
    <w:p>
      <w:pPr>
        <w:rPr>
          <w:color w:val="auto"/>
          <w:highlight w:val="none"/>
        </w:rPr>
      </w:pPr>
    </w:p>
    <w:p>
      <w:pPr>
        <w:jc w:val="left"/>
        <w:rPr>
          <w:color w:val="auto"/>
          <w:highlight w:val="none"/>
        </w:rPr>
      </w:pPr>
    </w:p>
    <w:p>
      <w:pPr>
        <w:rPr>
          <w:color w:val="auto"/>
          <w:highlight w:val="none"/>
        </w:rPr>
      </w:pPr>
    </w:p>
    <w:p>
      <w:pPr>
        <w:spacing w:line="520" w:lineRule="exact"/>
        <w:rPr>
          <w:rFonts w:ascii="宋体" w:hAnsi="宋体"/>
          <w:color w:val="auto"/>
          <w:highlight w:val="none"/>
        </w:rPr>
      </w:pPr>
    </w:p>
    <w:sectPr>
      <w:headerReference r:id="rId16" w:type="first"/>
      <w:footerReference r:id="rId19" w:type="first"/>
      <w:headerReference r:id="rId15" w:type="default"/>
      <w:footerReference r:id="rId17" w:type="default"/>
      <w:footerReference r:id="rId18" w:type="even"/>
      <w:pgSz w:w="11906" w:h="16838"/>
      <w:pgMar w:top="1440" w:right="1418" w:bottom="1440"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8EACD8-5D05-47AD-B3BF-12B99562F2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embedRegular r:id="rId2" w:fontKey="{AFFC839F-6F93-48D6-A8FE-DEAD7AF7EECF}"/>
  </w:font>
  <w:font w:name="仿宋_GB2312">
    <w:panose1 w:val="02010609030101010101"/>
    <w:charset w:val="86"/>
    <w:family w:val="modern"/>
    <w:pitch w:val="default"/>
    <w:sig w:usb0="00000001" w:usb1="080E0000" w:usb2="00000000" w:usb3="00000000" w:csb0="00040000" w:csb1="00000000"/>
    <w:embedRegular r:id="rId3" w:fontKey="{E145954F-B481-4825-98FD-168DF4E737EB}"/>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embedRegular r:id="rId4" w:fontKey="{D2A846CE-6DA6-46DD-A06A-17FF9343FD59}"/>
  </w:font>
  <w:font w:name="新宋体">
    <w:panose1 w:val="02010609030101010101"/>
    <w:charset w:val="86"/>
    <w:family w:val="modern"/>
    <w:pitch w:val="default"/>
    <w:sig w:usb0="00000283" w:usb1="288F0000" w:usb2="00000006" w:usb3="00000000" w:csb0="00040001" w:csb1="00000000"/>
    <w:embedRegular r:id="rId5" w:fontKey="{E0F4C07E-1BF4-4B4C-86AE-BEB35762D9A9}"/>
  </w:font>
  <w:font w:name="微软雅黑">
    <w:panose1 w:val="020B0503020204020204"/>
    <w:charset w:val="86"/>
    <w:family w:val="swiss"/>
    <w:pitch w:val="default"/>
    <w:sig w:usb0="80000287" w:usb1="2ACF3C50" w:usb2="00000016" w:usb3="00000000" w:csb0="0004001F" w:csb1="00000000"/>
    <w:embedRegular r:id="rId6" w:fontKey="{7AA633D9-BE57-4A03-B268-70085F274DAE}"/>
  </w:font>
  <w:font w:name="华文行楷">
    <w:panose1 w:val="02010800040101010101"/>
    <w:charset w:val="86"/>
    <w:family w:val="auto"/>
    <w:pitch w:val="default"/>
    <w:sig w:usb0="00000001" w:usb1="080F0000" w:usb2="00000000" w:usb3="00000000" w:csb0="00040000" w:csb1="00000000"/>
    <w:embedRegular r:id="rId7" w:fontKey="{0E3B7A6A-D783-4578-879B-4AC8C0DB0673}"/>
  </w:font>
  <w:font w:name="方正小标宋简体">
    <w:panose1 w:val="03000509000000000000"/>
    <w:charset w:val="86"/>
    <w:family w:val="script"/>
    <w:pitch w:val="default"/>
    <w:sig w:usb0="00000001" w:usb1="080E0000" w:usb2="00000000" w:usb3="00000000" w:csb0="00040000" w:csb1="00000000"/>
    <w:embedRegular r:id="rId8" w:fontKey="{FD48FCE1-D2A0-44FA-B2DD-1AB022550784}"/>
  </w:font>
  <w:font w:name="华文中宋">
    <w:panose1 w:val="02010600040101010101"/>
    <w:charset w:val="86"/>
    <w:family w:val="auto"/>
    <w:pitch w:val="default"/>
    <w:sig w:usb0="00000287" w:usb1="080F0000" w:usb2="00000000" w:usb3="00000000" w:csb0="0004009F" w:csb1="DFD70000"/>
    <w:embedRegular r:id="rId9" w:fontKey="{6DF91C85-0045-408B-9D45-48D5822E9181}"/>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819"/>
        <w:tab w:val="clear" w:pos="4153"/>
      </w:tabs>
    </w:pPr>
    <w:r>
      <w:pict>
        <v:shape id="_x0000_s2058" o:spid="_x0000_s205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40</w:t>
                </w:r>
                <w:r>
                  <w:fldChar w:fldCharType="end"/>
                </w:r>
              </w:p>
            </w:txbxContent>
          </v:textbox>
        </v:shape>
      </w:pict>
    </w: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64" o:spid="_x0000_s206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151</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cs="宋体"/>
      </w:rPr>
    </w:pPr>
    <w:r>
      <w:pict>
        <v:shape id="_x0000_s2065" o:spid="_x0000_s2065"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154</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jc w:val="center"/>
    </w:pPr>
    <w:r>
      <w:pict>
        <v:shape id="_x0000_s2066" o:spid="_x0000_s2066"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262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ind w:firstLine="360"/>
      <w:rPr>
        <w:rStyle w:val="51"/>
        <w:sz w:val="21"/>
        <w:szCs w:val="24"/>
      </w:rPr>
    </w:pPr>
    <w:r>
      <w:fldChar w:fldCharType="begin"/>
    </w:r>
    <w:r>
      <w:rPr>
        <w:rStyle w:val="51"/>
      </w:rPr>
      <w:instrText xml:space="preserve">PAGE  </w:instrText>
    </w:r>
    <w:r>
      <w:fldChar w:fldCharType="separate"/>
    </w:r>
    <w:r>
      <w:rPr>
        <w:rStyle w:val="51"/>
      </w:rPr>
      <w:t>59</w:t>
    </w:r>
    <w:r>
      <w:fldChar w:fldCharType="end"/>
    </w:r>
  </w:p>
  <w:p>
    <w:pPr>
      <w:pStyle w:val="31"/>
      <w:ind w:firstLine="360"/>
    </w:pPr>
  </w:p>
  <w:p/>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pict>
        <v:shape id="_x0000_s2067" o:spid="_x0000_s2067"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261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文本框 14" o:spid="_x0000_s205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29VLskBAACb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UBJHLc48cv3b5cfvy4/v5Ll&#10;6yxQH6DGvIeAmWm48wMmz35AZ+Y9qGjzFxkRjCPW+SqvHBIR+dF6tV5XGBIYmy+Izx6fhwjprfSW&#10;ZKOhEedXZOWn95DG1DklV3P+XhtTZmjcXw7EzB6Wex97zFYa9sNEaO/bM/LpcfQNdbjplJh3DpXF&#10;/tJsxNnYz8YxRH3oyhrlehBujwmbKL3lCiPsVBhnVthN+5WX4s97yXr8p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7b1UuyQEAAJsDAAAOAAAAAAAAAAEAIAAAAB4BAABkcnMvZTJvRG9j&#10;LnhtbFBLBQYAAAAABgAGAFkBAABZBQAAAAA=&#1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134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jc w:val="center"/>
    </w:pPr>
    <w:r>
      <w:pict>
        <v:shape id="_x0000_s2059" o:spid="_x0000_s205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40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1"/>
      </w:rPr>
    </w:pPr>
    <w:r>
      <w:fldChar w:fldCharType="begin"/>
    </w:r>
    <w:r>
      <w:rPr>
        <w:rStyle w:val="51"/>
      </w:rPr>
      <w:instrText xml:space="preserve">PAGE  </w:instrText>
    </w:r>
    <w:r>
      <w:fldChar w:fldCharType="separate"/>
    </w:r>
    <w:r>
      <w:rPr>
        <w:rStyle w:val="51"/>
      </w:rPr>
      <w:t>59</w: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61" o:spid="_x0000_s206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144</w:t>
                </w:r>
                <w:r>
                  <w:fldChar w:fldCharType="end"/>
                </w:r>
              </w:p>
            </w:txbxContent>
          </v:textbox>
        </v:shape>
      </w:pict>
    </w:r>
    <w:r>
      <w:rPr>
        <w:rFonts w:hint="eastAsia"/>
      </w:rPr>
      <w:t>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 PAGE   \* MERGEFORMAT </w:instrText>
    </w:r>
    <w:r>
      <w:fldChar w:fldCharType="separate"/>
    </w:r>
    <w:r>
      <w:rPr>
        <w:rFonts w:eastAsia="Times New Roman"/>
        <w:sz w:val="18"/>
      </w:rPr>
      <w:t>1</w:t>
    </w:r>
    <w:r>
      <w:rPr>
        <w:rFonts w:eastAsia="Times New Roman"/>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62" o:spid="_x0000_s206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146</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pict>
        <v:shape id="_x0000_s2063" o:spid="_x0000_s206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31"/>
                </w:pPr>
                <w:r>
                  <w:fldChar w:fldCharType="begin"/>
                </w:r>
                <w:r>
                  <w:instrText xml:space="preserve"> PAGE  \* MERGEFORMAT </w:instrText>
                </w:r>
                <w:r>
                  <w:fldChar w:fldCharType="separate"/>
                </w:r>
                <w:r>
                  <w:t>147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AA1482"/>
    <w:multiLevelType w:val="singleLevel"/>
    <w:tmpl w:val="98AA1482"/>
    <w:lvl w:ilvl="0" w:tentative="0">
      <w:start w:val="1"/>
      <w:numFmt w:val="decimal"/>
      <w:suff w:val="nothing"/>
      <w:lvlText w:val="%1、"/>
      <w:lvlJc w:val="left"/>
    </w:lvl>
  </w:abstractNum>
  <w:abstractNum w:abstractNumId="1">
    <w:nsid w:val="9C5F185C"/>
    <w:multiLevelType w:val="singleLevel"/>
    <w:tmpl w:val="9C5F185C"/>
    <w:lvl w:ilvl="0" w:tentative="0">
      <w:start w:val="7"/>
      <w:numFmt w:val="decimal"/>
      <w:suff w:val="nothing"/>
      <w:lvlText w:val="%1、"/>
      <w:lvlJc w:val="left"/>
    </w:lvl>
  </w:abstractNum>
  <w:abstractNum w:abstractNumId="2">
    <w:nsid w:val="E093A4B0"/>
    <w:multiLevelType w:val="multilevel"/>
    <w:tmpl w:val="E093A4B0"/>
    <w:lvl w:ilvl="0" w:tentative="0">
      <w:start w:val="1"/>
      <w:numFmt w:val="decimal"/>
      <w:lvlText w:val="%1."/>
      <w:lvlJc w:val="left"/>
      <w:pPr>
        <w:ind w:left="955" w:hanging="281"/>
      </w:pPr>
      <w:rPr>
        <w:rFonts w:hint="default" w:ascii="宋体" w:hAnsi="宋体" w:eastAsia="宋体" w:cs="宋体"/>
        <w:w w:val="100"/>
        <w:sz w:val="26"/>
        <w:szCs w:val="26"/>
        <w:lang w:val="zh-CN" w:eastAsia="zh-CN" w:bidi="zh-CN"/>
      </w:rPr>
    </w:lvl>
    <w:lvl w:ilvl="1" w:tentative="0">
      <w:start w:val="0"/>
      <w:numFmt w:val="bullet"/>
      <w:lvlText w:val="•"/>
      <w:lvlJc w:val="left"/>
      <w:pPr>
        <w:ind w:left="1866" w:hanging="281"/>
      </w:pPr>
      <w:rPr>
        <w:rFonts w:hint="default"/>
        <w:lang w:val="zh-CN" w:eastAsia="zh-CN" w:bidi="zh-CN"/>
      </w:rPr>
    </w:lvl>
    <w:lvl w:ilvl="2" w:tentative="0">
      <w:start w:val="0"/>
      <w:numFmt w:val="bullet"/>
      <w:lvlText w:val="•"/>
      <w:lvlJc w:val="left"/>
      <w:pPr>
        <w:ind w:left="2773" w:hanging="281"/>
      </w:pPr>
      <w:rPr>
        <w:rFonts w:hint="default"/>
        <w:lang w:val="zh-CN" w:eastAsia="zh-CN" w:bidi="zh-CN"/>
      </w:rPr>
    </w:lvl>
    <w:lvl w:ilvl="3" w:tentative="0">
      <w:start w:val="0"/>
      <w:numFmt w:val="bullet"/>
      <w:lvlText w:val="•"/>
      <w:lvlJc w:val="left"/>
      <w:pPr>
        <w:ind w:left="3680" w:hanging="281"/>
      </w:pPr>
      <w:rPr>
        <w:rFonts w:hint="default"/>
        <w:lang w:val="zh-CN" w:eastAsia="zh-CN" w:bidi="zh-CN"/>
      </w:rPr>
    </w:lvl>
    <w:lvl w:ilvl="4" w:tentative="0">
      <w:start w:val="0"/>
      <w:numFmt w:val="bullet"/>
      <w:lvlText w:val="•"/>
      <w:lvlJc w:val="left"/>
      <w:pPr>
        <w:ind w:left="4586" w:hanging="281"/>
      </w:pPr>
      <w:rPr>
        <w:rFonts w:hint="default"/>
        <w:lang w:val="zh-CN" w:eastAsia="zh-CN" w:bidi="zh-CN"/>
      </w:rPr>
    </w:lvl>
    <w:lvl w:ilvl="5" w:tentative="0">
      <w:start w:val="0"/>
      <w:numFmt w:val="bullet"/>
      <w:lvlText w:val="•"/>
      <w:lvlJc w:val="left"/>
      <w:pPr>
        <w:ind w:left="5493" w:hanging="281"/>
      </w:pPr>
      <w:rPr>
        <w:rFonts w:hint="default"/>
        <w:lang w:val="zh-CN" w:eastAsia="zh-CN" w:bidi="zh-CN"/>
      </w:rPr>
    </w:lvl>
    <w:lvl w:ilvl="6" w:tentative="0">
      <w:start w:val="0"/>
      <w:numFmt w:val="bullet"/>
      <w:lvlText w:val="•"/>
      <w:lvlJc w:val="left"/>
      <w:pPr>
        <w:ind w:left="6400" w:hanging="281"/>
      </w:pPr>
      <w:rPr>
        <w:rFonts w:hint="default"/>
        <w:lang w:val="zh-CN" w:eastAsia="zh-CN" w:bidi="zh-CN"/>
      </w:rPr>
    </w:lvl>
    <w:lvl w:ilvl="7" w:tentative="0">
      <w:start w:val="0"/>
      <w:numFmt w:val="bullet"/>
      <w:lvlText w:val="•"/>
      <w:lvlJc w:val="left"/>
      <w:pPr>
        <w:ind w:left="7306" w:hanging="281"/>
      </w:pPr>
      <w:rPr>
        <w:rFonts w:hint="default"/>
        <w:lang w:val="zh-CN" w:eastAsia="zh-CN" w:bidi="zh-CN"/>
      </w:rPr>
    </w:lvl>
    <w:lvl w:ilvl="8" w:tentative="0">
      <w:start w:val="0"/>
      <w:numFmt w:val="bullet"/>
      <w:lvlText w:val="•"/>
      <w:lvlJc w:val="left"/>
      <w:pPr>
        <w:ind w:left="8213" w:hanging="281"/>
      </w:pPr>
      <w:rPr>
        <w:rFonts w:hint="default"/>
        <w:lang w:val="zh-CN" w:eastAsia="zh-CN" w:bidi="zh-CN"/>
      </w:rPr>
    </w:lvl>
  </w:abstractNum>
  <w:abstractNum w:abstractNumId="3">
    <w:nsid w:val="0000000D"/>
    <w:multiLevelType w:val="multilevel"/>
    <w:tmpl w:val="0000000D"/>
    <w:lvl w:ilvl="0" w:tentative="0">
      <w:start w:val="1"/>
      <w:numFmt w:val="decimal"/>
      <w:pStyle w:val="16"/>
      <w:lvlText w:val="（%1）"/>
      <w:lvlJc w:val="left"/>
      <w:pPr>
        <w:tabs>
          <w:tab w:val="left" w:pos="900"/>
        </w:tabs>
        <w:ind w:left="90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E967D5"/>
    <w:multiLevelType w:val="multilevel"/>
    <w:tmpl w:val="01E967D5"/>
    <w:lvl w:ilvl="0" w:tentative="0">
      <w:start w:val="1"/>
      <w:numFmt w:val="chineseCountingThousand"/>
      <w:pStyle w:val="172"/>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AA800C6"/>
    <w:multiLevelType w:val="multilevel"/>
    <w:tmpl w:val="3AA800C6"/>
    <w:lvl w:ilvl="0" w:tentative="0">
      <w:start w:val="1"/>
      <w:numFmt w:val="decimal"/>
      <w:pStyle w:val="176"/>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6">
    <w:nsid w:val="3D27446C"/>
    <w:multiLevelType w:val="multilevel"/>
    <w:tmpl w:val="3D27446C"/>
    <w:lvl w:ilvl="0" w:tentative="0">
      <w:start w:val="1"/>
      <w:numFmt w:val="decimal"/>
      <w:lvlText w:val="（%1）"/>
      <w:lvlJc w:val="left"/>
      <w:pPr>
        <w:tabs>
          <w:tab w:val="left" w:pos="2051"/>
        </w:tabs>
        <w:ind w:left="2051" w:hanging="1200"/>
      </w:pPr>
      <w:rPr>
        <w:rFonts w:hint="default"/>
        <w:b w:val="0"/>
        <w:bCs w:val="0"/>
      </w:rPr>
    </w:lvl>
    <w:lvl w:ilvl="1" w:tentative="0">
      <w:start w:val="1"/>
      <w:numFmt w:val="lowerLetter"/>
      <w:lvlText w:val="%2)"/>
      <w:lvlJc w:val="left"/>
      <w:pPr>
        <w:tabs>
          <w:tab w:val="left" w:pos="1117"/>
        </w:tabs>
        <w:ind w:left="1117" w:hanging="420"/>
      </w:pPr>
    </w:lvl>
    <w:lvl w:ilvl="2" w:tentative="0">
      <w:start w:val="1"/>
      <w:numFmt w:val="lowerRoman"/>
      <w:lvlText w:val="%3."/>
      <w:lvlJc w:val="right"/>
      <w:pPr>
        <w:tabs>
          <w:tab w:val="left" w:pos="1537"/>
        </w:tabs>
        <w:ind w:left="1537" w:hanging="420"/>
      </w:pPr>
    </w:lvl>
    <w:lvl w:ilvl="3" w:tentative="0">
      <w:start w:val="1"/>
      <w:numFmt w:val="decimal"/>
      <w:lvlText w:val="%4."/>
      <w:lvlJc w:val="left"/>
      <w:pPr>
        <w:tabs>
          <w:tab w:val="left" w:pos="1957"/>
        </w:tabs>
        <w:ind w:left="1957" w:hanging="420"/>
      </w:pPr>
    </w:lvl>
    <w:lvl w:ilvl="4" w:tentative="0">
      <w:start w:val="1"/>
      <w:numFmt w:val="lowerLetter"/>
      <w:lvlText w:val="%5)"/>
      <w:lvlJc w:val="left"/>
      <w:pPr>
        <w:tabs>
          <w:tab w:val="left" w:pos="2377"/>
        </w:tabs>
        <w:ind w:left="2377" w:hanging="420"/>
      </w:pPr>
    </w:lvl>
    <w:lvl w:ilvl="5" w:tentative="0">
      <w:start w:val="1"/>
      <w:numFmt w:val="lowerRoman"/>
      <w:lvlText w:val="%6."/>
      <w:lvlJc w:val="right"/>
      <w:pPr>
        <w:tabs>
          <w:tab w:val="left" w:pos="2797"/>
        </w:tabs>
        <w:ind w:left="2797" w:hanging="420"/>
      </w:pPr>
    </w:lvl>
    <w:lvl w:ilvl="6" w:tentative="0">
      <w:start w:val="1"/>
      <w:numFmt w:val="decimal"/>
      <w:lvlText w:val="%7."/>
      <w:lvlJc w:val="left"/>
      <w:pPr>
        <w:tabs>
          <w:tab w:val="left" w:pos="3217"/>
        </w:tabs>
        <w:ind w:left="3217" w:hanging="420"/>
      </w:pPr>
    </w:lvl>
    <w:lvl w:ilvl="7" w:tentative="0">
      <w:start w:val="1"/>
      <w:numFmt w:val="lowerLetter"/>
      <w:lvlText w:val="%8)"/>
      <w:lvlJc w:val="left"/>
      <w:pPr>
        <w:tabs>
          <w:tab w:val="left" w:pos="3637"/>
        </w:tabs>
        <w:ind w:left="3637" w:hanging="420"/>
      </w:pPr>
    </w:lvl>
    <w:lvl w:ilvl="8" w:tentative="0">
      <w:start w:val="1"/>
      <w:numFmt w:val="lowerRoman"/>
      <w:lvlText w:val="%9."/>
      <w:lvlJc w:val="right"/>
      <w:pPr>
        <w:tabs>
          <w:tab w:val="left" w:pos="4057"/>
        </w:tabs>
        <w:ind w:left="4057" w:hanging="420"/>
      </w:pPr>
    </w:lvl>
  </w:abstractNum>
  <w:abstractNum w:abstractNumId="7">
    <w:nsid w:val="59059789"/>
    <w:multiLevelType w:val="singleLevel"/>
    <w:tmpl w:val="59059789"/>
    <w:lvl w:ilvl="0" w:tentative="0">
      <w:start w:val="7"/>
      <w:numFmt w:val="chineseCounting"/>
      <w:pStyle w:val="21"/>
      <w:suff w:val="nothing"/>
      <w:lvlText w:val="%1、"/>
      <w:lvlJc w:val="left"/>
    </w:lvl>
  </w:abstractNum>
  <w:abstractNum w:abstractNumId="8">
    <w:nsid w:val="620E1040"/>
    <w:multiLevelType w:val="multilevel"/>
    <w:tmpl w:val="620E1040"/>
    <w:lvl w:ilvl="0" w:tentative="0">
      <w:start w:val="1"/>
      <w:numFmt w:val="decimal"/>
      <w:lvlText w:val="（%1）"/>
      <w:lvlJc w:val="left"/>
      <w:pPr>
        <w:tabs>
          <w:tab w:val="left" w:pos="2700"/>
        </w:tabs>
        <w:ind w:left="2700" w:hanging="1260"/>
      </w:pPr>
      <w:rPr>
        <w:rFonts w:hint="eastAsia"/>
      </w:rPr>
    </w:lvl>
    <w:lvl w:ilvl="1" w:tentative="0">
      <w:start w:val="1"/>
      <w:numFmt w:val="lowerLetter"/>
      <w:lvlText w:val="%2)"/>
      <w:lvlJc w:val="left"/>
      <w:pPr>
        <w:tabs>
          <w:tab w:val="left" w:pos="2280"/>
        </w:tabs>
        <w:ind w:left="2280" w:hanging="420"/>
      </w:pPr>
    </w:lvl>
    <w:lvl w:ilvl="2" w:tentative="0">
      <w:start w:val="1"/>
      <w:numFmt w:val="lowerRoman"/>
      <w:lvlText w:val="%3."/>
      <w:lvlJc w:val="right"/>
      <w:pPr>
        <w:tabs>
          <w:tab w:val="left" w:pos="2700"/>
        </w:tabs>
        <w:ind w:left="2700" w:hanging="420"/>
      </w:pPr>
    </w:lvl>
    <w:lvl w:ilvl="3" w:tentative="0">
      <w:start w:val="1"/>
      <w:numFmt w:val="decimal"/>
      <w:lvlText w:val="%4."/>
      <w:lvlJc w:val="left"/>
      <w:pPr>
        <w:tabs>
          <w:tab w:val="left" w:pos="3120"/>
        </w:tabs>
        <w:ind w:left="3120" w:hanging="420"/>
      </w:pPr>
    </w:lvl>
    <w:lvl w:ilvl="4" w:tentative="0">
      <w:start w:val="1"/>
      <w:numFmt w:val="lowerLetter"/>
      <w:lvlText w:val="%5)"/>
      <w:lvlJc w:val="left"/>
      <w:pPr>
        <w:tabs>
          <w:tab w:val="left" w:pos="3540"/>
        </w:tabs>
        <w:ind w:left="3540" w:hanging="420"/>
      </w:pPr>
    </w:lvl>
    <w:lvl w:ilvl="5" w:tentative="0">
      <w:start w:val="1"/>
      <w:numFmt w:val="lowerRoman"/>
      <w:lvlText w:val="%6."/>
      <w:lvlJc w:val="right"/>
      <w:pPr>
        <w:tabs>
          <w:tab w:val="left" w:pos="3960"/>
        </w:tabs>
        <w:ind w:left="3960" w:hanging="420"/>
      </w:pPr>
    </w:lvl>
    <w:lvl w:ilvl="6" w:tentative="0">
      <w:start w:val="1"/>
      <w:numFmt w:val="decimal"/>
      <w:lvlText w:val="%7."/>
      <w:lvlJc w:val="left"/>
      <w:pPr>
        <w:tabs>
          <w:tab w:val="left" w:pos="4380"/>
        </w:tabs>
        <w:ind w:left="4380" w:hanging="420"/>
      </w:pPr>
    </w:lvl>
    <w:lvl w:ilvl="7" w:tentative="0">
      <w:start w:val="1"/>
      <w:numFmt w:val="lowerLetter"/>
      <w:lvlText w:val="%8)"/>
      <w:lvlJc w:val="left"/>
      <w:pPr>
        <w:tabs>
          <w:tab w:val="left" w:pos="4800"/>
        </w:tabs>
        <w:ind w:left="4800" w:hanging="420"/>
      </w:pPr>
    </w:lvl>
    <w:lvl w:ilvl="8" w:tentative="0">
      <w:start w:val="1"/>
      <w:numFmt w:val="lowerRoman"/>
      <w:lvlText w:val="%9."/>
      <w:lvlJc w:val="right"/>
      <w:pPr>
        <w:tabs>
          <w:tab w:val="left" w:pos="5220"/>
        </w:tabs>
        <w:ind w:left="5220" w:hanging="420"/>
      </w:pPr>
    </w:lvl>
  </w:abstractNum>
  <w:abstractNum w:abstractNumId="9">
    <w:nsid w:val="62687BB6"/>
    <w:multiLevelType w:val="multilevel"/>
    <w:tmpl w:val="62687BB6"/>
    <w:lvl w:ilvl="0" w:tentative="0">
      <w:start w:val="1"/>
      <w:numFmt w:val="decimal"/>
      <w:pStyle w:val="182"/>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10">
    <w:nsid w:val="6E87019F"/>
    <w:multiLevelType w:val="multilevel"/>
    <w:tmpl w:val="6E87019F"/>
    <w:lvl w:ilvl="0" w:tentative="0">
      <w:start w:val="1"/>
      <w:numFmt w:val="chineseCountingThousand"/>
      <w:pStyle w:val="174"/>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3"/>
  </w:num>
  <w:num w:numId="2">
    <w:abstractNumId w:val="7"/>
  </w:num>
  <w:num w:numId="3">
    <w:abstractNumId w:val="4"/>
  </w:num>
  <w:num w:numId="4">
    <w:abstractNumId w:val="10"/>
  </w:num>
  <w:num w:numId="5">
    <w:abstractNumId w:val="5"/>
  </w:num>
  <w:num w:numId="6">
    <w:abstractNumId w:val="9"/>
  </w:num>
  <w:num w:numId="7">
    <w:abstractNumId w:val="1"/>
  </w:num>
  <w:num w:numId="8">
    <w:abstractNumId w:val="8"/>
  </w:num>
  <w:num w:numId="9">
    <w:abstractNumId w:val="6"/>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FmODhlYTQyZGNmYjJhMDEyYjhlMDk4OWNiNjdjZWYifQ=="/>
  </w:docVars>
  <w:rsids>
    <w:rsidRoot w:val="00134923"/>
    <w:rsid w:val="00001F7F"/>
    <w:rsid w:val="00003EEE"/>
    <w:rsid w:val="0000424D"/>
    <w:rsid w:val="000062C6"/>
    <w:rsid w:val="00011C27"/>
    <w:rsid w:val="000124F8"/>
    <w:rsid w:val="00015885"/>
    <w:rsid w:val="00017739"/>
    <w:rsid w:val="000223B4"/>
    <w:rsid w:val="000236E2"/>
    <w:rsid w:val="00025425"/>
    <w:rsid w:val="0002547A"/>
    <w:rsid w:val="00025579"/>
    <w:rsid w:val="00025B85"/>
    <w:rsid w:val="00025EED"/>
    <w:rsid w:val="00026EB0"/>
    <w:rsid w:val="00027C3F"/>
    <w:rsid w:val="00031A2E"/>
    <w:rsid w:val="00031E80"/>
    <w:rsid w:val="000320B1"/>
    <w:rsid w:val="00034E0D"/>
    <w:rsid w:val="00034E2C"/>
    <w:rsid w:val="00041DB5"/>
    <w:rsid w:val="000452E1"/>
    <w:rsid w:val="0004561C"/>
    <w:rsid w:val="000504D9"/>
    <w:rsid w:val="0005150E"/>
    <w:rsid w:val="00051EE8"/>
    <w:rsid w:val="00053568"/>
    <w:rsid w:val="000548FB"/>
    <w:rsid w:val="00054A4F"/>
    <w:rsid w:val="00060D0A"/>
    <w:rsid w:val="0006409F"/>
    <w:rsid w:val="00065B6F"/>
    <w:rsid w:val="00065BD1"/>
    <w:rsid w:val="00066E1C"/>
    <w:rsid w:val="00066ED0"/>
    <w:rsid w:val="0007083F"/>
    <w:rsid w:val="00070FEA"/>
    <w:rsid w:val="00073144"/>
    <w:rsid w:val="000731E6"/>
    <w:rsid w:val="00073716"/>
    <w:rsid w:val="00074861"/>
    <w:rsid w:val="00076523"/>
    <w:rsid w:val="00076A0F"/>
    <w:rsid w:val="0007744C"/>
    <w:rsid w:val="000820F4"/>
    <w:rsid w:val="00085E7E"/>
    <w:rsid w:val="00086836"/>
    <w:rsid w:val="00087EDA"/>
    <w:rsid w:val="00090087"/>
    <w:rsid w:val="00091117"/>
    <w:rsid w:val="000928F8"/>
    <w:rsid w:val="00092DB5"/>
    <w:rsid w:val="00093419"/>
    <w:rsid w:val="00094199"/>
    <w:rsid w:val="00095346"/>
    <w:rsid w:val="00095712"/>
    <w:rsid w:val="00096623"/>
    <w:rsid w:val="00096652"/>
    <w:rsid w:val="000A0AFA"/>
    <w:rsid w:val="000A11A6"/>
    <w:rsid w:val="000A28C0"/>
    <w:rsid w:val="000A2A45"/>
    <w:rsid w:val="000A3BEB"/>
    <w:rsid w:val="000A5EEF"/>
    <w:rsid w:val="000A7CDA"/>
    <w:rsid w:val="000B1BC3"/>
    <w:rsid w:val="000B23D6"/>
    <w:rsid w:val="000B34B1"/>
    <w:rsid w:val="000C2FFC"/>
    <w:rsid w:val="000C369A"/>
    <w:rsid w:val="000C3F03"/>
    <w:rsid w:val="000C47F3"/>
    <w:rsid w:val="000C4A73"/>
    <w:rsid w:val="000C5EDE"/>
    <w:rsid w:val="000C650D"/>
    <w:rsid w:val="000C7FF9"/>
    <w:rsid w:val="000D0642"/>
    <w:rsid w:val="000D2769"/>
    <w:rsid w:val="000D314B"/>
    <w:rsid w:val="000D3EBE"/>
    <w:rsid w:val="000D59EF"/>
    <w:rsid w:val="000D5D0C"/>
    <w:rsid w:val="000D6717"/>
    <w:rsid w:val="000E16F0"/>
    <w:rsid w:val="000E501A"/>
    <w:rsid w:val="000E5CA9"/>
    <w:rsid w:val="000E6E8B"/>
    <w:rsid w:val="000F0C17"/>
    <w:rsid w:val="000F27C1"/>
    <w:rsid w:val="000F3B3D"/>
    <w:rsid w:val="000F4545"/>
    <w:rsid w:val="000F4DDC"/>
    <w:rsid w:val="000F502B"/>
    <w:rsid w:val="001029A8"/>
    <w:rsid w:val="00103D07"/>
    <w:rsid w:val="001051A7"/>
    <w:rsid w:val="0011030B"/>
    <w:rsid w:val="00111D36"/>
    <w:rsid w:val="00111D66"/>
    <w:rsid w:val="001133AC"/>
    <w:rsid w:val="00114324"/>
    <w:rsid w:val="00114B1F"/>
    <w:rsid w:val="00115206"/>
    <w:rsid w:val="00116B6D"/>
    <w:rsid w:val="00117171"/>
    <w:rsid w:val="00120B6B"/>
    <w:rsid w:val="001218C6"/>
    <w:rsid w:val="00121D84"/>
    <w:rsid w:val="00122CFF"/>
    <w:rsid w:val="001232A5"/>
    <w:rsid w:val="00123F9E"/>
    <w:rsid w:val="00126924"/>
    <w:rsid w:val="00127D20"/>
    <w:rsid w:val="0013207C"/>
    <w:rsid w:val="00132400"/>
    <w:rsid w:val="00134330"/>
    <w:rsid w:val="00134923"/>
    <w:rsid w:val="001349ED"/>
    <w:rsid w:val="00134EDC"/>
    <w:rsid w:val="00134F62"/>
    <w:rsid w:val="00135D79"/>
    <w:rsid w:val="00136779"/>
    <w:rsid w:val="001409FB"/>
    <w:rsid w:val="00141E0B"/>
    <w:rsid w:val="0014322E"/>
    <w:rsid w:val="001458DE"/>
    <w:rsid w:val="00146FC1"/>
    <w:rsid w:val="0015180D"/>
    <w:rsid w:val="00151854"/>
    <w:rsid w:val="00153608"/>
    <w:rsid w:val="00153A45"/>
    <w:rsid w:val="0015544D"/>
    <w:rsid w:val="00165B3E"/>
    <w:rsid w:val="001664F1"/>
    <w:rsid w:val="0016791A"/>
    <w:rsid w:val="00173678"/>
    <w:rsid w:val="00173E28"/>
    <w:rsid w:val="00175623"/>
    <w:rsid w:val="00175DBD"/>
    <w:rsid w:val="0017614B"/>
    <w:rsid w:val="00177A33"/>
    <w:rsid w:val="001805EB"/>
    <w:rsid w:val="0018083A"/>
    <w:rsid w:val="00180DE4"/>
    <w:rsid w:val="00181379"/>
    <w:rsid w:val="00185293"/>
    <w:rsid w:val="001854CC"/>
    <w:rsid w:val="001860DB"/>
    <w:rsid w:val="001862B4"/>
    <w:rsid w:val="0018718A"/>
    <w:rsid w:val="00187DA2"/>
    <w:rsid w:val="001910E5"/>
    <w:rsid w:val="00191415"/>
    <w:rsid w:val="00192B15"/>
    <w:rsid w:val="001932EA"/>
    <w:rsid w:val="00196757"/>
    <w:rsid w:val="001A07D5"/>
    <w:rsid w:val="001A0AAE"/>
    <w:rsid w:val="001A2554"/>
    <w:rsid w:val="001A5703"/>
    <w:rsid w:val="001A6252"/>
    <w:rsid w:val="001A795A"/>
    <w:rsid w:val="001B2ADE"/>
    <w:rsid w:val="001B489E"/>
    <w:rsid w:val="001C2026"/>
    <w:rsid w:val="001C365D"/>
    <w:rsid w:val="001C68E1"/>
    <w:rsid w:val="001D12D8"/>
    <w:rsid w:val="001D5F56"/>
    <w:rsid w:val="001E03C5"/>
    <w:rsid w:val="001E26EA"/>
    <w:rsid w:val="001E53CE"/>
    <w:rsid w:val="001E67B1"/>
    <w:rsid w:val="001E6F86"/>
    <w:rsid w:val="001F05E8"/>
    <w:rsid w:val="001F1591"/>
    <w:rsid w:val="001F1794"/>
    <w:rsid w:val="001F1897"/>
    <w:rsid w:val="001F1F1B"/>
    <w:rsid w:val="001F4765"/>
    <w:rsid w:val="001F4FBB"/>
    <w:rsid w:val="00200E29"/>
    <w:rsid w:val="002027DD"/>
    <w:rsid w:val="002060EB"/>
    <w:rsid w:val="00206C6C"/>
    <w:rsid w:val="00206D48"/>
    <w:rsid w:val="00211DFF"/>
    <w:rsid w:val="00212003"/>
    <w:rsid w:val="00212921"/>
    <w:rsid w:val="002129DC"/>
    <w:rsid w:val="0021374A"/>
    <w:rsid w:val="00213F98"/>
    <w:rsid w:val="00217B37"/>
    <w:rsid w:val="00222F17"/>
    <w:rsid w:val="00223275"/>
    <w:rsid w:val="00224369"/>
    <w:rsid w:val="002243F2"/>
    <w:rsid w:val="0022510C"/>
    <w:rsid w:val="00230396"/>
    <w:rsid w:val="00230A15"/>
    <w:rsid w:val="00232C7C"/>
    <w:rsid w:val="00240DCB"/>
    <w:rsid w:val="00244501"/>
    <w:rsid w:val="002477FB"/>
    <w:rsid w:val="00251B90"/>
    <w:rsid w:val="00254977"/>
    <w:rsid w:val="0025650E"/>
    <w:rsid w:val="00256E4C"/>
    <w:rsid w:val="0025735F"/>
    <w:rsid w:val="00257B77"/>
    <w:rsid w:val="00261552"/>
    <w:rsid w:val="0026176C"/>
    <w:rsid w:val="002618D5"/>
    <w:rsid w:val="002620FA"/>
    <w:rsid w:val="00262607"/>
    <w:rsid w:val="00262671"/>
    <w:rsid w:val="00263EF0"/>
    <w:rsid w:val="00265C0F"/>
    <w:rsid w:val="00266C2B"/>
    <w:rsid w:val="0027030D"/>
    <w:rsid w:val="00270B08"/>
    <w:rsid w:val="00270C70"/>
    <w:rsid w:val="00270D15"/>
    <w:rsid w:val="002720A4"/>
    <w:rsid w:val="0027266E"/>
    <w:rsid w:val="002738E3"/>
    <w:rsid w:val="00273A31"/>
    <w:rsid w:val="0027595F"/>
    <w:rsid w:val="00276A0F"/>
    <w:rsid w:val="00277998"/>
    <w:rsid w:val="00280841"/>
    <w:rsid w:val="002829C3"/>
    <w:rsid w:val="00285986"/>
    <w:rsid w:val="00286774"/>
    <w:rsid w:val="002875CD"/>
    <w:rsid w:val="002879D9"/>
    <w:rsid w:val="00287A85"/>
    <w:rsid w:val="00291B2F"/>
    <w:rsid w:val="0029310F"/>
    <w:rsid w:val="00293BF8"/>
    <w:rsid w:val="002A00EE"/>
    <w:rsid w:val="002A1D36"/>
    <w:rsid w:val="002A2744"/>
    <w:rsid w:val="002A29EE"/>
    <w:rsid w:val="002A33F3"/>
    <w:rsid w:val="002A584E"/>
    <w:rsid w:val="002A589E"/>
    <w:rsid w:val="002A75B5"/>
    <w:rsid w:val="002B010D"/>
    <w:rsid w:val="002B073D"/>
    <w:rsid w:val="002B3E29"/>
    <w:rsid w:val="002B5031"/>
    <w:rsid w:val="002B61A8"/>
    <w:rsid w:val="002B68F2"/>
    <w:rsid w:val="002B746F"/>
    <w:rsid w:val="002C26E4"/>
    <w:rsid w:val="002C35C6"/>
    <w:rsid w:val="002C73AE"/>
    <w:rsid w:val="002C783E"/>
    <w:rsid w:val="002D1184"/>
    <w:rsid w:val="002D15E8"/>
    <w:rsid w:val="002D40EF"/>
    <w:rsid w:val="002D4A99"/>
    <w:rsid w:val="002D5440"/>
    <w:rsid w:val="002D59F1"/>
    <w:rsid w:val="002D5FEA"/>
    <w:rsid w:val="002D618E"/>
    <w:rsid w:val="002D7743"/>
    <w:rsid w:val="002E34DF"/>
    <w:rsid w:val="002E378F"/>
    <w:rsid w:val="002E45C1"/>
    <w:rsid w:val="002E505E"/>
    <w:rsid w:val="002E7F60"/>
    <w:rsid w:val="002F0C42"/>
    <w:rsid w:val="002F0F9C"/>
    <w:rsid w:val="002F1EF8"/>
    <w:rsid w:val="002F4B59"/>
    <w:rsid w:val="002F6448"/>
    <w:rsid w:val="002F7C1F"/>
    <w:rsid w:val="00301C28"/>
    <w:rsid w:val="00303CF7"/>
    <w:rsid w:val="0030726B"/>
    <w:rsid w:val="00310F11"/>
    <w:rsid w:val="00312BFA"/>
    <w:rsid w:val="00315163"/>
    <w:rsid w:val="00315F0F"/>
    <w:rsid w:val="0031728A"/>
    <w:rsid w:val="0033510D"/>
    <w:rsid w:val="0033558B"/>
    <w:rsid w:val="0033573A"/>
    <w:rsid w:val="00336087"/>
    <w:rsid w:val="00337E76"/>
    <w:rsid w:val="00343456"/>
    <w:rsid w:val="00343750"/>
    <w:rsid w:val="00343BD7"/>
    <w:rsid w:val="003450D9"/>
    <w:rsid w:val="003502C5"/>
    <w:rsid w:val="00357CC5"/>
    <w:rsid w:val="00362791"/>
    <w:rsid w:val="00363474"/>
    <w:rsid w:val="00363F75"/>
    <w:rsid w:val="00364A82"/>
    <w:rsid w:val="00366498"/>
    <w:rsid w:val="00370790"/>
    <w:rsid w:val="00370B33"/>
    <w:rsid w:val="003722AD"/>
    <w:rsid w:val="00372E39"/>
    <w:rsid w:val="00376221"/>
    <w:rsid w:val="00376383"/>
    <w:rsid w:val="0037701F"/>
    <w:rsid w:val="00380CC1"/>
    <w:rsid w:val="00380F1A"/>
    <w:rsid w:val="00382421"/>
    <w:rsid w:val="00384EC0"/>
    <w:rsid w:val="0038503A"/>
    <w:rsid w:val="003858A2"/>
    <w:rsid w:val="00385BE0"/>
    <w:rsid w:val="00386782"/>
    <w:rsid w:val="00386A16"/>
    <w:rsid w:val="00390600"/>
    <w:rsid w:val="00391ABC"/>
    <w:rsid w:val="003933F5"/>
    <w:rsid w:val="00394141"/>
    <w:rsid w:val="00394FFA"/>
    <w:rsid w:val="00395A5E"/>
    <w:rsid w:val="00397775"/>
    <w:rsid w:val="003A2043"/>
    <w:rsid w:val="003A20C7"/>
    <w:rsid w:val="003A3258"/>
    <w:rsid w:val="003A4127"/>
    <w:rsid w:val="003A7F19"/>
    <w:rsid w:val="003B027C"/>
    <w:rsid w:val="003B2589"/>
    <w:rsid w:val="003B3846"/>
    <w:rsid w:val="003B6082"/>
    <w:rsid w:val="003B687E"/>
    <w:rsid w:val="003B6911"/>
    <w:rsid w:val="003B6CFB"/>
    <w:rsid w:val="003C3629"/>
    <w:rsid w:val="003C3D42"/>
    <w:rsid w:val="003D2401"/>
    <w:rsid w:val="003D2DC4"/>
    <w:rsid w:val="003D3F5F"/>
    <w:rsid w:val="003D48EB"/>
    <w:rsid w:val="003D63FA"/>
    <w:rsid w:val="003E2D26"/>
    <w:rsid w:val="003E2DD6"/>
    <w:rsid w:val="003E5089"/>
    <w:rsid w:val="003E53E5"/>
    <w:rsid w:val="003E5533"/>
    <w:rsid w:val="003E5602"/>
    <w:rsid w:val="003F1449"/>
    <w:rsid w:val="003F27FB"/>
    <w:rsid w:val="003F2BB4"/>
    <w:rsid w:val="003F2DC4"/>
    <w:rsid w:val="003F2E22"/>
    <w:rsid w:val="003F3310"/>
    <w:rsid w:val="003F34B4"/>
    <w:rsid w:val="00404728"/>
    <w:rsid w:val="00404C39"/>
    <w:rsid w:val="00405F64"/>
    <w:rsid w:val="004069B6"/>
    <w:rsid w:val="00406BFC"/>
    <w:rsid w:val="0040700F"/>
    <w:rsid w:val="004122CA"/>
    <w:rsid w:val="00414097"/>
    <w:rsid w:val="00416E54"/>
    <w:rsid w:val="00420605"/>
    <w:rsid w:val="004208CC"/>
    <w:rsid w:val="0042092A"/>
    <w:rsid w:val="0042146A"/>
    <w:rsid w:val="00422BE2"/>
    <w:rsid w:val="00424C87"/>
    <w:rsid w:val="00425942"/>
    <w:rsid w:val="0042676C"/>
    <w:rsid w:val="00430BF4"/>
    <w:rsid w:val="004323BF"/>
    <w:rsid w:val="00434A98"/>
    <w:rsid w:val="0043579F"/>
    <w:rsid w:val="00437557"/>
    <w:rsid w:val="00442C5A"/>
    <w:rsid w:val="00442CAE"/>
    <w:rsid w:val="00443979"/>
    <w:rsid w:val="0044492D"/>
    <w:rsid w:val="00447B23"/>
    <w:rsid w:val="00447C27"/>
    <w:rsid w:val="00451B60"/>
    <w:rsid w:val="00452D0E"/>
    <w:rsid w:val="00453E8B"/>
    <w:rsid w:val="00454752"/>
    <w:rsid w:val="00455EF2"/>
    <w:rsid w:val="0045771D"/>
    <w:rsid w:val="00462867"/>
    <w:rsid w:val="0046329C"/>
    <w:rsid w:val="00463357"/>
    <w:rsid w:val="00463382"/>
    <w:rsid w:val="004640A9"/>
    <w:rsid w:val="00466702"/>
    <w:rsid w:val="00467EDA"/>
    <w:rsid w:val="00470B39"/>
    <w:rsid w:val="004726F7"/>
    <w:rsid w:val="0047337B"/>
    <w:rsid w:val="00481F2E"/>
    <w:rsid w:val="00482A5D"/>
    <w:rsid w:val="004835AF"/>
    <w:rsid w:val="004854A1"/>
    <w:rsid w:val="00486915"/>
    <w:rsid w:val="00487DE5"/>
    <w:rsid w:val="004920CC"/>
    <w:rsid w:val="00492949"/>
    <w:rsid w:val="004930D5"/>
    <w:rsid w:val="00493995"/>
    <w:rsid w:val="00494904"/>
    <w:rsid w:val="00494CCF"/>
    <w:rsid w:val="00495D81"/>
    <w:rsid w:val="00496008"/>
    <w:rsid w:val="004A1C8A"/>
    <w:rsid w:val="004A4E36"/>
    <w:rsid w:val="004A6121"/>
    <w:rsid w:val="004A6D1C"/>
    <w:rsid w:val="004B1632"/>
    <w:rsid w:val="004B20E5"/>
    <w:rsid w:val="004B324C"/>
    <w:rsid w:val="004B3E4D"/>
    <w:rsid w:val="004B6525"/>
    <w:rsid w:val="004B7D5A"/>
    <w:rsid w:val="004C3271"/>
    <w:rsid w:val="004C34CE"/>
    <w:rsid w:val="004C4A5D"/>
    <w:rsid w:val="004C4B58"/>
    <w:rsid w:val="004C6295"/>
    <w:rsid w:val="004C7516"/>
    <w:rsid w:val="004C7C49"/>
    <w:rsid w:val="004D10B1"/>
    <w:rsid w:val="004D24C3"/>
    <w:rsid w:val="004D262A"/>
    <w:rsid w:val="004D2B3C"/>
    <w:rsid w:val="004D6D6D"/>
    <w:rsid w:val="004D78F0"/>
    <w:rsid w:val="004E0238"/>
    <w:rsid w:val="004E070C"/>
    <w:rsid w:val="004E0EE5"/>
    <w:rsid w:val="004E1662"/>
    <w:rsid w:val="004E1CF0"/>
    <w:rsid w:val="004E4AAD"/>
    <w:rsid w:val="004E5969"/>
    <w:rsid w:val="004F07A8"/>
    <w:rsid w:val="004F2B86"/>
    <w:rsid w:val="004F3216"/>
    <w:rsid w:val="00500FD6"/>
    <w:rsid w:val="00501901"/>
    <w:rsid w:val="00501C4F"/>
    <w:rsid w:val="0050342F"/>
    <w:rsid w:val="00503D03"/>
    <w:rsid w:val="00504471"/>
    <w:rsid w:val="0050478D"/>
    <w:rsid w:val="00504F14"/>
    <w:rsid w:val="005100BE"/>
    <w:rsid w:val="00510565"/>
    <w:rsid w:val="00511B44"/>
    <w:rsid w:val="00511DAB"/>
    <w:rsid w:val="00512DD7"/>
    <w:rsid w:val="005140C3"/>
    <w:rsid w:val="005151BA"/>
    <w:rsid w:val="0051560C"/>
    <w:rsid w:val="00517E18"/>
    <w:rsid w:val="0052071A"/>
    <w:rsid w:val="00521A27"/>
    <w:rsid w:val="00523FCE"/>
    <w:rsid w:val="00525211"/>
    <w:rsid w:val="00526856"/>
    <w:rsid w:val="0053006D"/>
    <w:rsid w:val="00530D8B"/>
    <w:rsid w:val="00531368"/>
    <w:rsid w:val="00532EB5"/>
    <w:rsid w:val="00534247"/>
    <w:rsid w:val="0053469B"/>
    <w:rsid w:val="00534E22"/>
    <w:rsid w:val="00537207"/>
    <w:rsid w:val="00537AD5"/>
    <w:rsid w:val="00537E85"/>
    <w:rsid w:val="00540AA4"/>
    <w:rsid w:val="00540CEC"/>
    <w:rsid w:val="00542A6C"/>
    <w:rsid w:val="00542DE6"/>
    <w:rsid w:val="00544B74"/>
    <w:rsid w:val="00545DF6"/>
    <w:rsid w:val="00552580"/>
    <w:rsid w:val="0055313A"/>
    <w:rsid w:val="00553484"/>
    <w:rsid w:val="00553529"/>
    <w:rsid w:val="005540B7"/>
    <w:rsid w:val="00555D41"/>
    <w:rsid w:val="00564057"/>
    <w:rsid w:val="00565C83"/>
    <w:rsid w:val="00570F7F"/>
    <w:rsid w:val="0057229E"/>
    <w:rsid w:val="00572417"/>
    <w:rsid w:val="0057421C"/>
    <w:rsid w:val="00576F19"/>
    <w:rsid w:val="00576FE3"/>
    <w:rsid w:val="00581D09"/>
    <w:rsid w:val="005826DD"/>
    <w:rsid w:val="005834F6"/>
    <w:rsid w:val="005844D1"/>
    <w:rsid w:val="005859AF"/>
    <w:rsid w:val="00586876"/>
    <w:rsid w:val="00587A47"/>
    <w:rsid w:val="00590901"/>
    <w:rsid w:val="00590E69"/>
    <w:rsid w:val="00590F94"/>
    <w:rsid w:val="00592E71"/>
    <w:rsid w:val="005A077A"/>
    <w:rsid w:val="005A0F4A"/>
    <w:rsid w:val="005A14CB"/>
    <w:rsid w:val="005A20B7"/>
    <w:rsid w:val="005A2E00"/>
    <w:rsid w:val="005A558F"/>
    <w:rsid w:val="005A65B4"/>
    <w:rsid w:val="005B0184"/>
    <w:rsid w:val="005B043A"/>
    <w:rsid w:val="005B04F0"/>
    <w:rsid w:val="005B067F"/>
    <w:rsid w:val="005B6600"/>
    <w:rsid w:val="005B791A"/>
    <w:rsid w:val="005B7BB6"/>
    <w:rsid w:val="005C0511"/>
    <w:rsid w:val="005C18F8"/>
    <w:rsid w:val="005C23E8"/>
    <w:rsid w:val="005C340F"/>
    <w:rsid w:val="005C4B1A"/>
    <w:rsid w:val="005C5200"/>
    <w:rsid w:val="005C546E"/>
    <w:rsid w:val="005C76BC"/>
    <w:rsid w:val="005D1D06"/>
    <w:rsid w:val="005D2071"/>
    <w:rsid w:val="005D217A"/>
    <w:rsid w:val="005D429B"/>
    <w:rsid w:val="005D5921"/>
    <w:rsid w:val="005D5C55"/>
    <w:rsid w:val="005D60DB"/>
    <w:rsid w:val="005D6E42"/>
    <w:rsid w:val="005D712F"/>
    <w:rsid w:val="005E2D4D"/>
    <w:rsid w:val="005E38B9"/>
    <w:rsid w:val="005E3E02"/>
    <w:rsid w:val="005E3F75"/>
    <w:rsid w:val="005E41B4"/>
    <w:rsid w:val="005E465F"/>
    <w:rsid w:val="005E59CD"/>
    <w:rsid w:val="005E7FFD"/>
    <w:rsid w:val="005F3706"/>
    <w:rsid w:val="005F4534"/>
    <w:rsid w:val="005F4C3C"/>
    <w:rsid w:val="005F5D9A"/>
    <w:rsid w:val="005F78EF"/>
    <w:rsid w:val="005F7936"/>
    <w:rsid w:val="00600C67"/>
    <w:rsid w:val="00601F66"/>
    <w:rsid w:val="00604278"/>
    <w:rsid w:val="0060457F"/>
    <w:rsid w:val="006063D5"/>
    <w:rsid w:val="0061061B"/>
    <w:rsid w:val="0061135D"/>
    <w:rsid w:val="00612310"/>
    <w:rsid w:val="006175F5"/>
    <w:rsid w:val="0062053D"/>
    <w:rsid w:val="00622F06"/>
    <w:rsid w:val="006250F0"/>
    <w:rsid w:val="00627B5A"/>
    <w:rsid w:val="00630A97"/>
    <w:rsid w:val="00630B16"/>
    <w:rsid w:val="006320B0"/>
    <w:rsid w:val="00635637"/>
    <w:rsid w:val="00637A59"/>
    <w:rsid w:val="006422BC"/>
    <w:rsid w:val="0064328A"/>
    <w:rsid w:val="00643D8B"/>
    <w:rsid w:val="006464C3"/>
    <w:rsid w:val="006511B9"/>
    <w:rsid w:val="006517C3"/>
    <w:rsid w:val="00651BD1"/>
    <w:rsid w:val="006527E0"/>
    <w:rsid w:val="006549AF"/>
    <w:rsid w:val="0065512E"/>
    <w:rsid w:val="006566B0"/>
    <w:rsid w:val="0066114D"/>
    <w:rsid w:val="006624DC"/>
    <w:rsid w:val="00663A96"/>
    <w:rsid w:val="006647BD"/>
    <w:rsid w:val="006658C1"/>
    <w:rsid w:val="00665AAD"/>
    <w:rsid w:val="00671965"/>
    <w:rsid w:val="00673A5E"/>
    <w:rsid w:val="00673C8B"/>
    <w:rsid w:val="00674FFC"/>
    <w:rsid w:val="006757F2"/>
    <w:rsid w:val="00677524"/>
    <w:rsid w:val="006776CE"/>
    <w:rsid w:val="00680F0B"/>
    <w:rsid w:val="00682CFA"/>
    <w:rsid w:val="00682E75"/>
    <w:rsid w:val="00684CE1"/>
    <w:rsid w:val="00686BB3"/>
    <w:rsid w:val="00690F2C"/>
    <w:rsid w:val="00691697"/>
    <w:rsid w:val="0069295B"/>
    <w:rsid w:val="0069348D"/>
    <w:rsid w:val="006960ED"/>
    <w:rsid w:val="00697F24"/>
    <w:rsid w:val="006A02C9"/>
    <w:rsid w:val="006A0E40"/>
    <w:rsid w:val="006A2FF1"/>
    <w:rsid w:val="006A4BFD"/>
    <w:rsid w:val="006A74B4"/>
    <w:rsid w:val="006B0246"/>
    <w:rsid w:val="006B0672"/>
    <w:rsid w:val="006B1671"/>
    <w:rsid w:val="006B3FC8"/>
    <w:rsid w:val="006B4C0B"/>
    <w:rsid w:val="006B6164"/>
    <w:rsid w:val="006B620E"/>
    <w:rsid w:val="006C018E"/>
    <w:rsid w:val="006C1A1A"/>
    <w:rsid w:val="006C2DA1"/>
    <w:rsid w:val="006C32DE"/>
    <w:rsid w:val="006C33D6"/>
    <w:rsid w:val="006C50B5"/>
    <w:rsid w:val="006C5C99"/>
    <w:rsid w:val="006D00E6"/>
    <w:rsid w:val="006D06E3"/>
    <w:rsid w:val="006D09D2"/>
    <w:rsid w:val="006D20DD"/>
    <w:rsid w:val="006D2EB7"/>
    <w:rsid w:val="006D479D"/>
    <w:rsid w:val="006D5023"/>
    <w:rsid w:val="006D5715"/>
    <w:rsid w:val="006D646D"/>
    <w:rsid w:val="006E6119"/>
    <w:rsid w:val="006E6986"/>
    <w:rsid w:val="006E7297"/>
    <w:rsid w:val="006F14D0"/>
    <w:rsid w:val="006F43C7"/>
    <w:rsid w:val="006F6346"/>
    <w:rsid w:val="006F6551"/>
    <w:rsid w:val="00701A62"/>
    <w:rsid w:val="00701EF2"/>
    <w:rsid w:val="007021E8"/>
    <w:rsid w:val="00703D11"/>
    <w:rsid w:val="0070517C"/>
    <w:rsid w:val="007057AD"/>
    <w:rsid w:val="007069C7"/>
    <w:rsid w:val="007079BE"/>
    <w:rsid w:val="00710775"/>
    <w:rsid w:val="00710C17"/>
    <w:rsid w:val="007146E4"/>
    <w:rsid w:val="00716D44"/>
    <w:rsid w:val="00724F07"/>
    <w:rsid w:val="007250D2"/>
    <w:rsid w:val="00730993"/>
    <w:rsid w:val="00730EC4"/>
    <w:rsid w:val="00732479"/>
    <w:rsid w:val="00732A05"/>
    <w:rsid w:val="007354F8"/>
    <w:rsid w:val="00735931"/>
    <w:rsid w:val="007360F4"/>
    <w:rsid w:val="00736AB3"/>
    <w:rsid w:val="00743C9B"/>
    <w:rsid w:val="00745CB0"/>
    <w:rsid w:val="00746BE6"/>
    <w:rsid w:val="0075179F"/>
    <w:rsid w:val="007553CD"/>
    <w:rsid w:val="007560BA"/>
    <w:rsid w:val="007565B9"/>
    <w:rsid w:val="007566DD"/>
    <w:rsid w:val="007571FE"/>
    <w:rsid w:val="007608E2"/>
    <w:rsid w:val="00763A1C"/>
    <w:rsid w:val="00763DE5"/>
    <w:rsid w:val="00766378"/>
    <w:rsid w:val="00766EC7"/>
    <w:rsid w:val="007670B2"/>
    <w:rsid w:val="00771A1F"/>
    <w:rsid w:val="00773573"/>
    <w:rsid w:val="00773D8F"/>
    <w:rsid w:val="00774FE5"/>
    <w:rsid w:val="00776921"/>
    <w:rsid w:val="00782AAF"/>
    <w:rsid w:val="00783921"/>
    <w:rsid w:val="00785A73"/>
    <w:rsid w:val="00786771"/>
    <w:rsid w:val="00786E07"/>
    <w:rsid w:val="00787E93"/>
    <w:rsid w:val="0079042D"/>
    <w:rsid w:val="00793C80"/>
    <w:rsid w:val="007948CB"/>
    <w:rsid w:val="00795A65"/>
    <w:rsid w:val="0079613E"/>
    <w:rsid w:val="007A019D"/>
    <w:rsid w:val="007A579B"/>
    <w:rsid w:val="007A6EB1"/>
    <w:rsid w:val="007A7C8E"/>
    <w:rsid w:val="007A7ECB"/>
    <w:rsid w:val="007B0811"/>
    <w:rsid w:val="007B0B47"/>
    <w:rsid w:val="007B3357"/>
    <w:rsid w:val="007B340C"/>
    <w:rsid w:val="007B3AC5"/>
    <w:rsid w:val="007B400A"/>
    <w:rsid w:val="007B596A"/>
    <w:rsid w:val="007B5EAE"/>
    <w:rsid w:val="007B62B3"/>
    <w:rsid w:val="007B7858"/>
    <w:rsid w:val="007C0EA6"/>
    <w:rsid w:val="007C0F2D"/>
    <w:rsid w:val="007C198A"/>
    <w:rsid w:val="007C1CA4"/>
    <w:rsid w:val="007C2C89"/>
    <w:rsid w:val="007C4184"/>
    <w:rsid w:val="007C48BA"/>
    <w:rsid w:val="007C68E7"/>
    <w:rsid w:val="007C7948"/>
    <w:rsid w:val="007D07F2"/>
    <w:rsid w:val="007D4999"/>
    <w:rsid w:val="007D57B1"/>
    <w:rsid w:val="007D5FC8"/>
    <w:rsid w:val="007D607E"/>
    <w:rsid w:val="007D73AE"/>
    <w:rsid w:val="007D75CA"/>
    <w:rsid w:val="007E050D"/>
    <w:rsid w:val="007E66D4"/>
    <w:rsid w:val="007E6A2E"/>
    <w:rsid w:val="007E6BD5"/>
    <w:rsid w:val="007E76C7"/>
    <w:rsid w:val="007E78B6"/>
    <w:rsid w:val="007F1B42"/>
    <w:rsid w:val="007F35B1"/>
    <w:rsid w:val="007F3857"/>
    <w:rsid w:val="007F4B1F"/>
    <w:rsid w:val="007F6538"/>
    <w:rsid w:val="007F70BA"/>
    <w:rsid w:val="007F7632"/>
    <w:rsid w:val="00801709"/>
    <w:rsid w:val="008023F3"/>
    <w:rsid w:val="00804EFF"/>
    <w:rsid w:val="00805E6C"/>
    <w:rsid w:val="00807376"/>
    <w:rsid w:val="00807DE0"/>
    <w:rsid w:val="00811D9F"/>
    <w:rsid w:val="00814606"/>
    <w:rsid w:val="00814F58"/>
    <w:rsid w:val="00817E29"/>
    <w:rsid w:val="008207B7"/>
    <w:rsid w:val="00823540"/>
    <w:rsid w:val="008257C5"/>
    <w:rsid w:val="00825B49"/>
    <w:rsid w:val="00826469"/>
    <w:rsid w:val="008308A0"/>
    <w:rsid w:val="00831698"/>
    <w:rsid w:val="00832122"/>
    <w:rsid w:val="008348F0"/>
    <w:rsid w:val="008351DA"/>
    <w:rsid w:val="00835776"/>
    <w:rsid w:val="00837650"/>
    <w:rsid w:val="00837816"/>
    <w:rsid w:val="00840D07"/>
    <w:rsid w:val="008427D9"/>
    <w:rsid w:val="00844303"/>
    <w:rsid w:val="00847877"/>
    <w:rsid w:val="00847E1A"/>
    <w:rsid w:val="0085291D"/>
    <w:rsid w:val="00852F54"/>
    <w:rsid w:val="00854F64"/>
    <w:rsid w:val="00855AA9"/>
    <w:rsid w:val="008576EC"/>
    <w:rsid w:val="00857A66"/>
    <w:rsid w:val="00860DD2"/>
    <w:rsid w:val="00862424"/>
    <w:rsid w:val="0086244F"/>
    <w:rsid w:val="0086291F"/>
    <w:rsid w:val="00865E89"/>
    <w:rsid w:val="00865FB3"/>
    <w:rsid w:val="00867AAC"/>
    <w:rsid w:val="0087136B"/>
    <w:rsid w:val="00872B5F"/>
    <w:rsid w:val="008735C5"/>
    <w:rsid w:val="00873ADC"/>
    <w:rsid w:val="008767C1"/>
    <w:rsid w:val="00876DAE"/>
    <w:rsid w:val="0088185C"/>
    <w:rsid w:val="00882038"/>
    <w:rsid w:val="008845C3"/>
    <w:rsid w:val="0088471D"/>
    <w:rsid w:val="00887DA7"/>
    <w:rsid w:val="008900E0"/>
    <w:rsid w:val="00890531"/>
    <w:rsid w:val="00890B1F"/>
    <w:rsid w:val="0089233F"/>
    <w:rsid w:val="00892B86"/>
    <w:rsid w:val="00895A62"/>
    <w:rsid w:val="0089697D"/>
    <w:rsid w:val="00896DAB"/>
    <w:rsid w:val="00896FED"/>
    <w:rsid w:val="008A132C"/>
    <w:rsid w:val="008A172A"/>
    <w:rsid w:val="008A2D60"/>
    <w:rsid w:val="008A307A"/>
    <w:rsid w:val="008A3103"/>
    <w:rsid w:val="008A3547"/>
    <w:rsid w:val="008A3744"/>
    <w:rsid w:val="008A3CAC"/>
    <w:rsid w:val="008A4BBE"/>
    <w:rsid w:val="008B1250"/>
    <w:rsid w:val="008B2657"/>
    <w:rsid w:val="008B4117"/>
    <w:rsid w:val="008B5344"/>
    <w:rsid w:val="008B6C34"/>
    <w:rsid w:val="008B6DEE"/>
    <w:rsid w:val="008B7C8A"/>
    <w:rsid w:val="008C078F"/>
    <w:rsid w:val="008C0F50"/>
    <w:rsid w:val="008C11EB"/>
    <w:rsid w:val="008C3182"/>
    <w:rsid w:val="008C35D3"/>
    <w:rsid w:val="008C501E"/>
    <w:rsid w:val="008C564A"/>
    <w:rsid w:val="008C59A8"/>
    <w:rsid w:val="008C71FA"/>
    <w:rsid w:val="008D0B85"/>
    <w:rsid w:val="008D3440"/>
    <w:rsid w:val="008D3B7A"/>
    <w:rsid w:val="008D536D"/>
    <w:rsid w:val="008D5833"/>
    <w:rsid w:val="008D618F"/>
    <w:rsid w:val="008D65F2"/>
    <w:rsid w:val="008D7D47"/>
    <w:rsid w:val="008E0C4C"/>
    <w:rsid w:val="008E23C9"/>
    <w:rsid w:val="008E6A67"/>
    <w:rsid w:val="008F2CDE"/>
    <w:rsid w:val="008F2D09"/>
    <w:rsid w:val="008F331E"/>
    <w:rsid w:val="00900EA7"/>
    <w:rsid w:val="00901713"/>
    <w:rsid w:val="00901842"/>
    <w:rsid w:val="00902F09"/>
    <w:rsid w:val="00904216"/>
    <w:rsid w:val="00904DAC"/>
    <w:rsid w:val="00905F16"/>
    <w:rsid w:val="0090743B"/>
    <w:rsid w:val="009105DD"/>
    <w:rsid w:val="00910F87"/>
    <w:rsid w:val="009123AF"/>
    <w:rsid w:val="00913221"/>
    <w:rsid w:val="00920444"/>
    <w:rsid w:val="009214ED"/>
    <w:rsid w:val="00925F03"/>
    <w:rsid w:val="00926131"/>
    <w:rsid w:val="0092714D"/>
    <w:rsid w:val="00927855"/>
    <w:rsid w:val="00931956"/>
    <w:rsid w:val="00931A50"/>
    <w:rsid w:val="009324A3"/>
    <w:rsid w:val="009336B8"/>
    <w:rsid w:val="009356D0"/>
    <w:rsid w:val="0094204F"/>
    <w:rsid w:val="00943213"/>
    <w:rsid w:val="00943A1E"/>
    <w:rsid w:val="0094569C"/>
    <w:rsid w:val="00945DBA"/>
    <w:rsid w:val="00946D6E"/>
    <w:rsid w:val="009474E6"/>
    <w:rsid w:val="00966137"/>
    <w:rsid w:val="00966806"/>
    <w:rsid w:val="0096776B"/>
    <w:rsid w:val="00977352"/>
    <w:rsid w:val="00983772"/>
    <w:rsid w:val="009837EC"/>
    <w:rsid w:val="00985723"/>
    <w:rsid w:val="00987683"/>
    <w:rsid w:val="00987F00"/>
    <w:rsid w:val="009916F6"/>
    <w:rsid w:val="00993579"/>
    <w:rsid w:val="0099493D"/>
    <w:rsid w:val="00994A09"/>
    <w:rsid w:val="009A195A"/>
    <w:rsid w:val="009A21BC"/>
    <w:rsid w:val="009A5925"/>
    <w:rsid w:val="009A6455"/>
    <w:rsid w:val="009A7D50"/>
    <w:rsid w:val="009A7E8E"/>
    <w:rsid w:val="009B0453"/>
    <w:rsid w:val="009B07E1"/>
    <w:rsid w:val="009B277C"/>
    <w:rsid w:val="009B4D32"/>
    <w:rsid w:val="009B5F3B"/>
    <w:rsid w:val="009B6FD4"/>
    <w:rsid w:val="009C0876"/>
    <w:rsid w:val="009C15F8"/>
    <w:rsid w:val="009C1D28"/>
    <w:rsid w:val="009C223A"/>
    <w:rsid w:val="009C22A7"/>
    <w:rsid w:val="009C2997"/>
    <w:rsid w:val="009C5D50"/>
    <w:rsid w:val="009C7FAF"/>
    <w:rsid w:val="009D0FCF"/>
    <w:rsid w:val="009D2270"/>
    <w:rsid w:val="009D236D"/>
    <w:rsid w:val="009D2EF5"/>
    <w:rsid w:val="009D3AF2"/>
    <w:rsid w:val="009D431D"/>
    <w:rsid w:val="009D4DAA"/>
    <w:rsid w:val="009D72C3"/>
    <w:rsid w:val="009D78BD"/>
    <w:rsid w:val="009E0708"/>
    <w:rsid w:val="009E1293"/>
    <w:rsid w:val="009E4E7F"/>
    <w:rsid w:val="009F1BB1"/>
    <w:rsid w:val="009F261E"/>
    <w:rsid w:val="009F5443"/>
    <w:rsid w:val="009F5874"/>
    <w:rsid w:val="00A01F6A"/>
    <w:rsid w:val="00A02018"/>
    <w:rsid w:val="00A03020"/>
    <w:rsid w:val="00A0334F"/>
    <w:rsid w:val="00A04157"/>
    <w:rsid w:val="00A04503"/>
    <w:rsid w:val="00A0600C"/>
    <w:rsid w:val="00A0792A"/>
    <w:rsid w:val="00A141F4"/>
    <w:rsid w:val="00A16282"/>
    <w:rsid w:val="00A21A06"/>
    <w:rsid w:val="00A21A8F"/>
    <w:rsid w:val="00A231A7"/>
    <w:rsid w:val="00A238DC"/>
    <w:rsid w:val="00A23D54"/>
    <w:rsid w:val="00A243E5"/>
    <w:rsid w:val="00A2452A"/>
    <w:rsid w:val="00A32D1F"/>
    <w:rsid w:val="00A337E3"/>
    <w:rsid w:val="00A34813"/>
    <w:rsid w:val="00A34AAC"/>
    <w:rsid w:val="00A34FC1"/>
    <w:rsid w:val="00A353BD"/>
    <w:rsid w:val="00A36167"/>
    <w:rsid w:val="00A36636"/>
    <w:rsid w:val="00A36F9C"/>
    <w:rsid w:val="00A37618"/>
    <w:rsid w:val="00A37E7F"/>
    <w:rsid w:val="00A417B7"/>
    <w:rsid w:val="00A43168"/>
    <w:rsid w:val="00A46D9A"/>
    <w:rsid w:val="00A51781"/>
    <w:rsid w:val="00A53209"/>
    <w:rsid w:val="00A53717"/>
    <w:rsid w:val="00A5495B"/>
    <w:rsid w:val="00A5685A"/>
    <w:rsid w:val="00A56B1F"/>
    <w:rsid w:val="00A60295"/>
    <w:rsid w:val="00A6048E"/>
    <w:rsid w:val="00A62723"/>
    <w:rsid w:val="00A62C2B"/>
    <w:rsid w:val="00A64885"/>
    <w:rsid w:val="00A64F33"/>
    <w:rsid w:val="00A66ACA"/>
    <w:rsid w:val="00A70893"/>
    <w:rsid w:val="00A724CB"/>
    <w:rsid w:val="00A73295"/>
    <w:rsid w:val="00A73522"/>
    <w:rsid w:val="00A73676"/>
    <w:rsid w:val="00A739DE"/>
    <w:rsid w:val="00A77C53"/>
    <w:rsid w:val="00A81525"/>
    <w:rsid w:val="00A84170"/>
    <w:rsid w:val="00A85F4D"/>
    <w:rsid w:val="00A87021"/>
    <w:rsid w:val="00A87995"/>
    <w:rsid w:val="00A90D12"/>
    <w:rsid w:val="00A91FBC"/>
    <w:rsid w:val="00A95349"/>
    <w:rsid w:val="00A962CF"/>
    <w:rsid w:val="00A97993"/>
    <w:rsid w:val="00AA3058"/>
    <w:rsid w:val="00AA5C3D"/>
    <w:rsid w:val="00AB05E5"/>
    <w:rsid w:val="00AB3277"/>
    <w:rsid w:val="00AB4FDF"/>
    <w:rsid w:val="00AB557D"/>
    <w:rsid w:val="00AB6C5B"/>
    <w:rsid w:val="00AC32DE"/>
    <w:rsid w:val="00AC3F65"/>
    <w:rsid w:val="00AC5DD8"/>
    <w:rsid w:val="00AC5F71"/>
    <w:rsid w:val="00AC78D9"/>
    <w:rsid w:val="00AC7DD4"/>
    <w:rsid w:val="00AD0192"/>
    <w:rsid w:val="00AD202D"/>
    <w:rsid w:val="00AD2F5B"/>
    <w:rsid w:val="00AD71B2"/>
    <w:rsid w:val="00AD7BA4"/>
    <w:rsid w:val="00AE1065"/>
    <w:rsid w:val="00AE2C2F"/>
    <w:rsid w:val="00AE4F72"/>
    <w:rsid w:val="00AE6FA8"/>
    <w:rsid w:val="00AE6FF1"/>
    <w:rsid w:val="00AF2341"/>
    <w:rsid w:val="00AF2BA9"/>
    <w:rsid w:val="00AF538A"/>
    <w:rsid w:val="00AF54C3"/>
    <w:rsid w:val="00AF7D7A"/>
    <w:rsid w:val="00B002A4"/>
    <w:rsid w:val="00B01F2C"/>
    <w:rsid w:val="00B020AA"/>
    <w:rsid w:val="00B0241F"/>
    <w:rsid w:val="00B04A8B"/>
    <w:rsid w:val="00B05E41"/>
    <w:rsid w:val="00B07325"/>
    <w:rsid w:val="00B10840"/>
    <w:rsid w:val="00B10AA9"/>
    <w:rsid w:val="00B11C2E"/>
    <w:rsid w:val="00B136CC"/>
    <w:rsid w:val="00B14729"/>
    <w:rsid w:val="00B1492B"/>
    <w:rsid w:val="00B15F92"/>
    <w:rsid w:val="00B1723F"/>
    <w:rsid w:val="00B2054F"/>
    <w:rsid w:val="00B2169C"/>
    <w:rsid w:val="00B2275D"/>
    <w:rsid w:val="00B22ABE"/>
    <w:rsid w:val="00B22FE4"/>
    <w:rsid w:val="00B24E53"/>
    <w:rsid w:val="00B2501B"/>
    <w:rsid w:val="00B27429"/>
    <w:rsid w:val="00B312BB"/>
    <w:rsid w:val="00B322A3"/>
    <w:rsid w:val="00B33A06"/>
    <w:rsid w:val="00B3531F"/>
    <w:rsid w:val="00B360BD"/>
    <w:rsid w:val="00B363C6"/>
    <w:rsid w:val="00B417A1"/>
    <w:rsid w:val="00B4330B"/>
    <w:rsid w:val="00B46A57"/>
    <w:rsid w:val="00B52739"/>
    <w:rsid w:val="00B52F20"/>
    <w:rsid w:val="00B53276"/>
    <w:rsid w:val="00B54BC1"/>
    <w:rsid w:val="00B55152"/>
    <w:rsid w:val="00B55887"/>
    <w:rsid w:val="00B55D7F"/>
    <w:rsid w:val="00B56407"/>
    <w:rsid w:val="00B60EA9"/>
    <w:rsid w:val="00B61447"/>
    <w:rsid w:val="00B61FC3"/>
    <w:rsid w:val="00B62365"/>
    <w:rsid w:val="00B6381C"/>
    <w:rsid w:val="00B70081"/>
    <w:rsid w:val="00B70301"/>
    <w:rsid w:val="00B71590"/>
    <w:rsid w:val="00B73D08"/>
    <w:rsid w:val="00B73E1C"/>
    <w:rsid w:val="00B747E3"/>
    <w:rsid w:val="00B75D3C"/>
    <w:rsid w:val="00B7650A"/>
    <w:rsid w:val="00B80793"/>
    <w:rsid w:val="00B807F7"/>
    <w:rsid w:val="00B80C4C"/>
    <w:rsid w:val="00B86D77"/>
    <w:rsid w:val="00B92158"/>
    <w:rsid w:val="00B96A27"/>
    <w:rsid w:val="00B9702D"/>
    <w:rsid w:val="00BA2EC6"/>
    <w:rsid w:val="00BA52EF"/>
    <w:rsid w:val="00BA772D"/>
    <w:rsid w:val="00BA7CAB"/>
    <w:rsid w:val="00BB0F62"/>
    <w:rsid w:val="00BB2D6D"/>
    <w:rsid w:val="00BB6CBB"/>
    <w:rsid w:val="00BB7E05"/>
    <w:rsid w:val="00BC0D60"/>
    <w:rsid w:val="00BC1792"/>
    <w:rsid w:val="00BC2876"/>
    <w:rsid w:val="00BD063C"/>
    <w:rsid w:val="00BD0FB2"/>
    <w:rsid w:val="00BD12E3"/>
    <w:rsid w:val="00BD169D"/>
    <w:rsid w:val="00BD2CBA"/>
    <w:rsid w:val="00BD5B5C"/>
    <w:rsid w:val="00BE0B23"/>
    <w:rsid w:val="00BE6E88"/>
    <w:rsid w:val="00BE7BDF"/>
    <w:rsid w:val="00BF0A72"/>
    <w:rsid w:val="00BF16E2"/>
    <w:rsid w:val="00BF2FB5"/>
    <w:rsid w:val="00BF303C"/>
    <w:rsid w:val="00C01505"/>
    <w:rsid w:val="00C1081E"/>
    <w:rsid w:val="00C118C3"/>
    <w:rsid w:val="00C1303D"/>
    <w:rsid w:val="00C143EE"/>
    <w:rsid w:val="00C14669"/>
    <w:rsid w:val="00C14AB1"/>
    <w:rsid w:val="00C15748"/>
    <w:rsid w:val="00C162CE"/>
    <w:rsid w:val="00C178D8"/>
    <w:rsid w:val="00C2193B"/>
    <w:rsid w:val="00C21D4C"/>
    <w:rsid w:val="00C25EE5"/>
    <w:rsid w:val="00C261AD"/>
    <w:rsid w:val="00C262B9"/>
    <w:rsid w:val="00C30E87"/>
    <w:rsid w:val="00C32903"/>
    <w:rsid w:val="00C3653C"/>
    <w:rsid w:val="00C365FA"/>
    <w:rsid w:val="00C36A8F"/>
    <w:rsid w:val="00C407AE"/>
    <w:rsid w:val="00C418E6"/>
    <w:rsid w:val="00C43491"/>
    <w:rsid w:val="00C43F69"/>
    <w:rsid w:val="00C440A9"/>
    <w:rsid w:val="00C4533F"/>
    <w:rsid w:val="00C45754"/>
    <w:rsid w:val="00C45AAE"/>
    <w:rsid w:val="00C476C5"/>
    <w:rsid w:val="00C5021A"/>
    <w:rsid w:val="00C51625"/>
    <w:rsid w:val="00C54CC9"/>
    <w:rsid w:val="00C5612E"/>
    <w:rsid w:val="00C562B8"/>
    <w:rsid w:val="00C5636A"/>
    <w:rsid w:val="00C56539"/>
    <w:rsid w:val="00C61D03"/>
    <w:rsid w:val="00C62F26"/>
    <w:rsid w:val="00C63AF6"/>
    <w:rsid w:val="00C65950"/>
    <w:rsid w:val="00C663E9"/>
    <w:rsid w:val="00C67766"/>
    <w:rsid w:val="00C67C3E"/>
    <w:rsid w:val="00C7489F"/>
    <w:rsid w:val="00C75E76"/>
    <w:rsid w:val="00C76211"/>
    <w:rsid w:val="00C80E2B"/>
    <w:rsid w:val="00C833A8"/>
    <w:rsid w:val="00C84275"/>
    <w:rsid w:val="00C84B7D"/>
    <w:rsid w:val="00C9063C"/>
    <w:rsid w:val="00C91037"/>
    <w:rsid w:val="00C910D2"/>
    <w:rsid w:val="00C95187"/>
    <w:rsid w:val="00C97206"/>
    <w:rsid w:val="00C97E91"/>
    <w:rsid w:val="00CA238E"/>
    <w:rsid w:val="00CA3B75"/>
    <w:rsid w:val="00CA4140"/>
    <w:rsid w:val="00CA4646"/>
    <w:rsid w:val="00CA75BC"/>
    <w:rsid w:val="00CA7941"/>
    <w:rsid w:val="00CB0EF4"/>
    <w:rsid w:val="00CB18AD"/>
    <w:rsid w:val="00CB3D03"/>
    <w:rsid w:val="00CB6A65"/>
    <w:rsid w:val="00CB74A8"/>
    <w:rsid w:val="00CB7DC9"/>
    <w:rsid w:val="00CC1260"/>
    <w:rsid w:val="00CC16FC"/>
    <w:rsid w:val="00CC2E83"/>
    <w:rsid w:val="00CC5BDE"/>
    <w:rsid w:val="00CC72FB"/>
    <w:rsid w:val="00CD0AA8"/>
    <w:rsid w:val="00CD232C"/>
    <w:rsid w:val="00CD4395"/>
    <w:rsid w:val="00CD7E75"/>
    <w:rsid w:val="00CE1357"/>
    <w:rsid w:val="00CE1697"/>
    <w:rsid w:val="00CE46D3"/>
    <w:rsid w:val="00CE6371"/>
    <w:rsid w:val="00CE681E"/>
    <w:rsid w:val="00CE75A9"/>
    <w:rsid w:val="00CE7BD3"/>
    <w:rsid w:val="00CF2821"/>
    <w:rsid w:val="00CF29DA"/>
    <w:rsid w:val="00CF4274"/>
    <w:rsid w:val="00CF44C4"/>
    <w:rsid w:val="00CF7B8E"/>
    <w:rsid w:val="00D00BA4"/>
    <w:rsid w:val="00D022B7"/>
    <w:rsid w:val="00D05D92"/>
    <w:rsid w:val="00D06A15"/>
    <w:rsid w:val="00D105DC"/>
    <w:rsid w:val="00D1154B"/>
    <w:rsid w:val="00D1464F"/>
    <w:rsid w:val="00D14FB0"/>
    <w:rsid w:val="00D15EAF"/>
    <w:rsid w:val="00D16270"/>
    <w:rsid w:val="00D20C3E"/>
    <w:rsid w:val="00D259E9"/>
    <w:rsid w:val="00D31A3F"/>
    <w:rsid w:val="00D32CB1"/>
    <w:rsid w:val="00D35FAF"/>
    <w:rsid w:val="00D37AB8"/>
    <w:rsid w:val="00D436D2"/>
    <w:rsid w:val="00D44BD8"/>
    <w:rsid w:val="00D44DE9"/>
    <w:rsid w:val="00D4682D"/>
    <w:rsid w:val="00D46E82"/>
    <w:rsid w:val="00D50D23"/>
    <w:rsid w:val="00D50D38"/>
    <w:rsid w:val="00D52714"/>
    <w:rsid w:val="00D528CA"/>
    <w:rsid w:val="00D5449B"/>
    <w:rsid w:val="00D56615"/>
    <w:rsid w:val="00D56EFB"/>
    <w:rsid w:val="00D60D18"/>
    <w:rsid w:val="00D60EFE"/>
    <w:rsid w:val="00D61CAE"/>
    <w:rsid w:val="00D6234E"/>
    <w:rsid w:val="00D63E4E"/>
    <w:rsid w:val="00D65388"/>
    <w:rsid w:val="00D670CD"/>
    <w:rsid w:val="00D67783"/>
    <w:rsid w:val="00D7087B"/>
    <w:rsid w:val="00D767AC"/>
    <w:rsid w:val="00D77536"/>
    <w:rsid w:val="00D82134"/>
    <w:rsid w:val="00D85D82"/>
    <w:rsid w:val="00D866FB"/>
    <w:rsid w:val="00D87168"/>
    <w:rsid w:val="00D87D92"/>
    <w:rsid w:val="00D92AE2"/>
    <w:rsid w:val="00D93E71"/>
    <w:rsid w:val="00D94369"/>
    <w:rsid w:val="00D96EA7"/>
    <w:rsid w:val="00D97853"/>
    <w:rsid w:val="00DA1976"/>
    <w:rsid w:val="00DA223E"/>
    <w:rsid w:val="00DA2FB6"/>
    <w:rsid w:val="00DA4AA2"/>
    <w:rsid w:val="00DA54E7"/>
    <w:rsid w:val="00DA62A1"/>
    <w:rsid w:val="00DA6979"/>
    <w:rsid w:val="00DB1868"/>
    <w:rsid w:val="00DB27B2"/>
    <w:rsid w:val="00DB3D4D"/>
    <w:rsid w:val="00DB43B7"/>
    <w:rsid w:val="00DB4DAA"/>
    <w:rsid w:val="00DB5358"/>
    <w:rsid w:val="00DB5533"/>
    <w:rsid w:val="00DB5F67"/>
    <w:rsid w:val="00DB6CD1"/>
    <w:rsid w:val="00DB7D14"/>
    <w:rsid w:val="00DC3536"/>
    <w:rsid w:val="00DC3EA2"/>
    <w:rsid w:val="00DC4534"/>
    <w:rsid w:val="00DD15B6"/>
    <w:rsid w:val="00DD2651"/>
    <w:rsid w:val="00DD294D"/>
    <w:rsid w:val="00DD2D12"/>
    <w:rsid w:val="00DD3881"/>
    <w:rsid w:val="00DD40A2"/>
    <w:rsid w:val="00DD4C64"/>
    <w:rsid w:val="00DD57C2"/>
    <w:rsid w:val="00DD5C4A"/>
    <w:rsid w:val="00DD69E9"/>
    <w:rsid w:val="00DE009B"/>
    <w:rsid w:val="00DE2E05"/>
    <w:rsid w:val="00DE65A0"/>
    <w:rsid w:val="00DE6C27"/>
    <w:rsid w:val="00DE7B03"/>
    <w:rsid w:val="00DF0DD1"/>
    <w:rsid w:val="00DF13A8"/>
    <w:rsid w:val="00DF1538"/>
    <w:rsid w:val="00DF1B04"/>
    <w:rsid w:val="00DF3EC4"/>
    <w:rsid w:val="00DF5A5F"/>
    <w:rsid w:val="00DF5C6D"/>
    <w:rsid w:val="00DF6CD6"/>
    <w:rsid w:val="00DF7E68"/>
    <w:rsid w:val="00E040DD"/>
    <w:rsid w:val="00E04CDC"/>
    <w:rsid w:val="00E06534"/>
    <w:rsid w:val="00E1233F"/>
    <w:rsid w:val="00E146B1"/>
    <w:rsid w:val="00E172A4"/>
    <w:rsid w:val="00E203FB"/>
    <w:rsid w:val="00E23313"/>
    <w:rsid w:val="00E25B97"/>
    <w:rsid w:val="00E25E8E"/>
    <w:rsid w:val="00E26B8C"/>
    <w:rsid w:val="00E26FEB"/>
    <w:rsid w:val="00E31B3A"/>
    <w:rsid w:val="00E32277"/>
    <w:rsid w:val="00E32A73"/>
    <w:rsid w:val="00E32C24"/>
    <w:rsid w:val="00E335F2"/>
    <w:rsid w:val="00E33D30"/>
    <w:rsid w:val="00E33E4A"/>
    <w:rsid w:val="00E34314"/>
    <w:rsid w:val="00E36AAB"/>
    <w:rsid w:val="00E4087A"/>
    <w:rsid w:val="00E40D2C"/>
    <w:rsid w:val="00E41249"/>
    <w:rsid w:val="00E434F7"/>
    <w:rsid w:val="00E43BF0"/>
    <w:rsid w:val="00E44CA4"/>
    <w:rsid w:val="00E45A72"/>
    <w:rsid w:val="00E50EAA"/>
    <w:rsid w:val="00E5119B"/>
    <w:rsid w:val="00E51702"/>
    <w:rsid w:val="00E51DFA"/>
    <w:rsid w:val="00E53814"/>
    <w:rsid w:val="00E53E47"/>
    <w:rsid w:val="00E54BD0"/>
    <w:rsid w:val="00E556B9"/>
    <w:rsid w:val="00E5698F"/>
    <w:rsid w:val="00E57A42"/>
    <w:rsid w:val="00E612BC"/>
    <w:rsid w:val="00E63AD0"/>
    <w:rsid w:val="00E63F31"/>
    <w:rsid w:val="00E646FB"/>
    <w:rsid w:val="00E65CD2"/>
    <w:rsid w:val="00E6636F"/>
    <w:rsid w:val="00E66560"/>
    <w:rsid w:val="00E706DE"/>
    <w:rsid w:val="00E71282"/>
    <w:rsid w:val="00E718E5"/>
    <w:rsid w:val="00E73590"/>
    <w:rsid w:val="00E75E0D"/>
    <w:rsid w:val="00E762CC"/>
    <w:rsid w:val="00E76963"/>
    <w:rsid w:val="00E7734B"/>
    <w:rsid w:val="00E814CA"/>
    <w:rsid w:val="00E81BEF"/>
    <w:rsid w:val="00E820ED"/>
    <w:rsid w:val="00E837C6"/>
    <w:rsid w:val="00E84B73"/>
    <w:rsid w:val="00E85C83"/>
    <w:rsid w:val="00E87040"/>
    <w:rsid w:val="00E925E2"/>
    <w:rsid w:val="00E947E2"/>
    <w:rsid w:val="00E9488C"/>
    <w:rsid w:val="00E9662B"/>
    <w:rsid w:val="00E96D29"/>
    <w:rsid w:val="00EA1BCC"/>
    <w:rsid w:val="00EA38CB"/>
    <w:rsid w:val="00EA4AA0"/>
    <w:rsid w:val="00EB1B4B"/>
    <w:rsid w:val="00EB2C88"/>
    <w:rsid w:val="00EB4017"/>
    <w:rsid w:val="00EB56BF"/>
    <w:rsid w:val="00EC0468"/>
    <w:rsid w:val="00EC05AF"/>
    <w:rsid w:val="00EC1378"/>
    <w:rsid w:val="00EC2380"/>
    <w:rsid w:val="00EC3384"/>
    <w:rsid w:val="00EC40E7"/>
    <w:rsid w:val="00EC41BA"/>
    <w:rsid w:val="00EC4223"/>
    <w:rsid w:val="00EC53EA"/>
    <w:rsid w:val="00EC6A1A"/>
    <w:rsid w:val="00ED1048"/>
    <w:rsid w:val="00ED2342"/>
    <w:rsid w:val="00ED2E67"/>
    <w:rsid w:val="00ED30CE"/>
    <w:rsid w:val="00ED3106"/>
    <w:rsid w:val="00ED45BA"/>
    <w:rsid w:val="00ED51A6"/>
    <w:rsid w:val="00ED5CAF"/>
    <w:rsid w:val="00ED7107"/>
    <w:rsid w:val="00EE1CD8"/>
    <w:rsid w:val="00EE23A0"/>
    <w:rsid w:val="00EE2F63"/>
    <w:rsid w:val="00EE368C"/>
    <w:rsid w:val="00EE66D7"/>
    <w:rsid w:val="00EE6AFC"/>
    <w:rsid w:val="00EE6F27"/>
    <w:rsid w:val="00EE7B4D"/>
    <w:rsid w:val="00EE7C62"/>
    <w:rsid w:val="00EF1133"/>
    <w:rsid w:val="00EF131A"/>
    <w:rsid w:val="00EF2356"/>
    <w:rsid w:val="00EF4778"/>
    <w:rsid w:val="00EF4C83"/>
    <w:rsid w:val="00EF6E93"/>
    <w:rsid w:val="00EF7537"/>
    <w:rsid w:val="00F00F59"/>
    <w:rsid w:val="00F052C9"/>
    <w:rsid w:val="00F05C30"/>
    <w:rsid w:val="00F077A1"/>
    <w:rsid w:val="00F1039E"/>
    <w:rsid w:val="00F11429"/>
    <w:rsid w:val="00F12771"/>
    <w:rsid w:val="00F1361B"/>
    <w:rsid w:val="00F15F6E"/>
    <w:rsid w:val="00F161A6"/>
    <w:rsid w:val="00F171F4"/>
    <w:rsid w:val="00F216AC"/>
    <w:rsid w:val="00F21795"/>
    <w:rsid w:val="00F21952"/>
    <w:rsid w:val="00F22916"/>
    <w:rsid w:val="00F2472C"/>
    <w:rsid w:val="00F24864"/>
    <w:rsid w:val="00F321B6"/>
    <w:rsid w:val="00F32932"/>
    <w:rsid w:val="00F375C9"/>
    <w:rsid w:val="00F42FA0"/>
    <w:rsid w:val="00F4783B"/>
    <w:rsid w:val="00F47EDD"/>
    <w:rsid w:val="00F551A7"/>
    <w:rsid w:val="00F5621E"/>
    <w:rsid w:val="00F57FA3"/>
    <w:rsid w:val="00F608A4"/>
    <w:rsid w:val="00F6101F"/>
    <w:rsid w:val="00F61833"/>
    <w:rsid w:val="00F63247"/>
    <w:rsid w:val="00F64524"/>
    <w:rsid w:val="00F72C81"/>
    <w:rsid w:val="00F72D9A"/>
    <w:rsid w:val="00F73AEE"/>
    <w:rsid w:val="00F74582"/>
    <w:rsid w:val="00F7505E"/>
    <w:rsid w:val="00F76999"/>
    <w:rsid w:val="00F7719D"/>
    <w:rsid w:val="00F8006A"/>
    <w:rsid w:val="00F810F9"/>
    <w:rsid w:val="00F818D7"/>
    <w:rsid w:val="00F82830"/>
    <w:rsid w:val="00F8367D"/>
    <w:rsid w:val="00F83AB6"/>
    <w:rsid w:val="00F846C4"/>
    <w:rsid w:val="00F85560"/>
    <w:rsid w:val="00F87C17"/>
    <w:rsid w:val="00F93BC8"/>
    <w:rsid w:val="00F941B6"/>
    <w:rsid w:val="00F94FD1"/>
    <w:rsid w:val="00F95AFB"/>
    <w:rsid w:val="00F95C32"/>
    <w:rsid w:val="00F96510"/>
    <w:rsid w:val="00F97990"/>
    <w:rsid w:val="00FA18BB"/>
    <w:rsid w:val="00FA2912"/>
    <w:rsid w:val="00FA30E2"/>
    <w:rsid w:val="00FA53A8"/>
    <w:rsid w:val="00FA75D8"/>
    <w:rsid w:val="00FB1B2E"/>
    <w:rsid w:val="00FB1B67"/>
    <w:rsid w:val="00FB538D"/>
    <w:rsid w:val="00FB5AA6"/>
    <w:rsid w:val="00FC10C8"/>
    <w:rsid w:val="00FC5ABA"/>
    <w:rsid w:val="00FC5AD8"/>
    <w:rsid w:val="00FD130B"/>
    <w:rsid w:val="00FD1B06"/>
    <w:rsid w:val="00FD1FB7"/>
    <w:rsid w:val="00FD51C4"/>
    <w:rsid w:val="00FE10BF"/>
    <w:rsid w:val="00FE2426"/>
    <w:rsid w:val="00FE3B83"/>
    <w:rsid w:val="00FE3C25"/>
    <w:rsid w:val="00FE665D"/>
    <w:rsid w:val="00FF258D"/>
    <w:rsid w:val="00FF6AC3"/>
    <w:rsid w:val="00FF7727"/>
    <w:rsid w:val="01AB19EE"/>
    <w:rsid w:val="030D54FE"/>
    <w:rsid w:val="038D3E1F"/>
    <w:rsid w:val="04897E1B"/>
    <w:rsid w:val="049E0D0F"/>
    <w:rsid w:val="06942FB8"/>
    <w:rsid w:val="07613413"/>
    <w:rsid w:val="081A1EFB"/>
    <w:rsid w:val="088C2126"/>
    <w:rsid w:val="0A5406AA"/>
    <w:rsid w:val="0AEC3A82"/>
    <w:rsid w:val="0B986248"/>
    <w:rsid w:val="0BCA44EB"/>
    <w:rsid w:val="0C0E26B7"/>
    <w:rsid w:val="0C9355A1"/>
    <w:rsid w:val="0C954767"/>
    <w:rsid w:val="0DE5246B"/>
    <w:rsid w:val="0E05748E"/>
    <w:rsid w:val="0F0F7DF1"/>
    <w:rsid w:val="0F986169"/>
    <w:rsid w:val="0FFA455C"/>
    <w:rsid w:val="10FE3A18"/>
    <w:rsid w:val="11503717"/>
    <w:rsid w:val="1171440F"/>
    <w:rsid w:val="14A71F4E"/>
    <w:rsid w:val="172C089D"/>
    <w:rsid w:val="17994D4D"/>
    <w:rsid w:val="17C45E28"/>
    <w:rsid w:val="17D161E2"/>
    <w:rsid w:val="181F0527"/>
    <w:rsid w:val="18812552"/>
    <w:rsid w:val="19CF7C74"/>
    <w:rsid w:val="1A1F09FB"/>
    <w:rsid w:val="1B0D150A"/>
    <w:rsid w:val="1BC11999"/>
    <w:rsid w:val="1C2602D9"/>
    <w:rsid w:val="1CE95BAF"/>
    <w:rsid w:val="1D01776F"/>
    <w:rsid w:val="1E1D3CD7"/>
    <w:rsid w:val="1E403142"/>
    <w:rsid w:val="1E5B7F7C"/>
    <w:rsid w:val="1E924AA9"/>
    <w:rsid w:val="1F8C6FBB"/>
    <w:rsid w:val="1F970128"/>
    <w:rsid w:val="1FE54E39"/>
    <w:rsid w:val="203612F9"/>
    <w:rsid w:val="21335D7E"/>
    <w:rsid w:val="216061A2"/>
    <w:rsid w:val="225C11BC"/>
    <w:rsid w:val="226513C9"/>
    <w:rsid w:val="232C0139"/>
    <w:rsid w:val="23F23B9E"/>
    <w:rsid w:val="24166232"/>
    <w:rsid w:val="246B4C91"/>
    <w:rsid w:val="2544077B"/>
    <w:rsid w:val="262666A9"/>
    <w:rsid w:val="26BC76C9"/>
    <w:rsid w:val="26D55B0C"/>
    <w:rsid w:val="28364B98"/>
    <w:rsid w:val="286856B4"/>
    <w:rsid w:val="28CA2409"/>
    <w:rsid w:val="28D058D5"/>
    <w:rsid w:val="28D446E4"/>
    <w:rsid w:val="29256085"/>
    <w:rsid w:val="2A1962E4"/>
    <w:rsid w:val="2A690D72"/>
    <w:rsid w:val="2B38529C"/>
    <w:rsid w:val="2BB66559"/>
    <w:rsid w:val="2BBE7D9C"/>
    <w:rsid w:val="2BD8758E"/>
    <w:rsid w:val="2C0A04E9"/>
    <w:rsid w:val="2C6D0BDD"/>
    <w:rsid w:val="2C7C5C8D"/>
    <w:rsid w:val="2C9C0A5E"/>
    <w:rsid w:val="2DB55CF0"/>
    <w:rsid w:val="2E24654F"/>
    <w:rsid w:val="2EB12D9C"/>
    <w:rsid w:val="2F230642"/>
    <w:rsid w:val="2FDB6649"/>
    <w:rsid w:val="2FF31643"/>
    <w:rsid w:val="302F3AAA"/>
    <w:rsid w:val="305D57B5"/>
    <w:rsid w:val="30EC4FEB"/>
    <w:rsid w:val="310B2E3F"/>
    <w:rsid w:val="31B243B8"/>
    <w:rsid w:val="32925305"/>
    <w:rsid w:val="329E115A"/>
    <w:rsid w:val="32CE4D68"/>
    <w:rsid w:val="338268F8"/>
    <w:rsid w:val="35D92F9C"/>
    <w:rsid w:val="36983184"/>
    <w:rsid w:val="36AB30C6"/>
    <w:rsid w:val="3757089C"/>
    <w:rsid w:val="376F7A5F"/>
    <w:rsid w:val="38506F57"/>
    <w:rsid w:val="385D29CA"/>
    <w:rsid w:val="396A0A2C"/>
    <w:rsid w:val="39A21D79"/>
    <w:rsid w:val="3B6F4C0F"/>
    <w:rsid w:val="3DCF3630"/>
    <w:rsid w:val="3DE11DF4"/>
    <w:rsid w:val="3E324D34"/>
    <w:rsid w:val="3EE21B8E"/>
    <w:rsid w:val="3F1955BD"/>
    <w:rsid w:val="3F345DBE"/>
    <w:rsid w:val="3F593C15"/>
    <w:rsid w:val="3F983DFA"/>
    <w:rsid w:val="3FAC0495"/>
    <w:rsid w:val="3FB6105E"/>
    <w:rsid w:val="404E76F9"/>
    <w:rsid w:val="41641A33"/>
    <w:rsid w:val="41C772F8"/>
    <w:rsid w:val="41F21AFE"/>
    <w:rsid w:val="424479E2"/>
    <w:rsid w:val="42982B8C"/>
    <w:rsid w:val="432759BC"/>
    <w:rsid w:val="43A66BDF"/>
    <w:rsid w:val="440A7D32"/>
    <w:rsid w:val="458C5034"/>
    <w:rsid w:val="45F95811"/>
    <w:rsid w:val="46F446CB"/>
    <w:rsid w:val="48CC76E8"/>
    <w:rsid w:val="4B076C12"/>
    <w:rsid w:val="4B5B14A8"/>
    <w:rsid w:val="4B6A4D51"/>
    <w:rsid w:val="4C355E7A"/>
    <w:rsid w:val="4DA4065A"/>
    <w:rsid w:val="4E020B56"/>
    <w:rsid w:val="4EB13A5A"/>
    <w:rsid w:val="4F7212A3"/>
    <w:rsid w:val="4F973207"/>
    <w:rsid w:val="4FB104AF"/>
    <w:rsid w:val="4FBF78BB"/>
    <w:rsid w:val="509D79A9"/>
    <w:rsid w:val="50D451DF"/>
    <w:rsid w:val="51B64302"/>
    <w:rsid w:val="51F80913"/>
    <w:rsid w:val="52527039"/>
    <w:rsid w:val="53321A5E"/>
    <w:rsid w:val="53762607"/>
    <w:rsid w:val="537F25B9"/>
    <w:rsid w:val="53CB1EA8"/>
    <w:rsid w:val="54FA6EA6"/>
    <w:rsid w:val="55FF562D"/>
    <w:rsid w:val="563D7CEC"/>
    <w:rsid w:val="575526DE"/>
    <w:rsid w:val="58484E4F"/>
    <w:rsid w:val="5A044A81"/>
    <w:rsid w:val="5A32301D"/>
    <w:rsid w:val="5AA84358"/>
    <w:rsid w:val="5B0363D8"/>
    <w:rsid w:val="5B257999"/>
    <w:rsid w:val="5B554043"/>
    <w:rsid w:val="5BAC1D73"/>
    <w:rsid w:val="5BB33AFA"/>
    <w:rsid w:val="5C7730C3"/>
    <w:rsid w:val="5CE00803"/>
    <w:rsid w:val="5CE13EB6"/>
    <w:rsid w:val="5D3B1A41"/>
    <w:rsid w:val="5D3C099D"/>
    <w:rsid w:val="5DD510CF"/>
    <w:rsid w:val="5E097BD3"/>
    <w:rsid w:val="6068376F"/>
    <w:rsid w:val="61386955"/>
    <w:rsid w:val="61774037"/>
    <w:rsid w:val="61AA2AF5"/>
    <w:rsid w:val="61C11ED8"/>
    <w:rsid w:val="626D613C"/>
    <w:rsid w:val="62FD4053"/>
    <w:rsid w:val="64803499"/>
    <w:rsid w:val="65B60726"/>
    <w:rsid w:val="65FC516D"/>
    <w:rsid w:val="66886F09"/>
    <w:rsid w:val="66F76AC2"/>
    <w:rsid w:val="67061F14"/>
    <w:rsid w:val="67AF7F59"/>
    <w:rsid w:val="67BA0E3C"/>
    <w:rsid w:val="69900CDA"/>
    <w:rsid w:val="69F75FEE"/>
    <w:rsid w:val="6B3F771C"/>
    <w:rsid w:val="6C1432AD"/>
    <w:rsid w:val="6C38496E"/>
    <w:rsid w:val="6C955F4A"/>
    <w:rsid w:val="6DA07EE4"/>
    <w:rsid w:val="6E3A3330"/>
    <w:rsid w:val="6E425383"/>
    <w:rsid w:val="6E7B3158"/>
    <w:rsid w:val="710E3325"/>
    <w:rsid w:val="7133664B"/>
    <w:rsid w:val="719623E0"/>
    <w:rsid w:val="71CA71B1"/>
    <w:rsid w:val="72AD7CE4"/>
    <w:rsid w:val="73172131"/>
    <w:rsid w:val="731D6F1B"/>
    <w:rsid w:val="735F348B"/>
    <w:rsid w:val="738243AE"/>
    <w:rsid w:val="73CB43D1"/>
    <w:rsid w:val="75020CC5"/>
    <w:rsid w:val="76CC4EF6"/>
    <w:rsid w:val="78342F6C"/>
    <w:rsid w:val="78D1212C"/>
    <w:rsid w:val="7A3F3423"/>
    <w:rsid w:val="7C0A6013"/>
    <w:rsid w:val="7C58534C"/>
    <w:rsid w:val="7CE056F8"/>
    <w:rsid w:val="7DC12ACC"/>
    <w:rsid w:val="7E0373D5"/>
    <w:rsid w:val="7F1578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iPriority="99" w:semiHidden="0" w:name="HTML Acronym"/>
    <w:lsdException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unhideWhenUsed="0" w:uiPriority="0" w:semiHidden="0" w:name="HTML Typewriter"/>
    <w:lsdException w:qFormat="1" w:uiPriority="99"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autoRedefine/>
    <w:qFormat/>
    <w:uiPriority w:val="0"/>
    <w:pPr>
      <w:keepNext/>
      <w:outlineLvl w:val="0"/>
    </w:pPr>
    <w:rPr>
      <w:b/>
      <w:bCs/>
      <w:sz w:val="32"/>
    </w:rPr>
  </w:style>
  <w:style w:type="paragraph" w:styleId="4">
    <w:name w:val="heading 2"/>
    <w:basedOn w:val="1"/>
    <w:next w:val="1"/>
    <w:link w:val="64"/>
    <w:autoRedefine/>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65"/>
    <w:autoRedefine/>
    <w:qFormat/>
    <w:uiPriority w:val="0"/>
    <w:pPr>
      <w:keepNext/>
      <w:keepLines/>
      <w:spacing w:before="260" w:after="260" w:line="415" w:lineRule="auto"/>
      <w:outlineLvl w:val="2"/>
    </w:pPr>
    <w:rPr>
      <w:b/>
      <w:bCs/>
      <w:sz w:val="32"/>
      <w:szCs w:val="32"/>
    </w:rPr>
  </w:style>
  <w:style w:type="paragraph" w:styleId="6">
    <w:name w:val="heading 4"/>
    <w:basedOn w:val="1"/>
    <w:next w:val="1"/>
    <w:link w:val="66"/>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67"/>
    <w:autoRedefine/>
    <w:qFormat/>
    <w:uiPriority w:val="0"/>
    <w:pPr>
      <w:keepNext/>
      <w:keepLines/>
      <w:spacing w:before="280" w:after="290" w:line="376" w:lineRule="auto"/>
      <w:outlineLvl w:val="4"/>
    </w:pPr>
    <w:rPr>
      <w:b/>
      <w:bCs/>
      <w:sz w:val="28"/>
      <w:szCs w:val="28"/>
    </w:rPr>
  </w:style>
  <w:style w:type="paragraph" w:styleId="8">
    <w:name w:val="heading 6"/>
    <w:basedOn w:val="1"/>
    <w:next w:val="1"/>
    <w:link w:val="68"/>
    <w:autoRedefine/>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9"/>
    <w:autoRedefine/>
    <w:qFormat/>
    <w:uiPriority w:val="0"/>
    <w:pPr>
      <w:keepNext/>
      <w:keepLines/>
      <w:spacing w:before="240" w:after="64" w:line="320" w:lineRule="auto"/>
      <w:outlineLvl w:val="6"/>
    </w:pPr>
    <w:rPr>
      <w:b/>
      <w:bCs/>
      <w:sz w:val="24"/>
    </w:rPr>
  </w:style>
  <w:style w:type="paragraph" w:styleId="10">
    <w:name w:val="heading 8"/>
    <w:basedOn w:val="1"/>
    <w:next w:val="1"/>
    <w:link w:val="70"/>
    <w:autoRedefine/>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71"/>
    <w:autoRedefine/>
    <w:qFormat/>
    <w:uiPriority w:val="0"/>
    <w:pPr>
      <w:keepNext/>
      <w:keepLines/>
      <w:spacing w:before="240" w:after="64" w:line="320" w:lineRule="auto"/>
      <w:outlineLvl w:val="8"/>
    </w:pPr>
    <w:rPr>
      <w:rFonts w:ascii="Arial" w:hAnsi="Arial" w:eastAsia="黑体"/>
      <w:szCs w:val="21"/>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74"/>
    <w:autoRedefine/>
    <w:qFormat/>
    <w:uiPriority w:val="0"/>
    <w:pPr>
      <w:jc w:val="center"/>
    </w:pPr>
    <w:rPr>
      <w:rFonts w:eastAsia="黑体"/>
      <w:sz w:val="44"/>
    </w:rPr>
  </w:style>
  <w:style w:type="paragraph" w:styleId="12">
    <w:name w:val="toc 7"/>
    <w:basedOn w:val="1"/>
    <w:next w:val="1"/>
    <w:autoRedefine/>
    <w:qFormat/>
    <w:uiPriority w:val="0"/>
    <w:pPr>
      <w:ind w:left="2520" w:leftChars="1200"/>
    </w:pPr>
    <w:rPr>
      <w:rFonts w:ascii="Calibri" w:hAnsi="Calibri"/>
      <w:szCs w:val="22"/>
    </w:rPr>
  </w:style>
  <w:style w:type="paragraph" w:styleId="13">
    <w:name w:val="index 8"/>
    <w:basedOn w:val="1"/>
    <w:next w:val="1"/>
    <w:autoRedefine/>
    <w:unhideWhenUsed/>
    <w:qFormat/>
    <w:uiPriority w:val="99"/>
    <w:pPr>
      <w:ind w:left="1400" w:leftChars="1400"/>
    </w:pPr>
  </w:style>
  <w:style w:type="paragraph" w:styleId="14">
    <w:name w:val="Normal Indent"/>
    <w:basedOn w:val="1"/>
    <w:link w:val="163"/>
    <w:autoRedefine/>
    <w:qFormat/>
    <w:uiPriority w:val="0"/>
    <w:pPr>
      <w:ind w:firstLine="420"/>
    </w:pPr>
    <w:rPr>
      <w:szCs w:val="20"/>
    </w:rPr>
  </w:style>
  <w:style w:type="paragraph" w:styleId="15">
    <w:name w:val="caption"/>
    <w:basedOn w:val="1"/>
    <w:next w:val="1"/>
    <w:autoRedefine/>
    <w:qFormat/>
    <w:uiPriority w:val="0"/>
    <w:rPr>
      <w:rFonts w:ascii="Cambria" w:hAnsi="Cambria" w:eastAsia="黑体"/>
      <w:sz w:val="20"/>
      <w:szCs w:val="20"/>
    </w:rPr>
  </w:style>
  <w:style w:type="paragraph" w:styleId="16">
    <w:name w:val="List Bullet"/>
    <w:basedOn w:val="1"/>
    <w:autoRedefine/>
    <w:qFormat/>
    <w:uiPriority w:val="0"/>
    <w:pPr>
      <w:numPr>
        <w:ilvl w:val="0"/>
        <w:numId w:val="1"/>
      </w:numPr>
      <w:tabs>
        <w:tab w:val="left" w:pos="360"/>
        <w:tab w:val="clear" w:pos="900"/>
      </w:tabs>
    </w:pPr>
  </w:style>
  <w:style w:type="paragraph" w:styleId="17">
    <w:name w:val="Document Map"/>
    <w:basedOn w:val="1"/>
    <w:link w:val="72"/>
    <w:autoRedefine/>
    <w:qFormat/>
    <w:uiPriority w:val="0"/>
    <w:pPr>
      <w:shd w:val="clear" w:color="auto" w:fill="000080"/>
    </w:pPr>
  </w:style>
  <w:style w:type="paragraph" w:styleId="18">
    <w:name w:val="annotation text"/>
    <w:basedOn w:val="1"/>
    <w:link w:val="73"/>
    <w:autoRedefine/>
    <w:qFormat/>
    <w:uiPriority w:val="0"/>
    <w:pPr>
      <w:jc w:val="left"/>
    </w:pPr>
  </w:style>
  <w:style w:type="paragraph" w:styleId="19">
    <w:name w:val="Body Text 3"/>
    <w:basedOn w:val="1"/>
    <w:autoRedefine/>
    <w:qFormat/>
    <w:uiPriority w:val="0"/>
    <w:pPr>
      <w:spacing w:after="120"/>
    </w:pPr>
    <w:rPr>
      <w:sz w:val="16"/>
      <w:szCs w:val="16"/>
    </w:rPr>
  </w:style>
  <w:style w:type="paragraph" w:styleId="20">
    <w:name w:val="Body Text Indent"/>
    <w:basedOn w:val="1"/>
    <w:link w:val="76"/>
    <w:autoRedefine/>
    <w:qFormat/>
    <w:uiPriority w:val="0"/>
    <w:pPr>
      <w:spacing w:line="560" w:lineRule="exact"/>
      <w:ind w:firstLine="570"/>
    </w:pPr>
    <w:rPr>
      <w:sz w:val="28"/>
    </w:rPr>
  </w:style>
  <w:style w:type="paragraph" w:styleId="21">
    <w:name w:val="List Bullet 2"/>
    <w:basedOn w:val="16"/>
    <w:autoRedefine/>
    <w:qFormat/>
    <w:uiPriority w:val="0"/>
    <w:pPr>
      <w:widowControl/>
      <w:numPr>
        <w:ilvl w:val="0"/>
        <w:numId w:val="2"/>
      </w:numPr>
      <w:tabs>
        <w:tab w:val="left" w:pos="432"/>
        <w:tab w:val="clear" w:pos="360"/>
      </w:tabs>
      <w:spacing w:after="220" w:line="220" w:lineRule="atLeast"/>
      <w:ind w:left="2160" w:right="720" w:hanging="432"/>
      <w:jc w:val="left"/>
    </w:pPr>
    <w:rPr>
      <w:kern w:val="0"/>
      <w:szCs w:val="20"/>
    </w:rPr>
  </w:style>
  <w:style w:type="paragraph" w:styleId="22">
    <w:name w:val="index 4"/>
    <w:basedOn w:val="1"/>
    <w:next w:val="1"/>
    <w:autoRedefine/>
    <w:qFormat/>
    <w:uiPriority w:val="0"/>
    <w:pPr>
      <w:ind w:left="600" w:leftChars="600"/>
    </w:pPr>
  </w:style>
  <w:style w:type="paragraph" w:styleId="23">
    <w:name w:val="toc 5"/>
    <w:basedOn w:val="1"/>
    <w:next w:val="1"/>
    <w:autoRedefine/>
    <w:qFormat/>
    <w:uiPriority w:val="0"/>
    <w:pPr>
      <w:ind w:left="1680" w:leftChars="800"/>
    </w:pPr>
  </w:style>
  <w:style w:type="paragraph" w:styleId="24">
    <w:name w:val="toc 3"/>
    <w:basedOn w:val="1"/>
    <w:next w:val="1"/>
    <w:autoRedefine/>
    <w:qFormat/>
    <w:uiPriority w:val="0"/>
    <w:pPr>
      <w:ind w:left="400" w:leftChars="400"/>
    </w:pPr>
  </w:style>
  <w:style w:type="paragraph" w:styleId="25">
    <w:name w:val="Plain Text"/>
    <w:basedOn w:val="1"/>
    <w:link w:val="77"/>
    <w:autoRedefine/>
    <w:qFormat/>
    <w:uiPriority w:val="0"/>
    <w:rPr>
      <w:rFonts w:ascii="宋体"/>
      <w:szCs w:val="20"/>
    </w:rPr>
  </w:style>
  <w:style w:type="paragraph" w:styleId="26">
    <w:name w:val="toc 8"/>
    <w:basedOn w:val="1"/>
    <w:next w:val="1"/>
    <w:autoRedefine/>
    <w:qFormat/>
    <w:uiPriority w:val="0"/>
    <w:pPr>
      <w:ind w:left="2940" w:leftChars="1400"/>
    </w:pPr>
    <w:rPr>
      <w:rFonts w:ascii="Calibri" w:hAnsi="Calibri"/>
      <w:szCs w:val="22"/>
    </w:rPr>
  </w:style>
  <w:style w:type="paragraph" w:styleId="27">
    <w:name w:val="Date"/>
    <w:basedOn w:val="1"/>
    <w:next w:val="1"/>
    <w:link w:val="78"/>
    <w:autoRedefine/>
    <w:qFormat/>
    <w:uiPriority w:val="0"/>
    <w:pPr>
      <w:ind w:left="100" w:leftChars="2500"/>
    </w:pPr>
  </w:style>
  <w:style w:type="paragraph" w:styleId="28">
    <w:name w:val="Body Text Indent 2"/>
    <w:basedOn w:val="1"/>
    <w:autoRedefine/>
    <w:qFormat/>
    <w:uiPriority w:val="0"/>
    <w:pPr>
      <w:ind w:firstLine="200" w:firstLineChars="200"/>
    </w:pPr>
    <w:rPr>
      <w:sz w:val="28"/>
    </w:rPr>
  </w:style>
  <w:style w:type="paragraph" w:styleId="29">
    <w:name w:val="endnote text"/>
    <w:basedOn w:val="1"/>
    <w:autoRedefine/>
    <w:qFormat/>
    <w:uiPriority w:val="0"/>
    <w:pPr>
      <w:snapToGrid w:val="0"/>
      <w:jc w:val="left"/>
    </w:pPr>
  </w:style>
  <w:style w:type="paragraph" w:styleId="30">
    <w:name w:val="Balloon Text"/>
    <w:basedOn w:val="1"/>
    <w:link w:val="79"/>
    <w:autoRedefine/>
    <w:qFormat/>
    <w:uiPriority w:val="0"/>
    <w:rPr>
      <w:sz w:val="18"/>
      <w:szCs w:val="18"/>
    </w:rPr>
  </w:style>
  <w:style w:type="paragraph" w:styleId="31">
    <w:name w:val="footer"/>
    <w:basedOn w:val="1"/>
    <w:link w:val="80"/>
    <w:autoRedefine/>
    <w:qFormat/>
    <w:uiPriority w:val="0"/>
    <w:pPr>
      <w:tabs>
        <w:tab w:val="center" w:pos="4153"/>
        <w:tab w:val="right" w:pos="8306"/>
      </w:tabs>
      <w:snapToGrid w:val="0"/>
      <w:jc w:val="left"/>
    </w:pPr>
    <w:rPr>
      <w:sz w:val="18"/>
      <w:szCs w:val="18"/>
    </w:rPr>
  </w:style>
  <w:style w:type="paragraph" w:styleId="32">
    <w:name w:val="header"/>
    <w:basedOn w:val="1"/>
    <w:link w:val="81"/>
    <w:autoRedefine/>
    <w:qFormat/>
    <w:uiPriority w:val="0"/>
    <w:pPr>
      <w:tabs>
        <w:tab w:val="center" w:pos="4153"/>
        <w:tab w:val="right" w:pos="8306"/>
      </w:tabs>
      <w:snapToGrid w:val="0"/>
      <w:jc w:val="center"/>
    </w:pPr>
    <w:rPr>
      <w:sz w:val="18"/>
      <w:szCs w:val="18"/>
    </w:rPr>
  </w:style>
  <w:style w:type="paragraph" w:styleId="33">
    <w:name w:val="toc 1"/>
    <w:basedOn w:val="1"/>
    <w:next w:val="1"/>
    <w:autoRedefine/>
    <w:qFormat/>
    <w:uiPriority w:val="0"/>
  </w:style>
  <w:style w:type="paragraph" w:styleId="34">
    <w:name w:val="toc 4"/>
    <w:basedOn w:val="1"/>
    <w:next w:val="1"/>
    <w:autoRedefine/>
    <w:qFormat/>
    <w:uiPriority w:val="0"/>
    <w:pPr>
      <w:ind w:left="1260" w:leftChars="600"/>
    </w:pPr>
  </w:style>
  <w:style w:type="paragraph" w:styleId="35">
    <w:name w:val="Subtitle"/>
    <w:basedOn w:val="1"/>
    <w:next w:val="1"/>
    <w:link w:val="82"/>
    <w:autoRedefine/>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autoRedefine/>
    <w:qFormat/>
    <w:uiPriority w:val="99"/>
    <w:pPr>
      <w:adjustRightInd w:val="0"/>
      <w:spacing w:line="312" w:lineRule="atLeast"/>
      <w:jc w:val="left"/>
      <w:textAlignment w:val="baseline"/>
    </w:pPr>
    <w:rPr>
      <w:kern w:val="0"/>
      <w:sz w:val="18"/>
      <w:szCs w:val="20"/>
    </w:rPr>
  </w:style>
  <w:style w:type="paragraph" w:styleId="37">
    <w:name w:val="toc 6"/>
    <w:basedOn w:val="1"/>
    <w:next w:val="1"/>
    <w:autoRedefine/>
    <w:qFormat/>
    <w:uiPriority w:val="0"/>
    <w:pPr>
      <w:ind w:left="2100" w:leftChars="1000"/>
    </w:pPr>
    <w:rPr>
      <w:rFonts w:ascii="Calibri" w:hAnsi="Calibri"/>
      <w:szCs w:val="22"/>
    </w:rPr>
  </w:style>
  <w:style w:type="paragraph" w:styleId="38">
    <w:name w:val="Body Text Indent 3"/>
    <w:basedOn w:val="1"/>
    <w:autoRedefine/>
    <w:qFormat/>
    <w:uiPriority w:val="0"/>
    <w:pPr>
      <w:spacing w:after="120"/>
      <w:ind w:left="420" w:leftChars="200"/>
    </w:pPr>
    <w:rPr>
      <w:sz w:val="16"/>
      <w:szCs w:val="16"/>
    </w:rPr>
  </w:style>
  <w:style w:type="paragraph" w:styleId="39">
    <w:name w:val="toc 2"/>
    <w:basedOn w:val="1"/>
    <w:next w:val="1"/>
    <w:autoRedefine/>
    <w:qFormat/>
    <w:uiPriority w:val="0"/>
    <w:pPr>
      <w:ind w:left="200" w:leftChars="200"/>
    </w:pPr>
  </w:style>
  <w:style w:type="paragraph" w:styleId="40">
    <w:name w:val="toc 9"/>
    <w:basedOn w:val="1"/>
    <w:next w:val="1"/>
    <w:autoRedefine/>
    <w:unhideWhenUsed/>
    <w:qFormat/>
    <w:uiPriority w:val="0"/>
    <w:pPr>
      <w:ind w:left="3360" w:leftChars="1600"/>
    </w:pPr>
  </w:style>
  <w:style w:type="paragraph" w:styleId="41">
    <w:name w:val="Body Text 2"/>
    <w:basedOn w:val="1"/>
    <w:autoRedefine/>
    <w:qFormat/>
    <w:uiPriority w:val="0"/>
    <w:rPr>
      <w:rFonts w:eastAsia="楷体_GB2312"/>
      <w:b/>
      <w:bCs/>
    </w:rPr>
  </w:style>
  <w:style w:type="paragraph" w:styleId="42">
    <w:name w:val="HTML Preformatted"/>
    <w:basedOn w:val="1"/>
    <w:link w:val="8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autoRedefine/>
    <w:qFormat/>
    <w:uiPriority w:val="0"/>
    <w:pPr>
      <w:spacing w:before="100" w:beforeAutospacing="1" w:after="100" w:afterAutospacing="1"/>
      <w:jc w:val="left"/>
    </w:pPr>
    <w:rPr>
      <w:kern w:val="0"/>
      <w:sz w:val="24"/>
    </w:rPr>
  </w:style>
  <w:style w:type="paragraph" w:styleId="44">
    <w:name w:val="Title"/>
    <w:basedOn w:val="1"/>
    <w:next w:val="1"/>
    <w:link w:val="75"/>
    <w:autoRedefine/>
    <w:qFormat/>
    <w:uiPriority w:val="0"/>
    <w:pPr>
      <w:spacing w:before="240" w:after="60"/>
      <w:jc w:val="center"/>
      <w:outlineLvl w:val="0"/>
    </w:pPr>
    <w:rPr>
      <w:rFonts w:ascii="Cambria" w:hAnsi="Cambria"/>
      <w:b/>
      <w:bCs/>
      <w:sz w:val="32"/>
      <w:szCs w:val="32"/>
    </w:rPr>
  </w:style>
  <w:style w:type="paragraph" w:styleId="45">
    <w:name w:val="annotation subject"/>
    <w:basedOn w:val="18"/>
    <w:next w:val="18"/>
    <w:link w:val="84"/>
    <w:autoRedefine/>
    <w:qFormat/>
    <w:uiPriority w:val="0"/>
    <w:rPr>
      <w:b/>
      <w:bCs/>
    </w:rPr>
  </w:style>
  <w:style w:type="paragraph" w:styleId="46">
    <w:name w:val="Body Text First Indent 2"/>
    <w:next w:val="2"/>
    <w:link w:val="85"/>
    <w:autoRedefine/>
    <w:unhideWhenUsed/>
    <w:qFormat/>
    <w:uiPriority w:val="99"/>
    <w:pPr>
      <w:widowControl w:val="0"/>
      <w:spacing w:after="120"/>
      <w:jc w:val="both"/>
    </w:pPr>
    <w:rPr>
      <w:rFonts w:ascii="Times New Roman" w:hAnsi="Times New Roman" w:eastAsia="仿宋_GB2312" w:cs="Times New Roman"/>
      <w:kern w:val="2"/>
      <w:sz w:val="32"/>
      <w:szCs w:val="24"/>
      <w:lang w:val="en-US" w:eastAsia="zh-CN" w:bidi="ar-SA"/>
    </w:rPr>
  </w:style>
  <w:style w:type="table" w:styleId="48">
    <w:name w:val="Table Grid"/>
    <w:basedOn w:val="4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autoRedefine/>
    <w:qFormat/>
    <w:uiPriority w:val="0"/>
    <w:rPr>
      <w:b/>
      <w:bCs/>
    </w:rPr>
  </w:style>
  <w:style w:type="character" w:styleId="51">
    <w:name w:val="page number"/>
    <w:autoRedefine/>
    <w:qFormat/>
    <w:uiPriority w:val="0"/>
  </w:style>
  <w:style w:type="character" w:styleId="52">
    <w:name w:val="FollowedHyperlink"/>
    <w:autoRedefine/>
    <w:qFormat/>
    <w:uiPriority w:val="99"/>
    <w:rPr>
      <w:color w:val="800080"/>
      <w:u w:val="none"/>
    </w:rPr>
  </w:style>
  <w:style w:type="character" w:styleId="53">
    <w:name w:val="Emphasis"/>
    <w:autoRedefine/>
    <w:qFormat/>
    <w:uiPriority w:val="0"/>
  </w:style>
  <w:style w:type="character" w:styleId="54">
    <w:name w:val="HTML Definition"/>
    <w:autoRedefine/>
    <w:unhideWhenUsed/>
    <w:qFormat/>
    <w:uiPriority w:val="99"/>
  </w:style>
  <w:style w:type="character" w:styleId="55">
    <w:name w:val="HTML Acronym"/>
    <w:autoRedefine/>
    <w:unhideWhenUsed/>
    <w:qFormat/>
    <w:uiPriority w:val="99"/>
  </w:style>
  <w:style w:type="character" w:styleId="56">
    <w:name w:val="HTML Variable"/>
    <w:autoRedefine/>
    <w:unhideWhenUsed/>
    <w:qFormat/>
    <w:uiPriority w:val="99"/>
  </w:style>
  <w:style w:type="character" w:styleId="57">
    <w:name w:val="Hyperlink"/>
    <w:autoRedefine/>
    <w:qFormat/>
    <w:uiPriority w:val="0"/>
    <w:rPr>
      <w:color w:val="0000FF"/>
      <w:u w:val="none"/>
    </w:rPr>
  </w:style>
  <w:style w:type="character" w:styleId="58">
    <w:name w:val="HTML Code"/>
    <w:autoRedefine/>
    <w:unhideWhenUsed/>
    <w:qFormat/>
    <w:uiPriority w:val="99"/>
    <w:rPr>
      <w:rFonts w:ascii="Courier New" w:hAnsi="Courier New"/>
      <w:sz w:val="18"/>
      <w:szCs w:val="18"/>
    </w:rPr>
  </w:style>
  <w:style w:type="character" w:styleId="59">
    <w:name w:val="annotation reference"/>
    <w:autoRedefine/>
    <w:qFormat/>
    <w:uiPriority w:val="0"/>
    <w:rPr>
      <w:sz w:val="21"/>
      <w:szCs w:val="21"/>
    </w:rPr>
  </w:style>
  <w:style w:type="character" w:styleId="60">
    <w:name w:val="HTML Cite"/>
    <w:autoRedefine/>
    <w:unhideWhenUsed/>
    <w:qFormat/>
    <w:uiPriority w:val="99"/>
  </w:style>
  <w:style w:type="character" w:styleId="61">
    <w:name w:val="HTML Keyboard"/>
    <w:autoRedefine/>
    <w:unhideWhenUsed/>
    <w:qFormat/>
    <w:uiPriority w:val="99"/>
    <w:rPr>
      <w:rFonts w:hint="default" w:ascii="Courier New" w:hAnsi="Courier New" w:eastAsia="Courier New" w:cs="Courier New"/>
      <w:color w:val="FFFFFF"/>
      <w:sz w:val="21"/>
      <w:szCs w:val="21"/>
      <w:shd w:val="clear" w:color="auto" w:fill="333333"/>
    </w:rPr>
  </w:style>
  <w:style w:type="character" w:styleId="62">
    <w:name w:val="HTML Sample"/>
    <w:autoRedefine/>
    <w:unhideWhenUsed/>
    <w:qFormat/>
    <w:uiPriority w:val="99"/>
    <w:rPr>
      <w:rFonts w:ascii="Courier New" w:hAnsi="Courier New" w:eastAsia="Courier New" w:cs="Courier New"/>
      <w:sz w:val="21"/>
      <w:szCs w:val="21"/>
    </w:rPr>
  </w:style>
  <w:style w:type="character" w:customStyle="1" w:styleId="63">
    <w:name w:val="标题 1 Char"/>
    <w:link w:val="3"/>
    <w:autoRedefine/>
    <w:qFormat/>
    <w:uiPriority w:val="0"/>
    <w:rPr>
      <w:b/>
      <w:bCs/>
      <w:kern w:val="2"/>
      <w:sz w:val="32"/>
      <w:szCs w:val="24"/>
    </w:rPr>
  </w:style>
  <w:style w:type="character" w:customStyle="1" w:styleId="64">
    <w:name w:val="标题 2 Char"/>
    <w:link w:val="4"/>
    <w:autoRedefine/>
    <w:qFormat/>
    <w:uiPriority w:val="0"/>
    <w:rPr>
      <w:rFonts w:ascii="Arial" w:hAnsi="Arial" w:eastAsia="黑体"/>
      <w:b/>
      <w:bCs/>
      <w:kern w:val="2"/>
      <w:sz w:val="32"/>
      <w:szCs w:val="32"/>
      <w:lang w:val="en-US" w:eastAsia="zh-CN" w:bidi="ar-SA"/>
    </w:rPr>
  </w:style>
  <w:style w:type="character" w:customStyle="1" w:styleId="65">
    <w:name w:val="标题 3 Char"/>
    <w:link w:val="5"/>
    <w:autoRedefine/>
    <w:qFormat/>
    <w:uiPriority w:val="0"/>
    <w:rPr>
      <w:rFonts w:eastAsia="宋体"/>
      <w:b/>
      <w:bCs/>
      <w:kern w:val="2"/>
      <w:sz w:val="32"/>
      <w:szCs w:val="32"/>
      <w:lang w:val="en-US" w:eastAsia="zh-CN" w:bidi="ar-SA"/>
    </w:rPr>
  </w:style>
  <w:style w:type="character" w:customStyle="1" w:styleId="66">
    <w:name w:val="标题 4 Char"/>
    <w:link w:val="6"/>
    <w:autoRedefine/>
    <w:qFormat/>
    <w:uiPriority w:val="0"/>
    <w:rPr>
      <w:rFonts w:ascii="Arial" w:hAnsi="Arial" w:eastAsia="黑体"/>
      <w:b/>
      <w:bCs/>
      <w:kern w:val="2"/>
      <w:sz w:val="28"/>
      <w:szCs w:val="28"/>
    </w:rPr>
  </w:style>
  <w:style w:type="character" w:customStyle="1" w:styleId="67">
    <w:name w:val="标题 5 Char"/>
    <w:link w:val="7"/>
    <w:autoRedefine/>
    <w:qFormat/>
    <w:uiPriority w:val="0"/>
    <w:rPr>
      <w:b/>
      <w:bCs/>
      <w:kern w:val="2"/>
      <w:sz w:val="28"/>
      <w:szCs w:val="28"/>
    </w:rPr>
  </w:style>
  <w:style w:type="character" w:customStyle="1" w:styleId="68">
    <w:name w:val="标题 6 Char"/>
    <w:link w:val="8"/>
    <w:autoRedefine/>
    <w:qFormat/>
    <w:uiPriority w:val="0"/>
    <w:rPr>
      <w:rFonts w:ascii="Arial" w:hAnsi="Arial" w:eastAsia="黑体"/>
      <w:b/>
      <w:bCs/>
      <w:kern w:val="2"/>
      <w:sz w:val="24"/>
      <w:szCs w:val="24"/>
    </w:rPr>
  </w:style>
  <w:style w:type="character" w:customStyle="1" w:styleId="69">
    <w:name w:val="标题 7 Char"/>
    <w:link w:val="9"/>
    <w:autoRedefine/>
    <w:qFormat/>
    <w:uiPriority w:val="0"/>
    <w:rPr>
      <w:b/>
      <w:bCs/>
      <w:kern w:val="2"/>
      <w:sz w:val="24"/>
      <w:szCs w:val="24"/>
    </w:rPr>
  </w:style>
  <w:style w:type="character" w:customStyle="1" w:styleId="70">
    <w:name w:val="标题 8 Char"/>
    <w:link w:val="10"/>
    <w:autoRedefine/>
    <w:qFormat/>
    <w:uiPriority w:val="0"/>
    <w:rPr>
      <w:rFonts w:ascii="Arial" w:hAnsi="Arial" w:eastAsia="黑体"/>
      <w:kern w:val="2"/>
      <w:sz w:val="24"/>
      <w:szCs w:val="24"/>
    </w:rPr>
  </w:style>
  <w:style w:type="character" w:customStyle="1" w:styleId="71">
    <w:name w:val="标题 9 Char"/>
    <w:link w:val="11"/>
    <w:autoRedefine/>
    <w:qFormat/>
    <w:uiPriority w:val="0"/>
    <w:rPr>
      <w:rFonts w:ascii="Arial" w:hAnsi="Arial" w:eastAsia="黑体"/>
      <w:kern w:val="2"/>
      <w:sz w:val="21"/>
      <w:szCs w:val="21"/>
    </w:rPr>
  </w:style>
  <w:style w:type="character" w:customStyle="1" w:styleId="72">
    <w:name w:val="文档结构图 Char"/>
    <w:link w:val="17"/>
    <w:autoRedefine/>
    <w:qFormat/>
    <w:uiPriority w:val="0"/>
    <w:rPr>
      <w:kern w:val="2"/>
      <w:sz w:val="21"/>
      <w:szCs w:val="24"/>
      <w:shd w:val="clear" w:color="auto" w:fill="000080"/>
    </w:rPr>
  </w:style>
  <w:style w:type="character" w:customStyle="1" w:styleId="73">
    <w:name w:val="批注文字 Char"/>
    <w:link w:val="18"/>
    <w:autoRedefine/>
    <w:qFormat/>
    <w:uiPriority w:val="0"/>
    <w:rPr>
      <w:kern w:val="2"/>
      <w:sz w:val="21"/>
      <w:szCs w:val="24"/>
    </w:rPr>
  </w:style>
  <w:style w:type="character" w:customStyle="1" w:styleId="74">
    <w:name w:val="正文文本 Char"/>
    <w:link w:val="2"/>
    <w:autoRedefine/>
    <w:qFormat/>
    <w:uiPriority w:val="0"/>
    <w:rPr>
      <w:rFonts w:eastAsia="黑体"/>
      <w:kern w:val="2"/>
      <w:sz w:val="44"/>
      <w:szCs w:val="24"/>
    </w:rPr>
  </w:style>
  <w:style w:type="character" w:customStyle="1" w:styleId="75">
    <w:name w:val="标题 Char"/>
    <w:link w:val="44"/>
    <w:autoRedefine/>
    <w:qFormat/>
    <w:uiPriority w:val="0"/>
    <w:rPr>
      <w:rFonts w:ascii="Cambria" w:hAnsi="Cambria"/>
      <w:b/>
      <w:bCs/>
      <w:kern w:val="2"/>
      <w:sz w:val="32"/>
      <w:szCs w:val="32"/>
    </w:rPr>
  </w:style>
  <w:style w:type="character" w:customStyle="1" w:styleId="76">
    <w:name w:val="正文文本缩进 Char"/>
    <w:link w:val="20"/>
    <w:autoRedefine/>
    <w:qFormat/>
    <w:uiPriority w:val="0"/>
    <w:rPr>
      <w:kern w:val="2"/>
      <w:sz w:val="28"/>
      <w:szCs w:val="24"/>
    </w:rPr>
  </w:style>
  <w:style w:type="character" w:customStyle="1" w:styleId="77">
    <w:name w:val="纯文本 Char"/>
    <w:link w:val="25"/>
    <w:autoRedefine/>
    <w:qFormat/>
    <w:uiPriority w:val="0"/>
    <w:rPr>
      <w:rFonts w:ascii="宋体" w:eastAsia="宋体"/>
      <w:kern w:val="2"/>
      <w:sz w:val="21"/>
      <w:lang w:val="en-US" w:eastAsia="zh-CN" w:bidi="ar-SA"/>
    </w:rPr>
  </w:style>
  <w:style w:type="character" w:customStyle="1" w:styleId="78">
    <w:name w:val="日期 Char"/>
    <w:link w:val="27"/>
    <w:autoRedefine/>
    <w:qFormat/>
    <w:uiPriority w:val="0"/>
    <w:rPr>
      <w:kern w:val="2"/>
      <w:sz w:val="21"/>
      <w:szCs w:val="24"/>
    </w:rPr>
  </w:style>
  <w:style w:type="character" w:customStyle="1" w:styleId="79">
    <w:name w:val="批注框文本 Char"/>
    <w:link w:val="30"/>
    <w:autoRedefine/>
    <w:qFormat/>
    <w:uiPriority w:val="0"/>
    <w:rPr>
      <w:kern w:val="2"/>
      <w:sz w:val="18"/>
      <w:szCs w:val="18"/>
    </w:rPr>
  </w:style>
  <w:style w:type="character" w:customStyle="1" w:styleId="80">
    <w:name w:val="页脚 Char"/>
    <w:link w:val="31"/>
    <w:autoRedefine/>
    <w:qFormat/>
    <w:uiPriority w:val="0"/>
    <w:rPr>
      <w:kern w:val="2"/>
      <w:sz w:val="18"/>
      <w:szCs w:val="18"/>
    </w:rPr>
  </w:style>
  <w:style w:type="character" w:customStyle="1" w:styleId="81">
    <w:name w:val="页眉 Char"/>
    <w:link w:val="32"/>
    <w:autoRedefine/>
    <w:qFormat/>
    <w:uiPriority w:val="0"/>
    <w:rPr>
      <w:kern w:val="2"/>
      <w:sz w:val="18"/>
      <w:szCs w:val="18"/>
    </w:rPr>
  </w:style>
  <w:style w:type="character" w:customStyle="1" w:styleId="82">
    <w:name w:val="副标题 Char"/>
    <w:link w:val="35"/>
    <w:autoRedefine/>
    <w:qFormat/>
    <w:uiPriority w:val="0"/>
    <w:rPr>
      <w:rFonts w:ascii="Cambria" w:hAnsi="Cambria"/>
      <w:b/>
      <w:bCs/>
      <w:kern w:val="28"/>
      <w:sz w:val="32"/>
      <w:szCs w:val="32"/>
    </w:rPr>
  </w:style>
  <w:style w:type="character" w:customStyle="1" w:styleId="83">
    <w:name w:val="HTML 预设格式 Char"/>
    <w:link w:val="42"/>
    <w:autoRedefine/>
    <w:qFormat/>
    <w:uiPriority w:val="99"/>
    <w:rPr>
      <w:rFonts w:ascii="宋体" w:hAnsi="宋体" w:cs="宋体"/>
      <w:sz w:val="24"/>
      <w:szCs w:val="24"/>
    </w:rPr>
  </w:style>
  <w:style w:type="character" w:customStyle="1" w:styleId="84">
    <w:name w:val="批注主题 Char"/>
    <w:link w:val="45"/>
    <w:autoRedefine/>
    <w:qFormat/>
    <w:uiPriority w:val="0"/>
    <w:rPr>
      <w:b/>
      <w:bCs/>
      <w:kern w:val="2"/>
      <w:sz w:val="21"/>
      <w:szCs w:val="24"/>
    </w:rPr>
  </w:style>
  <w:style w:type="character" w:customStyle="1" w:styleId="85">
    <w:name w:val="正文首行缩进 2 Char"/>
    <w:link w:val="46"/>
    <w:autoRedefine/>
    <w:qFormat/>
    <w:uiPriority w:val="99"/>
    <w:rPr>
      <w:rFonts w:eastAsia="仿宋_GB2312"/>
      <w:kern w:val="2"/>
      <w:sz w:val="32"/>
      <w:szCs w:val="24"/>
      <w:lang w:bidi="ar-SA"/>
    </w:rPr>
  </w:style>
  <w:style w:type="character" w:customStyle="1" w:styleId="86">
    <w:name w:val="正文4 Char"/>
    <w:link w:val="87"/>
    <w:autoRedefine/>
    <w:qFormat/>
    <w:uiPriority w:val="0"/>
    <w:rPr>
      <w:rFonts w:eastAsia="宋体"/>
      <w:kern w:val="2"/>
      <w:sz w:val="28"/>
      <w:lang w:val="en-US" w:eastAsia="zh-CN" w:bidi="ar-SA"/>
    </w:rPr>
  </w:style>
  <w:style w:type="paragraph" w:customStyle="1" w:styleId="87">
    <w:name w:val="正文4"/>
    <w:basedOn w:val="1"/>
    <w:link w:val="86"/>
    <w:autoRedefine/>
    <w:qFormat/>
    <w:uiPriority w:val="0"/>
    <w:pPr>
      <w:ind w:firstLine="630"/>
    </w:pPr>
    <w:rPr>
      <w:sz w:val="28"/>
      <w:szCs w:val="20"/>
    </w:rPr>
  </w:style>
  <w:style w:type="character" w:customStyle="1" w:styleId="88">
    <w:name w:val="yongri_newsarticles_title1"/>
    <w:autoRedefine/>
    <w:qFormat/>
    <w:uiPriority w:val="0"/>
    <w:rPr>
      <w:rFonts w:ascii="Tahoma" w:hAnsi="Tahoma" w:cs="Tahoma"/>
      <w:b/>
      <w:bCs/>
      <w:sz w:val="32"/>
      <w:szCs w:val="32"/>
      <w:lang w:bidi="ar-SA"/>
    </w:rPr>
  </w:style>
  <w:style w:type="character" w:customStyle="1" w:styleId="89">
    <w:name w:val="Char Char1"/>
    <w:autoRedefine/>
    <w:qFormat/>
    <w:uiPriority w:val="0"/>
    <w:rPr>
      <w:rFonts w:ascii="Arial" w:hAnsi="Arial" w:eastAsia="黑体"/>
      <w:b/>
      <w:bCs/>
      <w:kern w:val="2"/>
      <w:sz w:val="32"/>
      <w:szCs w:val="32"/>
      <w:lang w:val="en-US" w:eastAsia="zh-CN" w:bidi="ar-SA"/>
    </w:rPr>
  </w:style>
  <w:style w:type="character" w:customStyle="1" w:styleId="90">
    <w:name w:val="times1"/>
    <w:autoRedefine/>
    <w:qFormat/>
    <w:uiPriority w:val="0"/>
    <w:rPr>
      <w:color w:val="CDCDCD"/>
      <w:bdr w:val="single" w:color="CDCDCD" w:sz="6" w:space="0"/>
      <w:shd w:val="clear" w:color="auto" w:fill="EFEFEF"/>
    </w:rPr>
  </w:style>
  <w:style w:type="character" w:customStyle="1" w:styleId="91">
    <w:name w:val="times"/>
    <w:autoRedefine/>
    <w:qFormat/>
    <w:uiPriority w:val="0"/>
    <w:rPr>
      <w:color w:val="3399FF"/>
      <w:bdr w:val="single" w:color="D1EDF8" w:sz="6" w:space="0"/>
      <w:shd w:val="clear" w:color="auto" w:fill="EAF9FF"/>
    </w:rPr>
  </w:style>
  <w:style w:type="character" w:customStyle="1" w:styleId="92">
    <w:name w:val="hover37"/>
    <w:autoRedefine/>
    <w:qFormat/>
    <w:uiPriority w:val="0"/>
  </w:style>
  <w:style w:type="character" w:customStyle="1" w:styleId="93">
    <w:name w:val="正文4 Char Char"/>
    <w:autoRedefine/>
    <w:qFormat/>
    <w:uiPriority w:val="0"/>
    <w:rPr>
      <w:rFonts w:eastAsia="宋体"/>
      <w:kern w:val="2"/>
      <w:sz w:val="28"/>
      <w:lang w:val="en-US" w:eastAsia="zh-CN" w:bidi="ar-SA"/>
    </w:rPr>
  </w:style>
  <w:style w:type="character" w:customStyle="1" w:styleId="94">
    <w:name w:val="red"/>
    <w:autoRedefine/>
    <w:qFormat/>
    <w:uiPriority w:val="0"/>
    <w:rPr>
      <w:color w:val="DC0E10"/>
    </w:rPr>
  </w:style>
  <w:style w:type="paragraph" w:customStyle="1" w:styleId="95">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96">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1 Char"/>
    <w:basedOn w:val="1"/>
    <w:autoRedefine/>
    <w:qFormat/>
    <w:uiPriority w:val="0"/>
    <w:pPr>
      <w:widowControl/>
      <w:spacing w:after="160" w:line="240" w:lineRule="exact"/>
      <w:jc w:val="left"/>
    </w:pPr>
    <w:rPr>
      <w:szCs w:val="22"/>
    </w:rPr>
  </w:style>
  <w:style w:type="paragraph" w:customStyle="1" w:styleId="98">
    <w:name w:val="1 Char Char Char Char Char Char Char"/>
    <w:basedOn w:val="1"/>
    <w:autoRedefine/>
    <w:qFormat/>
    <w:uiPriority w:val="0"/>
    <w:rPr>
      <w:sz w:val="30"/>
      <w:szCs w:val="20"/>
    </w:rPr>
  </w:style>
  <w:style w:type="paragraph" w:styleId="99">
    <w:name w:val="List Paragraph"/>
    <w:basedOn w:val="1"/>
    <w:autoRedefine/>
    <w:qFormat/>
    <w:uiPriority w:val="0"/>
    <w:pPr>
      <w:ind w:firstLine="420" w:firstLineChars="200"/>
    </w:pPr>
  </w:style>
  <w:style w:type="paragraph" w:customStyle="1" w:styleId="100">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1">
    <w:name w:val="正文3"/>
    <w:basedOn w:val="1"/>
    <w:autoRedefine/>
    <w:qFormat/>
    <w:uiPriority w:val="0"/>
    <w:pPr>
      <w:ind w:firstLine="735"/>
    </w:pPr>
    <w:rPr>
      <w:b/>
      <w:sz w:val="30"/>
      <w:szCs w:val="20"/>
    </w:rPr>
  </w:style>
  <w:style w:type="paragraph" w:customStyle="1" w:styleId="102">
    <w:name w:val="reader-word-layer reader-word-s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3">
    <w:name w:val="xl70"/>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4">
    <w:name w:val="Char Char Char Char Char1 Char"/>
    <w:basedOn w:val="1"/>
    <w:autoRedefine/>
    <w:qFormat/>
    <w:uiPriority w:val="0"/>
    <w:rPr>
      <w:rFonts w:ascii="Tahoma" w:hAnsi="Tahoma"/>
      <w:sz w:val="24"/>
      <w:szCs w:val="20"/>
    </w:rPr>
  </w:style>
  <w:style w:type="paragraph" w:customStyle="1" w:styleId="105">
    <w:name w:val="Char1"/>
    <w:basedOn w:val="1"/>
    <w:autoRedefine/>
    <w:qFormat/>
    <w:uiPriority w:val="0"/>
    <w:pPr>
      <w:ind w:left="567" w:hanging="279"/>
    </w:pPr>
    <w:rPr>
      <w:sz w:val="24"/>
    </w:rPr>
  </w:style>
  <w:style w:type="paragraph" w:customStyle="1" w:styleId="106">
    <w:name w:val="正文2"/>
    <w:basedOn w:val="1"/>
    <w:autoRedefine/>
    <w:qFormat/>
    <w:uiPriority w:val="0"/>
    <w:pPr>
      <w:ind w:firstLine="735"/>
    </w:pPr>
    <w:rPr>
      <w:b/>
      <w:sz w:val="32"/>
      <w:szCs w:val="20"/>
    </w:rPr>
  </w:style>
  <w:style w:type="paragraph" w:customStyle="1" w:styleId="107">
    <w:name w:val="Char Char Char Char"/>
    <w:basedOn w:val="1"/>
    <w:autoRedefine/>
    <w:qFormat/>
    <w:uiPriority w:val="0"/>
    <w:pPr>
      <w:tabs>
        <w:tab w:val="left" w:pos="360"/>
      </w:tabs>
      <w:spacing w:line="360" w:lineRule="auto"/>
      <w:ind w:firstLine="482"/>
    </w:pPr>
    <w:rPr>
      <w:rFonts w:ascii="Tahoma" w:hAnsi="Tahoma" w:eastAsia="黑体"/>
      <w:sz w:val="28"/>
      <w:szCs w:val="21"/>
    </w:rPr>
  </w:style>
  <w:style w:type="paragraph" w:customStyle="1" w:styleId="108">
    <w:name w:val="正文1"/>
    <w:basedOn w:val="1"/>
    <w:autoRedefine/>
    <w:qFormat/>
    <w:uiPriority w:val="0"/>
    <w:pPr>
      <w:jc w:val="center"/>
    </w:pPr>
    <w:rPr>
      <w:b/>
      <w:sz w:val="44"/>
      <w:szCs w:val="20"/>
    </w:rPr>
  </w:style>
  <w:style w:type="paragraph" w:customStyle="1" w:styleId="109">
    <w:name w:val="1"/>
    <w:basedOn w:val="1"/>
    <w:autoRedefine/>
    <w:qFormat/>
    <w:uiPriority w:val="0"/>
    <w:rPr>
      <w:szCs w:val="20"/>
    </w:rPr>
  </w:style>
  <w:style w:type="paragraph" w:customStyle="1" w:styleId="110">
    <w:name w:val="Char Char Char Char Char Char Char Char Char Char Char Char Char Char Char Char Char Char1 Char Char Char Char"/>
    <w:basedOn w:val="1"/>
    <w:autoRedefine/>
    <w:qFormat/>
    <w:uiPriority w:val="0"/>
  </w:style>
  <w:style w:type="character" w:customStyle="1" w:styleId="111">
    <w:name w:val="mail"/>
    <w:autoRedefine/>
    <w:qFormat/>
    <w:uiPriority w:val="0"/>
  </w:style>
  <w:style w:type="character" w:customStyle="1" w:styleId="112">
    <w:name w:val="font11"/>
    <w:autoRedefine/>
    <w:qFormat/>
    <w:uiPriority w:val="0"/>
    <w:rPr>
      <w:rFonts w:hint="eastAsia" w:ascii="宋体" w:hAnsi="宋体" w:eastAsia="宋体" w:cs="宋体"/>
      <w:color w:val="000000"/>
      <w:sz w:val="21"/>
      <w:szCs w:val="21"/>
      <w:u w:val="none"/>
    </w:rPr>
  </w:style>
  <w:style w:type="character" w:customStyle="1" w:styleId="113">
    <w:name w:val="fontstyle61"/>
    <w:autoRedefine/>
    <w:qFormat/>
    <w:uiPriority w:val="0"/>
    <w:rPr>
      <w:rFonts w:hint="default" w:ascii="Times New Roman" w:hAnsi="Times New Roman" w:cs="Times New Roman"/>
      <w:color w:val="000000"/>
      <w:sz w:val="24"/>
      <w:szCs w:val="24"/>
    </w:rPr>
  </w:style>
  <w:style w:type="character" w:customStyle="1" w:styleId="114">
    <w:name w:val="ex"/>
    <w:autoRedefine/>
    <w:qFormat/>
    <w:uiPriority w:val="0"/>
  </w:style>
  <w:style w:type="character" w:customStyle="1" w:styleId="115">
    <w:name w:val="font21"/>
    <w:autoRedefine/>
    <w:qFormat/>
    <w:uiPriority w:val="0"/>
    <w:rPr>
      <w:rFonts w:hint="default" w:ascii="Times New Roman" w:hAnsi="Times New Roman" w:cs="Times New Roman"/>
      <w:color w:val="000000"/>
      <w:sz w:val="21"/>
      <w:szCs w:val="21"/>
      <w:u w:val="none"/>
    </w:rPr>
  </w:style>
  <w:style w:type="character" w:customStyle="1" w:styleId="116">
    <w:name w:val="fontstyle31"/>
    <w:autoRedefine/>
    <w:qFormat/>
    <w:uiPriority w:val="0"/>
    <w:rPr>
      <w:rFonts w:hint="eastAsia" w:ascii="宋体" w:hAnsi="宋体" w:eastAsia="宋体" w:cs="宋体"/>
      <w:color w:val="000000"/>
      <w:sz w:val="72"/>
      <w:szCs w:val="72"/>
    </w:rPr>
  </w:style>
  <w:style w:type="character" w:customStyle="1" w:styleId="117">
    <w:name w:val="styhelp"/>
    <w:autoRedefine/>
    <w:qFormat/>
    <w:uiPriority w:val="0"/>
  </w:style>
  <w:style w:type="character" w:customStyle="1" w:styleId="118">
    <w:name w:val="itc"/>
    <w:autoRedefine/>
    <w:qFormat/>
    <w:uiPriority w:val="0"/>
  </w:style>
  <w:style w:type="character" w:customStyle="1" w:styleId="119">
    <w:name w:val="pw"/>
    <w:autoRedefine/>
    <w:qFormat/>
    <w:uiPriority w:val="0"/>
  </w:style>
  <w:style w:type="paragraph" w:customStyle="1" w:styleId="120">
    <w:name w:val="Char Char Char Char Char Char1 Char1"/>
    <w:basedOn w:val="1"/>
    <w:autoRedefine/>
    <w:qFormat/>
    <w:uiPriority w:val="0"/>
    <w:pPr>
      <w:widowControl/>
      <w:spacing w:after="160" w:line="240" w:lineRule="exact"/>
      <w:jc w:val="left"/>
    </w:pPr>
    <w:rPr>
      <w:szCs w:val="22"/>
    </w:rPr>
  </w:style>
  <w:style w:type="paragraph" w:customStyle="1" w:styleId="121">
    <w:name w:val="修订1"/>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122">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TOC 标题1"/>
    <w:basedOn w:val="3"/>
    <w:next w:val="1"/>
    <w:autoRedefine/>
    <w:unhideWhenUsed/>
    <w:qFormat/>
    <w:uiPriority w:val="39"/>
    <w:pPr>
      <w:keepLines/>
      <w:widowControl/>
      <w:spacing w:before="480" w:line="276" w:lineRule="auto"/>
      <w:outlineLvl w:val="9"/>
    </w:pPr>
    <w:rPr>
      <w:rFonts w:ascii="Cambria" w:hAnsi="Cambria"/>
      <w:b w:val="0"/>
      <w:color w:val="365F91"/>
      <w:sz w:val="28"/>
      <w:szCs w:val="28"/>
    </w:rPr>
  </w:style>
  <w:style w:type="paragraph" w:customStyle="1" w:styleId="124">
    <w:name w:val="Char"/>
    <w:basedOn w:val="1"/>
    <w:autoRedefine/>
    <w:qFormat/>
    <w:uiPriority w:val="0"/>
    <w:pPr>
      <w:adjustRightInd w:val="0"/>
      <w:snapToGrid w:val="0"/>
      <w:spacing w:line="360" w:lineRule="auto"/>
      <w:ind w:firstLine="200"/>
      <w:jc w:val="left"/>
    </w:pPr>
  </w:style>
  <w:style w:type="paragraph" w:customStyle="1" w:styleId="125">
    <w:name w:val="Table Paragraph"/>
    <w:basedOn w:val="1"/>
    <w:autoRedefine/>
    <w:qFormat/>
    <w:uiPriority w:val="1"/>
    <w:pPr>
      <w:spacing w:line="360" w:lineRule="auto"/>
    </w:pPr>
    <w:rPr>
      <w:szCs w:val="20"/>
    </w:rPr>
  </w:style>
  <w:style w:type="paragraph" w:customStyle="1" w:styleId="126">
    <w:name w:val="_Style 2"/>
    <w:basedOn w:val="1"/>
    <w:autoRedefine/>
    <w:qFormat/>
    <w:uiPriority w:val="1"/>
    <w:pPr>
      <w:ind w:left="238" w:firstLine="560"/>
    </w:pPr>
    <w:rPr>
      <w:rFonts w:ascii="宋体" w:hAnsi="宋体" w:cs="宋体"/>
      <w:lang w:val="zh-CN" w:bidi="zh-CN"/>
    </w:rPr>
  </w:style>
  <w:style w:type="paragraph" w:customStyle="1" w:styleId="127">
    <w:name w:val="正文 A"/>
    <w:autoRedefine/>
    <w:qFormat/>
    <w:uiPriority w:val="0"/>
    <w:pPr>
      <w:widowControl w:val="0"/>
      <w:pBdr>
        <w:top w:val="none" w:color="FFFFFF" w:sz="0" w:space="31"/>
        <w:left w:val="none" w:color="FFFFFF" w:sz="0" w:space="31"/>
        <w:bottom w:val="none" w:color="FFFFFF" w:sz="0" w:space="31"/>
        <w:right w:val="none" w:color="FFFFFF" w:sz="0" w:space="31"/>
      </w:pBdr>
      <w:jc w:val="both"/>
    </w:pPr>
    <w:rPr>
      <w:rFonts w:ascii="Calibri" w:hAnsi="Arial Unicode MS" w:eastAsia="Times New Roman" w:cs="Arial Unicode MS"/>
      <w:color w:val="000000"/>
      <w:kern w:val="2"/>
      <w:sz w:val="21"/>
      <w:szCs w:val="21"/>
      <w:u w:color="000000"/>
      <w:lang w:val="en-US" w:eastAsia="zh-CN" w:bidi="ar-SA"/>
    </w:rPr>
  </w:style>
  <w:style w:type="paragraph" w:customStyle="1" w:styleId="128">
    <w:name w:val="表格文字"/>
    <w:basedOn w:val="1"/>
    <w:autoRedefine/>
    <w:qFormat/>
    <w:uiPriority w:val="0"/>
    <w:pPr>
      <w:snapToGrid w:val="0"/>
      <w:spacing w:beforeLines="20" w:afterLines="20"/>
    </w:pPr>
    <w:rPr>
      <w:szCs w:val="20"/>
    </w:rPr>
  </w:style>
  <w:style w:type="paragraph" w:customStyle="1" w:styleId="129">
    <w:name w:val="BodyText"/>
    <w:basedOn w:val="1"/>
    <w:autoRedefine/>
    <w:qFormat/>
    <w:uiPriority w:val="0"/>
    <w:pPr>
      <w:jc w:val="center"/>
    </w:pPr>
    <w:rPr>
      <w:rFonts w:eastAsia="黑体"/>
      <w:sz w:val="44"/>
    </w:rPr>
  </w:style>
  <w:style w:type="paragraph" w:customStyle="1" w:styleId="130">
    <w:name w:val="Body text|1"/>
    <w:basedOn w:val="1"/>
    <w:autoRedefine/>
    <w:qFormat/>
    <w:uiPriority w:val="0"/>
    <w:pPr>
      <w:spacing w:line="434" w:lineRule="auto"/>
      <w:ind w:firstLine="400"/>
    </w:pPr>
    <w:rPr>
      <w:rFonts w:ascii="宋体" w:hAnsi="宋体" w:cs="宋体"/>
      <w:sz w:val="30"/>
      <w:szCs w:val="30"/>
      <w:lang w:val="zh-TW" w:eastAsia="zh-TW" w:bidi="zh-TW"/>
    </w:rPr>
  </w:style>
  <w:style w:type="paragraph" w:customStyle="1" w:styleId="131">
    <w:name w:val="Other|1"/>
    <w:basedOn w:val="1"/>
    <w:autoRedefine/>
    <w:qFormat/>
    <w:uiPriority w:val="0"/>
    <w:pPr>
      <w:spacing w:line="434" w:lineRule="auto"/>
      <w:ind w:firstLine="400"/>
    </w:pPr>
    <w:rPr>
      <w:rFonts w:ascii="宋体" w:hAnsi="宋体" w:cs="宋体"/>
      <w:sz w:val="30"/>
      <w:szCs w:val="30"/>
      <w:lang w:val="zh-TW" w:eastAsia="zh-TW" w:bidi="zh-TW"/>
    </w:rPr>
  </w:style>
  <w:style w:type="paragraph" w:customStyle="1" w:styleId="132">
    <w:name w:val="p0"/>
    <w:basedOn w:val="1"/>
    <w:autoRedefine/>
    <w:qFormat/>
    <w:uiPriority w:val="0"/>
    <w:pPr>
      <w:widowControl/>
      <w:jc w:val="left"/>
    </w:pPr>
    <w:rPr>
      <w:rFonts w:ascii="宋体" w:hAnsi="宋体" w:cs="宋体"/>
      <w:color w:val="000000"/>
      <w:kern w:val="0"/>
      <w:sz w:val="24"/>
    </w:rPr>
  </w:style>
  <w:style w:type="paragraph" w:customStyle="1" w:styleId="133">
    <w:name w:val="_Style 131"/>
    <w:basedOn w:val="3"/>
    <w:next w:val="1"/>
    <w:autoRedefine/>
    <w:qFormat/>
    <w:uiPriority w:val="0"/>
    <w:pPr>
      <w:keepLines/>
      <w:spacing w:before="340" w:after="330" w:line="578" w:lineRule="auto"/>
      <w:outlineLvl w:val="9"/>
    </w:pPr>
    <w:rPr>
      <w:kern w:val="44"/>
      <w:sz w:val="44"/>
      <w:szCs w:val="44"/>
    </w:rPr>
  </w:style>
  <w:style w:type="character" w:customStyle="1" w:styleId="134">
    <w:name w:val="正文文本 Char1"/>
    <w:autoRedefine/>
    <w:qFormat/>
    <w:uiPriority w:val="0"/>
    <w:rPr>
      <w:kern w:val="2"/>
      <w:sz w:val="21"/>
      <w:szCs w:val="22"/>
    </w:rPr>
  </w:style>
  <w:style w:type="character" w:customStyle="1" w:styleId="135">
    <w:name w:val="明显引用 Char"/>
    <w:link w:val="136"/>
    <w:autoRedefine/>
    <w:qFormat/>
    <w:uiPriority w:val="0"/>
    <w:rPr>
      <w:b/>
      <w:bCs/>
      <w:i/>
      <w:iCs/>
      <w:color w:val="4F81BD"/>
      <w:kern w:val="2"/>
      <w:sz w:val="21"/>
      <w:szCs w:val="22"/>
    </w:rPr>
  </w:style>
  <w:style w:type="paragraph" w:styleId="136">
    <w:name w:val="Intense Quote"/>
    <w:basedOn w:val="1"/>
    <w:next w:val="1"/>
    <w:link w:val="135"/>
    <w:autoRedefine/>
    <w:qFormat/>
    <w:uiPriority w:val="0"/>
    <w:pPr>
      <w:pBdr>
        <w:bottom w:val="single" w:color="4F81BD" w:sz="4" w:space="4"/>
      </w:pBdr>
      <w:spacing w:before="200" w:after="280"/>
      <w:ind w:left="936" w:right="936"/>
    </w:pPr>
    <w:rPr>
      <w:b/>
      <w:bCs/>
      <w:i/>
      <w:iCs/>
      <w:color w:val="4F81BD"/>
      <w:szCs w:val="22"/>
    </w:rPr>
  </w:style>
  <w:style w:type="character" w:customStyle="1" w:styleId="137">
    <w:name w:val="明显引用 Char1"/>
    <w:autoRedefine/>
    <w:qFormat/>
    <w:uiPriority w:val="30"/>
    <w:rPr>
      <w:b/>
      <w:bCs/>
      <w:i/>
      <w:iCs/>
      <w:color w:val="4F81BD"/>
      <w:kern w:val="2"/>
      <w:sz w:val="21"/>
      <w:szCs w:val="24"/>
    </w:rPr>
  </w:style>
  <w:style w:type="character" w:customStyle="1" w:styleId="138">
    <w:name w:val="_Style 136"/>
    <w:autoRedefine/>
    <w:qFormat/>
    <w:uiPriority w:val="0"/>
    <w:rPr>
      <w:i/>
      <w:iCs/>
      <w:color w:val="808080"/>
    </w:rPr>
  </w:style>
  <w:style w:type="character" w:customStyle="1" w:styleId="139">
    <w:name w:val="标题4 Char Char"/>
    <w:link w:val="140"/>
    <w:autoRedefine/>
    <w:qFormat/>
    <w:uiPriority w:val="0"/>
    <w:rPr>
      <w:rFonts w:ascii="Arial" w:hAnsi="Arial"/>
      <w:b/>
      <w:bCs/>
      <w:sz w:val="24"/>
      <w:szCs w:val="32"/>
    </w:rPr>
  </w:style>
  <w:style w:type="paragraph" w:customStyle="1" w:styleId="140">
    <w:name w:val="标题4"/>
    <w:basedOn w:val="4"/>
    <w:next w:val="22"/>
    <w:link w:val="139"/>
    <w:autoRedefine/>
    <w:qFormat/>
    <w:uiPriority w:val="0"/>
    <w:pPr>
      <w:spacing w:line="413" w:lineRule="auto"/>
    </w:pPr>
    <w:rPr>
      <w:rFonts w:eastAsia="宋体"/>
      <w:kern w:val="0"/>
      <w:sz w:val="24"/>
    </w:rPr>
  </w:style>
  <w:style w:type="character" w:customStyle="1" w:styleId="141">
    <w:name w:val="标题5 Char Char"/>
    <w:link w:val="142"/>
    <w:autoRedefine/>
    <w:qFormat/>
    <w:uiPriority w:val="0"/>
    <w:rPr>
      <w:rFonts w:ascii="Arial" w:hAnsi="Arial"/>
      <w:b/>
      <w:bCs/>
      <w:sz w:val="24"/>
      <w:szCs w:val="32"/>
    </w:rPr>
  </w:style>
  <w:style w:type="paragraph" w:customStyle="1" w:styleId="142">
    <w:name w:val="标题5"/>
    <w:basedOn w:val="5"/>
    <w:link w:val="141"/>
    <w:autoRedefine/>
    <w:qFormat/>
    <w:uiPriority w:val="0"/>
    <w:pPr>
      <w:spacing w:line="413" w:lineRule="auto"/>
    </w:pPr>
    <w:rPr>
      <w:rFonts w:ascii="Arial" w:hAnsi="Arial"/>
      <w:kern w:val="0"/>
      <w:sz w:val="24"/>
    </w:rPr>
  </w:style>
  <w:style w:type="character" w:customStyle="1" w:styleId="143">
    <w:name w:val="_Style 141"/>
    <w:autoRedefine/>
    <w:qFormat/>
    <w:uiPriority w:val="0"/>
    <w:rPr>
      <w:b/>
      <w:bCs/>
      <w:smallCaps/>
      <w:color w:val="C0504D"/>
      <w:spacing w:val="5"/>
      <w:u w:val="single"/>
    </w:rPr>
  </w:style>
  <w:style w:type="character" w:customStyle="1" w:styleId="144">
    <w:name w:val="_Style 142"/>
    <w:autoRedefine/>
    <w:qFormat/>
    <w:uiPriority w:val="0"/>
    <w:rPr>
      <w:b/>
      <w:bCs/>
      <w:smallCaps/>
      <w:spacing w:val="5"/>
    </w:rPr>
  </w:style>
  <w:style w:type="character" w:customStyle="1" w:styleId="145">
    <w:name w:val="批注框文本 Char1"/>
    <w:autoRedefine/>
    <w:qFormat/>
    <w:uiPriority w:val="0"/>
    <w:rPr>
      <w:kern w:val="2"/>
      <w:sz w:val="18"/>
      <w:szCs w:val="18"/>
    </w:rPr>
  </w:style>
  <w:style w:type="character" w:customStyle="1" w:styleId="146">
    <w:name w:val="引用 Char"/>
    <w:link w:val="147"/>
    <w:autoRedefine/>
    <w:qFormat/>
    <w:uiPriority w:val="0"/>
    <w:rPr>
      <w:i/>
      <w:iCs/>
      <w:color w:val="000000"/>
      <w:kern w:val="2"/>
      <w:sz w:val="21"/>
      <w:szCs w:val="22"/>
    </w:rPr>
  </w:style>
  <w:style w:type="paragraph" w:styleId="147">
    <w:name w:val="Quote"/>
    <w:basedOn w:val="1"/>
    <w:next w:val="1"/>
    <w:link w:val="146"/>
    <w:autoRedefine/>
    <w:qFormat/>
    <w:uiPriority w:val="0"/>
    <w:rPr>
      <w:i/>
      <w:iCs/>
      <w:color w:val="000000"/>
      <w:szCs w:val="22"/>
    </w:rPr>
  </w:style>
  <w:style w:type="character" w:customStyle="1" w:styleId="148">
    <w:name w:val="引用 Char1"/>
    <w:autoRedefine/>
    <w:qFormat/>
    <w:uiPriority w:val="29"/>
    <w:rPr>
      <w:i/>
      <w:iCs/>
      <w:color w:val="000000"/>
      <w:kern w:val="2"/>
      <w:sz w:val="21"/>
      <w:szCs w:val="24"/>
    </w:rPr>
  </w:style>
  <w:style w:type="character" w:customStyle="1" w:styleId="149">
    <w:name w:val="批注主题 Char1"/>
    <w:autoRedefine/>
    <w:qFormat/>
    <w:uiPriority w:val="0"/>
    <w:rPr>
      <w:b/>
      <w:bCs/>
      <w:kern w:val="2"/>
      <w:sz w:val="21"/>
      <w:szCs w:val="22"/>
    </w:rPr>
  </w:style>
  <w:style w:type="character" w:customStyle="1" w:styleId="150">
    <w:name w:val="日期 Char1"/>
    <w:autoRedefine/>
    <w:qFormat/>
    <w:uiPriority w:val="0"/>
    <w:rPr>
      <w:kern w:val="2"/>
      <w:sz w:val="21"/>
      <w:szCs w:val="22"/>
    </w:rPr>
  </w:style>
  <w:style w:type="character" w:customStyle="1" w:styleId="151">
    <w:name w:val="_Style 149"/>
    <w:autoRedefine/>
    <w:qFormat/>
    <w:uiPriority w:val="0"/>
    <w:rPr>
      <w:b/>
      <w:bCs/>
      <w:i/>
      <w:iCs/>
      <w:color w:val="4F81BD"/>
    </w:rPr>
  </w:style>
  <w:style w:type="character" w:customStyle="1" w:styleId="152">
    <w:name w:val="textcontents"/>
    <w:autoRedefine/>
    <w:qFormat/>
    <w:uiPriority w:val="0"/>
    <w:rPr>
      <w:rFonts w:cs="Times New Roman"/>
    </w:rPr>
  </w:style>
  <w:style w:type="character" w:customStyle="1" w:styleId="153">
    <w:name w:val="_Style 151"/>
    <w:autoRedefine/>
    <w:qFormat/>
    <w:uiPriority w:val="0"/>
    <w:rPr>
      <w:smallCaps/>
      <w:color w:val="C0504D"/>
      <w:u w:val="single"/>
    </w:rPr>
  </w:style>
  <w:style w:type="character" w:customStyle="1" w:styleId="154">
    <w:name w:val="批注文字 Char Char"/>
    <w:autoRedefine/>
    <w:qFormat/>
    <w:uiPriority w:val="0"/>
    <w:rPr>
      <w:rFonts w:ascii="宋体" w:hAnsi="Times New Roman" w:eastAsia="宋体" w:cs="Times New Roman"/>
      <w:sz w:val="28"/>
      <w:szCs w:val="20"/>
    </w:rPr>
  </w:style>
  <w:style w:type="character" w:customStyle="1" w:styleId="155">
    <w:name w:val="文档结构图 Char1"/>
    <w:autoRedefine/>
    <w:qFormat/>
    <w:uiPriority w:val="0"/>
    <w:rPr>
      <w:rFonts w:ascii="宋体"/>
      <w:kern w:val="2"/>
      <w:sz w:val="18"/>
      <w:szCs w:val="18"/>
    </w:rPr>
  </w:style>
  <w:style w:type="paragraph" w:customStyle="1" w:styleId="156">
    <w:name w:val="_Style 154"/>
    <w:autoRedefine/>
    <w:qFormat/>
    <w:uiPriority w:val="0"/>
    <w:rPr>
      <w:rFonts w:ascii="Times New Roman" w:hAnsi="Times New Roman" w:eastAsia="宋体" w:cs="Times New Roman"/>
      <w:kern w:val="2"/>
      <w:sz w:val="21"/>
      <w:szCs w:val="24"/>
      <w:lang w:val="en-US" w:eastAsia="zh-CN" w:bidi="ar-SA"/>
    </w:rPr>
  </w:style>
  <w:style w:type="paragraph" w:customStyle="1" w:styleId="157">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kern w:val="0"/>
      <w:sz w:val="28"/>
      <w:szCs w:val="20"/>
    </w:rPr>
  </w:style>
  <w:style w:type="paragraph" w:customStyle="1" w:styleId="158">
    <w:name w:val="样式 标题 3 + (中文) 黑体 小四 非加粗 段前: 7.8 磅 段后: 0 磅 行距: 固定值 20 磅"/>
    <w:basedOn w:val="5"/>
    <w:autoRedefine/>
    <w:qFormat/>
    <w:uiPriority w:val="0"/>
    <w:pPr>
      <w:spacing w:before="0" w:after="0" w:line="400" w:lineRule="exact"/>
    </w:pPr>
    <w:rPr>
      <w:rFonts w:eastAsia="黑体" w:cs="宋体"/>
      <w:b w:val="0"/>
      <w:bCs w:val="0"/>
      <w:sz w:val="24"/>
      <w:szCs w:val="20"/>
    </w:rPr>
  </w:style>
  <w:style w:type="paragraph" w:customStyle="1" w:styleId="159">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styleId="160">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1">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62">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163">
    <w:name w:val="正文缩进 Char"/>
    <w:link w:val="14"/>
    <w:autoRedefine/>
    <w:qFormat/>
    <w:locked/>
    <w:uiPriority w:val="0"/>
    <w:rPr>
      <w:kern w:val="2"/>
      <w:sz w:val="21"/>
    </w:rPr>
  </w:style>
  <w:style w:type="character" w:customStyle="1" w:styleId="164">
    <w:name w:val="font31"/>
    <w:basedOn w:val="49"/>
    <w:autoRedefine/>
    <w:qFormat/>
    <w:uiPriority w:val="0"/>
    <w:rPr>
      <w:rFonts w:ascii="Arial" w:hAnsi="Arial" w:cs="Arial"/>
      <w:color w:val="000000"/>
      <w:sz w:val="20"/>
      <w:szCs w:val="20"/>
      <w:u w:val="none"/>
    </w:rPr>
  </w:style>
  <w:style w:type="character" w:customStyle="1" w:styleId="165">
    <w:name w:val="font101"/>
    <w:basedOn w:val="49"/>
    <w:autoRedefine/>
    <w:qFormat/>
    <w:uiPriority w:val="0"/>
    <w:rPr>
      <w:rFonts w:hint="default" w:ascii="Arial" w:hAnsi="Arial" w:cs="Arial"/>
      <w:color w:val="000000"/>
      <w:sz w:val="18"/>
      <w:szCs w:val="18"/>
      <w:u w:val="none"/>
    </w:rPr>
  </w:style>
  <w:style w:type="character" w:customStyle="1" w:styleId="166">
    <w:name w:val="font41"/>
    <w:basedOn w:val="49"/>
    <w:autoRedefine/>
    <w:qFormat/>
    <w:uiPriority w:val="0"/>
    <w:rPr>
      <w:rFonts w:hint="eastAsia" w:ascii="宋体" w:hAnsi="宋体" w:eastAsia="宋体" w:cs="宋体"/>
      <w:color w:val="000000"/>
      <w:sz w:val="18"/>
      <w:szCs w:val="18"/>
      <w:u w:val="none"/>
    </w:rPr>
  </w:style>
  <w:style w:type="character" w:customStyle="1" w:styleId="167">
    <w:name w:val="font71"/>
    <w:basedOn w:val="49"/>
    <w:autoRedefine/>
    <w:qFormat/>
    <w:uiPriority w:val="0"/>
    <w:rPr>
      <w:rFonts w:hint="default" w:ascii="Arial" w:hAnsi="Arial" w:cs="Arial"/>
      <w:color w:val="000000"/>
      <w:sz w:val="22"/>
      <w:szCs w:val="22"/>
      <w:u w:val="none"/>
    </w:rPr>
  </w:style>
  <w:style w:type="character" w:customStyle="1" w:styleId="168">
    <w:name w:val="font112"/>
    <w:basedOn w:val="49"/>
    <w:autoRedefine/>
    <w:qFormat/>
    <w:uiPriority w:val="0"/>
    <w:rPr>
      <w:rFonts w:hint="default" w:ascii="Arial" w:hAnsi="Arial" w:cs="Arial"/>
      <w:color w:val="000000"/>
      <w:sz w:val="22"/>
      <w:szCs w:val="22"/>
      <w:u w:val="none"/>
      <w:vertAlign w:val="superscript"/>
    </w:rPr>
  </w:style>
  <w:style w:type="character" w:customStyle="1" w:styleId="169">
    <w:name w:val="font61"/>
    <w:basedOn w:val="49"/>
    <w:autoRedefine/>
    <w:qFormat/>
    <w:uiPriority w:val="0"/>
    <w:rPr>
      <w:rFonts w:hint="eastAsia" w:ascii="宋体" w:hAnsi="宋体" w:eastAsia="宋体" w:cs="宋体"/>
      <w:color w:val="000000"/>
      <w:sz w:val="22"/>
      <w:szCs w:val="22"/>
      <w:u w:val="none"/>
    </w:rPr>
  </w:style>
  <w:style w:type="paragraph" w:customStyle="1" w:styleId="170">
    <w:name w:val="图"/>
    <w:basedOn w:val="1"/>
    <w:autoRedefine/>
    <w:qFormat/>
    <w:uiPriority w:val="0"/>
    <w:pPr>
      <w:keepNext/>
      <w:spacing w:before="60" w:after="60" w:line="300" w:lineRule="auto"/>
      <w:jc w:val="center"/>
      <w:textAlignment w:val="center"/>
    </w:pPr>
    <w:rPr>
      <w:rFonts w:hint="eastAsia"/>
      <w:spacing w:val="20"/>
      <w:sz w:val="24"/>
    </w:rPr>
  </w:style>
  <w:style w:type="paragraph" w:customStyle="1" w:styleId="171">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172">
    <w:name w:val="附件标题1"/>
    <w:next w:val="1"/>
    <w:autoRedefine/>
    <w:qFormat/>
    <w:uiPriority w:val="0"/>
    <w:pPr>
      <w:numPr>
        <w:ilvl w:val="0"/>
        <w:numId w:val="3"/>
      </w:numPr>
      <w:tabs>
        <w:tab w:val="left" w:pos="567"/>
      </w:tabs>
      <w:adjustRightInd w:val="0"/>
      <w:snapToGrid w:val="0"/>
      <w:spacing w:afterLines="50" w:line="312" w:lineRule="auto"/>
    </w:pPr>
    <w:rPr>
      <w:rFonts w:ascii="黑体" w:hAnsi="黑体" w:eastAsia="黑体" w:cs="Times New Roman"/>
      <w:b/>
      <w:kern w:val="2"/>
      <w:sz w:val="24"/>
      <w:szCs w:val="24"/>
      <w:lang w:val="en-US" w:eastAsia="zh-CN" w:bidi="ar-SA"/>
    </w:rPr>
  </w:style>
  <w:style w:type="paragraph" w:customStyle="1" w:styleId="173">
    <w:name w:val="TOC 标题2"/>
    <w:basedOn w:val="3"/>
    <w:next w:val="1"/>
    <w:autoRedefine/>
    <w:qFormat/>
    <w:uiPriority w:val="0"/>
    <w:pPr>
      <w:keepLines/>
      <w:spacing w:before="260" w:after="260" w:line="413" w:lineRule="auto"/>
    </w:pPr>
    <w:rPr>
      <w:rFonts w:ascii="宋体" w:hAnsi="宋体"/>
      <w:sz w:val="36"/>
      <w:szCs w:val="44"/>
      <w:lang w:val="zh-CN"/>
    </w:rPr>
  </w:style>
  <w:style w:type="paragraph" w:customStyle="1" w:styleId="174">
    <w:name w:val="协议书标题2"/>
    <w:basedOn w:val="4"/>
    <w:next w:val="1"/>
    <w:autoRedefine/>
    <w:qFormat/>
    <w:uiPriority w:val="0"/>
    <w:pPr>
      <w:keepNext w:val="0"/>
      <w:keepLines w:val="0"/>
      <w:numPr>
        <w:ilvl w:val="0"/>
        <w:numId w:val="4"/>
      </w:numPr>
      <w:tabs>
        <w:tab w:val="left" w:pos="567"/>
      </w:tabs>
      <w:spacing w:line="360" w:lineRule="auto"/>
      <w:ind w:firstLine="0"/>
      <w:jc w:val="left"/>
    </w:pPr>
    <w:rPr>
      <w:rFonts w:ascii="宋体" w:hAnsi="宋体" w:eastAsia="宋体"/>
      <w:sz w:val="24"/>
    </w:rPr>
  </w:style>
  <w:style w:type="paragraph" w:customStyle="1" w:styleId="175">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76">
    <w:name w:val="通用标题2"/>
    <w:basedOn w:val="4"/>
    <w:next w:val="1"/>
    <w:autoRedefine/>
    <w:qFormat/>
    <w:uiPriority w:val="0"/>
    <w:pPr>
      <w:keepNext w:val="0"/>
      <w:keepLines w:val="0"/>
      <w:numPr>
        <w:ilvl w:val="0"/>
        <w:numId w:val="5"/>
      </w:numPr>
      <w:tabs>
        <w:tab w:val="left" w:pos="993"/>
      </w:tabs>
      <w:spacing w:line="360" w:lineRule="auto"/>
    </w:pPr>
    <w:rPr>
      <w:rFonts w:ascii="黑体" w:hAnsi="黑体"/>
    </w:rPr>
  </w:style>
  <w:style w:type="paragraph" w:customStyle="1" w:styleId="177">
    <w:name w:val="通用标题3"/>
    <w:next w:val="1"/>
    <w:autoRedefine/>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178">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179">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180">
    <w:name w:val="通用标题6"/>
    <w:basedOn w:val="1"/>
    <w:autoRedefine/>
    <w:qFormat/>
    <w:uiPriority w:val="0"/>
    <w:pPr>
      <w:tabs>
        <w:tab w:val="left" w:pos="993"/>
      </w:tabs>
      <w:ind w:left="310"/>
    </w:pPr>
  </w:style>
  <w:style w:type="paragraph" w:customStyle="1" w:styleId="181">
    <w:name w:val="专用标题2"/>
    <w:basedOn w:val="4"/>
    <w:next w:val="1"/>
    <w:autoRedefine/>
    <w:qFormat/>
    <w:uiPriority w:val="0"/>
    <w:pPr>
      <w:keepNext w:val="0"/>
      <w:keepLines w:val="0"/>
      <w:tabs>
        <w:tab w:val="left" w:pos="993"/>
      </w:tabs>
      <w:spacing w:line="360" w:lineRule="auto"/>
    </w:pPr>
    <w:rPr>
      <w:rFonts w:ascii="宋体" w:hAnsi="宋体" w:eastAsia="宋体" w:cs="Times"/>
    </w:rPr>
  </w:style>
  <w:style w:type="paragraph" w:customStyle="1" w:styleId="182">
    <w:name w:val="附件标题"/>
    <w:basedOn w:val="4"/>
    <w:next w:val="1"/>
    <w:autoRedefine/>
    <w:qFormat/>
    <w:uiPriority w:val="0"/>
    <w:pPr>
      <w:numPr>
        <w:ilvl w:val="0"/>
        <w:numId w:val="6"/>
      </w:numPr>
      <w:tabs>
        <w:tab w:val="left" w:pos="1134"/>
      </w:tabs>
      <w:spacing w:line="360" w:lineRule="auto"/>
      <w:ind w:firstLine="0"/>
      <w:jc w:val="center"/>
    </w:pPr>
    <w:rPr>
      <w:rFonts w:ascii="黑体" w:hAnsi="黑体"/>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header" Target="header2.xml"/><Relationship Id="rId14" Type="http://schemas.openxmlformats.org/officeDocument/2006/relationships/header" Target="header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8"/>
    <customShpInfo spid="_x0000_s2057"/>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F93A1D-6DC3-4AAB-A797-C551C499D6B9}">
  <ds:schemaRefs/>
</ds:datastoreItem>
</file>

<file path=docProps/app.xml><?xml version="1.0" encoding="utf-8"?>
<Properties xmlns="http://schemas.openxmlformats.org/officeDocument/2006/extended-properties" xmlns:vt="http://schemas.openxmlformats.org/officeDocument/2006/docPropsVTypes">
  <Template>Normal</Template>
  <Company>hedy</Company>
  <Pages>262</Pages>
  <Words>25610</Words>
  <Characters>145979</Characters>
  <Lines>1216</Lines>
  <Paragraphs>342</Paragraphs>
  <TotalTime>4</TotalTime>
  <ScaleCrop>false</ScaleCrop>
  <LinksUpToDate>false</LinksUpToDate>
  <CharactersWithSpaces>171247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2024-04-09T01:01:00Z</dcterms:created>
  <dc:creator>zhangyang</dc:creator>
  <cp:lastModifiedBy>温柔相待</cp:lastModifiedBy>
  <cp:lastPrinted>2021-11-19T05:22:00Z</cp:lastPrinted>
  <dcterms:modified xsi:type="dcterms:W3CDTF">2024-04-09T10:19:08Z</dcterms:modified>
  <dc:title>聘 用 合 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BA585884A4D7402CA3D3B20B55F17FDF_13</vt:lpwstr>
  </property>
</Properties>
</file>