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240" w:lineRule="auto"/>
        <w:ind w:firstLine="0"/>
        <w:jc w:val="center"/>
        <w:rPr>
          <w:rFonts w:hint="default" w:ascii="黑体" w:hAnsi="黑体" w:eastAsia="黑体" w:cs="宋体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kern w:val="0"/>
          <w:sz w:val="44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黑体" w:hAnsi="黑体" w:eastAsia="黑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黑体" w:hAnsi="黑体" w:eastAsia="黑体" w:cs="宋体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     工程款项的监管</w:t>
      </w:r>
      <w:r>
        <w:rPr>
          <w:rFonts w:hint="default" w:ascii="黑体" w:hAnsi="黑体" w:eastAsia="黑体" w:cs="宋体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协议</w:t>
      </w:r>
    </w:p>
    <w:p>
      <w:pPr>
        <w:autoSpaceDE w:val="0"/>
        <w:autoSpaceDN w:val="0"/>
        <w:adjustRightInd w:val="0"/>
        <w:spacing w:line="240" w:lineRule="auto"/>
        <w:ind w:firstLine="0"/>
        <w:jc w:val="right"/>
        <w:rPr>
          <w:rFonts w:hint="eastAsia" w:ascii="黑体" w:hAnsi="黑体" w:eastAsia="黑体" w:cs="宋体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协议编号：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仿宋_GB2312" w:hAnsi="宋体" w:eastAsia="仿宋_GB2312" w:cs="新宋体"/>
          <w:b/>
          <w:color w:val="000000" w:themeColor="text1"/>
          <w:kern w:val="0"/>
          <w:sz w:val="36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发包人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法定代表人：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住所：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电话：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传真：</w:t>
      </w:r>
    </w:p>
    <w:p>
      <w:pPr>
        <w:spacing w:line="460" w:lineRule="exac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宋体" w:eastAsia="仿宋_GB2312" w:cs="新宋体"/>
          <w:b/>
          <w:color w:val="000000" w:themeColor="text1"/>
          <w:kern w:val="0"/>
          <w:sz w:val="36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（承包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spacing w:line="460" w:lineRule="exact"/>
        <w:rPr>
          <w:rFonts w:ascii="仿宋_GB2312" w:hAns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仿宋_GB2312" w:hAns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rPr>
          <w:rFonts w:ascii="仿宋_GB2312" w:hAnsi="宋体" w:eastAsia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住所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460" w:lineRule="exact"/>
        <w:rPr>
          <w:rFonts w:ascii="仿宋_GB2312" w:hAnsi="宋体" w:eastAsia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电话：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传真：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ascii="仿宋_GB2312" w:eastAsia="仿宋_GB2312"/>
          <w:bCs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鉴于乙方作为</w:t>
      </w:r>
      <w:r>
        <w:rPr>
          <w:rFonts w:hint="eastAsia" w:ascii="仿宋_GB2312" w:hAnsi="宋体" w:eastAsia="仿宋_GB2312" w:cs="新宋体"/>
          <w:b/>
          <w:color w:val="000000" w:themeColor="text1"/>
          <w:kern w:val="0"/>
          <w:sz w:val="36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项目中的施工承包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，与甲方签署了《</w:t>
      </w:r>
      <w:r>
        <w:rPr>
          <w:rFonts w:hint="eastAsia" w:ascii="仿宋_GB2312" w:hAnsi="宋体" w:eastAsia="仿宋_GB2312" w:cs="新宋体"/>
          <w:b/>
          <w:color w:val="000000" w:themeColor="text1"/>
          <w:kern w:val="0"/>
          <w:sz w:val="36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项目施工总承包》合同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为了加强对工程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款项的监管，保证专款专用，经甲、乙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双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方一致同意签署本协议对该工程资金账户的监管事项予以明确。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ascii="仿宋_GB2312" w:eastAsia="仿宋_GB2312"/>
          <w:bCs/>
          <w:color w:val="000000" w:themeColor="text1"/>
          <w:kern w:val="0"/>
          <w:sz w:val="28"/>
          <w:szCs w:val="28"/>
          <w:lang w:eastAsia="zh-TW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甲、乙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双方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在自愿、平等和协商一致的基础上，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就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项目工程款资金账户（不包含工人工资账户）监管有关事宜，订立本协议。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第一条、资金的性质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本账户内的资金为甲方付给乙方的建设项目工程款。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第二条、工程款项的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监管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账户及金额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ascii="仿宋_GB2312" w:hAnsi="华文楷体" w:eastAsia="仿宋_GB2312"/>
          <w:color w:val="000000" w:themeColor="text1"/>
          <w:sz w:val="28"/>
          <w:szCs w:val="28"/>
          <w:highlight w:val="yellow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甲、乙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双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方同意将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（银行名称）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开立的以下账户确定为本协议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工程款专用监管账户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下称，监管账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户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，该账户信息如下：</w:t>
      </w:r>
    </w:p>
    <w:p>
      <w:pPr>
        <w:spacing w:line="520" w:lineRule="exact"/>
        <w:ind w:firstLine="560" w:firstLineChars="200"/>
        <w:rPr>
          <w:rFonts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乙方户名：</w:t>
      </w:r>
    </w:p>
    <w:p>
      <w:pPr>
        <w:spacing w:line="520" w:lineRule="exact"/>
        <w:ind w:firstLine="560" w:firstLineChars="200"/>
        <w:rPr>
          <w:rFonts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账  号：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开户行：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第三条、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监管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期限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监管期限自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监管账户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设立之日起至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（工程名称）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完工时止（在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监管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期内，如双方签订的建设施工工程项目提前终止或解除，终止或解除项目之日为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监管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期限届满之日，工程款按工程合同结算）。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第四条、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监管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账户解除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甲乙双方约定的账户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监管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期限到期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双方结算完毕后，甲方必须配合乙方无条件解除该账户的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监管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第五条、双方的权利和责任</w:t>
      </w:r>
    </w:p>
    <w:p>
      <w:pPr>
        <w:autoSpaceDE w:val="0"/>
        <w:autoSpaceDN w:val="0"/>
        <w:adjustRightInd w:val="0"/>
        <w:spacing w:line="520" w:lineRule="exact"/>
        <w:ind w:firstLine="562" w:firstLineChars="200"/>
        <w:rPr>
          <w:rFonts w:ascii="仿宋_GB2312" w:eastAsia="仿宋_GB2312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一、甲方权利和义务：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甲方应基于项目的建设进度，根据乙方提供的用款佐证资料，分析费用的合理性，对乙方提交的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相关佐证材料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进行审核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相关资料由监理单位审核总、分包工程进度款申请材料后，经甲方业主项目部审批总、分包工程付款材料并确认是否支付。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如同意付款，则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及时办理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付款</w:t>
      </w: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；如不同意付款，则将相关情况及时反馈乙方。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eastAsia="仿宋_GB2312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甲方根据乙方提供的分包支付流水检查乙方是否存在分包款、材料款、劳务费用支付不及时或支出未经审核的费用等情况监管。若发现乙方资金管控存在严重问题，甲方有权对乙方进行承包商履约评价扣分。</w:t>
      </w:r>
    </w:p>
    <w:p>
      <w:pPr>
        <w:autoSpaceDE w:val="0"/>
        <w:autoSpaceDN w:val="0"/>
        <w:adjustRightInd w:val="0"/>
        <w:spacing w:line="520" w:lineRule="exact"/>
        <w:ind w:firstLine="562" w:firstLineChars="200"/>
        <w:rPr>
          <w:rFonts w:hint="eastAsia" w:ascii="仿宋_GB2312" w:eastAsia="仿宋_GB2312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二、乙方权利和义务</w:t>
      </w:r>
      <w:r>
        <w:rPr>
          <w:rFonts w:hint="eastAsia" w:ascii="仿宋_GB2312" w:eastAsia="仿宋_GB2312"/>
          <w:b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、履行本协议期间，乙方不得将账户中的资金在任何第三方设置抵押、质押等担保。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eastAsia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eastAsia="仿宋_GB2312"/>
          <w:bCs/>
          <w:color w:val="auto"/>
          <w:kern w:val="0"/>
          <w:sz w:val="28"/>
          <w:szCs w:val="28"/>
          <w:lang w:val="en-US" w:eastAsia="zh-CN"/>
        </w:rPr>
        <w:t>2、</w:t>
      </w:r>
      <w:r>
        <w:rPr>
          <w:rFonts w:hint="eastAsia" w:ascii="仿宋_GB2312" w:eastAsia="仿宋_GB2312"/>
          <w:bCs/>
          <w:color w:val="auto"/>
          <w:kern w:val="0"/>
          <w:sz w:val="28"/>
          <w:szCs w:val="28"/>
        </w:rPr>
        <w:t>乙方保证向甲方提交的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工程款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进度款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申请和支付分包款项</w:t>
      </w:r>
      <w:r>
        <w:rPr>
          <w:rFonts w:hint="eastAsia" w:ascii="仿宋_GB2312" w:eastAsia="仿宋_GB2312"/>
          <w:bCs/>
          <w:color w:val="auto"/>
          <w:kern w:val="0"/>
          <w:sz w:val="28"/>
          <w:szCs w:val="28"/>
        </w:rPr>
        <w:t>资料是真实有效的，供甲方进行费用合理性分析，并承担资料不实的法律后果。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、每期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工程款申请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必须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按照工程施工合同约定申请。乙方须向甲方提交付款申请（《项目支付申请表》详见附件），同时提交分包支付报审资料（如有）。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4、乙方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在申请下一期工程进度款时，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须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提交“工程款专用监管账户”账户支付流水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作为下一期进度款申请的佐证材料。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5、乙方负责分包支付报审资料的准确性与真实性，提交报审资料包括：项目分包支付报审表（附件）、分包合同、购销合同、购销发票、计量清单等。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第六条、违约责任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甲、乙双方均应遵守并履行本协议约定的义务与责任，任何一方违反本协议的约定，应承担相应的违约责任和赔偿责任。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第七条、争议的解决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因履行本协议而引起的，或与本协议有关的一切争议，应由甲、乙双方协商解决。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TW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条 保密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本协议有效期间，各方保证对其所有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资料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，均予以保密，但按照法律规定或因监管部门、审计机构要求作出披露的除外。本条款在协议终止后仍长期有效。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条、其它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1、本协议未尽事宜，双方协商后可以签订补充协议。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2、本协议一式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份，甲、乙各方执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份，具有同等法律效力。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3、本协议自各方法定代表人或其授权代表签字并盖章之日起生效。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eastAsia="仿宋_GB2312"/>
          <w:color w:val="auto"/>
          <w:kern w:val="0"/>
          <w:sz w:val="28"/>
          <w:szCs w:val="28"/>
        </w:rPr>
      </w:pPr>
      <w:r>
        <w:rPr>
          <w:rFonts w:hint="eastAsia" w:ascii="仿宋_GB2312" w:eastAsia="仿宋_GB2312"/>
          <w:bCs/>
          <w:color w:val="auto"/>
          <w:kern w:val="0"/>
          <w:sz w:val="28"/>
          <w:szCs w:val="28"/>
        </w:rPr>
        <w:t>（以下无正文，为签字页</w:t>
      </w:r>
      <w:r>
        <w:rPr>
          <w:rFonts w:hint="eastAsia" w:ascii="仿宋_GB2312" w:eastAsia="仿宋_GB2312"/>
          <w:color w:val="auto"/>
          <w:kern w:val="0"/>
          <w:sz w:val="28"/>
          <w:szCs w:val="28"/>
        </w:rPr>
        <w:t>）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eastAsia="仿宋_GB2312"/>
          <w:color w:val="auto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eastAsia" w:ascii="仿宋_GB2312" w:eastAsia="仿宋_GB2312"/>
          <w:color w:val="auto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甲方（公章）：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法定代表人（或授权代表）（签字）：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乙方（公章）： </w:t>
      </w:r>
    </w:p>
    <w:p>
      <w:pPr>
        <w:autoSpaceDE w:val="0"/>
        <w:autoSpaceDN w:val="0"/>
        <w:adjustRightInd w:val="0"/>
        <w:spacing w:line="520" w:lineRule="exact"/>
        <w:ind w:firstLine="560" w:firstLineChars="200"/>
        <w:rPr>
          <w:rFonts w:hint="default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法定代表人（或授权代表）（签字）：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77950"/>
    <w:rsid w:val="196E000A"/>
    <w:rsid w:val="19B376FE"/>
    <w:rsid w:val="1E4C1D0B"/>
    <w:rsid w:val="39AD5A63"/>
    <w:rsid w:val="52470085"/>
    <w:rsid w:val="56A068A1"/>
    <w:rsid w:val="596A66A3"/>
    <w:rsid w:val="5E350675"/>
    <w:rsid w:val="63C94716"/>
    <w:rsid w:val="65C60A51"/>
    <w:rsid w:val="70F8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  <w:kern w:val="0"/>
      <w:sz w:val="20"/>
      <w:szCs w:val="24"/>
    </w:rPr>
  </w:style>
  <w:style w:type="paragraph" w:styleId="3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仿宋_GB2312" w:hAnsi="仿宋_GB2312" w:eastAsia="仿宋_GB2312" w:cs="Arial"/>
      <w:b/>
      <w:bCs/>
      <w:color w:val="FF0000"/>
      <w:kern w:val="0"/>
      <w:sz w:val="32"/>
      <w:szCs w:val="32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2023-10-12T05:29:00Z</dcterms:created>
  <dc:creator>jlgs</dc:creator>
  <cp:lastModifiedBy>admin</cp:lastModifiedBy>
  <dcterms:modified xsi:type="dcterms:W3CDTF">2023-10-13T08:44:58Z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828D6985770F4D7F953658982780844D</vt:lpwstr>
  </property>
</Properties>
</file>