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val="0"/>
        <w:spacing w:before="11" w:beforeAutospacing="0" w:after="0" w:afterAutospacing="0" w:line="264" w:lineRule="auto"/>
        <w:ind w:left="222" w:right="228"/>
        <w:jc w:val="center"/>
        <w:rPr>
          <w:rFonts w:hint="eastAsia" w:ascii="宋体" w:hAnsi="宋体" w:eastAsia="宋体" w:cs="宋体"/>
          <w:b/>
          <w:bCs w:val="0"/>
          <w:spacing w:val="-3"/>
          <w:kern w:val="2"/>
          <w:sz w:val="40"/>
          <w:szCs w:val="40"/>
          <w:highlight w:val="none"/>
          <w:lang w:val="en-US" w:eastAsia="zh-CN" w:bidi="ar"/>
        </w:rPr>
      </w:pPr>
    </w:p>
    <w:p>
      <w:pPr>
        <w:keepNext w:val="0"/>
        <w:keepLines w:val="0"/>
        <w:widowControl w:val="0"/>
        <w:suppressLineNumbers w:val="0"/>
        <w:autoSpaceDE w:val="0"/>
        <w:autoSpaceDN w:val="0"/>
        <w:spacing w:before="11" w:beforeAutospacing="0" w:after="0" w:afterAutospacing="0" w:line="264" w:lineRule="auto"/>
        <w:ind w:left="222" w:right="228"/>
        <w:jc w:val="center"/>
        <w:rPr>
          <w:rFonts w:hint="default" w:ascii="Calibri" w:hAnsi="Calibri" w:eastAsia="宋体" w:cs="Times New Roman"/>
          <w:b/>
          <w:bCs w:val="0"/>
          <w:kern w:val="2"/>
          <w:sz w:val="40"/>
          <w:szCs w:val="40"/>
          <w:highlight w:val="none"/>
        </w:rPr>
      </w:pPr>
      <w:r>
        <w:rPr>
          <w:rFonts w:hint="eastAsia" w:ascii="宋体" w:hAnsi="宋体" w:eastAsia="宋体" w:cs="宋体"/>
          <w:b/>
          <w:bCs w:val="0"/>
          <w:spacing w:val="-3"/>
          <w:kern w:val="2"/>
          <w:sz w:val="40"/>
          <w:szCs w:val="40"/>
          <w:highlight w:val="none"/>
          <w:lang w:val="en-US" w:eastAsia="zh-CN" w:bidi="ar"/>
        </w:rPr>
        <w:t>第十五届全运会广东奥林匹克体育中心升级改造项目施工总承包（项目编号：JG2024-1420）</w:t>
      </w:r>
      <w:r>
        <w:rPr>
          <w:rFonts w:hint="eastAsia" w:ascii="宋体" w:hAnsi="宋体" w:eastAsia="宋体" w:cs="宋体"/>
          <w:b/>
          <w:bCs w:val="0"/>
          <w:spacing w:val="-4"/>
          <w:kern w:val="0"/>
          <w:sz w:val="40"/>
          <w:szCs w:val="40"/>
          <w:highlight w:val="none"/>
          <w:lang w:val="en-US" w:eastAsia="zh-CN" w:bidi="ar"/>
        </w:rPr>
        <w:t>补充公告</w:t>
      </w:r>
    </w:p>
    <w:p>
      <w:pPr>
        <w:pStyle w:val="2"/>
        <w:keepNext w:val="0"/>
        <w:keepLines w:val="0"/>
        <w:widowControl/>
        <w:suppressLineNumbers w:val="0"/>
        <w:spacing w:before="0" w:beforeAutospacing="0" w:line="360" w:lineRule="auto"/>
        <w:ind w:left="0" w:right="232" w:firstLine="0"/>
        <w:jc w:val="both"/>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 xml:space="preserve"> </w:t>
      </w:r>
    </w:p>
    <w:p>
      <w:pPr>
        <w:pStyle w:val="2"/>
        <w:keepNext w:val="0"/>
        <w:keepLines w:val="0"/>
        <w:widowControl/>
        <w:suppressLineNumbers w:val="0"/>
        <w:spacing w:before="0" w:beforeAutospacing="0" w:line="360" w:lineRule="auto"/>
        <w:ind w:left="0" w:right="232" w:firstLine="0"/>
        <w:jc w:val="both"/>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各相关单位：</w:t>
      </w:r>
    </w:p>
    <w:p>
      <w:pPr>
        <w:pStyle w:val="2"/>
        <w:keepNext w:val="0"/>
        <w:keepLines w:val="0"/>
        <w:widowControl/>
        <w:suppressLineNumbers w:val="0"/>
        <w:spacing w:before="0" w:beforeAutospacing="0" w:line="360" w:lineRule="auto"/>
        <w:ind w:left="215" w:right="232" w:firstLine="480"/>
        <w:jc w:val="both"/>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u w:val="single"/>
        </w:rPr>
        <w:t>第十五届全运会广东奥林匹克体育中心升级改造项目施工总承包（项目编号：JG2024-1420）</w:t>
      </w:r>
      <w:r>
        <w:rPr>
          <w:rFonts w:hint="eastAsia" w:ascii="宋体" w:hAnsi="宋体" w:eastAsia="宋体" w:cs="宋体"/>
          <w:b w:val="0"/>
          <w:bCs/>
          <w:kern w:val="0"/>
          <w:sz w:val="24"/>
          <w:szCs w:val="24"/>
          <w:highlight w:val="none"/>
        </w:rPr>
        <w:t>于2024年3月30日在</w:t>
      </w:r>
      <w:r>
        <w:rPr>
          <w:rFonts w:hint="eastAsia" w:ascii="宋体" w:hAnsi="宋体" w:eastAsia="宋体" w:cs="宋体"/>
          <w:b w:val="0"/>
          <w:bCs/>
          <w:caps w:val="0"/>
          <w:spacing w:val="0"/>
          <w:kern w:val="0"/>
          <w:sz w:val="24"/>
          <w:szCs w:val="24"/>
          <w:highlight w:val="none"/>
        </w:rPr>
        <w:t>广州公共资源交易中心网、广东省招标投标监管网、中国招标投标公共服务平台等代理媒介</w:t>
      </w:r>
      <w:r>
        <w:rPr>
          <w:rFonts w:hint="eastAsia" w:ascii="宋体" w:hAnsi="宋体" w:eastAsia="宋体" w:cs="宋体"/>
          <w:b w:val="0"/>
          <w:bCs/>
          <w:spacing w:val="0"/>
          <w:kern w:val="0"/>
          <w:sz w:val="24"/>
          <w:szCs w:val="24"/>
          <w:highlight w:val="none"/>
        </w:rPr>
        <w:t>发</w:t>
      </w:r>
      <w:r>
        <w:rPr>
          <w:rFonts w:hint="eastAsia" w:ascii="宋体" w:hAnsi="宋体" w:eastAsia="宋体" w:cs="宋体"/>
          <w:b w:val="0"/>
          <w:bCs/>
          <w:kern w:val="0"/>
          <w:sz w:val="24"/>
          <w:szCs w:val="24"/>
          <w:highlight w:val="none"/>
        </w:rPr>
        <w:t>布招标公告，现对原招标文件相关内容调整如下：</w:t>
      </w:r>
    </w:p>
    <w:p>
      <w:pPr>
        <w:pStyle w:val="2"/>
        <w:keepNext w:val="0"/>
        <w:keepLines w:val="0"/>
        <w:widowControl/>
        <w:numPr>
          <w:ilvl w:val="0"/>
          <w:numId w:val="1"/>
        </w:numPr>
        <w:suppressLineNumbers w:val="0"/>
        <w:spacing w:before="0" w:beforeAutospacing="0" w:line="360" w:lineRule="auto"/>
        <w:ind w:left="215" w:right="232" w:firstLine="480"/>
        <w:jc w:val="both"/>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rPr>
        <w:t>对招标文件相关内容进行修改：</w:t>
      </w:r>
    </w:p>
    <w:tbl>
      <w:tblPr>
        <w:tblStyle w:val="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9"/>
        <w:gridCol w:w="2083"/>
        <w:gridCol w:w="2718"/>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0" w:hRule="atLeast"/>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pacing w:val="4"/>
                <w:kern w:val="0"/>
                <w:sz w:val="21"/>
                <w:szCs w:val="21"/>
                <w:highlight w:val="none"/>
              </w:rPr>
            </w:pPr>
            <w:r>
              <w:rPr>
                <w:rFonts w:hint="eastAsia" w:ascii="宋体" w:hAnsi="宋体" w:eastAsia="宋体" w:cs="宋体"/>
                <w:spacing w:val="4"/>
                <w:kern w:val="0"/>
                <w:sz w:val="21"/>
                <w:szCs w:val="21"/>
                <w:highlight w:val="none"/>
                <w:lang w:val="en-US" w:eastAsia="zh-CN" w:bidi="ar"/>
              </w:rPr>
              <w:t>序号</w:t>
            </w:r>
          </w:p>
        </w:tc>
        <w:tc>
          <w:tcPr>
            <w:tcW w:w="20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pacing w:val="4"/>
                <w:kern w:val="0"/>
                <w:sz w:val="21"/>
                <w:szCs w:val="21"/>
                <w:highlight w:val="none"/>
              </w:rPr>
            </w:pPr>
            <w:r>
              <w:rPr>
                <w:rFonts w:hint="eastAsia" w:ascii="宋体" w:hAnsi="宋体" w:eastAsia="宋体" w:cs="宋体"/>
                <w:spacing w:val="4"/>
                <w:kern w:val="0"/>
                <w:sz w:val="21"/>
                <w:szCs w:val="21"/>
                <w:highlight w:val="none"/>
                <w:lang w:val="en-US" w:eastAsia="zh-CN" w:bidi="ar"/>
              </w:rPr>
              <w:t>条款号</w:t>
            </w:r>
          </w:p>
        </w:tc>
        <w:tc>
          <w:tcPr>
            <w:tcW w:w="2718" w:type="dxa"/>
            <w:tcBorders>
              <w:top w:val="single" w:color="auto" w:sz="4" w:space="0"/>
              <w:left w:val="nil"/>
              <w:bottom w:val="single" w:color="auto" w:sz="4" w:space="0"/>
              <w:right w:val="single" w:color="auto" w:sz="4" w:space="0"/>
            </w:tcBorders>
            <w:shd w:val="clear" w:color="auto" w:fill="auto"/>
            <w:vAlign w:val="center"/>
          </w:tcPr>
          <w:p>
            <w:pPr>
              <w:pStyle w:val="7"/>
              <w:keepNext w:val="0"/>
              <w:keepLines w:val="0"/>
              <w:widowControl/>
              <w:suppressLineNumbers w:val="0"/>
              <w:spacing w:before="0" w:beforeAutospacing="1" w:after="0" w:afterAutospacing="1"/>
              <w:ind w:left="0" w:right="0"/>
              <w:jc w:val="center"/>
              <w:rPr>
                <w:rFonts w:hint="eastAsia" w:ascii="宋体" w:hAnsi="宋体" w:eastAsia="宋体" w:cs="宋体"/>
                <w:spacing w:val="4"/>
                <w:kern w:val="0"/>
                <w:sz w:val="21"/>
                <w:szCs w:val="21"/>
                <w:highlight w:val="none"/>
              </w:rPr>
            </w:pPr>
            <w:r>
              <w:rPr>
                <w:rFonts w:hint="eastAsia" w:ascii="宋体" w:hAnsi="宋体" w:eastAsia="宋体" w:cs="宋体"/>
                <w:spacing w:val="4"/>
                <w:kern w:val="0"/>
                <w:sz w:val="21"/>
                <w:szCs w:val="21"/>
                <w:highlight w:val="none"/>
                <w:lang w:val="en-US" w:eastAsia="zh-CN" w:bidi="ar"/>
              </w:rPr>
              <w:t>原文</w:t>
            </w:r>
          </w:p>
        </w:tc>
        <w:tc>
          <w:tcPr>
            <w:tcW w:w="3519" w:type="dxa"/>
            <w:tcBorders>
              <w:top w:val="single" w:color="auto" w:sz="4" w:space="0"/>
              <w:left w:val="nil"/>
              <w:bottom w:val="single" w:color="auto" w:sz="4" w:space="0"/>
              <w:right w:val="single" w:color="auto" w:sz="4" w:space="0"/>
            </w:tcBorders>
            <w:shd w:val="clear" w:color="auto" w:fill="auto"/>
            <w:vAlign w:val="center"/>
          </w:tcPr>
          <w:p>
            <w:pPr>
              <w:pStyle w:val="7"/>
              <w:keepNext w:val="0"/>
              <w:keepLines w:val="0"/>
              <w:widowControl/>
              <w:suppressLineNumbers w:val="0"/>
              <w:spacing w:before="0" w:beforeAutospacing="1" w:after="0" w:afterAutospacing="1"/>
              <w:ind w:left="0" w:right="0" w:firstLine="105"/>
              <w:jc w:val="center"/>
              <w:rPr>
                <w:rFonts w:hint="eastAsia" w:ascii="宋体" w:hAnsi="宋体" w:eastAsia="宋体" w:cs="宋体"/>
                <w:spacing w:val="4"/>
                <w:kern w:val="0"/>
                <w:sz w:val="21"/>
                <w:szCs w:val="21"/>
                <w:highlight w:val="none"/>
              </w:rPr>
            </w:pPr>
            <w:r>
              <w:rPr>
                <w:rFonts w:hint="eastAsia" w:ascii="宋体" w:hAnsi="宋体" w:eastAsia="宋体" w:cs="宋体"/>
                <w:spacing w:val="4"/>
                <w:kern w:val="0"/>
                <w:sz w:val="21"/>
                <w:szCs w:val="21"/>
                <w:highlight w:val="none"/>
                <w:lang w:val="en-US" w:eastAsia="zh-CN" w:bidi="ar"/>
              </w:rPr>
              <w:t>现文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w:t>
            </w:r>
          </w:p>
        </w:tc>
        <w:tc>
          <w:tcPr>
            <w:tcW w:w="20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ascii="宋体" w:hAnsi="宋体" w:eastAsia="宋体" w:cs="宋体"/>
                <w:spacing w:val="4"/>
                <w:kern w:val="0"/>
                <w:sz w:val="21"/>
                <w:szCs w:val="21"/>
                <w:highlight w:val="none"/>
                <w:lang w:bidi="ar"/>
              </w:rPr>
            </w:pPr>
            <w:r>
              <w:rPr>
                <w:rFonts w:hint="eastAsia" w:ascii="宋体" w:hAnsi="宋体" w:eastAsia="宋体" w:cs="宋体"/>
                <w:spacing w:val="4"/>
                <w:kern w:val="0"/>
                <w:sz w:val="21"/>
                <w:szCs w:val="21"/>
                <w:highlight w:val="none"/>
                <w:lang w:val="en-US" w:eastAsia="zh-CN" w:bidi="ar"/>
              </w:rPr>
              <w:t>原招标文件</w:t>
            </w:r>
            <w:r>
              <w:rPr>
                <w:rFonts w:hint="eastAsia" w:ascii="宋体" w:hAnsi="宋体" w:eastAsia="宋体" w:cs="宋体"/>
                <w:spacing w:val="4"/>
                <w:kern w:val="0"/>
                <w:sz w:val="21"/>
                <w:szCs w:val="21"/>
                <w:highlight w:val="none"/>
                <w:lang w:eastAsia="zh-CN" w:bidi="ar"/>
              </w:rPr>
              <w:t>-</w:t>
            </w:r>
            <w:r>
              <w:rPr>
                <w:rFonts w:hint="eastAsia" w:ascii="宋体" w:hAnsi="宋体" w:eastAsia="宋体" w:cs="宋体"/>
                <w:spacing w:val="4"/>
                <w:kern w:val="0"/>
                <w:sz w:val="21"/>
                <w:szCs w:val="21"/>
                <w:highlight w:val="none"/>
                <w:lang w:val="en-US" w:eastAsia="zh-CN" w:bidi="ar"/>
              </w:rPr>
              <w:t>第二章-开标、评标及定标办法-附表四《技术标详细审查评分表》</w:t>
            </w:r>
          </w:p>
        </w:tc>
        <w:tc>
          <w:tcPr>
            <w:tcW w:w="27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详见原文</w:t>
            </w:r>
          </w:p>
        </w:tc>
        <w:tc>
          <w:tcPr>
            <w:tcW w:w="35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pacing w:val="4"/>
                <w:kern w:val="0"/>
                <w:sz w:val="21"/>
                <w:szCs w:val="21"/>
                <w:highlight w:val="none"/>
              </w:rPr>
            </w:pPr>
            <w:r>
              <w:rPr>
                <w:rFonts w:hint="eastAsia" w:ascii="宋体" w:hAnsi="宋体" w:eastAsia="宋体" w:cs="宋体"/>
                <w:spacing w:val="4"/>
                <w:kern w:val="0"/>
                <w:sz w:val="21"/>
                <w:szCs w:val="21"/>
                <w:highlight w:val="none"/>
                <w:lang w:val="en-US" w:eastAsia="zh-CN" w:bidi="ar"/>
              </w:rPr>
              <w:t>具体详见本补充公告附件1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0" w:hRule="atLeast"/>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1"/>
                <w:szCs w:val="21"/>
                <w:highlight w:val="none"/>
                <w:lang w:eastAsia="zh-CN" w:bidi="ar"/>
              </w:rPr>
            </w:pPr>
            <w:r>
              <w:rPr>
                <w:rFonts w:hint="default" w:ascii="宋体" w:hAnsi="宋体" w:eastAsia="宋体" w:cs="宋体"/>
                <w:kern w:val="2"/>
                <w:sz w:val="21"/>
                <w:szCs w:val="21"/>
                <w:highlight w:val="none"/>
                <w:lang w:eastAsia="zh-CN" w:bidi="ar"/>
              </w:rPr>
              <w:t>2</w:t>
            </w:r>
          </w:p>
        </w:tc>
        <w:tc>
          <w:tcPr>
            <w:tcW w:w="20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pacing w:val="4"/>
                <w:kern w:val="0"/>
                <w:sz w:val="21"/>
                <w:szCs w:val="21"/>
                <w:highlight w:val="none"/>
                <w:lang w:eastAsia="zh-CN" w:bidi="ar"/>
              </w:rPr>
            </w:pPr>
            <w:r>
              <w:rPr>
                <w:rFonts w:hint="eastAsia" w:ascii="宋体" w:hAnsi="宋体" w:eastAsia="宋体" w:cs="宋体"/>
                <w:spacing w:val="4"/>
                <w:kern w:val="0"/>
                <w:sz w:val="21"/>
                <w:szCs w:val="21"/>
                <w:highlight w:val="none"/>
                <w:lang w:val="en-US" w:eastAsia="zh-CN" w:bidi="ar"/>
              </w:rPr>
              <w:t>原招标文件</w:t>
            </w:r>
            <w:r>
              <w:rPr>
                <w:rFonts w:hint="eastAsia" w:ascii="宋体" w:hAnsi="宋体" w:eastAsia="宋体" w:cs="宋体"/>
                <w:spacing w:val="4"/>
                <w:kern w:val="0"/>
                <w:sz w:val="21"/>
                <w:szCs w:val="21"/>
                <w:highlight w:val="none"/>
                <w:lang w:eastAsia="zh-CN" w:bidi="ar"/>
              </w:rPr>
              <w:t>-</w:t>
            </w:r>
            <w:r>
              <w:rPr>
                <w:rFonts w:hint="eastAsia" w:ascii="宋体" w:hAnsi="宋体" w:eastAsia="宋体" w:cs="宋体"/>
                <w:spacing w:val="4"/>
                <w:kern w:val="0"/>
                <w:sz w:val="21"/>
                <w:szCs w:val="21"/>
                <w:highlight w:val="none"/>
                <w:lang w:val="en-US" w:eastAsia="zh-CN" w:bidi="ar"/>
              </w:rPr>
              <w:t>第五章  技术条件（工程建设标准）</w:t>
            </w:r>
            <w:r>
              <w:rPr>
                <w:rFonts w:hint="eastAsia" w:ascii="宋体" w:hAnsi="宋体" w:eastAsia="宋体" w:cs="宋体"/>
                <w:spacing w:val="4"/>
                <w:kern w:val="0"/>
                <w:sz w:val="21"/>
                <w:szCs w:val="21"/>
                <w:highlight w:val="none"/>
                <w:lang w:eastAsia="zh-CN" w:bidi="ar"/>
              </w:rPr>
              <w:t>-</w:t>
            </w:r>
            <w:r>
              <w:rPr>
                <w:rFonts w:hint="eastAsia" w:ascii="宋体" w:hAnsi="宋体" w:eastAsia="宋体" w:cs="宋体"/>
                <w:spacing w:val="4"/>
                <w:kern w:val="0"/>
                <w:sz w:val="21"/>
                <w:szCs w:val="21"/>
                <w:highlight w:val="none"/>
                <w:lang w:val="en-US" w:eastAsia="zh-CN" w:bidi="ar"/>
              </w:rPr>
              <w:t>项目管理要求</w:t>
            </w:r>
          </w:p>
        </w:tc>
        <w:tc>
          <w:tcPr>
            <w:tcW w:w="27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详见原文</w:t>
            </w:r>
          </w:p>
        </w:tc>
        <w:tc>
          <w:tcPr>
            <w:tcW w:w="35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spacing w:val="4"/>
                <w:kern w:val="0"/>
                <w:sz w:val="21"/>
                <w:szCs w:val="21"/>
                <w:highlight w:val="none"/>
                <w:lang w:eastAsia="zh-CN" w:bidi="ar"/>
              </w:rPr>
            </w:pPr>
            <w:r>
              <w:rPr>
                <w:rFonts w:hint="eastAsia" w:ascii="宋体" w:hAnsi="宋体" w:eastAsia="宋体" w:cs="宋体"/>
                <w:spacing w:val="4"/>
                <w:kern w:val="0"/>
                <w:sz w:val="21"/>
                <w:szCs w:val="21"/>
                <w:highlight w:val="none"/>
                <w:lang w:val="en-US" w:eastAsia="zh-CN" w:bidi="ar"/>
              </w:rPr>
              <w:t>具体详见本补充公告附件</w:t>
            </w:r>
            <w:r>
              <w:rPr>
                <w:rFonts w:hint="default" w:ascii="宋体" w:hAnsi="宋体" w:eastAsia="宋体" w:cs="宋体"/>
                <w:spacing w:val="4"/>
                <w:kern w:val="0"/>
                <w:sz w:val="21"/>
                <w:szCs w:val="21"/>
                <w:highlight w:val="none"/>
                <w:lang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0" w:hRule="atLeast"/>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1"/>
                <w:szCs w:val="21"/>
                <w:highlight w:val="none"/>
                <w:lang w:eastAsia="zh-CN" w:bidi="ar"/>
              </w:rPr>
            </w:pPr>
            <w:r>
              <w:rPr>
                <w:rFonts w:hint="default" w:ascii="宋体" w:hAnsi="宋体" w:eastAsia="宋体" w:cs="宋体"/>
                <w:kern w:val="2"/>
                <w:sz w:val="21"/>
                <w:szCs w:val="21"/>
                <w:highlight w:val="none"/>
                <w:lang w:eastAsia="zh-CN" w:bidi="ar"/>
              </w:rPr>
              <w:t>3</w:t>
            </w:r>
          </w:p>
        </w:tc>
        <w:tc>
          <w:tcPr>
            <w:tcW w:w="20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ascii="宋体" w:hAnsi="宋体" w:eastAsia="宋体" w:cs="宋体"/>
                <w:spacing w:val="4"/>
                <w:kern w:val="0"/>
                <w:sz w:val="21"/>
                <w:szCs w:val="21"/>
                <w:highlight w:val="none"/>
                <w:lang w:val="en-US" w:eastAsia="zh-CN" w:bidi="ar"/>
              </w:rPr>
            </w:pPr>
            <w:r>
              <w:rPr>
                <w:rFonts w:hint="eastAsia" w:ascii="宋体" w:hAnsi="宋体" w:eastAsia="宋体" w:cs="宋体"/>
                <w:spacing w:val="4"/>
                <w:kern w:val="0"/>
                <w:sz w:val="21"/>
                <w:szCs w:val="21"/>
                <w:highlight w:val="none"/>
                <w:lang w:val="en-US" w:eastAsia="zh-CN" w:bidi="ar"/>
              </w:rPr>
              <w:t>原招标文件</w:t>
            </w:r>
            <w:r>
              <w:rPr>
                <w:rFonts w:hint="eastAsia" w:ascii="宋体" w:hAnsi="宋体" w:eastAsia="宋体" w:cs="宋体"/>
                <w:spacing w:val="4"/>
                <w:kern w:val="0"/>
                <w:sz w:val="21"/>
                <w:szCs w:val="21"/>
                <w:highlight w:val="none"/>
                <w:lang w:eastAsia="zh-CN" w:bidi="ar"/>
              </w:rPr>
              <w:t>-</w:t>
            </w:r>
            <w:r>
              <w:rPr>
                <w:rFonts w:hint="eastAsia" w:ascii="宋体" w:hAnsi="宋体" w:eastAsia="宋体" w:cs="宋体"/>
                <w:spacing w:val="4"/>
                <w:kern w:val="0"/>
                <w:sz w:val="21"/>
                <w:szCs w:val="21"/>
                <w:highlight w:val="none"/>
                <w:lang w:val="en-US" w:eastAsia="zh-CN" w:bidi="ar"/>
              </w:rPr>
              <w:t>第二章-开标、评标及定标办法-42.4.3.2</w:t>
            </w:r>
          </w:p>
        </w:tc>
        <w:tc>
          <w:tcPr>
            <w:tcW w:w="27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当标价等于评标参考价时得100分，标价每高于评标参考价1%，扣</w:t>
            </w:r>
            <w:r>
              <w:rPr>
                <w:rFonts w:hint="eastAsia" w:ascii="宋体" w:hAnsi="宋体" w:eastAsia="宋体" w:cs="宋体"/>
                <w:kern w:val="2"/>
                <w:sz w:val="21"/>
                <w:szCs w:val="21"/>
                <w:highlight w:val="none"/>
                <w:u w:val="single"/>
                <w:lang w:val="en-US" w:eastAsia="zh-CN" w:bidi="ar"/>
              </w:rPr>
              <w:t>0.3</w:t>
            </w:r>
            <w:r>
              <w:rPr>
                <w:rFonts w:hint="eastAsia" w:ascii="宋体" w:hAnsi="宋体" w:eastAsia="宋体" w:cs="宋体"/>
                <w:kern w:val="2"/>
                <w:sz w:val="21"/>
                <w:szCs w:val="21"/>
                <w:highlight w:val="none"/>
                <w:lang w:val="en-US" w:eastAsia="zh-CN" w:bidi="ar"/>
              </w:rPr>
              <w:t>分，每低于评标参考价1%，扣</w:t>
            </w:r>
            <w:r>
              <w:rPr>
                <w:rFonts w:hint="eastAsia" w:ascii="宋体" w:hAnsi="宋体" w:eastAsia="宋体" w:cs="宋体"/>
                <w:kern w:val="2"/>
                <w:sz w:val="21"/>
                <w:szCs w:val="21"/>
                <w:highlight w:val="none"/>
                <w:u w:val="single"/>
                <w:lang w:val="en-US" w:eastAsia="zh-CN" w:bidi="ar"/>
              </w:rPr>
              <w:t>0.2</w:t>
            </w:r>
            <w:r>
              <w:rPr>
                <w:rFonts w:hint="eastAsia" w:ascii="宋体" w:hAnsi="宋体" w:eastAsia="宋体" w:cs="宋体"/>
                <w:kern w:val="2"/>
                <w:sz w:val="21"/>
                <w:szCs w:val="21"/>
                <w:highlight w:val="none"/>
                <w:lang w:val="en-US" w:eastAsia="zh-CN" w:bidi="ar"/>
              </w:rPr>
              <w:t>分，扣至0分为止，得出经济分，精确到小数点后两位。</w:t>
            </w:r>
          </w:p>
        </w:tc>
        <w:tc>
          <w:tcPr>
            <w:tcW w:w="35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spacing w:val="4"/>
                <w:kern w:val="0"/>
                <w:sz w:val="21"/>
                <w:szCs w:val="21"/>
                <w:highlight w:val="none"/>
                <w:lang w:eastAsia="zh-CN" w:bidi="ar"/>
              </w:rPr>
            </w:pPr>
            <w:r>
              <w:rPr>
                <w:rFonts w:hint="eastAsia" w:ascii="宋体" w:hAnsi="宋体" w:eastAsia="宋体" w:cs="宋体"/>
                <w:kern w:val="2"/>
                <w:sz w:val="21"/>
                <w:szCs w:val="21"/>
                <w:highlight w:val="none"/>
                <w:lang w:val="en-US" w:eastAsia="zh-CN" w:bidi="ar"/>
              </w:rPr>
              <w:t>当标价等于评标参考价时得100分，标价每高于评标参考价1%，扣</w:t>
            </w:r>
            <w:r>
              <w:rPr>
                <w:rFonts w:hint="eastAsia" w:ascii="宋体" w:hAnsi="宋体" w:eastAsia="宋体" w:cs="宋体"/>
                <w:kern w:val="2"/>
                <w:sz w:val="21"/>
                <w:szCs w:val="21"/>
                <w:highlight w:val="none"/>
                <w:u w:val="single"/>
                <w:lang w:val="en-US" w:eastAsia="zh-CN" w:bidi="ar"/>
              </w:rPr>
              <w:t>0.</w:t>
            </w:r>
            <w:r>
              <w:rPr>
                <w:rFonts w:hint="default" w:ascii="宋体" w:hAnsi="宋体" w:eastAsia="宋体" w:cs="宋体"/>
                <w:kern w:val="2"/>
                <w:sz w:val="21"/>
                <w:szCs w:val="21"/>
                <w:highlight w:val="none"/>
                <w:u w:val="single"/>
                <w:lang w:eastAsia="zh-CN" w:bidi="ar"/>
              </w:rPr>
              <w:t>5</w:t>
            </w:r>
            <w:r>
              <w:rPr>
                <w:rFonts w:hint="eastAsia" w:ascii="宋体" w:hAnsi="宋体" w:eastAsia="宋体" w:cs="宋体"/>
                <w:kern w:val="2"/>
                <w:sz w:val="21"/>
                <w:szCs w:val="21"/>
                <w:highlight w:val="none"/>
                <w:lang w:val="en-US" w:eastAsia="zh-CN" w:bidi="ar"/>
              </w:rPr>
              <w:t>分，每低于评标参考价1%，扣</w:t>
            </w:r>
            <w:r>
              <w:rPr>
                <w:rFonts w:hint="eastAsia" w:ascii="宋体" w:hAnsi="宋体" w:eastAsia="宋体" w:cs="宋体"/>
                <w:kern w:val="2"/>
                <w:sz w:val="21"/>
                <w:szCs w:val="21"/>
                <w:highlight w:val="none"/>
                <w:u w:val="single"/>
                <w:lang w:val="en-US" w:eastAsia="zh-CN" w:bidi="ar"/>
              </w:rPr>
              <w:t>0.</w:t>
            </w:r>
            <w:r>
              <w:rPr>
                <w:rFonts w:hint="default" w:ascii="宋体" w:hAnsi="宋体" w:eastAsia="宋体" w:cs="宋体"/>
                <w:kern w:val="2"/>
                <w:sz w:val="21"/>
                <w:szCs w:val="21"/>
                <w:highlight w:val="none"/>
                <w:u w:val="single"/>
                <w:lang w:eastAsia="zh-CN" w:bidi="ar"/>
              </w:rPr>
              <w:t>3</w:t>
            </w:r>
            <w:r>
              <w:rPr>
                <w:rFonts w:hint="eastAsia" w:ascii="宋体" w:hAnsi="宋体" w:eastAsia="宋体" w:cs="宋体"/>
                <w:kern w:val="2"/>
                <w:sz w:val="21"/>
                <w:szCs w:val="21"/>
                <w:highlight w:val="none"/>
                <w:lang w:val="en-US" w:eastAsia="zh-CN" w:bidi="ar"/>
              </w:rPr>
              <w:t>分，扣至0分为止，得出经济分，精确到小数点后两位。</w:t>
            </w:r>
          </w:p>
        </w:tc>
      </w:tr>
    </w:tbl>
    <w:p>
      <w:pPr>
        <w:keepNext w:val="0"/>
        <w:keepLines w:val="0"/>
        <w:widowControl w:val="0"/>
        <w:suppressLineNumbers w:val="0"/>
        <w:autoSpaceDE w:val="0"/>
        <w:autoSpaceDN w:val="0"/>
        <w:spacing w:before="81" w:beforeAutospacing="0" w:after="0" w:afterAutospacing="0" w:line="360" w:lineRule="auto"/>
        <w:ind w:left="215" w:right="232" w:firstLine="480"/>
        <w:jc w:val="both"/>
        <w:rPr>
          <w:rFonts w:hint="default" w:ascii="Calibri" w:hAnsi="Calibri" w:eastAsia="宋体" w:cs="Times New Roman"/>
          <w:b/>
          <w:bCs w:val="0"/>
          <w:spacing w:val="-1"/>
          <w:kern w:val="2"/>
          <w:sz w:val="24"/>
          <w:szCs w:val="24"/>
          <w:highlight w:val="none"/>
          <w:u w:val="single"/>
        </w:rPr>
      </w:pPr>
      <w:r>
        <w:rPr>
          <w:rFonts w:hint="eastAsia" w:ascii="宋体" w:hAnsi="宋体" w:eastAsia="宋体" w:cs="宋体"/>
          <w:b/>
          <w:bCs w:val="0"/>
          <w:spacing w:val="-1"/>
          <w:kern w:val="0"/>
          <w:sz w:val="24"/>
          <w:szCs w:val="24"/>
          <w:highlight w:val="none"/>
          <w:u w:val="single"/>
          <w:lang w:val="en-US" w:eastAsia="zh-CN" w:bidi="ar"/>
        </w:rPr>
        <w:t>二、本项目原定的投标登记时间、递交投标文件截止时间、投标文件解密时间、开标时间、递交投标文件备用光盘时间及场地安排现进行调整，具体交易活动日程、场地安排详见广州公共资源交易中心网站“建设工程→项目查询（日程安排、答疑纪要）”栏目，输入项目编号或项目名称查询最新信息。</w:t>
      </w:r>
    </w:p>
    <w:p>
      <w:pPr>
        <w:keepNext w:val="0"/>
        <w:keepLines w:val="0"/>
        <w:widowControl w:val="0"/>
        <w:suppressLineNumbers w:val="0"/>
        <w:autoSpaceDE w:val="0"/>
        <w:autoSpaceDN w:val="0"/>
        <w:spacing w:before="81" w:beforeAutospacing="0" w:after="0" w:afterAutospacing="0" w:line="360" w:lineRule="auto"/>
        <w:ind w:left="215" w:right="232" w:firstLine="480"/>
        <w:jc w:val="both"/>
        <w:rPr>
          <w:rFonts w:hint="default" w:ascii="Calibri" w:hAnsi="Calibri" w:eastAsia="宋体" w:cs="Times New Roman"/>
          <w:b/>
          <w:bCs w:val="0"/>
          <w:spacing w:val="-1"/>
          <w:kern w:val="2"/>
          <w:sz w:val="24"/>
          <w:szCs w:val="24"/>
          <w:highlight w:val="none"/>
          <w:u w:val="single"/>
        </w:rPr>
      </w:pPr>
      <w:r>
        <w:rPr>
          <w:rFonts w:hint="eastAsia" w:ascii="宋体" w:hAnsi="宋体" w:eastAsia="宋体" w:cs="宋体"/>
          <w:b/>
          <w:bCs w:val="0"/>
          <w:spacing w:val="-1"/>
          <w:kern w:val="0"/>
          <w:sz w:val="24"/>
          <w:szCs w:val="24"/>
          <w:highlight w:val="none"/>
          <w:u w:val="single"/>
          <w:lang w:val="en-US" w:eastAsia="zh-CN" w:bidi="ar"/>
        </w:rPr>
        <w:t>三、原招标文件内容与本补充公告内容不一致之处，以本补充公告为准，其他内容不变。</w:t>
      </w:r>
    </w:p>
    <w:p>
      <w:pPr>
        <w:keepNext w:val="0"/>
        <w:keepLines w:val="0"/>
        <w:widowControl w:val="0"/>
        <w:suppressLineNumbers w:val="0"/>
        <w:autoSpaceDE w:val="0"/>
        <w:autoSpaceDN w:val="0"/>
        <w:spacing w:before="81" w:beforeAutospacing="0" w:after="0" w:afterAutospacing="0" w:line="360" w:lineRule="auto"/>
        <w:ind w:left="215" w:right="232" w:firstLine="480"/>
        <w:jc w:val="both"/>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lang w:val="en-US" w:eastAsia="zh-CN" w:bidi="ar"/>
        </w:rPr>
        <w:t xml:space="preserve"> </w:t>
      </w:r>
    </w:p>
    <w:p>
      <w:pPr>
        <w:keepNext w:val="0"/>
        <w:keepLines w:val="0"/>
        <w:widowControl w:val="0"/>
        <w:suppressLineNumbers w:val="0"/>
        <w:autoSpaceDE w:val="0"/>
        <w:autoSpaceDN w:val="0"/>
        <w:spacing w:before="81" w:beforeAutospacing="0" w:after="0" w:afterAutospacing="0" w:line="360" w:lineRule="auto"/>
        <w:ind w:left="215" w:right="232" w:firstLine="480"/>
        <w:jc w:val="both"/>
        <w:rPr>
          <w:rFonts w:hint="default" w:ascii="宋体" w:hAnsi="宋体" w:eastAsia="宋体" w:cs="宋体"/>
          <w:spacing w:val="-1"/>
          <w:kern w:val="0"/>
          <w:sz w:val="24"/>
          <w:szCs w:val="24"/>
          <w:highlight w:val="none"/>
          <w:lang w:eastAsia="zh-CN" w:bidi="ar"/>
        </w:rPr>
      </w:pPr>
      <w:r>
        <w:rPr>
          <w:rFonts w:hint="eastAsia" w:ascii="宋体" w:hAnsi="宋体" w:eastAsia="宋体" w:cs="宋体"/>
          <w:spacing w:val="-1"/>
          <w:kern w:val="0"/>
          <w:sz w:val="24"/>
          <w:szCs w:val="24"/>
          <w:highlight w:val="none"/>
          <w:lang w:val="en-US" w:eastAsia="zh-CN" w:bidi="ar"/>
        </w:rPr>
        <w:t>附件1：《技术标详细审查评分表》</w:t>
      </w:r>
      <w:r>
        <w:rPr>
          <w:rFonts w:hint="default" w:ascii="宋体" w:hAnsi="宋体" w:eastAsia="宋体" w:cs="宋体"/>
          <w:spacing w:val="-1"/>
          <w:kern w:val="0"/>
          <w:sz w:val="24"/>
          <w:szCs w:val="24"/>
          <w:highlight w:val="none"/>
          <w:lang w:eastAsia="zh-CN" w:bidi="ar"/>
        </w:rPr>
        <w:t>（修正版）</w:t>
      </w:r>
    </w:p>
    <w:p>
      <w:pPr>
        <w:keepNext w:val="0"/>
        <w:keepLines w:val="0"/>
        <w:widowControl w:val="0"/>
        <w:suppressLineNumbers w:val="0"/>
        <w:autoSpaceDE w:val="0"/>
        <w:autoSpaceDN w:val="0"/>
        <w:spacing w:before="81" w:beforeAutospacing="0" w:after="0" w:afterAutospacing="0" w:line="360" w:lineRule="auto"/>
        <w:ind w:left="215" w:right="232" w:firstLine="480"/>
        <w:jc w:val="both"/>
        <w:rPr>
          <w:rFonts w:hint="default" w:ascii="宋体" w:hAnsi="宋体" w:eastAsia="宋体" w:cs="宋体"/>
          <w:spacing w:val="-1"/>
          <w:kern w:val="0"/>
          <w:sz w:val="24"/>
          <w:szCs w:val="24"/>
          <w:highlight w:val="none"/>
          <w:lang w:eastAsia="zh-CN" w:bidi="ar"/>
        </w:rPr>
      </w:pPr>
      <w:r>
        <w:rPr>
          <w:rFonts w:hint="default" w:ascii="宋体" w:hAnsi="宋体" w:eastAsia="宋体" w:cs="宋体"/>
          <w:spacing w:val="-1"/>
          <w:kern w:val="0"/>
          <w:sz w:val="24"/>
          <w:szCs w:val="24"/>
          <w:highlight w:val="none"/>
          <w:lang w:eastAsia="zh-CN" w:bidi="ar"/>
        </w:rPr>
        <w:t>附件2：</w:t>
      </w:r>
      <w:r>
        <w:rPr>
          <w:rFonts w:hint="default" w:ascii="宋体" w:hAnsi="宋体" w:eastAsia="宋体" w:cs="宋体"/>
          <w:spacing w:val="-1"/>
          <w:kern w:val="0"/>
          <w:sz w:val="24"/>
          <w:szCs w:val="24"/>
          <w:highlight w:val="none"/>
          <w:lang w:val="en-US" w:eastAsia="zh-CN" w:bidi="ar"/>
        </w:rPr>
        <w:t>项目管理要求</w:t>
      </w:r>
      <w:r>
        <w:rPr>
          <w:rFonts w:hint="default" w:ascii="宋体" w:hAnsi="宋体" w:eastAsia="宋体" w:cs="宋体"/>
          <w:spacing w:val="-1"/>
          <w:kern w:val="0"/>
          <w:sz w:val="24"/>
          <w:szCs w:val="24"/>
          <w:highlight w:val="none"/>
          <w:lang w:eastAsia="zh-CN" w:bidi="ar"/>
        </w:rPr>
        <w:t>（修正版）</w:t>
      </w:r>
    </w:p>
    <w:p>
      <w:pPr>
        <w:keepNext w:val="0"/>
        <w:keepLines w:val="0"/>
        <w:widowControl w:val="0"/>
        <w:suppressLineNumbers w:val="0"/>
        <w:autoSpaceDE w:val="0"/>
        <w:autoSpaceDN w:val="0"/>
        <w:spacing w:before="170" w:beforeAutospacing="0" w:after="0" w:afterAutospacing="0" w:line="360" w:lineRule="auto"/>
        <w:ind w:left="0" w:right="183" w:firstLine="0"/>
        <w:jc w:val="right"/>
        <w:rPr>
          <w:rFonts w:hint="eastAsia" w:ascii="宋体" w:hAnsi="宋体" w:eastAsia="宋体" w:cs="宋体"/>
          <w:kern w:val="0"/>
          <w:sz w:val="24"/>
          <w:szCs w:val="24"/>
          <w:highlight w:val="none"/>
          <w:lang w:val="en-US" w:eastAsia="zh-CN" w:bidi="ar"/>
        </w:rPr>
      </w:pPr>
    </w:p>
    <w:p>
      <w:pPr>
        <w:keepNext w:val="0"/>
        <w:keepLines w:val="0"/>
        <w:widowControl w:val="0"/>
        <w:suppressLineNumbers w:val="0"/>
        <w:autoSpaceDE w:val="0"/>
        <w:autoSpaceDN w:val="0"/>
        <w:spacing w:before="170" w:beforeAutospacing="0" w:after="0" w:afterAutospacing="0" w:line="360" w:lineRule="auto"/>
        <w:ind w:left="0" w:right="183" w:firstLine="0"/>
        <w:jc w:val="right"/>
        <w:rPr>
          <w:rFonts w:hint="eastAsia" w:ascii="宋体" w:hAnsi="宋体" w:eastAsia="宋体" w:cs="宋体"/>
          <w:kern w:val="0"/>
          <w:sz w:val="24"/>
          <w:szCs w:val="24"/>
          <w:highlight w:val="none"/>
          <w:lang w:val="en-US" w:eastAsia="zh-CN" w:bidi="ar"/>
        </w:rPr>
      </w:pPr>
    </w:p>
    <w:p>
      <w:pPr>
        <w:keepNext w:val="0"/>
        <w:keepLines w:val="0"/>
        <w:widowControl w:val="0"/>
        <w:suppressLineNumbers w:val="0"/>
        <w:autoSpaceDE w:val="0"/>
        <w:autoSpaceDN w:val="0"/>
        <w:spacing w:before="170" w:beforeAutospacing="0" w:after="0" w:afterAutospacing="0" w:line="360" w:lineRule="auto"/>
        <w:ind w:left="0" w:right="183" w:firstLine="0"/>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招标单位：广州市重点公共建设项目管理中心</w:t>
      </w:r>
    </w:p>
    <w:p>
      <w:pPr>
        <w:pStyle w:val="3"/>
        <w:keepNext w:val="0"/>
        <w:keepLines w:val="0"/>
        <w:widowControl/>
        <w:suppressLineNumbers w:val="0"/>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招标代理：广东重工建设监理有限公司</w:t>
      </w:r>
    </w:p>
    <w:p>
      <w:pPr>
        <w:pStyle w:val="3"/>
        <w:keepNext w:val="0"/>
        <w:keepLines w:val="0"/>
        <w:widowControl/>
        <w:suppressLineNumbers w:val="0"/>
        <w:ind w:left="0" w:lef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2024年</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3</w:t>
      </w:r>
      <w:bookmarkStart w:id="0" w:name="_GoBack"/>
      <w:bookmarkEnd w:id="0"/>
      <w:r>
        <w:rPr>
          <w:rFonts w:hint="eastAsia" w:ascii="宋体" w:hAnsi="宋体" w:eastAsia="宋体" w:cs="宋体"/>
          <w:kern w:val="0"/>
          <w:sz w:val="24"/>
          <w:szCs w:val="24"/>
          <w:highlight w:val="none"/>
        </w:rPr>
        <w:t>日</w:t>
      </w:r>
    </w:p>
    <w:p>
      <w:pPr>
        <w:rPr>
          <w:rFonts w:hint="eastAsia" w:ascii="宋体" w:hAnsi="宋体" w:eastAsia="宋体" w:cs="宋体"/>
          <w:kern w:val="0"/>
          <w:sz w:val="24"/>
          <w:szCs w:val="24"/>
          <w:highlight w:val="none"/>
        </w:rPr>
        <w:sectPr>
          <w:headerReference r:id="rId3" w:type="default"/>
          <w:footerReference r:id="rId4" w:type="default"/>
          <w:pgSz w:w="12242" w:h="15842"/>
          <w:pgMar w:top="1440" w:right="1800" w:bottom="1440" w:left="1800" w:header="851" w:footer="992" w:gutter="0"/>
          <w:cols w:space="425" w:num="1"/>
          <w:docGrid w:type="lines" w:linePitch="312" w:charSpace="0"/>
        </w:sectPr>
      </w:pPr>
    </w:p>
    <w:p>
      <w:pPr>
        <w:pStyle w:val="4"/>
        <w:keepNext w:val="0"/>
        <w:keepLines w:val="0"/>
        <w:widowControl/>
        <w:suppressLineNumbers w:val="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 xml:space="preserve"> 附件1：</w:t>
      </w:r>
    </w:p>
    <w:p>
      <w:pPr>
        <w:keepNext w:val="0"/>
        <w:keepLines w:val="0"/>
        <w:widowControl w:val="0"/>
        <w:suppressLineNumbers w:val="0"/>
        <w:spacing w:before="0" w:beforeAutospacing="0" w:after="0" w:afterAutospacing="0"/>
        <w:ind w:left="0" w:right="0"/>
        <w:jc w:val="center"/>
        <w:outlineLvl w:val="2"/>
        <w:rPr>
          <w:rFonts w:hint="default" w:ascii="宋体" w:hAnsi="宋体" w:eastAsia="宋体" w:cs="宋体"/>
          <w:b/>
          <w:bCs w:val="0"/>
          <w:kern w:val="2"/>
          <w:sz w:val="32"/>
          <w:szCs w:val="32"/>
          <w:highlight w:val="none"/>
        </w:rPr>
      </w:pPr>
      <w:r>
        <w:rPr>
          <w:rFonts w:hint="eastAsia" w:ascii="宋体" w:hAnsi="宋体" w:eastAsia="宋体" w:cs="宋体"/>
          <w:b/>
          <w:bCs w:val="0"/>
          <w:spacing w:val="0"/>
          <w:kern w:val="2"/>
          <w:sz w:val="32"/>
          <w:szCs w:val="32"/>
          <w:highlight w:val="none"/>
          <w:lang w:val="en-US" w:eastAsia="zh-CN" w:bidi="ar"/>
        </w:rPr>
        <w:t xml:space="preserve">附表四 </w:t>
      </w:r>
      <w:r>
        <w:rPr>
          <w:rFonts w:hint="eastAsia" w:ascii="宋体" w:hAnsi="宋体" w:eastAsia="宋体" w:cs="宋体"/>
          <w:b/>
          <w:bCs w:val="0"/>
          <w:kern w:val="2"/>
          <w:sz w:val="32"/>
          <w:szCs w:val="32"/>
          <w:highlight w:val="none"/>
          <w:lang w:val="en-US" w:eastAsia="zh-CN" w:bidi="ar"/>
        </w:rPr>
        <w:t>技术标详细审查评分表</w:t>
      </w:r>
      <w:r>
        <w:rPr>
          <w:rFonts w:hint="default" w:ascii="宋体" w:hAnsi="宋体" w:eastAsia="宋体" w:cs="宋体"/>
          <w:b/>
          <w:bCs w:val="0"/>
          <w:kern w:val="2"/>
          <w:sz w:val="32"/>
          <w:szCs w:val="32"/>
          <w:highlight w:val="none"/>
          <w:lang w:eastAsia="zh-CN" w:bidi="ar"/>
        </w:rPr>
        <w:t>（修正版）</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工程名称：</w:t>
      </w:r>
    </w:p>
    <w:tbl>
      <w:tblPr>
        <w:tblStyle w:val="8"/>
        <w:tblW w:w="14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1217"/>
        <w:gridCol w:w="1854"/>
        <w:gridCol w:w="636"/>
        <w:gridCol w:w="3082"/>
        <w:gridCol w:w="3061"/>
        <w:gridCol w:w="2775"/>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90" w:hRule="atLeast"/>
          <w:jc w:val="center"/>
        </w:trPr>
        <w:tc>
          <w:tcPr>
            <w:tcW w:w="121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hd w:val="clear" w:fill="FFFFFF"/>
              <w:snapToGrid w:val="0"/>
              <w:spacing w:before="0" w:beforeAutospacing="0" w:after="0" w:afterAutospacing="0"/>
              <w:ind w:left="0" w:right="0"/>
              <w:jc w:val="center"/>
              <w:rPr>
                <w:rFonts w:hint="eastAsia" w:ascii="宋体" w:hAnsi="宋体" w:eastAsia="宋体" w:cs="宋体"/>
                <w:kern w:val="0"/>
                <w:sz w:val="21"/>
                <w:szCs w:val="21"/>
                <w:highlight w:val="none"/>
                <w:shd w:val="clear" w:fill="FFFFFF"/>
              </w:rPr>
            </w:pPr>
            <w:r>
              <w:rPr>
                <w:rFonts w:hint="eastAsia" w:ascii="宋体" w:hAnsi="宋体" w:eastAsia="宋体" w:cs="宋体"/>
                <w:b/>
                <w:bCs w:val="0"/>
                <w:spacing w:val="-10"/>
                <w:kern w:val="0"/>
                <w:sz w:val="21"/>
                <w:szCs w:val="21"/>
                <w:highlight w:val="none"/>
                <w:shd w:val="clear" w:fill="FFFFFF"/>
                <w:lang w:val="en-US" w:eastAsia="zh-CN" w:bidi="ar"/>
              </w:rPr>
              <w:t>评分项目</w:t>
            </w:r>
          </w:p>
        </w:tc>
        <w:tc>
          <w:tcPr>
            <w:tcW w:w="185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0"/>
                <w:sz w:val="21"/>
                <w:szCs w:val="21"/>
                <w:highlight w:val="none"/>
              </w:rPr>
            </w:pPr>
            <w:r>
              <w:rPr>
                <w:rFonts w:hint="eastAsia" w:ascii="宋体" w:hAnsi="宋体" w:eastAsia="宋体" w:cs="宋体"/>
                <w:b/>
                <w:bCs w:val="0"/>
                <w:spacing w:val="-10"/>
                <w:kern w:val="0"/>
                <w:sz w:val="21"/>
                <w:szCs w:val="21"/>
                <w:highlight w:val="none"/>
                <w:shd w:val="clear" w:fill="FFFFFF"/>
                <w:lang w:val="en-US" w:eastAsia="zh-CN" w:bidi="ar"/>
              </w:rPr>
              <w:t>评分内容</w:t>
            </w:r>
          </w:p>
        </w:tc>
        <w:tc>
          <w:tcPr>
            <w:tcW w:w="63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0"/>
                <w:sz w:val="21"/>
                <w:szCs w:val="21"/>
                <w:highlight w:val="none"/>
              </w:rPr>
            </w:pPr>
            <w:r>
              <w:rPr>
                <w:rFonts w:hint="eastAsia" w:ascii="宋体" w:hAnsi="宋体" w:eastAsia="宋体" w:cs="宋体"/>
                <w:b/>
                <w:bCs w:val="0"/>
                <w:spacing w:val="-10"/>
                <w:kern w:val="0"/>
                <w:sz w:val="21"/>
                <w:szCs w:val="21"/>
                <w:highlight w:val="none"/>
                <w:shd w:val="clear" w:fill="FFFFFF"/>
                <w:lang w:val="en-US" w:eastAsia="zh-CN" w:bidi="ar"/>
              </w:rPr>
              <w:t>分值</w:t>
            </w:r>
          </w:p>
        </w:tc>
        <w:tc>
          <w:tcPr>
            <w:tcW w:w="1125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0"/>
                <w:sz w:val="21"/>
                <w:szCs w:val="21"/>
                <w:highlight w:val="none"/>
                <w:shd w:val="clear" w:fill="FFFFFF"/>
              </w:rPr>
            </w:pPr>
            <w:r>
              <w:rPr>
                <w:rFonts w:hint="eastAsia" w:ascii="宋体" w:hAnsi="宋体" w:eastAsia="宋体" w:cs="宋体"/>
                <w:b/>
                <w:bCs w:val="0"/>
                <w:spacing w:val="-10"/>
                <w:kern w:val="0"/>
                <w:sz w:val="21"/>
                <w:szCs w:val="21"/>
                <w:highlight w:val="none"/>
                <w:shd w:val="clear" w:fill="FFFFFF"/>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90" w:hRule="atLeast"/>
          <w:jc w:val="center"/>
        </w:trPr>
        <w:tc>
          <w:tcPr>
            <w:tcW w:w="121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5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30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shd w:val="clear" w:fill="FFFFFF"/>
                <w:lang w:val="en-US" w:eastAsia="zh-CN" w:bidi="ar"/>
              </w:rPr>
              <w:t>优</w:t>
            </w:r>
          </w:p>
        </w:tc>
        <w:tc>
          <w:tcPr>
            <w:tcW w:w="30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良</w:t>
            </w:r>
          </w:p>
        </w:tc>
        <w:tc>
          <w:tcPr>
            <w:tcW w:w="27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shd w:val="clear" w:fill="FFFFFF"/>
                <w:lang w:val="en-US" w:eastAsia="zh-CN" w:bidi="ar"/>
              </w:rPr>
              <w:t>中</w:t>
            </w:r>
          </w:p>
        </w:tc>
        <w:tc>
          <w:tcPr>
            <w:tcW w:w="23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shd w:val="clear" w:fill="FFFFFF"/>
                <w:lang w:val="en-US" w:eastAsia="zh-CN" w:bidi="ar"/>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90" w:hRule="atLeast"/>
          <w:jc w:val="center"/>
        </w:trPr>
        <w:tc>
          <w:tcPr>
            <w:tcW w:w="121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Times New Roman"/>
                <w:b/>
                <w:kern w:val="0"/>
                <w:sz w:val="21"/>
                <w:szCs w:val="21"/>
                <w:highlight w:val="none"/>
              </w:rPr>
            </w:pPr>
            <w:r>
              <w:rPr>
                <w:rFonts w:hint="eastAsia" w:ascii="宋体" w:hAnsi="宋体" w:eastAsia="宋体" w:cs="宋体"/>
                <w:b/>
                <w:kern w:val="0"/>
                <w:sz w:val="21"/>
                <w:szCs w:val="21"/>
                <w:highlight w:val="none"/>
                <w:shd w:val="clear" w:fill="FFFFFF"/>
                <w:lang w:val="en-US" w:eastAsia="zh-CN" w:bidi="ar"/>
              </w:rPr>
              <w:t>施工组织设计（50分)</w:t>
            </w:r>
          </w:p>
        </w:tc>
        <w:tc>
          <w:tcPr>
            <w:tcW w:w="18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lang w:val="en-US" w:eastAsia="zh-CN" w:bidi="ar"/>
              </w:rPr>
              <w:t>工期计划</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10</w:t>
            </w:r>
          </w:p>
        </w:tc>
        <w:tc>
          <w:tcPr>
            <w:tcW w:w="30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制定了施工进度计划并有进度计划保证措施，施工工期计划目标对比招标文件要求提前15天（不含15天）以上完工，得10分。</w:t>
            </w:r>
          </w:p>
        </w:tc>
        <w:tc>
          <w:tcPr>
            <w:tcW w:w="30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制定了施工进度计划并有进度计划保证措施，施工工期计划目标对比招标文件要求提前10至15天完工，得8分。</w:t>
            </w:r>
          </w:p>
        </w:tc>
        <w:tc>
          <w:tcPr>
            <w:tcW w:w="27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制定了施工进度计划并有进度计划保证措施，施工工期计划目标符合招标文件要求，得6分。</w:t>
            </w:r>
          </w:p>
        </w:tc>
        <w:tc>
          <w:tcPr>
            <w:tcW w:w="23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无施工进度计划和进度计划保证措施，得0分。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85" w:hRule="atLeast"/>
          <w:jc w:val="center"/>
        </w:trPr>
        <w:tc>
          <w:tcPr>
            <w:tcW w:w="12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lang w:val="en-US" w:eastAsia="zh-CN" w:bidi="ar"/>
              </w:rPr>
              <w:t>劳动力投入措施</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10</w:t>
            </w:r>
          </w:p>
        </w:tc>
        <w:tc>
          <w:tcPr>
            <w:tcW w:w="30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有劳动力保证措施，施工高峰期拟投入的劳动力数量大于或等于800人，得10分。</w:t>
            </w:r>
          </w:p>
        </w:tc>
        <w:tc>
          <w:tcPr>
            <w:tcW w:w="30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有劳动力保证措施，施工高峰期拟投入的劳动力数量为[600,800），得8分。</w:t>
            </w:r>
          </w:p>
        </w:tc>
        <w:tc>
          <w:tcPr>
            <w:tcW w:w="27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有劳动力保证措施，但施工高峰期拟投入的劳动力数量为[400,600），得6分。</w:t>
            </w:r>
          </w:p>
        </w:tc>
        <w:tc>
          <w:tcPr>
            <w:tcW w:w="23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无劳动力保证措施或劳动力数量小于400人，得0分。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90" w:hRule="atLeast"/>
          <w:jc w:val="center"/>
        </w:trPr>
        <w:tc>
          <w:tcPr>
            <w:tcW w:w="12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lang w:val="en-US" w:eastAsia="zh-CN" w:bidi="ar"/>
              </w:rPr>
              <w:t>质量控制措施及质量标准</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10</w:t>
            </w:r>
          </w:p>
        </w:tc>
        <w:tc>
          <w:tcPr>
            <w:tcW w:w="30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有质量目标保证措施且质量目标符合招标文件要求，有质量保证体系，有质量事故应急预案，得10分。</w:t>
            </w:r>
          </w:p>
        </w:tc>
        <w:tc>
          <w:tcPr>
            <w:tcW w:w="30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有质量目标保证措施且质量目标符合招标文件要求，有质量保证体系，得8分。</w:t>
            </w:r>
          </w:p>
        </w:tc>
        <w:tc>
          <w:tcPr>
            <w:tcW w:w="27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有质量目标保证措施且质量目标符合招标文件要求，得6分。</w:t>
            </w:r>
          </w:p>
        </w:tc>
        <w:tc>
          <w:tcPr>
            <w:tcW w:w="23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无质量保证措施，得0分。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90" w:hRule="atLeast"/>
          <w:jc w:val="center"/>
        </w:trPr>
        <w:tc>
          <w:tcPr>
            <w:tcW w:w="12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lang w:val="en-US" w:eastAsia="zh-CN" w:bidi="ar"/>
              </w:rPr>
              <w:t>安全文明施工措施</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10</w:t>
            </w:r>
          </w:p>
        </w:tc>
        <w:tc>
          <w:tcPr>
            <w:tcW w:w="30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有安全文明施工管理目标及管理重点、安全、文明施工管理体系。有相应安全生产措施、现场消防保证措施、雷电及台风应对措施、文明施工措施、环境保护及绿色施工措施、应急预案，得10分。</w:t>
            </w:r>
          </w:p>
        </w:tc>
        <w:tc>
          <w:tcPr>
            <w:tcW w:w="30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有安全文明施工管理目标及管理重点、安全、文明施工管理体系、应急预案,得8分。</w:t>
            </w:r>
          </w:p>
        </w:tc>
        <w:tc>
          <w:tcPr>
            <w:tcW w:w="27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有安全文明施工管理目标及管理重点、安全、文明施工管理体系，得6分。</w:t>
            </w:r>
          </w:p>
        </w:tc>
        <w:tc>
          <w:tcPr>
            <w:tcW w:w="23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无安全文明施工措施，得0分。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90" w:hRule="atLeast"/>
          <w:jc w:val="center"/>
        </w:trPr>
        <w:tc>
          <w:tcPr>
            <w:tcW w:w="12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kern w:val="0"/>
                <w:sz w:val="21"/>
                <w:szCs w:val="21"/>
                <w:highlight w:val="none"/>
              </w:rPr>
            </w:pPr>
            <w:r>
              <w:rPr>
                <w:rFonts w:hint="eastAsia" w:ascii="宋体" w:hAnsi="宋体" w:eastAsia="宋体" w:cs="宋体"/>
                <w:b/>
                <w:bCs w:val="0"/>
                <w:kern w:val="0"/>
                <w:sz w:val="21"/>
                <w:szCs w:val="21"/>
                <w:highlight w:val="none"/>
                <w:lang w:val="en-US" w:eastAsia="zh-CN" w:bidi="ar"/>
              </w:rPr>
              <w:t>施工现场建筑垃圾处理措施</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10</w:t>
            </w:r>
          </w:p>
        </w:tc>
        <w:tc>
          <w:tcPr>
            <w:tcW w:w="30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有提供建筑垃圾源头减量、分类收集、综合利用、污染防治的相关措施，得10分。</w:t>
            </w:r>
          </w:p>
        </w:tc>
        <w:tc>
          <w:tcPr>
            <w:tcW w:w="30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有提供建筑垃圾源头减量、分类收集、综合利用的相关措施，得8分。</w:t>
            </w:r>
          </w:p>
        </w:tc>
        <w:tc>
          <w:tcPr>
            <w:tcW w:w="27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有提供建筑垃圾源头减量、综合利用的相关措施，得6分。</w:t>
            </w:r>
          </w:p>
        </w:tc>
        <w:tc>
          <w:tcPr>
            <w:tcW w:w="23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无施工现场建筑垃圾处理措施，得0分。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90" w:hRule="atLeast"/>
          <w:jc w:val="center"/>
        </w:trPr>
        <w:tc>
          <w:tcPr>
            <w:tcW w:w="121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shd w:val="clear" w:fill="FFFFFF"/>
                <w:lang w:val="en-US" w:eastAsia="zh-CN" w:bidi="ar"/>
              </w:rPr>
              <w:t>项目管理机构能力</w:t>
            </w:r>
            <w:r>
              <w:rPr>
                <w:rFonts w:hint="eastAsia" w:ascii="宋体" w:hAnsi="宋体" w:eastAsia="宋体" w:cs="宋体"/>
                <w:b/>
                <w:spacing w:val="10"/>
                <w:kern w:val="0"/>
                <w:sz w:val="21"/>
                <w:szCs w:val="21"/>
                <w:highlight w:val="none"/>
                <w:shd w:val="clear" w:fill="FFFFFF"/>
                <w:lang w:val="en-US" w:eastAsia="zh-CN" w:bidi="ar"/>
              </w:rPr>
              <w:t>(20</w:t>
            </w:r>
            <w:r>
              <w:rPr>
                <w:rFonts w:hint="eastAsia" w:ascii="宋体" w:hAnsi="宋体" w:eastAsia="宋体" w:cs="宋体"/>
                <w:b/>
                <w:kern w:val="0"/>
                <w:sz w:val="21"/>
                <w:szCs w:val="21"/>
                <w:highlight w:val="none"/>
                <w:shd w:val="clear" w:fill="FFFFFF"/>
                <w:lang w:val="en-US" w:eastAsia="zh-CN" w:bidi="ar"/>
              </w:rPr>
              <w:t>分)</w:t>
            </w:r>
          </w:p>
        </w:tc>
        <w:tc>
          <w:tcPr>
            <w:tcW w:w="18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项目负责人</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4</w:t>
            </w:r>
          </w:p>
        </w:tc>
        <w:tc>
          <w:tcPr>
            <w:tcW w:w="1125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134" w:rightChars="64"/>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项目负责人具有建筑工程类相关专业高级工程师（或以上）技术职称的，得4分。</w:t>
            </w:r>
          </w:p>
          <w:p>
            <w:pPr>
              <w:keepNext w:val="0"/>
              <w:keepLines w:val="0"/>
              <w:widowControl w:val="0"/>
              <w:suppressLineNumbers w:val="0"/>
              <w:spacing w:before="0" w:beforeAutospacing="0" w:after="0" w:afterAutospacing="0"/>
              <w:ind w:left="0" w:right="134" w:rightChars="64"/>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注：需提供项目负责人职称证扫描件，不满足条件的不得分。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940" w:hRule="atLeast"/>
          <w:jc w:val="center"/>
        </w:trPr>
        <w:tc>
          <w:tcPr>
            <w:tcW w:w="12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技术负责人</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4</w:t>
            </w:r>
          </w:p>
        </w:tc>
        <w:tc>
          <w:tcPr>
            <w:tcW w:w="1125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（1）技术负责人取得建筑工程类相关专业正高级工程师技术职称，或取得建筑工程类相关专业高级工程师技术职称5年（含5年）以上的，得4分；</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（2）技术负责人取得建筑工程类相关专业高级工程师技术职称3年（含3年）至5年（不含5年）的，得2分；</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（3）技术负责人取得建筑工程类相关专业高级工程师技术职称3年（不含3年）以下的，得1分。</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不满足前述条件的本项不得分，本项最高得4分。</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注：①需提供技术负责人职称证扫描件；②职称年限以职称证书发证日期开始计算至投标截止时间为止。不满足上述情况的，不得分。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90" w:hRule="atLeast"/>
          <w:jc w:val="center"/>
        </w:trPr>
        <w:tc>
          <w:tcPr>
            <w:tcW w:w="12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质量负责人</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4</w:t>
            </w:r>
          </w:p>
        </w:tc>
        <w:tc>
          <w:tcPr>
            <w:tcW w:w="1125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134" w:rightChars="64"/>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质量负责人具有建筑工程类相关专业高级工程师（或以上）技术职称的，得4分。</w:t>
            </w:r>
          </w:p>
          <w:p>
            <w:pPr>
              <w:keepNext w:val="0"/>
              <w:keepLines w:val="0"/>
              <w:widowControl w:val="0"/>
              <w:suppressLineNumbers w:val="0"/>
              <w:spacing w:before="0" w:beforeAutospacing="0" w:after="0" w:afterAutospacing="0"/>
              <w:ind w:left="0" w:right="134" w:rightChars="64"/>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注：需提供质量负责人职称证扫描件，不满足条件的不得分。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90" w:hRule="atLeast"/>
          <w:jc w:val="center"/>
        </w:trPr>
        <w:tc>
          <w:tcPr>
            <w:tcW w:w="12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安全负责人</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4</w:t>
            </w:r>
          </w:p>
        </w:tc>
        <w:tc>
          <w:tcPr>
            <w:tcW w:w="1125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(1）安全负责人</w:t>
            </w:r>
            <w:r>
              <w:rPr>
                <w:rFonts w:hint="eastAsia" w:ascii="宋体" w:hAnsi="宋体" w:eastAsia="宋体" w:cs="宋体"/>
                <w:kern w:val="2"/>
                <w:sz w:val="21"/>
                <w:szCs w:val="21"/>
                <w:highlight w:val="none"/>
                <w:lang w:val="en-US" w:eastAsia="zh-CN" w:bidi="ar"/>
              </w:rPr>
              <w:t>（与专职安全员不为同一人）具有建筑工程类相关专业高级工程师（或以上）技术职称的</w:t>
            </w:r>
            <w:r>
              <w:rPr>
                <w:rFonts w:hint="eastAsia" w:ascii="宋体" w:hAnsi="宋体" w:eastAsia="宋体" w:cs="宋体"/>
                <w:kern w:val="0"/>
                <w:sz w:val="21"/>
                <w:szCs w:val="21"/>
                <w:highlight w:val="none"/>
                <w:lang w:val="en-US" w:eastAsia="zh-CN" w:bidi="ar"/>
              </w:rPr>
              <w:t>，得2分。</w:t>
            </w:r>
          </w:p>
          <w:p>
            <w:pPr>
              <w:keepNext w:val="0"/>
              <w:keepLines w:val="0"/>
              <w:widowControl/>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(2）安全负责人</w:t>
            </w:r>
            <w:r>
              <w:rPr>
                <w:rFonts w:hint="eastAsia" w:ascii="宋体" w:hAnsi="宋体" w:eastAsia="宋体" w:cs="宋体"/>
                <w:kern w:val="2"/>
                <w:sz w:val="21"/>
                <w:szCs w:val="21"/>
                <w:highlight w:val="none"/>
                <w:lang w:val="en-US" w:eastAsia="zh-CN" w:bidi="ar"/>
              </w:rPr>
              <w:t>（与专职安全员不为同一人）具有注册安全工程师执业资格且在有效期内的</w:t>
            </w:r>
            <w:r>
              <w:rPr>
                <w:rFonts w:hint="eastAsia" w:ascii="宋体" w:hAnsi="宋体" w:eastAsia="宋体" w:cs="宋体"/>
                <w:kern w:val="0"/>
                <w:sz w:val="21"/>
                <w:szCs w:val="21"/>
                <w:highlight w:val="none"/>
                <w:lang w:val="en-US" w:eastAsia="zh-CN" w:bidi="ar"/>
              </w:rPr>
              <w:t>，得2分。</w:t>
            </w:r>
          </w:p>
          <w:p>
            <w:pPr>
              <w:keepNext w:val="0"/>
              <w:keepLines w:val="0"/>
              <w:widowControl/>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不满足上述条件的不得分，</w:t>
            </w:r>
            <w:r>
              <w:rPr>
                <w:rFonts w:hint="eastAsia" w:ascii="宋体" w:hAnsi="宋体" w:eastAsia="宋体" w:cs="宋体"/>
                <w:kern w:val="2"/>
                <w:sz w:val="21"/>
                <w:szCs w:val="21"/>
                <w:highlight w:val="none"/>
                <w:lang w:val="en-US" w:eastAsia="zh-CN" w:bidi="ar"/>
              </w:rPr>
              <w:t>本项累计最高得</w:t>
            </w:r>
            <w:r>
              <w:rPr>
                <w:rFonts w:hint="default" w:ascii="Calibri" w:hAnsi="Calibri" w:eastAsia="宋体" w:cs="Calibri"/>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分。</w:t>
            </w:r>
          </w:p>
          <w:p>
            <w:pPr>
              <w:keepNext w:val="0"/>
              <w:keepLines w:val="0"/>
              <w:widowControl/>
              <w:suppressLineNumbers w:val="0"/>
              <w:snapToGrid w:val="0"/>
              <w:spacing w:before="0" w:beforeAutospacing="0" w:after="0" w:afterAutospacing="0"/>
              <w:ind w:left="0" w:right="0"/>
              <w:jc w:val="left"/>
              <w:rPr>
                <w:rFonts w:hint="eastAsia" w:ascii="Calibri" w:hAnsi="Calibri" w:eastAsia="宋体" w:cs="Times New Roman"/>
                <w:kern w:val="2"/>
                <w:sz w:val="21"/>
                <w:szCs w:val="21"/>
                <w:highlight w:val="none"/>
              </w:rPr>
            </w:pPr>
            <w:r>
              <w:rPr>
                <w:rFonts w:hint="eastAsia" w:ascii="宋体" w:hAnsi="宋体" w:eastAsia="宋体" w:cs="宋体"/>
                <w:kern w:val="0"/>
                <w:sz w:val="21"/>
                <w:szCs w:val="21"/>
                <w:highlight w:val="none"/>
                <w:lang w:val="en-US" w:eastAsia="zh-CN" w:bidi="ar"/>
              </w:rPr>
              <w:t>注：需提供安全负责人</w:t>
            </w:r>
            <w:r>
              <w:rPr>
                <w:rFonts w:hint="eastAsia" w:ascii="宋体" w:hAnsi="宋体" w:eastAsia="宋体" w:cs="宋体"/>
                <w:kern w:val="2"/>
                <w:sz w:val="21"/>
                <w:szCs w:val="21"/>
                <w:highlight w:val="none"/>
                <w:lang w:val="en-US" w:eastAsia="zh-CN" w:bidi="ar"/>
              </w:rPr>
              <w:t>职称证扫描件</w:t>
            </w:r>
            <w:r>
              <w:rPr>
                <w:rFonts w:hint="eastAsia" w:ascii="宋体" w:hAnsi="宋体" w:eastAsia="宋体" w:cs="宋体"/>
                <w:kern w:val="0"/>
                <w:sz w:val="21"/>
                <w:szCs w:val="21"/>
                <w:highlight w:val="none"/>
                <w:lang w:val="en-US" w:eastAsia="zh-CN" w:bidi="ar"/>
              </w:rPr>
              <w:t>、注册安全工程师注册证</w:t>
            </w:r>
            <w:r>
              <w:rPr>
                <w:rFonts w:hint="eastAsia" w:ascii="宋体" w:hAnsi="宋体" w:eastAsia="宋体" w:cs="宋体"/>
                <w:kern w:val="2"/>
                <w:sz w:val="21"/>
                <w:szCs w:val="21"/>
                <w:highlight w:val="none"/>
                <w:lang w:val="en-US" w:eastAsia="zh-CN" w:bidi="ar"/>
              </w:rPr>
              <w:t>扫描件</w:t>
            </w:r>
            <w:r>
              <w:rPr>
                <w:rFonts w:hint="eastAsia" w:ascii="宋体" w:hAnsi="宋体" w:eastAsia="宋体" w:cs="宋体"/>
                <w:kern w:val="0"/>
                <w:sz w:val="21"/>
                <w:szCs w:val="21"/>
                <w:highlight w:val="none"/>
                <w:lang w:val="en-US" w:eastAsia="zh-CN" w:bidi="ar"/>
              </w:rPr>
              <w:t>且注册证需在有效期内。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90" w:hRule="atLeast"/>
          <w:jc w:val="center"/>
        </w:trPr>
        <w:tc>
          <w:tcPr>
            <w:tcW w:w="12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造价负责人</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4</w:t>
            </w:r>
          </w:p>
        </w:tc>
        <w:tc>
          <w:tcPr>
            <w:tcW w:w="1125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(1）造价负责人具有建筑工程类相关专业高级工程师（或以上）技术职称的，得2分；</w:t>
            </w:r>
          </w:p>
          <w:p>
            <w:pPr>
              <w:keepNext w:val="0"/>
              <w:keepLines w:val="0"/>
              <w:widowControl/>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(2）造价负责人具有一级注册造价工程师资格（土木建筑或安装工程专业）且在有效期内的，得2分。</w:t>
            </w:r>
          </w:p>
          <w:p>
            <w:pPr>
              <w:keepNext w:val="0"/>
              <w:keepLines w:val="0"/>
              <w:widowControl/>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不满足上述条件的不得分，本项累计最高得4分。</w:t>
            </w:r>
          </w:p>
          <w:p>
            <w:pPr>
              <w:keepNext w:val="0"/>
              <w:keepLines w:val="0"/>
              <w:widowControl/>
              <w:suppressLineNumbers w:val="0"/>
              <w:snapToGrid w:val="0"/>
              <w:spacing w:before="0" w:beforeAutospacing="0" w:after="0" w:afterAutospacing="0"/>
              <w:ind w:left="0" w:right="0"/>
              <w:jc w:val="left"/>
              <w:rPr>
                <w:rFonts w:hint="eastAsia" w:ascii="Calibri" w:hAnsi="Calibri" w:eastAsia="宋体" w:cs="Times New Roman"/>
                <w:kern w:val="2"/>
                <w:sz w:val="21"/>
                <w:szCs w:val="21"/>
                <w:highlight w:val="none"/>
              </w:rPr>
            </w:pPr>
            <w:r>
              <w:rPr>
                <w:rFonts w:hint="eastAsia" w:ascii="宋体" w:hAnsi="宋体" w:eastAsia="宋体" w:cs="宋体"/>
                <w:kern w:val="0"/>
                <w:sz w:val="21"/>
                <w:szCs w:val="21"/>
                <w:highlight w:val="none"/>
                <w:lang w:val="en-US" w:eastAsia="zh-CN" w:bidi="ar"/>
              </w:rPr>
              <w:t>注：①需提供造价负责人职称证扫描件、</w:t>
            </w:r>
            <w:r>
              <w:rPr>
                <w:rFonts w:hint="eastAsia" w:ascii="宋体" w:hAnsi="宋体" w:eastAsia="宋体" w:cs="宋体"/>
                <w:kern w:val="2"/>
                <w:sz w:val="21"/>
                <w:szCs w:val="21"/>
                <w:highlight w:val="none"/>
                <w:lang w:val="en-US" w:eastAsia="zh-CN" w:bidi="ar"/>
              </w:rPr>
              <w:t>一级注册造价工程师注册证</w:t>
            </w:r>
            <w:r>
              <w:rPr>
                <w:rFonts w:hint="eastAsia" w:ascii="宋体" w:hAnsi="宋体" w:eastAsia="宋体" w:cs="宋体"/>
                <w:kern w:val="0"/>
                <w:sz w:val="21"/>
                <w:szCs w:val="21"/>
                <w:highlight w:val="none"/>
                <w:lang w:val="en-US" w:eastAsia="zh-CN" w:bidi="ar"/>
              </w:rPr>
              <w:t>扫描件且注册证需在有效期内。②按照《造价工程师职业资格制度规定》的规定，根据原人事部、原建设部发布的《造价工程师执业资格制度暂行规定》（人发〔1996〕77号）取得的造价工程师执业资格，并经注册且在有限期内的，等同于一级注册造价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90" w:hRule="atLeast"/>
          <w:jc w:val="center"/>
        </w:trPr>
        <w:tc>
          <w:tcPr>
            <w:tcW w:w="1217"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shd w:val="clear" w:fill="FFFFFF"/>
                <w:lang w:val="en-US" w:eastAsia="zh-CN" w:bidi="ar"/>
              </w:rPr>
              <w:t>企业资信</w:t>
            </w:r>
            <w:r>
              <w:rPr>
                <w:rFonts w:hint="eastAsia" w:ascii="宋体" w:hAnsi="宋体" w:eastAsia="宋体" w:cs="宋体"/>
                <w:b/>
                <w:spacing w:val="10"/>
                <w:kern w:val="0"/>
                <w:sz w:val="21"/>
                <w:szCs w:val="21"/>
                <w:highlight w:val="none"/>
                <w:shd w:val="clear" w:fill="FFFFFF"/>
                <w:lang w:val="en-US" w:eastAsia="zh-CN" w:bidi="ar"/>
              </w:rPr>
              <w:t>(30</w:t>
            </w:r>
            <w:r>
              <w:rPr>
                <w:rFonts w:hint="eastAsia" w:ascii="宋体" w:hAnsi="宋体" w:eastAsia="宋体" w:cs="宋体"/>
                <w:b/>
                <w:kern w:val="0"/>
                <w:sz w:val="21"/>
                <w:szCs w:val="21"/>
                <w:highlight w:val="none"/>
                <w:shd w:val="clear" w:fill="FFFFFF"/>
                <w:lang w:val="en-US" w:eastAsia="zh-CN" w:bidi="ar"/>
              </w:rPr>
              <w:t>分</w:t>
            </w:r>
            <w:r>
              <w:rPr>
                <w:rFonts w:hint="eastAsia" w:ascii="宋体" w:hAnsi="宋体" w:eastAsia="宋体" w:cs="宋体"/>
                <w:b/>
                <w:spacing w:val="10"/>
                <w:kern w:val="0"/>
                <w:sz w:val="21"/>
                <w:szCs w:val="21"/>
                <w:highlight w:val="none"/>
                <w:shd w:val="clear" w:fill="FFFFFF"/>
                <w:lang w:val="en-US" w:eastAsia="zh-CN" w:bidi="ar"/>
              </w:rPr>
              <w:t>)</w:t>
            </w:r>
          </w:p>
        </w:tc>
        <w:tc>
          <w:tcPr>
            <w:tcW w:w="18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Arial Unicode MS"/>
                <w:b/>
                <w:bCs w:val="0"/>
                <w:kern w:val="2"/>
                <w:sz w:val="21"/>
                <w:szCs w:val="21"/>
                <w:highlight w:val="none"/>
              </w:rPr>
            </w:pPr>
            <w:r>
              <w:rPr>
                <w:rFonts w:hint="eastAsia" w:ascii="宋体" w:hAnsi="宋体" w:eastAsia="宋体" w:cs="宋体"/>
                <w:b/>
                <w:bCs w:val="0"/>
                <w:kern w:val="2"/>
                <w:sz w:val="21"/>
                <w:szCs w:val="21"/>
                <w:highlight w:val="none"/>
                <w:lang w:val="en-US" w:eastAsia="zh-CN" w:bidi="ar"/>
              </w:rPr>
              <w:t>企业类似工程业绩</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w:t>
            </w:r>
          </w:p>
        </w:tc>
        <w:tc>
          <w:tcPr>
            <w:tcW w:w="1125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投标人自2019年1月1日至投标截止时间止，完成过质量合格的且中标金额大于或等于60000万元的建筑工程施工总承包或工程总承包项目业绩：</w:t>
            </w:r>
          </w:p>
          <w:p>
            <w:pPr>
              <w:keepNext w:val="0"/>
              <w:keepLines w:val="0"/>
              <w:widowControl/>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（1）完成业绩的数量为7项或以上的，得5分；</w:t>
            </w:r>
          </w:p>
          <w:p>
            <w:pPr>
              <w:keepNext w:val="0"/>
              <w:keepLines w:val="0"/>
              <w:widowControl/>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（2）完成业绩的数量为4至6项的，得4分；</w:t>
            </w:r>
          </w:p>
          <w:p>
            <w:pPr>
              <w:keepNext w:val="0"/>
              <w:keepLines w:val="0"/>
              <w:widowControl/>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（3）完成业绩的数量为1至3项的，得3分。</w:t>
            </w:r>
          </w:p>
          <w:p>
            <w:pPr>
              <w:keepNext w:val="0"/>
              <w:keepLines w:val="0"/>
              <w:widowControl/>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不满足上述条件的不得分，本项最高得5分。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90" w:hRule="atLeast"/>
          <w:jc w:val="center"/>
        </w:trPr>
        <w:tc>
          <w:tcPr>
            <w:tcW w:w="12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Arial Unicode MS"/>
                <w:b/>
                <w:bCs w:val="0"/>
                <w:kern w:val="2"/>
                <w:sz w:val="21"/>
                <w:szCs w:val="21"/>
                <w:highlight w:val="none"/>
              </w:rPr>
            </w:pPr>
            <w:r>
              <w:rPr>
                <w:rFonts w:hint="eastAsia" w:ascii="宋体" w:hAnsi="宋体" w:eastAsia="宋体" w:cs="宋体"/>
                <w:b/>
                <w:bCs w:val="0"/>
                <w:kern w:val="2"/>
                <w:sz w:val="21"/>
                <w:szCs w:val="21"/>
                <w:highlight w:val="none"/>
                <w:lang w:val="en-US" w:eastAsia="zh-CN" w:bidi="ar"/>
              </w:rPr>
              <w:t>工程奖项</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10</w:t>
            </w:r>
          </w:p>
        </w:tc>
        <w:tc>
          <w:tcPr>
            <w:tcW w:w="1125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投标人自2019年1月1日至</w:t>
            </w:r>
            <w:r>
              <w:rPr>
                <w:rFonts w:hint="eastAsia" w:ascii="宋体" w:hAnsi="宋体" w:eastAsia="宋体" w:cs="宋体"/>
                <w:kern w:val="2"/>
                <w:sz w:val="21"/>
                <w:szCs w:val="21"/>
                <w:highlight w:val="none"/>
                <w:lang w:val="en-US" w:eastAsia="zh-CN" w:bidi="ar"/>
              </w:rPr>
              <w:t>投标截止时间止</w:t>
            </w:r>
            <w:r>
              <w:rPr>
                <w:rFonts w:hint="eastAsia" w:ascii="宋体" w:hAnsi="宋体" w:eastAsia="宋体" w:cs="宋体"/>
                <w:kern w:val="0"/>
                <w:sz w:val="21"/>
                <w:szCs w:val="21"/>
                <w:highlight w:val="none"/>
                <w:lang w:val="en-US" w:eastAsia="zh-CN" w:bidi="ar"/>
              </w:rPr>
              <w:t>（以获奖证书颁发时间为准）完成的建筑工程施工总承包或工程总承包项目：</w:t>
            </w:r>
          </w:p>
          <w:p>
            <w:pPr>
              <w:keepNext w:val="0"/>
              <w:keepLines w:val="0"/>
              <w:widowControl/>
              <w:numPr>
                <w:ilvl w:val="0"/>
                <w:numId w:val="2"/>
              </w:numPr>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获得过国家级质量工程奖项的，每项得5分，本小项最多得10分；</w:t>
            </w:r>
          </w:p>
          <w:p>
            <w:pPr>
              <w:keepNext w:val="0"/>
              <w:keepLines w:val="0"/>
              <w:widowControl/>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（2）获得过省级质量工程奖项的，每项得3分，本小项最多得6分；</w:t>
            </w:r>
          </w:p>
          <w:p>
            <w:pPr>
              <w:keepNext w:val="0"/>
              <w:keepLines w:val="0"/>
              <w:widowControl/>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（3）获得过市级质量工程奖项的，每项得1分，本小项最多得2分。</w:t>
            </w:r>
            <w:r>
              <w:rPr>
                <w:rFonts w:hint="eastAsia" w:ascii="宋体" w:hAnsi="宋体" w:eastAsia="宋体" w:cs="宋体"/>
                <w:kern w:val="0"/>
                <w:sz w:val="21"/>
                <w:szCs w:val="21"/>
                <w:highlight w:val="none"/>
                <w:lang w:val="en-US" w:eastAsia="zh-CN" w:bidi="ar"/>
              </w:rPr>
              <w:br w:type="textWrapping"/>
            </w:r>
            <w:r>
              <w:rPr>
                <w:rFonts w:hint="eastAsia" w:ascii="宋体" w:hAnsi="宋体" w:eastAsia="宋体" w:cs="宋体"/>
                <w:kern w:val="0"/>
                <w:sz w:val="21"/>
                <w:szCs w:val="21"/>
                <w:highlight w:val="none"/>
                <w:lang w:val="en-US" w:eastAsia="zh-CN" w:bidi="ar"/>
              </w:rPr>
              <w:t>不符合上述条件的不得分，本项累计最高得10分。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640" w:hRule="atLeast"/>
          <w:jc w:val="center"/>
        </w:trPr>
        <w:tc>
          <w:tcPr>
            <w:tcW w:w="12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Arial Unicode MS"/>
                <w:b/>
                <w:bCs w:val="0"/>
                <w:kern w:val="2"/>
                <w:sz w:val="21"/>
                <w:szCs w:val="21"/>
                <w:highlight w:val="none"/>
              </w:rPr>
            </w:pPr>
            <w:r>
              <w:rPr>
                <w:rFonts w:hint="eastAsia" w:ascii="宋体" w:hAnsi="宋体" w:eastAsia="宋体" w:cs="宋体"/>
                <w:b/>
                <w:bCs w:val="0"/>
                <w:kern w:val="2"/>
                <w:sz w:val="21"/>
                <w:szCs w:val="21"/>
                <w:highlight w:val="none"/>
                <w:lang w:val="en-US" w:eastAsia="zh-CN" w:bidi="ar"/>
              </w:rPr>
              <w:t>工程研发能力</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8</w:t>
            </w:r>
          </w:p>
        </w:tc>
        <w:tc>
          <w:tcPr>
            <w:tcW w:w="1125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uppressLineNumbers w:val="0"/>
              <w:spacing w:before="0" w:beforeAutospacing="1" w:after="0" w:afterAutospacing="1" w:line="360" w:lineRule="exact"/>
              <w:ind w:left="0" w:right="-50" w:rightChars="-24"/>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投标人自2019年1月1日至投标截止时间止，获得国家级“科学技术进步奖”的得8分；获得过省级“科学技术进步奖”的得4分；获得市级“科学技术进步奖”的得2分；其他情况不得分。</w:t>
            </w:r>
            <w:r>
              <w:rPr>
                <w:rFonts w:hint="eastAsia" w:ascii="宋体" w:hAnsi="宋体" w:eastAsia="宋体" w:cs="宋体"/>
                <w:kern w:val="0"/>
                <w:sz w:val="21"/>
                <w:szCs w:val="21"/>
                <w:highlight w:val="none"/>
                <w:lang w:val="en-US" w:eastAsia="zh-CN" w:bidi="ar"/>
              </w:rPr>
              <w:br w:type="textWrapping"/>
            </w:r>
            <w:r>
              <w:rPr>
                <w:rFonts w:hint="eastAsia" w:ascii="宋体" w:hAnsi="宋体" w:eastAsia="宋体" w:cs="宋体"/>
                <w:kern w:val="0"/>
                <w:sz w:val="21"/>
                <w:szCs w:val="21"/>
                <w:highlight w:val="none"/>
                <w:lang w:val="en-US" w:eastAsia="zh-CN" w:bidi="ar"/>
              </w:rPr>
              <w:t>注：同一投标人获得多个多次奖项的，只按获奖最高级别计算一次分数，不得累计计算。本项最高得8分。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90" w:hRule="atLeast"/>
          <w:jc w:val="center"/>
        </w:trPr>
        <w:tc>
          <w:tcPr>
            <w:tcW w:w="12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Arial Unicode MS"/>
                <w:b/>
                <w:bCs w:val="0"/>
                <w:kern w:val="2"/>
                <w:sz w:val="21"/>
                <w:szCs w:val="21"/>
                <w:highlight w:val="none"/>
              </w:rPr>
            </w:pPr>
            <w:r>
              <w:rPr>
                <w:rFonts w:hint="eastAsia" w:ascii="宋体" w:hAnsi="宋体" w:eastAsia="宋体" w:cs="宋体"/>
                <w:b/>
                <w:bCs w:val="0"/>
                <w:kern w:val="2"/>
                <w:sz w:val="21"/>
                <w:szCs w:val="21"/>
                <w:highlight w:val="none"/>
                <w:lang w:val="en-US" w:eastAsia="zh-CN" w:bidi="ar"/>
              </w:rPr>
              <w:t>企业财务状况</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2</w:t>
            </w:r>
          </w:p>
        </w:tc>
        <w:tc>
          <w:tcPr>
            <w:tcW w:w="1125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投标人2022年度资产负债率：</w:t>
            </w:r>
            <w:r>
              <w:rPr>
                <w:rFonts w:hint="eastAsia" w:ascii="宋体" w:hAnsi="宋体" w:eastAsia="宋体" w:cs="宋体"/>
                <w:kern w:val="0"/>
                <w:sz w:val="21"/>
                <w:szCs w:val="21"/>
                <w:highlight w:val="none"/>
                <w:lang w:val="en-US" w:eastAsia="zh-CN" w:bidi="ar"/>
              </w:rPr>
              <w:br w:type="textWrapping"/>
            </w:r>
            <w:r>
              <w:rPr>
                <w:rFonts w:hint="eastAsia" w:ascii="宋体" w:hAnsi="宋体" w:eastAsia="宋体" w:cs="宋体"/>
                <w:kern w:val="0"/>
                <w:sz w:val="21"/>
                <w:szCs w:val="21"/>
                <w:highlight w:val="none"/>
                <w:lang w:val="en-US" w:eastAsia="zh-CN" w:bidi="ar"/>
              </w:rPr>
              <w:t>（1）在75%（不含75%）以下的，得2分；</w:t>
            </w:r>
          </w:p>
          <w:p>
            <w:pPr>
              <w:keepNext w:val="0"/>
              <w:keepLines w:val="0"/>
              <w:widowControl/>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（2）在75%（含75%）至80%（含80%）的，得1分；</w:t>
            </w:r>
          </w:p>
          <w:p>
            <w:pPr>
              <w:keepNext w:val="0"/>
              <w:keepLines w:val="0"/>
              <w:widowControl/>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（3）在80%（不含80%）以上的，得0.5分。</w:t>
            </w:r>
            <w:r>
              <w:rPr>
                <w:rFonts w:hint="eastAsia" w:ascii="宋体" w:hAnsi="宋体" w:eastAsia="宋体" w:cs="宋体"/>
                <w:kern w:val="0"/>
                <w:sz w:val="21"/>
                <w:szCs w:val="21"/>
                <w:highlight w:val="none"/>
                <w:lang w:val="en-US" w:eastAsia="zh-CN" w:bidi="ar"/>
              </w:rPr>
              <w:br w:type="textWrapping"/>
            </w:r>
            <w:r>
              <w:rPr>
                <w:rFonts w:hint="eastAsia" w:ascii="宋体" w:hAnsi="宋体" w:eastAsia="宋体" w:cs="宋体"/>
                <w:kern w:val="0"/>
                <w:sz w:val="21"/>
                <w:szCs w:val="21"/>
                <w:highlight w:val="none"/>
                <w:lang w:val="en-US" w:eastAsia="zh-CN" w:bidi="ar"/>
              </w:rPr>
              <w:t xml:space="preserve">不满足的不得分。本项最高得2分。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792" w:hRule="atLeast"/>
          <w:jc w:val="center"/>
        </w:trPr>
        <w:tc>
          <w:tcPr>
            <w:tcW w:w="12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54"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Arial Unicode MS"/>
                <w:b/>
                <w:bCs w:val="0"/>
                <w:kern w:val="2"/>
                <w:sz w:val="21"/>
                <w:szCs w:val="21"/>
                <w:highlight w:val="none"/>
              </w:rPr>
            </w:pPr>
            <w:r>
              <w:rPr>
                <w:rFonts w:hint="eastAsia" w:ascii="宋体" w:hAnsi="宋体" w:eastAsia="宋体" w:cs="宋体"/>
                <w:b/>
                <w:bCs w:val="0"/>
                <w:kern w:val="2"/>
                <w:sz w:val="21"/>
                <w:szCs w:val="21"/>
                <w:highlight w:val="none"/>
                <w:lang w:val="en-US" w:eastAsia="zh-CN" w:bidi="ar"/>
              </w:rPr>
              <w:t>第三方评价</w:t>
            </w:r>
          </w:p>
        </w:tc>
        <w:tc>
          <w:tcPr>
            <w:tcW w:w="636" w:type="dxa"/>
            <w:vMerge w:val="restart"/>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bidi="ar"/>
              </w:rPr>
              <w:t>5</w:t>
            </w:r>
          </w:p>
        </w:tc>
        <w:tc>
          <w:tcPr>
            <w:tcW w:w="1125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napToGrid w:val="0"/>
              <w:spacing w:before="0" w:beforeAutospacing="0" w:after="0" w:afterAutospacing="0"/>
              <w:ind w:left="0" w:right="0"/>
              <w:jc w:val="left"/>
              <w:rPr>
                <w:rFonts w:hint="default" w:ascii="Calibri" w:hAnsi="Calibri" w:eastAsia="宋体" w:cs="Times New Roman"/>
                <w:b/>
                <w:bCs/>
                <w:kern w:val="2"/>
                <w:sz w:val="21"/>
                <w:szCs w:val="21"/>
                <w:highlight w:val="none"/>
              </w:rPr>
            </w:pPr>
            <w:r>
              <w:rPr>
                <w:rFonts w:hint="eastAsia" w:ascii="宋体" w:hAnsi="宋体" w:eastAsia="宋体" w:cs="宋体"/>
                <w:b/>
                <w:bCs/>
                <w:kern w:val="0"/>
                <w:sz w:val="21"/>
                <w:szCs w:val="21"/>
                <w:highlight w:val="none"/>
                <w:u w:val="single"/>
                <w:lang w:val="en-US" w:eastAsia="zh-CN" w:bidi="ar"/>
              </w:rPr>
              <w:t>投标人同时具有在有效期内的质量管理体系认证证书、环境管理体系认证证书、职业健康安全管理体系认证证书得3分；同时具有以上任意二项认证证书的，得2分；具有以上任意一项认证证书的，得1分。</w:t>
            </w:r>
            <w:r>
              <w:rPr>
                <w:rFonts w:hint="eastAsia" w:ascii="宋体" w:hAnsi="宋体" w:eastAsia="宋体" w:cs="宋体"/>
                <w:b/>
                <w:bCs/>
                <w:kern w:val="2"/>
                <w:sz w:val="21"/>
                <w:szCs w:val="21"/>
                <w:highlight w:val="none"/>
                <w:u w:val="single"/>
                <w:lang w:val="en-US" w:eastAsia="zh-CN" w:bidi="ar"/>
              </w:rPr>
              <w:t>不符合上述条件的不得分，</w:t>
            </w:r>
            <w:r>
              <w:rPr>
                <w:rFonts w:hint="eastAsia" w:ascii="宋体" w:hAnsi="宋体" w:eastAsia="宋体" w:cs="宋体"/>
                <w:b/>
                <w:bCs/>
                <w:kern w:val="0"/>
                <w:sz w:val="21"/>
                <w:szCs w:val="21"/>
                <w:highlight w:val="none"/>
                <w:u w:val="single"/>
                <w:lang w:val="en-US" w:eastAsia="zh-CN" w:bidi="ar"/>
              </w:rPr>
              <w:t>本项最高得3分。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852" w:hRule="atLeast"/>
          <w:jc w:val="center"/>
        </w:trPr>
        <w:tc>
          <w:tcPr>
            <w:tcW w:w="1217"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54"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36" w:type="dxa"/>
            <w:vMerge w:val="continue"/>
            <w:tcBorders>
              <w:top w:val="nil"/>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125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投标人至今（须含最近评审年度（2022年度），连续获得“纳税信用A级” 证书5年或以上的，得2分；连续获得“纳税信用A级” 证书3至4年的，得1分；连续获得“纳税信用A级” 证书1至2年的，得0.5分。</w:t>
            </w:r>
          </w:p>
          <w:p>
            <w:pPr>
              <w:keepNext w:val="0"/>
              <w:keepLines w:val="0"/>
              <w:widowControl/>
              <w:suppressLineNumbers w:val="0"/>
              <w:snapToGrid w:val="0"/>
              <w:spacing w:before="0" w:beforeAutospacing="0" w:after="0" w:afterAutospacing="0"/>
              <w:ind w:left="0" w:right="0"/>
              <w:jc w:val="left"/>
              <w:rPr>
                <w:rFonts w:hint="eastAsia" w:ascii="Calibri" w:hAnsi="Calibri" w:eastAsia="宋体" w:cs="Times New Roman"/>
                <w:kern w:val="2"/>
                <w:sz w:val="21"/>
                <w:szCs w:val="21"/>
                <w:highlight w:val="none"/>
              </w:rPr>
            </w:pPr>
            <w:r>
              <w:rPr>
                <w:rFonts w:hint="eastAsia" w:ascii="宋体" w:hAnsi="宋体" w:eastAsia="宋体" w:cs="宋体"/>
                <w:kern w:val="0"/>
                <w:sz w:val="21"/>
                <w:szCs w:val="21"/>
                <w:highlight w:val="none"/>
                <w:lang w:val="en-US" w:eastAsia="zh-CN" w:bidi="ar"/>
              </w:rPr>
              <w:t>不符合上述条件的不得分，本项最高得2分。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28" w:hRule="atLeast"/>
          <w:jc w:val="center"/>
        </w:trPr>
        <w:tc>
          <w:tcPr>
            <w:tcW w:w="307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0"/>
                <w:sz w:val="21"/>
                <w:szCs w:val="21"/>
                <w:highlight w:val="none"/>
                <w:shd w:val="clear" w:fill="FFFFFF"/>
              </w:rPr>
            </w:pPr>
            <w:r>
              <w:rPr>
                <w:rFonts w:hint="eastAsia" w:ascii="宋体" w:hAnsi="宋体" w:eastAsia="宋体" w:cs="宋体"/>
                <w:kern w:val="0"/>
                <w:sz w:val="21"/>
                <w:szCs w:val="21"/>
                <w:highlight w:val="none"/>
                <w:shd w:val="clear" w:fill="FFFFFF"/>
                <w:lang w:val="en-US" w:eastAsia="zh-CN" w:bidi="ar"/>
              </w:rPr>
              <w:t>合计</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Century Schoolbook"/>
                <w:spacing w:val="10"/>
                <w:kern w:val="0"/>
                <w:sz w:val="21"/>
                <w:szCs w:val="21"/>
                <w:highlight w:val="none"/>
                <w:shd w:val="clear" w:fill="FFFFFF"/>
              </w:rPr>
            </w:pPr>
            <w:r>
              <w:rPr>
                <w:rFonts w:hint="eastAsia" w:ascii="宋体" w:hAnsi="宋体" w:eastAsia="宋体" w:cs="宋体"/>
                <w:bCs/>
                <w:spacing w:val="10"/>
                <w:kern w:val="0"/>
                <w:sz w:val="21"/>
                <w:szCs w:val="21"/>
                <w:highlight w:val="none"/>
                <w:shd w:val="clear" w:fill="FFFFFF"/>
                <w:lang w:val="en-US" w:eastAsia="zh-CN" w:bidi="ar"/>
              </w:rPr>
              <w:t>100</w:t>
            </w:r>
          </w:p>
        </w:tc>
        <w:tc>
          <w:tcPr>
            <w:tcW w:w="1125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28" w:hRule="atLeast"/>
          <w:jc w:val="center"/>
        </w:trPr>
        <w:tc>
          <w:tcPr>
            <w:tcW w:w="307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0"/>
                <w:sz w:val="21"/>
                <w:szCs w:val="21"/>
                <w:highlight w:val="none"/>
                <w:shd w:val="clear" w:fill="FFFFFF"/>
              </w:rPr>
            </w:pP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Century Schoolbook"/>
                <w:bCs/>
                <w:spacing w:val="10"/>
                <w:kern w:val="0"/>
                <w:sz w:val="21"/>
                <w:szCs w:val="21"/>
                <w:highlight w:val="none"/>
                <w:shd w:val="clear" w:fill="FFFFFF"/>
              </w:rPr>
            </w:pPr>
          </w:p>
        </w:tc>
        <w:tc>
          <w:tcPr>
            <w:tcW w:w="1125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kern w:val="0"/>
                <w:sz w:val="21"/>
                <w:szCs w:val="21"/>
                <w:highlight w:val="none"/>
                <w:shd w:val="clear" w:fill="FFFFFF"/>
              </w:rPr>
            </w:pPr>
          </w:p>
        </w:tc>
      </w:tr>
    </w:tbl>
    <w:p>
      <w:pPr>
        <w:pStyle w:val="3"/>
        <w:widowControl/>
        <w:ind w:left="0" w:firstLine="0"/>
        <w:rPr>
          <w:rFonts w:hint="default" w:ascii="Times New Roman" w:hAnsi="Times New Roman" w:eastAsia="宋体" w:cs="宋体"/>
          <w:kern w:val="0"/>
          <w:sz w:val="20"/>
          <w:szCs w:val="20"/>
          <w:highlight w:val="none"/>
        </w:rPr>
      </w:pPr>
      <w:r>
        <w:rPr>
          <w:rFonts w:hint="eastAsia" w:ascii="宋体" w:hAnsi="宋体" w:eastAsia="宋体" w:cs="宋体"/>
          <w:b/>
          <w:bCs w:val="0"/>
          <w:kern w:val="0"/>
          <w:sz w:val="20"/>
          <w:szCs w:val="20"/>
          <w:highlight w:val="none"/>
        </w:rPr>
        <w:t>注：</w:t>
      </w:r>
      <w:r>
        <w:rPr>
          <w:rFonts w:hint="default" w:ascii="Times New Roman" w:hAnsi="Times New Roman" w:eastAsia="宋体" w:cs="Times New Roman"/>
          <w:b/>
          <w:bCs w:val="0"/>
          <w:kern w:val="0"/>
          <w:sz w:val="20"/>
          <w:szCs w:val="20"/>
          <w:highlight w:val="none"/>
        </w:rPr>
        <w:t>1</w:t>
      </w:r>
      <w:r>
        <w:rPr>
          <w:rFonts w:hint="eastAsia" w:ascii="宋体" w:hAnsi="宋体" w:eastAsia="宋体" w:cs="宋体"/>
          <w:b/>
          <w:bCs w:val="0"/>
          <w:kern w:val="0"/>
          <w:sz w:val="20"/>
          <w:szCs w:val="20"/>
          <w:highlight w:val="none"/>
        </w:rPr>
        <w:t>、【项目管理机构】：</w:t>
      </w:r>
      <w:r>
        <w:rPr>
          <w:rFonts w:hint="eastAsia" w:ascii="宋体" w:hAnsi="宋体" w:eastAsia="宋体" w:cs="宋体"/>
          <w:kern w:val="0"/>
          <w:sz w:val="20"/>
          <w:szCs w:val="20"/>
          <w:highlight w:val="none"/>
        </w:rPr>
        <w:t>上述人员均不得兼任，除须提供相关证明资料外，还须提供近一个月（即</w:t>
      </w:r>
      <w:r>
        <w:rPr>
          <w:rFonts w:hint="default" w:ascii="Calibri" w:hAnsi="Calibri" w:eastAsia="宋体" w:cs="宋体"/>
          <w:kern w:val="0"/>
          <w:sz w:val="20"/>
          <w:szCs w:val="20"/>
          <w:highlight w:val="none"/>
        </w:rPr>
        <w:t xml:space="preserve"> 2024</w:t>
      </w:r>
      <w:r>
        <w:rPr>
          <w:rFonts w:hint="eastAsia" w:ascii="宋体" w:hAnsi="宋体" w:eastAsia="宋体" w:cs="宋体"/>
          <w:kern w:val="0"/>
          <w:sz w:val="20"/>
          <w:szCs w:val="20"/>
          <w:highlight w:val="none"/>
        </w:rPr>
        <w:t>年</w:t>
      </w:r>
      <w:r>
        <w:rPr>
          <w:rFonts w:hint="default" w:ascii="Times New Roman" w:hAnsi="Times New Roman" w:eastAsia="宋体" w:cs="宋体"/>
          <w:kern w:val="0"/>
          <w:sz w:val="20"/>
          <w:szCs w:val="20"/>
          <w:highlight w:val="none"/>
        </w:rPr>
        <w:t>3</w:t>
      </w:r>
      <w:r>
        <w:rPr>
          <w:rFonts w:hint="eastAsia" w:ascii="宋体" w:hAnsi="宋体" w:eastAsia="宋体" w:cs="宋体"/>
          <w:kern w:val="0"/>
          <w:sz w:val="20"/>
          <w:szCs w:val="20"/>
          <w:highlight w:val="none"/>
        </w:rPr>
        <w:t>月）在投标人单位（不含投标人的子公司、独立法人分公司）连续参保的社保缴纳记录证明扫描件，若当地政府部门允许企业在疫情期间缓缴社会保险费且投标人未缴纳的，投标人可提供当地政府部门允许缓缴社保的相关文件作为缴纳社保的证明。确定中标人后，招标人将核实后续中标人项目经理部组成人员的社保补缴情况。未提供或所提供的证明资料不符合要求的，则该评分节点不予得分。以上资料均需加盖投标人电子印章或在线下盖章完成后扫描上传。</w:t>
      </w:r>
    </w:p>
    <w:p>
      <w:pPr>
        <w:pStyle w:val="3"/>
        <w:widowControl/>
        <w:rPr>
          <w:rFonts w:hint="default" w:ascii="Calibri" w:hAnsi="Calibri" w:eastAsia="宋体" w:cs="宋体"/>
          <w:kern w:val="0"/>
          <w:sz w:val="20"/>
          <w:szCs w:val="20"/>
          <w:highlight w:val="none"/>
        </w:rPr>
      </w:pPr>
      <w:r>
        <w:rPr>
          <w:rFonts w:hint="default" w:ascii="Times New Roman" w:hAnsi="Times New Roman" w:eastAsia="宋体" w:cs="Times New Roman"/>
          <w:b/>
          <w:bCs w:val="0"/>
          <w:kern w:val="0"/>
          <w:sz w:val="20"/>
          <w:szCs w:val="20"/>
          <w:highlight w:val="none"/>
        </w:rPr>
        <w:t>2</w:t>
      </w:r>
      <w:r>
        <w:rPr>
          <w:rFonts w:hint="eastAsia" w:ascii="宋体" w:hAnsi="宋体" w:eastAsia="宋体" w:cs="宋体"/>
          <w:b/>
          <w:bCs w:val="0"/>
          <w:kern w:val="0"/>
          <w:sz w:val="20"/>
          <w:szCs w:val="20"/>
          <w:highlight w:val="none"/>
        </w:rPr>
        <w:t>、【类似业绩】：</w:t>
      </w:r>
      <w:r>
        <w:rPr>
          <w:rFonts w:hint="eastAsia" w:ascii="宋体" w:hAnsi="宋体" w:eastAsia="宋体" w:cs="宋体"/>
          <w:kern w:val="0"/>
          <w:sz w:val="20"/>
          <w:szCs w:val="20"/>
          <w:highlight w:val="none"/>
        </w:rPr>
        <w:t>业绩包含建筑工程施工总承包或工程总承包。业绩取自广州市住建行业信用管理平台。投标人须提供类似工程业绩的项目名称及业绩在广州市住建行业信用管理平台中项目编号、相应业绩在广州市住建行业信用管理平台的网页信息截图（网页信息截图须能清晰显示带有</w:t>
      </w:r>
      <w:r>
        <w:rPr>
          <w:rFonts w:hint="default" w:ascii="Calibri" w:hAnsi="Calibri" w:eastAsia="宋体" w:cs="Calibri"/>
          <w:kern w:val="0"/>
          <w:sz w:val="20"/>
          <w:szCs w:val="20"/>
          <w:highlight w:val="none"/>
        </w:rPr>
        <w:t>“</w:t>
      </w:r>
      <w:r>
        <w:rPr>
          <w:rFonts w:hint="eastAsia" w:ascii="宋体" w:hAnsi="宋体" w:eastAsia="宋体" w:cs="宋体"/>
          <w:kern w:val="0"/>
          <w:sz w:val="20"/>
          <w:szCs w:val="20"/>
          <w:highlight w:val="none"/>
        </w:rPr>
        <w:t>住建行业信用管理平台</w:t>
      </w:r>
      <w:r>
        <w:rPr>
          <w:rFonts w:hint="default" w:ascii="Calibri" w:hAnsi="Calibri" w:eastAsia="宋体" w:cs="Calibri"/>
          <w:kern w:val="0"/>
          <w:sz w:val="20"/>
          <w:szCs w:val="20"/>
          <w:highlight w:val="none"/>
        </w:rPr>
        <w:t>”</w:t>
      </w:r>
      <w:r>
        <w:rPr>
          <w:rFonts w:hint="eastAsia" w:ascii="宋体" w:hAnsi="宋体" w:eastAsia="宋体" w:cs="宋体"/>
          <w:kern w:val="0"/>
          <w:sz w:val="20"/>
          <w:szCs w:val="20"/>
          <w:highlight w:val="none"/>
        </w:rPr>
        <w:t>名称，并至少包含</w:t>
      </w:r>
      <w:r>
        <w:rPr>
          <w:rFonts w:hint="default" w:ascii="Calibri" w:hAnsi="Calibri" w:eastAsia="宋体" w:cs="Calibri"/>
          <w:kern w:val="0"/>
          <w:sz w:val="20"/>
          <w:szCs w:val="20"/>
          <w:highlight w:val="none"/>
        </w:rPr>
        <w:t>“</w:t>
      </w:r>
      <w:r>
        <w:rPr>
          <w:rFonts w:hint="eastAsia" w:ascii="宋体" w:hAnsi="宋体" w:eastAsia="宋体" w:cs="宋体"/>
          <w:kern w:val="0"/>
          <w:sz w:val="20"/>
          <w:szCs w:val="20"/>
          <w:highlight w:val="none"/>
        </w:rPr>
        <w:t>项目基本信息</w:t>
      </w:r>
      <w:r>
        <w:rPr>
          <w:rFonts w:hint="default" w:ascii="Calibri" w:hAnsi="Calibri" w:eastAsia="宋体" w:cs="Calibri"/>
          <w:kern w:val="0"/>
          <w:sz w:val="20"/>
          <w:szCs w:val="20"/>
          <w:highlight w:val="none"/>
        </w:rPr>
        <w:t>”</w:t>
      </w:r>
      <w:r>
        <w:rPr>
          <w:rFonts w:hint="eastAsia" w:ascii="宋体" w:hAnsi="宋体" w:eastAsia="宋体" w:cs="宋体"/>
          <w:kern w:val="0"/>
          <w:sz w:val="20"/>
          <w:szCs w:val="20"/>
          <w:highlight w:val="none"/>
        </w:rPr>
        <w:t>等信息，投标文件中可不需重复提交相关业绩上传件）。用于本项目投标的类似业绩，在平台中</w:t>
      </w:r>
      <w:r>
        <w:rPr>
          <w:rFonts w:hint="default" w:ascii="Calibri" w:hAnsi="Calibri" w:eastAsia="宋体" w:cs="Calibri"/>
          <w:kern w:val="0"/>
          <w:sz w:val="20"/>
          <w:szCs w:val="20"/>
          <w:highlight w:val="none"/>
        </w:rPr>
        <w:t>“</w:t>
      </w:r>
      <w:r>
        <w:rPr>
          <w:rFonts w:hint="eastAsia" w:ascii="宋体" w:hAnsi="宋体" w:eastAsia="宋体" w:cs="宋体"/>
          <w:kern w:val="0"/>
          <w:sz w:val="20"/>
          <w:szCs w:val="20"/>
          <w:highlight w:val="none"/>
        </w:rPr>
        <w:t>工程对应的企业资质</w:t>
      </w:r>
      <w:r>
        <w:rPr>
          <w:rFonts w:hint="default" w:ascii="Calibri" w:hAnsi="Calibri" w:eastAsia="宋体" w:cs="Calibri"/>
          <w:kern w:val="0"/>
          <w:sz w:val="20"/>
          <w:szCs w:val="20"/>
          <w:highlight w:val="none"/>
        </w:rPr>
        <w:t>”</w:t>
      </w:r>
      <w:r>
        <w:rPr>
          <w:rFonts w:hint="eastAsia" w:ascii="宋体" w:hAnsi="宋体" w:eastAsia="宋体" w:cs="宋体"/>
          <w:kern w:val="0"/>
          <w:sz w:val="20"/>
          <w:szCs w:val="20"/>
          <w:highlight w:val="none"/>
        </w:rPr>
        <w:t>栏中须登记有与本项目要求相对应的资质（具体资质要求：建筑工程施工总承包（原房屋建筑工程施工总承包）资质）。不提供项目名称及项目编号、网页信息截图的业绩不予评审。若投标人提供的项目名称与项目编号不一致：</w:t>
      </w:r>
      <w:r>
        <w:rPr>
          <w:rFonts w:hint="default" w:ascii="Calibri" w:hAnsi="Calibri" w:eastAsia="宋体" w:cs="Calibri"/>
          <w:kern w:val="0"/>
          <w:sz w:val="20"/>
          <w:szCs w:val="20"/>
          <w:highlight w:val="none"/>
        </w:rPr>
        <w:t>①</w:t>
      </w:r>
      <w:r>
        <w:rPr>
          <w:rFonts w:hint="eastAsia" w:ascii="宋体" w:hAnsi="宋体" w:eastAsia="宋体" w:cs="宋体"/>
          <w:kern w:val="0"/>
          <w:sz w:val="20"/>
          <w:szCs w:val="20"/>
          <w:highlight w:val="none"/>
        </w:rPr>
        <w:t>项目名称和项目编号在平台内分别对应不同业绩的，以项目名称对应的业绩为准；</w:t>
      </w:r>
      <w:r>
        <w:rPr>
          <w:rFonts w:hint="default" w:ascii="Calibri" w:hAnsi="Calibri" w:eastAsia="宋体" w:cs="Calibri"/>
          <w:kern w:val="0"/>
          <w:sz w:val="20"/>
          <w:szCs w:val="20"/>
          <w:highlight w:val="none"/>
        </w:rPr>
        <w:t>②</w:t>
      </w:r>
      <w:r>
        <w:rPr>
          <w:rFonts w:hint="eastAsia" w:ascii="宋体" w:hAnsi="宋体" w:eastAsia="宋体" w:cs="宋体"/>
          <w:kern w:val="0"/>
          <w:sz w:val="20"/>
          <w:szCs w:val="20"/>
          <w:highlight w:val="none"/>
        </w:rPr>
        <w:t>项目名称存在对应业绩的，项目编号在平台内不存在对应业绩，以项目名称对应的业绩为准；</w:t>
      </w:r>
      <w:r>
        <w:rPr>
          <w:rFonts w:hint="default" w:ascii="Calibri" w:hAnsi="Calibri" w:eastAsia="宋体" w:cs="Calibri"/>
          <w:kern w:val="0"/>
          <w:sz w:val="20"/>
          <w:szCs w:val="20"/>
          <w:highlight w:val="none"/>
        </w:rPr>
        <w:t>③</w:t>
      </w:r>
      <w:r>
        <w:rPr>
          <w:rFonts w:hint="eastAsia" w:ascii="宋体" w:hAnsi="宋体" w:eastAsia="宋体" w:cs="宋体"/>
          <w:kern w:val="0"/>
          <w:sz w:val="20"/>
          <w:szCs w:val="20"/>
          <w:highlight w:val="none"/>
        </w:rPr>
        <w:t>项目名称在平台内不存在对应业绩，项目编号存在对应业绩的，以项目编号对应的业绩为准。评标委员会对业绩的评审以投标截止时间在平台内业绩上传件为依据。（</w:t>
      </w:r>
      <w:r>
        <w:rPr>
          <w:rFonts w:hint="default" w:ascii="Calibri" w:hAnsi="Calibri" w:eastAsia="宋体" w:cs="Times New Roman"/>
          <w:kern w:val="0"/>
          <w:sz w:val="20"/>
          <w:szCs w:val="20"/>
          <w:highlight w:val="none"/>
        </w:rPr>
        <w:t>1</w:t>
      </w:r>
      <w:r>
        <w:rPr>
          <w:rFonts w:hint="eastAsia" w:ascii="宋体" w:hAnsi="宋体" w:eastAsia="宋体" w:cs="宋体"/>
          <w:kern w:val="0"/>
          <w:sz w:val="20"/>
          <w:szCs w:val="20"/>
          <w:highlight w:val="none"/>
        </w:rPr>
        <w:t>）金额以中标通知书载明的施工费用为准，中标通知书上没有金额或免招标的，以施工合同（不含补充合同）为准。（</w:t>
      </w:r>
      <w:r>
        <w:rPr>
          <w:rFonts w:hint="default" w:ascii="Calibri" w:hAnsi="Calibri" w:eastAsia="宋体" w:cs="Times New Roman"/>
          <w:kern w:val="0"/>
          <w:sz w:val="20"/>
          <w:szCs w:val="20"/>
          <w:highlight w:val="none"/>
        </w:rPr>
        <w:t>2</w:t>
      </w:r>
      <w:r>
        <w:rPr>
          <w:rFonts w:hint="eastAsia" w:ascii="宋体" w:hAnsi="宋体" w:eastAsia="宋体" w:cs="宋体"/>
          <w:kern w:val="0"/>
          <w:sz w:val="20"/>
          <w:szCs w:val="20"/>
          <w:highlight w:val="none"/>
        </w:rPr>
        <w:t>）完成时间以竣工验收文件为准。验收文件至少具有建设单位、设计、施工和监理单位盖章。（</w:t>
      </w:r>
      <w:r>
        <w:rPr>
          <w:rFonts w:hint="default" w:ascii="Calibri" w:hAnsi="Calibri" w:eastAsia="宋体" w:cs="Times New Roman"/>
          <w:kern w:val="0"/>
          <w:sz w:val="20"/>
          <w:szCs w:val="20"/>
          <w:highlight w:val="none"/>
        </w:rPr>
        <w:t>3</w:t>
      </w:r>
      <w:r>
        <w:rPr>
          <w:rFonts w:hint="eastAsia" w:ascii="宋体" w:hAnsi="宋体" w:eastAsia="宋体" w:cs="宋体"/>
          <w:kern w:val="0"/>
          <w:sz w:val="20"/>
          <w:szCs w:val="20"/>
          <w:highlight w:val="none"/>
        </w:rPr>
        <w:t>）平台内业绩上传件不符合上述要求的或登记的工程资质内容与施工合同等业绩证明资料不相符的，该项业绩不予认定。</w:t>
      </w:r>
    </w:p>
    <w:p>
      <w:pPr>
        <w:keepNext w:val="0"/>
        <w:keepLines w:val="0"/>
        <w:widowControl/>
        <w:suppressLineNumbers w:val="0"/>
        <w:spacing w:before="0" w:beforeAutospacing="0" w:after="0" w:afterAutospacing="0"/>
        <w:ind w:left="0" w:right="0" w:firstLine="402" w:firstLineChars="200"/>
        <w:jc w:val="both"/>
        <w:rPr>
          <w:rFonts w:hint="default" w:ascii="Calibri" w:hAnsi="Calibri" w:eastAsia="宋体" w:cs="宋体"/>
          <w:kern w:val="2"/>
          <w:sz w:val="20"/>
          <w:szCs w:val="20"/>
          <w:highlight w:val="none"/>
        </w:rPr>
      </w:pPr>
      <w:r>
        <w:rPr>
          <w:rFonts w:hint="default" w:ascii="Calibri" w:hAnsi="Calibri" w:eastAsia="宋体" w:cs="宋体"/>
          <w:b/>
          <w:bCs w:val="0"/>
          <w:kern w:val="2"/>
          <w:sz w:val="20"/>
          <w:szCs w:val="20"/>
          <w:highlight w:val="none"/>
          <w:lang w:val="en-US" w:eastAsia="zh-CN" w:bidi="ar"/>
        </w:rPr>
        <w:t>3</w:t>
      </w:r>
      <w:r>
        <w:rPr>
          <w:rFonts w:hint="eastAsia" w:ascii="宋体" w:hAnsi="宋体" w:eastAsia="宋体" w:cs="宋体"/>
          <w:b/>
          <w:bCs w:val="0"/>
          <w:kern w:val="2"/>
          <w:sz w:val="20"/>
          <w:szCs w:val="20"/>
          <w:highlight w:val="none"/>
          <w:lang w:val="en-US" w:eastAsia="zh-CN" w:bidi="ar"/>
        </w:rPr>
        <w:t>、【工程获奖】：</w:t>
      </w:r>
      <w:r>
        <w:rPr>
          <w:rFonts w:hint="eastAsia" w:ascii="宋体" w:hAnsi="宋体" w:eastAsia="宋体" w:cs="宋体"/>
          <w:kern w:val="2"/>
          <w:sz w:val="20"/>
          <w:szCs w:val="20"/>
          <w:highlight w:val="none"/>
          <w:lang w:val="en-US" w:eastAsia="zh-CN" w:bidi="ar"/>
        </w:rPr>
        <w:t>（</w:t>
      </w:r>
      <w:r>
        <w:rPr>
          <w:rFonts w:hint="default" w:ascii="Calibri" w:hAnsi="Calibri" w:eastAsia="宋体" w:cs="宋体"/>
          <w:kern w:val="2"/>
          <w:sz w:val="20"/>
          <w:szCs w:val="20"/>
          <w:highlight w:val="none"/>
          <w:lang w:val="en-US" w:eastAsia="zh-CN" w:bidi="ar"/>
        </w:rPr>
        <w:t>1</w:t>
      </w:r>
      <w:r>
        <w:rPr>
          <w:rFonts w:hint="eastAsia" w:ascii="宋体" w:hAnsi="宋体" w:eastAsia="宋体" w:cs="宋体"/>
          <w:kern w:val="2"/>
          <w:sz w:val="20"/>
          <w:szCs w:val="20"/>
          <w:highlight w:val="none"/>
          <w:lang w:val="en-US" w:eastAsia="zh-CN" w:bidi="ar"/>
        </w:rPr>
        <w:t>）工程获奖可取自广州市住建行业信用管理平台或提供获奖证书扫描件。</w:t>
      </w:r>
      <w:r>
        <w:rPr>
          <w:rFonts w:hint="default" w:ascii="Calibri" w:hAnsi="Calibri" w:eastAsia="宋体" w:cs="Calibri"/>
          <w:kern w:val="2"/>
          <w:sz w:val="20"/>
          <w:szCs w:val="20"/>
          <w:highlight w:val="none"/>
          <w:lang w:val="en-US" w:eastAsia="zh-CN" w:bidi="ar"/>
        </w:rPr>
        <w:t>①</w:t>
      </w:r>
      <w:r>
        <w:rPr>
          <w:rFonts w:hint="eastAsia" w:ascii="宋体" w:hAnsi="宋体" w:eastAsia="宋体" w:cs="宋体"/>
          <w:kern w:val="2"/>
          <w:sz w:val="20"/>
          <w:szCs w:val="20"/>
          <w:highlight w:val="none"/>
          <w:lang w:val="en-US" w:eastAsia="zh-CN" w:bidi="ar"/>
        </w:rPr>
        <w:t>国家级奖项指的是中国建设工程鲁班奖、国家优质工程金奖、国家优质工程奖、中国土木工程詹天佑奖、中国（全国）建筑工程装饰奖（不含设计和幕墙类获奖）；省或市级奖项包括：由省、市级建设行政主管部门或行业协会（行业协会须在民政部门取得成立登记批准）颁发的质量类工程奖项，其它如结构类、安全文明、绿色施工、技术创新、</w:t>
      </w:r>
      <w:r>
        <w:rPr>
          <w:rFonts w:hint="default" w:ascii="Calibri" w:hAnsi="Calibri" w:eastAsia="宋体" w:cs="宋体"/>
          <w:kern w:val="2"/>
          <w:sz w:val="20"/>
          <w:szCs w:val="20"/>
          <w:highlight w:val="none"/>
          <w:lang w:val="en-US" w:eastAsia="zh-CN" w:bidi="ar"/>
        </w:rPr>
        <w:t>QC</w:t>
      </w:r>
      <w:r>
        <w:rPr>
          <w:rFonts w:hint="eastAsia" w:ascii="宋体" w:hAnsi="宋体" w:eastAsia="宋体" w:cs="宋体"/>
          <w:kern w:val="2"/>
          <w:sz w:val="20"/>
          <w:szCs w:val="20"/>
          <w:highlight w:val="none"/>
          <w:lang w:val="en-US" w:eastAsia="zh-CN" w:bidi="ar"/>
        </w:rPr>
        <w:t>成果、钢结构、机电安装、科技进步及技术应用类奖项不参与计分；</w:t>
      </w:r>
      <w:r>
        <w:rPr>
          <w:rFonts w:hint="default" w:ascii="Calibri" w:hAnsi="Calibri" w:eastAsia="宋体" w:cs="Calibri"/>
          <w:kern w:val="2"/>
          <w:sz w:val="20"/>
          <w:szCs w:val="20"/>
          <w:highlight w:val="none"/>
          <w:lang w:val="en-US" w:eastAsia="zh-CN" w:bidi="ar"/>
        </w:rPr>
        <w:t>②</w:t>
      </w:r>
      <w:r>
        <w:rPr>
          <w:rFonts w:hint="eastAsia" w:ascii="宋体" w:hAnsi="宋体" w:eastAsia="宋体" w:cs="宋体"/>
          <w:kern w:val="2"/>
          <w:sz w:val="20"/>
          <w:szCs w:val="20"/>
          <w:highlight w:val="none"/>
          <w:lang w:val="en-US" w:eastAsia="zh-CN" w:bidi="ar"/>
        </w:rPr>
        <w:t>只计算房建类工程质量奖项，其他非房建项目，如：路桥、铁路、水利、电力、化工、冶金、市政等获奖不参与计分。同一项目获得多个奖项的，该项目获奖只按其中一个奖项所在最高级别计算一次分数，不得重复计算。</w:t>
      </w:r>
    </w:p>
    <w:p>
      <w:pPr>
        <w:pStyle w:val="3"/>
        <w:widowControl/>
        <w:rPr>
          <w:rFonts w:hint="default" w:ascii="Times New Roman" w:hAnsi="Times New Roman" w:eastAsia="宋体" w:cs="宋体"/>
          <w:kern w:val="0"/>
          <w:sz w:val="20"/>
          <w:szCs w:val="20"/>
          <w:highlight w:val="none"/>
        </w:rPr>
      </w:pPr>
      <w:r>
        <w:rPr>
          <w:rFonts w:hint="eastAsia" w:ascii="宋体" w:hAnsi="宋体" w:eastAsia="宋体" w:cs="宋体"/>
          <w:kern w:val="0"/>
          <w:sz w:val="20"/>
          <w:szCs w:val="20"/>
          <w:highlight w:val="none"/>
        </w:rPr>
        <w:t>（</w:t>
      </w:r>
      <w:r>
        <w:rPr>
          <w:rFonts w:hint="default" w:ascii="Times New Roman" w:hAnsi="Times New Roman" w:eastAsia="宋体" w:cs="宋体"/>
          <w:kern w:val="0"/>
          <w:sz w:val="20"/>
          <w:szCs w:val="20"/>
          <w:highlight w:val="none"/>
        </w:rPr>
        <w:t>2</w:t>
      </w:r>
      <w:r>
        <w:rPr>
          <w:rFonts w:hint="eastAsia" w:ascii="宋体" w:hAnsi="宋体" w:eastAsia="宋体" w:cs="宋体"/>
          <w:kern w:val="0"/>
          <w:sz w:val="20"/>
          <w:szCs w:val="20"/>
          <w:highlight w:val="none"/>
        </w:rPr>
        <w:t>）投标人须提交获奖证书扫描件或广州市住建行业信用管理平台的网页信息截图（网页信息截图须能清晰显示带有</w:t>
      </w:r>
      <w:r>
        <w:rPr>
          <w:rFonts w:hint="default" w:ascii="Times New Roman" w:hAnsi="Times New Roman" w:eastAsia="宋体" w:cs="Times New Roman"/>
          <w:kern w:val="0"/>
          <w:sz w:val="20"/>
          <w:szCs w:val="20"/>
          <w:highlight w:val="none"/>
        </w:rPr>
        <w:t>“</w:t>
      </w:r>
      <w:r>
        <w:rPr>
          <w:rFonts w:hint="eastAsia" w:ascii="宋体" w:hAnsi="宋体" w:eastAsia="宋体" w:cs="宋体"/>
          <w:kern w:val="0"/>
          <w:sz w:val="20"/>
          <w:szCs w:val="20"/>
          <w:highlight w:val="none"/>
        </w:rPr>
        <w:t>住建行业信用管理平台</w:t>
      </w:r>
      <w:r>
        <w:rPr>
          <w:rFonts w:hint="default" w:ascii="Times New Roman" w:hAnsi="Times New Roman" w:eastAsia="宋体" w:cs="Times New Roman"/>
          <w:kern w:val="0"/>
          <w:sz w:val="20"/>
          <w:szCs w:val="20"/>
          <w:highlight w:val="none"/>
        </w:rPr>
        <w:t>”</w:t>
      </w:r>
      <w:r>
        <w:rPr>
          <w:rFonts w:hint="eastAsia" w:ascii="宋体" w:hAnsi="宋体" w:eastAsia="宋体" w:cs="宋体"/>
          <w:kern w:val="0"/>
          <w:sz w:val="20"/>
          <w:szCs w:val="20"/>
          <w:highlight w:val="none"/>
        </w:rPr>
        <w:t>名称，并至少包含</w:t>
      </w:r>
      <w:r>
        <w:rPr>
          <w:rFonts w:hint="default" w:ascii="Times New Roman" w:hAnsi="Times New Roman" w:eastAsia="宋体" w:cs="Times New Roman"/>
          <w:kern w:val="0"/>
          <w:sz w:val="20"/>
          <w:szCs w:val="20"/>
          <w:highlight w:val="none"/>
        </w:rPr>
        <w:t>“</w:t>
      </w:r>
      <w:r>
        <w:rPr>
          <w:rFonts w:hint="eastAsia" w:ascii="宋体" w:hAnsi="宋体" w:eastAsia="宋体" w:cs="宋体"/>
          <w:kern w:val="0"/>
          <w:sz w:val="20"/>
          <w:szCs w:val="20"/>
          <w:highlight w:val="none"/>
        </w:rPr>
        <w:t>项目基本信息</w:t>
      </w:r>
      <w:r>
        <w:rPr>
          <w:rFonts w:hint="default" w:ascii="Times New Roman" w:hAnsi="Times New Roman" w:eastAsia="宋体" w:cs="Times New Roman"/>
          <w:kern w:val="0"/>
          <w:sz w:val="20"/>
          <w:szCs w:val="20"/>
          <w:highlight w:val="none"/>
        </w:rPr>
        <w:t>”</w:t>
      </w:r>
      <w:r>
        <w:rPr>
          <w:rFonts w:hint="eastAsia" w:ascii="宋体" w:hAnsi="宋体" w:eastAsia="宋体" w:cs="宋体"/>
          <w:kern w:val="0"/>
          <w:sz w:val="20"/>
          <w:szCs w:val="20"/>
          <w:highlight w:val="none"/>
        </w:rPr>
        <w:t>、</w:t>
      </w:r>
      <w:r>
        <w:rPr>
          <w:rFonts w:hint="default" w:ascii="Times New Roman" w:hAnsi="Times New Roman" w:eastAsia="宋体" w:cs="Times New Roman"/>
          <w:kern w:val="0"/>
          <w:sz w:val="20"/>
          <w:szCs w:val="20"/>
          <w:highlight w:val="none"/>
        </w:rPr>
        <w:t>“</w:t>
      </w:r>
      <w:r>
        <w:rPr>
          <w:rFonts w:hint="eastAsia" w:ascii="宋体" w:hAnsi="宋体" w:eastAsia="宋体" w:cs="宋体"/>
          <w:kern w:val="0"/>
          <w:sz w:val="20"/>
          <w:szCs w:val="20"/>
          <w:highlight w:val="none"/>
        </w:rPr>
        <w:t>奖项信息</w:t>
      </w:r>
      <w:r>
        <w:rPr>
          <w:rFonts w:hint="default" w:ascii="Times New Roman" w:hAnsi="Times New Roman" w:eastAsia="宋体" w:cs="Times New Roman"/>
          <w:kern w:val="0"/>
          <w:sz w:val="20"/>
          <w:szCs w:val="20"/>
          <w:highlight w:val="none"/>
        </w:rPr>
        <w:t>”</w:t>
      </w:r>
      <w:r>
        <w:rPr>
          <w:rFonts w:hint="eastAsia" w:ascii="宋体" w:hAnsi="宋体" w:eastAsia="宋体" w:cs="宋体"/>
          <w:kern w:val="0"/>
          <w:sz w:val="20"/>
          <w:szCs w:val="20"/>
          <w:highlight w:val="none"/>
        </w:rPr>
        <w:t>等信息），时间以获奖证书颁发时间为准，并加盖投标人电子印章，</w:t>
      </w:r>
      <w:r>
        <w:rPr>
          <w:rFonts w:hint="eastAsia" w:ascii="宋体" w:hAnsi="宋体" w:eastAsia="宋体" w:cs="宋体"/>
          <w:b/>
          <w:bCs/>
          <w:kern w:val="0"/>
          <w:sz w:val="20"/>
          <w:szCs w:val="20"/>
          <w:highlight w:val="none"/>
          <w:u w:val="single"/>
        </w:rPr>
        <w:t>不符合上述条件不予评审。</w:t>
      </w:r>
    </w:p>
    <w:p>
      <w:pPr>
        <w:pStyle w:val="3"/>
        <w:widowControl/>
        <w:rPr>
          <w:rFonts w:hint="default" w:ascii="Times New Roman" w:hAnsi="Times New Roman" w:eastAsia="宋体" w:cs="宋体"/>
          <w:kern w:val="0"/>
          <w:sz w:val="20"/>
          <w:szCs w:val="20"/>
          <w:highlight w:val="none"/>
        </w:rPr>
      </w:pPr>
      <w:r>
        <w:rPr>
          <w:rFonts w:hint="eastAsia" w:ascii="宋体" w:hAnsi="宋体" w:eastAsia="宋体" w:cs="宋体"/>
          <w:kern w:val="0"/>
          <w:sz w:val="20"/>
          <w:szCs w:val="20"/>
          <w:highlight w:val="none"/>
        </w:rPr>
        <w:t>（</w:t>
      </w:r>
      <w:r>
        <w:rPr>
          <w:rFonts w:hint="default" w:ascii="Times New Roman" w:hAnsi="Times New Roman" w:eastAsia="宋体" w:cs="宋体"/>
          <w:kern w:val="0"/>
          <w:sz w:val="20"/>
          <w:szCs w:val="20"/>
          <w:highlight w:val="none"/>
        </w:rPr>
        <w:t>3</w:t>
      </w:r>
      <w:r>
        <w:rPr>
          <w:rFonts w:hint="eastAsia" w:ascii="宋体" w:hAnsi="宋体" w:eastAsia="宋体" w:cs="宋体"/>
          <w:kern w:val="0"/>
          <w:sz w:val="20"/>
          <w:szCs w:val="20"/>
          <w:highlight w:val="none"/>
        </w:rPr>
        <w:t>）投标人须为该获奖项目的施工总承包单位，须提供相关证明材料（如施工合同、业主证明、评审申请材料、批复文件、竣工验收文件等）体现其为施工总承包单位身份，否则不予计分。</w:t>
      </w:r>
    </w:p>
    <w:p>
      <w:pPr>
        <w:pStyle w:val="3"/>
        <w:widowControl/>
        <w:rPr>
          <w:rFonts w:hint="default" w:ascii="Times New Roman" w:hAnsi="Times New Roman" w:eastAsia="宋体" w:cs="宋体"/>
          <w:kern w:val="0"/>
          <w:sz w:val="20"/>
          <w:szCs w:val="20"/>
          <w:highlight w:val="none"/>
        </w:rPr>
      </w:pPr>
      <w:r>
        <w:rPr>
          <w:rFonts w:hint="eastAsia" w:ascii="宋体" w:hAnsi="宋体" w:eastAsia="宋体" w:cs="宋体"/>
          <w:kern w:val="0"/>
          <w:sz w:val="20"/>
          <w:szCs w:val="20"/>
          <w:highlight w:val="none"/>
        </w:rPr>
        <w:t>（</w:t>
      </w:r>
      <w:r>
        <w:rPr>
          <w:rFonts w:hint="default" w:ascii="Times New Roman" w:hAnsi="Times New Roman" w:eastAsia="宋体" w:cs="宋体"/>
          <w:kern w:val="0"/>
          <w:sz w:val="20"/>
          <w:szCs w:val="20"/>
          <w:highlight w:val="none"/>
        </w:rPr>
        <w:t>4</w:t>
      </w:r>
      <w:r>
        <w:rPr>
          <w:rFonts w:hint="eastAsia" w:ascii="宋体" w:hAnsi="宋体" w:eastAsia="宋体" w:cs="宋体"/>
          <w:kern w:val="0"/>
          <w:sz w:val="20"/>
          <w:szCs w:val="20"/>
          <w:highlight w:val="none"/>
        </w:rPr>
        <w:t>）不符合上述要求的不计分。</w:t>
      </w:r>
    </w:p>
    <w:p>
      <w:pPr>
        <w:pStyle w:val="3"/>
        <w:widowControl/>
        <w:rPr>
          <w:rFonts w:hint="eastAsia" w:ascii="Times New Roman" w:hAnsi="Times New Roman" w:eastAsia="宋体" w:cs="宋体"/>
          <w:b/>
          <w:kern w:val="0"/>
          <w:sz w:val="20"/>
          <w:szCs w:val="20"/>
          <w:highlight w:val="none"/>
        </w:rPr>
      </w:pPr>
      <w:r>
        <w:rPr>
          <w:rFonts w:hint="default" w:ascii="Times New Roman" w:hAnsi="Times New Roman" w:eastAsia="宋体" w:cs="宋体"/>
          <w:b/>
          <w:kern w:val="0"/>
          <w:sz w:val="20"/>
          <w:szCs w:val="20"/>
          <w:highlight w:val="none"/>
        </w:rPr>
        <w:t>4</w:t>
      </w:r>
      <w:r>
        <w:rPr>
          <w:rFonts w:hint="eastAsia" w:ascii="宋体" w:hAnsi="宋体" w:eastAsia="宋体" w:cs="宋体"/>
          <w:b/>
          <w:kern w:val="0"/>
          <w:sz w:val="20"/>
          <w:szCs w:val="20"/>
          <w:highlight w:val="none"/>
        </w:rPr>
        <w:t>、【工程研发能力】</w:t>
      </w:r>
      <w:r>
        <w:rPr>
          <w:rFonts w:hint="eastAsia" w:ascii="宋体" w:hAnsi="宋体" w:eastAsia="宋体" w:cs="宋体"/>
          <w:kern w:val="0"/>
          <w:sz w:val="20"/>
          <w:szCs w:val="20"/>
          <w:highlight w:val="none"/>
        </w:rPr>
        <w:t>：投标人须提交由国务院颁发的</w:t>
      </w:r>
      <w:r>
        <w:rPr>
          <w:rFonts w:hint="default" w:ascii="Times New Roman" w:hAnsi="Times New Roman" w:eastAsia="宋体" w:cs="Times New Roman"/>
          <w:kern w:val="0"/>
          <w:sz w:val="20"/>
          <w:szCs w:val="20"/>
          <w:highlight w:val="none"/>
        </w:rPr>
        <w:t>“</w:t>
      </w:r>
      <w:r>
        <w:rPr>
          <w:rFonts w:hint="eastAsia" w:ascii="宋体" w:hAnsi="宋体" w:eastAsia="宋体" w:cs="宋体"/>
          <w:kern w:val="0"/>
          <w:sz w:val="20"/>
          <w:szCs w:val="20"/>
          <w:highlight w:val="none"/>
        </w:rPr>
        <w:t>国家科学技术进步奖</w:t>
      </w:r>
      <w:r>
        <w:rPr>
          <w:rFonts w:hint="default" w:ascii="Times New Roman" w:hAnsi="Times New Roman" w:eastAsia="宋体" w:cs="Times New Roman"/>
          <w:kern w:val="0"/>
          <w:sz w:val="20"/>
          <w:szCs w:val="20"/>
          <w:highlight w:val="none"/>
        </w:rPr>
        <w:t>”</w:t>
      </w:r>
      <w:r>
        <w:rPr>
          <w:rFonts w:hint="eastAsia" w:ascii="宋体" w:hAnsi="宋体" w:eastAsia="宋体" w:cs="宋体"/>
          <w:kern w:val="0"/>
          <w:sz w:val="20"/>
          <w:szCs w:val="20"/>
          <w:highlight w:val="none"/>
        </w:rPr>
        <w:t>或由省级或市级人民政府颁发的</w:t>
      </w:r>
      <w:r>
        <w:rPr>
          <w:rFonts w:hint="default" w:ascii="Times New Roman" w:hAnsi="Times New Roman" w:eastAsia="宋体" w:cs="Times New Roman"/>
          <w:kern w:val="0"/>
          <w:sz w:val="20"/>
          <w:szCs w:val="20"/>
          <w:highlight w:val="none"/>
        </w:rPr>
        <w:t>“</w:t>
      </w:r>
      <w:r>
        <w:rPr>
          <w:rFonts w:hint="eastAsia" w:ascii="宋体" w:hAnsi="宋体" w:eastAsia="宋体" w:cs="宋体"/>
          <w:kern w:val="0"/>
          <w:sz w:val="20"/>
          <w:szCs w:val="20"/>
          <w:highlight w:val="none"/>
        </w:rPr>
        <w:t>科学技术进步奖</w:t>
      </w:r>
      <w:r>
        <w:rPr>
          <w:rFonts w:hint="default" w:ascii="Times New Roman" w:hAnsi="Times New Roman" w:eastAsia="宋体" w:cs="Times New Roman"/>
          <w:kern w:val="0"/>
          <w:sz w:val="20"/>
          <w:szCs w:val="20"/>
          <w:highlight w:val="none"/>
        </w:rPr>
        <w:t>”</w:t>
      </w:r>
      <w:r>
        <w:rPr>
          <w:rFonts w:hint="eastAsia" w:ascii="宋体" w:hAnsi="宋体" w:eastAsia="宋体" w:cs="宋体"/>
          <w:kern w:val="0"/>
          <w:sz w:val="20"/>
          <w:szCs w:val="20"/>
          <w:highlight w:val="none"/>
        </w:rPr>
        <w:t>的获奖证书扫描件。</w:t>
      </w:r>
      <w:r>
        <w:rPr>
          <w:rFonts w:hint="eastAsia" w:ascii="宋体" w:hAnsi="宋体" w:eastAsia="宋体" w:cs="宋体"/>
          <w:b/>
          <w:bCs/>
          <w:kern w:val="0"/>
          <w:sz w:val="20"/>
          <w:szCs w:val="20"/>
          <w:highlight w:val="none"/>
          <w:u w:val="single"/>
        </w:rPr>
        <w:t>时间以获奖证书颁发时间为准，</w:t>
      </w:r>
      <w:r>
        <w:rPr>
          <w:rFonts w:hint="eastAsia" w:ascii="宋体" w:hAnsi="宋体" w:eastAsia="宋体" w:cs="宋体"/>
          <w:kern w:val="0"/>
          <w:sz w:val="20"/>
          <w:szCs w:val="20"/>
          <w:highlight w:val="none"/>
        </w:rPr>
        <w:t>获奖单位必须与投标单位名称一致，子、分公司获奖均不予计算。不符合上述条件或无法提供证书扫描件的不予计分。同一投标人获得多个多次奖项的，只按获奖最高级别计算一次分数，不得重复计算。</w:t>
      </w:r>
    </w:p>
    <w:p>
      <w:pPr>
        <w:keepNext w:val="0"/>
        <w:keepLines w:val="0"/>
        <w:widowControl/>
        <w:suppressLineNumbers w:val="0"/>
        <w:wordWrap w:val="0"/>
        <w:snapToGrid w:val="0"/>
        <w:spacing w:before="0" w:beforeAutospacing="0" w:after="0" w:afterAutospacing="0" w:line="300" w:lineRule="auto"/>
        <w:ind w:left="0" w:right="0" w:firstLine="402" w:firstLineChars="200"/>
        <w:jc w:val="both"/>
        <w:textAlignment w:val="baseline"/>
        <w:rPr>
          <w:rFonts w:hint="eastAsia" w:ascii="宋体" w:hAnsi="宋体" w:eastAsia="宋体" w:cs="宋体"/>
          <w:bCs/>
          <w:kern w:val="0"/>
          <w:sz w:val="20"/>
          <w:szCs w:val="20"/>
          <w:highlight w:val="none"/>
          <w:vertAlign w:val="baseline"/>
        </w:rPr>
      </w:pPr>
      <w:r>
        <w:rPr>
          <w:rFonts w:hint="eastAsia" w:ascii="宋体" w:hAnsi="宋体" w:eastAsia="宋体" w:cs="宋体"/>
          <w:b/>
          <w:kern w:val="2"/>
          <w:sz w:val="20"/>
          <w:szCs w:val="20"/>
          <w:highlight w:val="none"/>
          <w:vertAlign w:val="baseline"/>
          <w:lang w:val="en-US" w:eastAsia="zh-CN" w:bidi="ar"/>
        </w:rPr>
        <w:t>5、【企业财务状况】：</w:t>
      </w:r>
      <w:r>
        <w:rPr>
          <w:rFonts w:hint="eastAsia" w:ascii="宋体" w:hAnsi="宋体" w:eastAsia="宋体" w:cs="宋体"/>
          <w:kern w:val="0"/>
          <w:sz w:val="20"/>
          <w:szCs w:val="20"/>
          <w:highlight w:val="none"/>
          <w:vertAlign w:val="baseline"/>
          <w:lang w:val="en-US" w:eastAsia="zh-CN" w:bidi="ar"/>
        </w:rPr>
        <w:t>需提供经会计事务所审计的</w:t>
      </w:r>
      <w:r>
        <w:rPr>
          <w:rFonts w:hint="default" w:ascii="Calibri" w:hAnsi="Calibri" w:eastAsia="宋体" w:cs="宋体"/>
          <w:kern w:val="0"/>
          <w:sz w:val="20"/>
          <w:szCs w:val="20"/>
          <w:highlight w:val="none"/>
          <w:vertAlign w:val="baseline"/>
          <w:lang w:val="en-US" w:eastAsia="zh-CN" w:bidi="ar"/>
        </w:rPr>
        <w:t>2022</w:t>
      </w:r>
      <w:r>
        <w:rPr>
          <w:rFonts w:hint="eastAsia" w:ascii="宋体" w:hAnsi="宋体" w:eastAsia="宋体" w:cs="宋体"/>
          <w:kern w:val="0"/>
          <w:sz w:val="20"/>
          <w:szCs w:val="20"/>
          <w:highlight w:val="none"/>
          <w:vertAlign w:val="baseline"/>
          <w:lang w:val="en-US" w:eastAsia="zh-CN" w:bidi="ar"/>
        </w:rPr>
        <w:t>年度合并财务审计报告即非自身法人主体（本部）财务审计报告（包括资产负债表、利润表、现金流量表等，财务报表附注可不提供）扫描件加盖投标人电子印章。</w:t>
      </w:r>
      <w:r>
        <w:rPr>
          <w:rFonts w:hint="default" w:ascii="Calibri" w:hAnsi="Calibri" w:eastAsia="宋体" w:cs="Calibri"/>
          <w:kern w:val="0"/>
          <w:sz w:val="20"/>
          <w:szCs w:val="20"/>
          <w:highlight w:val="none"/>
          <w:vertAlign w:val="baseline"/>
          <w:lang w:val="en-US" w:eastAsia="zh-CN" w:bidi="ar"/>
        </w:rPr>
        <w:t>②</w:t>
      </w:r>
      <w:r>
        <w:rPr>
          <w:rFonts w:hint="eastAsia" w:ascii="宋体" w:hAnsi="宋体" w:eastAsia="宋体" w:cs="宋体"/>
          <w:kern w:val="0"/>
          <w:sz w:val="20"/>
          <w:szCs w:val="20"/>
          <w:highlight w:val="none"/>
          <w:vertAlign w:val="baseline"/>
          <w:lang w:val="en-US" w:eastAsia="zh-CN" w:bidi="ar"/>
        </w:rPr>
        <w:t>资产负债率计算公式：资产负债率</w:t>
      </w:r>
      <w:r>
        <w:rPr>
          <w:rFonts w:hint="default" w:ascii="Calibri" w:hAnsi="Calibri" w:eastAsia="宋体" w:cs="Calibri"/>
          <w:kern w:val="0"/>
          <w:sz w:val="20"/>
          <w:szCs w:val="20"/>
          <w:highlight w:val="none"/>
          <w:vertAlign w:val="baseline"/>
          <w:lang w:val="en-US" w:eastAsia="zh-CN" w:bidi="ar"/>
        </w:rPr>
        <w:t>X=</w:t>
      </w:r>
      <w:r>
        <w:rPr>
          <w:rFonts w:hint="eastAsia" w:ascii="宋体" w:hAnsi="宋体" w:eastAsia="宋体" w:cs="宋体"/>
          <w:kern w:val="0"/>
          <w:sz w:val="20"/>
          <w:szCs w:val="20"/>
          <w:highlight w:val="none"/>
          <w:vertAlign w:val="baseline"/>
          <w:lang w:val="en-US" w:eastAsia="zh-CN" w:bidi="ar"/>
        </w:rPr>
        <w:t>期（年）末负债总额</w:t>
      </w:r>
      <w:r>
        <w:rPr>
          <w:rFonts w:hint="default" w:ascii="Calibri" w:hAnsi="Calibri" w:eastAsia="宋体" w:cs="Calibri"/>
          <w:kern w:val="0"/>
          <w:sz w:val="20"/>
          <w:szCs w:val="20"/>
          <w:highlight w:val="none"/>
          <w:vertAlign w:val="baseline"/>
          <w:lang w:val="en-US" w:eastAsia="zh-CN" w:bidi="ar"/>
        </w:rPr>
        <w:t>/</w:t>
      </w:r>
      <w:r>
        <w:rPr>
          <w:rFonts w:hint="eastAsia" w:ascii="宋体" w:hAnsi="宋体" w:eastAsia="宋体" w:cs="宋体"/>
          <w:kern w:val="0"/>
          <w:sz w:val="20"/>
          <w:szCs w:val="20"/>
          <w:highlight w:val="none"/>
          <w:vertAlign w:val="baseline"/>
          <w:lang w:val="en-US" w:eastAsia="zh-CN" w:bidi="ar"/>
        </w:rPr>
        <w:t>期（年）末资产总额</w:t>
      </w:r>
      <w:r>
        <w:rPr>
          <w:rFonts w:hint="default" w:ascii="Calibri" w:hAnsi="Calibri" w:eastAsia="宋体" w:cs="Calibri"/>
          <w:kern w:val="0"/>
          <w:sz w:val="20"/>
          <w:szCs w:val="20"/>
          <w:highlight w:val="none"/>
          <w:vertAlign w:val="baseline"/>
          <w:lang w:val="en-US" w:eastAsia="zh-CN" w:bidi="ar"/>
        </w:rPr>
        <w:t>×100%</w:t>
      </w:r>
      <w:r>
        <w:rPr>
          <w:rFonts w:hint="eastAsia" w:ascii="宋体" w:hAnsi="宋体" w:eastAsia="宋体" w:cs="宋体"/>
          <w:kern w:val="0"/>
          <w:sz w:val="20"/>
          <w:szCs w:val="20"/>
          <w:highlight w:val="none"/>
          <w:vertAlign w:val="baseline"/>
          <w:lang w:val="en-US" w:eastAsia="zh-CN" w:bidi="ar"/>
        </w:rPr>
        <w:t>。不符合上述条件或未提供上述资料的不得分。</w:t>
      </w:r>
    </w:p>
    <w:p>
      <w:pPr>
        <w:keepNext w:val="0"/>
        <w:keepLines w:val="0"/>
        <w:widowControl/>
        <w:suppressLineNumbers w:val="0"/>
        <w:shd w:val="clear" w:fill="FFFFFF"/>
        <w:spacing w:before="0" w:beforeAutospacing="0" w:after="0" w:afterAutospacing="0"/>
        <w:ind w:left="0" w:right="0" w:firstLine="402" w:firstLineChars="200"/>
        <w:jc w:val="both"/>
        <w:rPr>
          <w:rFonts w:hint="eastAsia" w:ascii="宋体" w:hAnsi="宋体" w:eastAsia="宋体" w:cs="宋体"/>
          <w:b/>
          <w:kern w:val="2"/>
          <w:sz w:val="20"/>
          <w:szCs w:val="20"/>
          <w:highlight w:val="none"/>
          <w:shd w:val="clear" w:fill="FFFFFF"/>
        </w:rPr>
      </w:pPr>
      <w:r>
        <w:rPr>
          <w:rFonts w:hint="eastAsia" w:ascii="宋体" w:hAnsi="宋体" w:eastAsia="宋体" w:cs="宋体"/>
          <w:b/>
          <w:kern w:val="2"/>
          <w:sz w:val="20"/>
          <w:szCs w:val="20"/>
          <w:highlight w:val="none"/>
          <w:shd w:val="clear" w:fill="FFFFFF"/>
          <w:lang w:val="en-US" w:eastAsia="zh-CN" w:bidi="ar"/>
        </w:rPr>
        <w:t>6、【第三方评价】</w:t>
      </w:r>
      <w:r>
        <w:rPr>
          <w:rFonts w:hint="eastAsia" w:ascii="宋体" w:hAnsi="宋体" w:eastAsia="宋体" w:cs="宋体"/>
          <w:kern w:val="2"/>
          <w:sz w:val="20"/>
          <w:szCs w:val="20"/>
          <w:highlight w:val="none"/>
          <w:shd w:val="clear" w:fill="FFFFFF"/>
          <w:lang w:val="en-US" w:eastAsia="zh-CN" w:bidi="ar"/>
        </w:rPr>
        <w:t>：</w:t>
      </w:r>
    </w:p>
    <w:p>
      <w:pPr>
        <w:pStyle w:val="3"/>
        <w:widowControl/>
        <w:rPr>
          <w:rFonts w:hint="default" w:ascii="Times New Roman" w:hAnsi="Times New Roman" w:eastAsia="宋体" w:cs="宋体"/>
          <w:kern w:val="0"/>
          <w:sz w:val="20"/>
          <w:szCs w:val="20"/>
          <w:highlight w:val="none"/>
        </w:rPr>
      </w:pPr>
      <w:r>
        <w:rPr>
          <w:rFonts w:hint="eastAsia" w:ascii="宋体" w:hAnsi="宋体" w:eastAsia="宋体" w:cs="宋体"/>
          <w:kern w:val="0"/>
          <w:sz w:val="20"/>
          <w:szCs w:val="20"/>
          <w:highlight w:val="none"/>
        </w:rPr>
        <w:t>（</w:t>
      </w:r>
      <w:r>
        <w:rPr>
          <w:rFonts w:hint="default" w:ascii="Times New Roman" w:hAnsi="Times New Roman" w:eastAsia="宋体" w:cs="宋体"/>
          <w:kern w:val="0"/>
          <w:sz w:val="20"/>
          <w:szCs w:val="20"/>
          <w:highlight w:val="none"/>
        </w:rPr>
        <w:t>1</w:t>
      </w:r>
      <w:r>
        <w:rPr>
          <w:rFonts w:hint="eastAsia" w:ascii="宋体" w:hAnsi="宋体" w:eastAsia="宋体" w:cs="宋体"/>
          <w:kern w:val="0"/>
          <w:sz w:val="20"/>
          <w:szCs w:val="20"/>
          <w:highlight w:val="none"/>
        </w:rPr>
        <w:t>）管理体系认证：</w:t>
      </w:r>
      <w:r>
        <w:rPr>
          <w:rFonts w:hint="eastAsia" w:ascii="宋体" w:hAnsi="宋体" w:eastAsia="宋体" w:cs="宋体"/>
          <w:kern w:val="0"/>
          <w:sz w:val="20"/>
          <w:szCs w:val="20"/>
          <w:highlight w:val="none"/>
          <w:vertAlign w:val="baseline"/>
          <w:lang w:val="en-US" w:eastAsia="zh-CN" w:bidi="ar"/>
        </w:rPr>
        <w:t>只计算投标人自身（不含投标人的子、分公司或区域公司）。需同时提供体系证书原件扫描件及在国家认证认可监督管理委员会（网址：</w:t>
      </w:r>
      <w:r>
        <w:rPr>
          <w:rFonts w:hint="eastAsia" w:ascii="宋体" w:hAnsi="宋体" w:eastAsia="宋体" w:cs="宋体"/>
          <w:kern w:val="0"/>
          <w:sz w:val="20"/>
          <w:szCs w:val="20"/>
          <w:highlight w:val="none"/>
          <w:vertAlign w:val="baseline"/>
          <w:lang w:val="en-US" w:eastAsia="zh-CN" w:bidi="ar"/>
        </w:rPr>
        <w:fldChar w:fldCharType="begin"/>
      </w:r>
      <w:r>
        <w:rPr>
          <w:rFonts w:hint="eastAsia" w:ascii="宋体" w:hAnsi="宋体" w:eastAsia="宋体" w:cs="宋体"/>
          <w:kern w:val="0"/>
          <w:sz w:val="20"/>
          <w:szCs w:val="20"/>
          <w:highlight w:val="none"/>
          <w:vertAlign w:val="baseline"/>
          <w:lang w:val="en-US" w:eastAsia="zh-CN" w:bidi="ar"/>
        </w:rPr>
        <w:instrText xml:space="preserve"> HYPERLINK "http://www.cnca.gov.cn/）网站查询结果截图并加盖投标单位电子印章，并提供证书相关的网页截图，已失效或撤销或无提供的不得分。" </w:instrText>
      </w:r>
      <w:r>
        <w:rPr>
          <w:rFonts w:hint="eastAsia" w:ascii="宋体" w:hAnsi="宋体" w:eastAsia="宋体" w:cs="宋体"/>
          <w:kern w:val="0"/>
          <w:sz w:val="20"/>
          <w:szCs w:val="20"/>
          <w:highlight w:val="none"/>
          <w:vertAlign w:val="baseline"/>
          <w:lang w:val="en-US" w:eastAsia="zh-CN" w:bidi="ar"/>
        </w:rPr>
        <w:fldChar w:fldCharType="separate"/>
      </w:r>
      <w:r>
        <w:rPr>
          <w:rFonts w:hint="default" w:ascii="宋体" w:hAnsi="宋体" w:eastAsia="宋体" w:cs="宋体"/>
          <w:kern w:val="0"/>
          <w:sz w:val="20"/>
          <w:szCs w:val="20"/>
          <w:highlight w:val="none"/>
          <w:vertAlign w:val="baseline"/>
          <w:lang w:val="en-US" w:eastAsia="zh-CN" w:bidi="ar"/>
        </w:rPr>
        <w:t>http://www.cnca.gov.cn/</w:t>
      </w:r>
      <w:r>
        <w:rPr>
          <w:rFonts w:hint="eastAsia" w:ascii="宋体" w:hAnsi="宋体" w:eastAsia="宋体" w:cs="宋体"/>
          <w:kern w:val="0"/>
          <w:sz w:val="20"/>
          <w:szCs w:val="20"/>
          <w:highlight w:val="none"/>
          <w:vertAlign w:val="baseline"/>
          <w:lang w:val="en-US" w:eastAsia="zh-CN" w:bidi="ar"/>
        </w:rPr>
        <w:t>）网站查询结果截图并加盖投标单位电子印章，并提供证书相关的网页截图，已失效或撤销或无提供的不得分。</w:t>
      </w:r>
      <w:r>
        <w:rPr>
          <w:rFonts w:hint="eastAsia" w:ascii="宋体" w:hAnsi="宋体" w:eastAsia="宋体" w:cs="宋体"/>
          <w:kern w:val="0"/>
          <w:sz w:val="20"/>
          <w:szCs w:val="20"/>
          <w:highlight w:val="none"/>
          <w:vertAlign w:val="baseline"/>
          <w:lang w:val="en-US" w:eastAsia="zh-CN" w:bidi="ar"/>
        </w:rPr>
        <w:fldChar w:fldCharType="end"/>
      </w:r>
    </w:p>
    <w:p>
      <w:pPr>
        <w:pStyle w:val="3"/>
        <w:widowControl/>
        <w:rPr>
          <w:rFonts w:hint="default" w:ascii="Times New Roman" w:hAnsi="Times New Roman" w:eastAsia="宋体" w:cs="宋体"/>
          <w:kern w:val="0"/>
          <w:sz w:val="20"/>
          <w:szCs w:val="20"/>
          <w:highlight w:val="none"/>
        </w:rPr>
      </w:pPr>
      <w:r>
        <w:rPr>
          <w:rFonts w:hint="eastAsia" w:ascii="宋体" w:hAnsi="宋体" w:eastAsia="宋体" w:cs="宋体"/>
          <w:kern w:val="0"/>
          <w:sz w:val="20"/>
          <w:szCs w:val="20"/>
          <w:highlight w:val="none"/>
        </w:rPr>
        <w:t>（</w:t>
      </w:r>
      <w:r>
        <w:rPr>
          <w:rFonts w:hint="default" w:ascii="Times New Roman" w:hAnsi="Times New Roman" w:eastAsia="宋体" w:cs="宋体"/>
          <w:kern w:val="0"/>
          <w:sz w:val="20"/>
          <w:szCs w:val="20"/>
          <w:highlight w:val="none"/>
        </w:rPr>
        <w:t>2</w:t>
      </w:r>
      <w:r>
        <w:rPr>
          <w:rFonts w:hint="eastAsia" w:ascii="宋体" w:hAnsi="宋体" w:eastAsia="宋体" w:cs="宋体"/>
          <w:kern w:val="0"/>
          <w:sz w:val="20"/>
          <w:szCs w:val="20"/>
          <w:highlight w:val="none"/>
        </w:rPr>
        <w:t>）投标人（只计算投标人自身，不计算投标人的分公司、子公司和分支机构）须提供纳税信用</w:t>
      </w:r>
      <w:r>
        <w:rPr>
          <w:rFonts w:hint="default" w:ascii="Times New Roman" w:hAnsi="Times New Roman" w:eastAsia="宋体" w:cs="Times New Roman"/>
          <w:kern w:val="0"/>
          <w:sz w:val="20"/>
          <w:szCs w:val="20"/>
          <w:highlight w:val="none"/>
        </w:rPr>
        <w:t>A</w:t>
      </w:r>
      <w:r>
        <w:rPr>
          <w:rFonts w:hint="eastAsia" w:ascii="宋体" w:hAnsi="宋体" w:eastAsia="宋体" w:cs="宋体"/>
          <w:kern w:val="0"/>
          <w:sz w:val="20"/>
          <w:szCs w:val="20"/>
          <w:highlight w:val="none"/>
        </w:rPr>
        <w:t>级纳税人证书扫描件或省级（或以上）国家税务局官网（含在国家税务局官网单列的城市）纳税信用信息查询结果的网页截图并加盖投标人电子印章，时间以证书上注明的公示评价（评定）年度为准。不符合上述条件或未按要求提供上述材料的不计分。</w:t>
      </w:r>
    </w:p>
    <w:p>
      <w:pPr>
        <w:pStyle w:val="3"/>
        <w:widowControl/>
        <w:rPr>
          <w:rFonts w:hint="default" w:ascii="Times New Roman" w:hAnsi="Times New Roman" w:eastAsia="宋体" w:cs="宋体"/>
          <w:kern w:val="0"/>
          <w:sz w:val="20"/>
          <w:szCs w:val="20"/>
          <w:highlight w:val="none"/>
        </w:rPr>
      </w:pPr>
      <w:r>
        <w:rPr>
          <w:rFonts w:hint="default" w:ascii="Times New Roman" w:hAnsi="Times New Roman" w:eastAsia="宋体" w:cs="宋体"/>
          <w:kern w:val="0"/>
          <w:sz w:val="20"/>
          <w:szCs w:val="20"/>
          <w:highlight w:val="none"/>
        </w:rPr>
        <w:t>7</w:t>
      </w:r>
      <w:r>
        <w:rPr>
          <w:rFonts w:hint="eastAsia" w:ascii="宋体" w:hAnsi="宋体" w:eastAsia="宋体" w:cs="宋体"/>
          <w:kern w:val="0"/>
          <w:sz w:val="20"/>
          <w:szCs w:val="20"/>
          <w:highlight w:val="none"/>
        </w:rPr>
        <w:t>、投标人所提供资料同时满足多个档次的，按满足的最高档次得分。</w:t>
      </w:r>
    </w:p>
    <w:p>
      <w:pPr>
        <w:pStyle w:val="3"/>
        <w:widowControl/>
        <w:rPr>
          <w:rFonts w:hint="default" w:ascii="Times New Roman" w:hAnsi="Times New Roman" w:eastAsia="宋体" w:cs="宋体"/>
          <w:kern w:val="0"/>
          <w:sz w:val="20"/>
          <w:szCs w:val="20"/>
          <w:highlight w:val="none"/>
        </w:rPr>
      </w:pPr>
      <w:r>
        <w:rPr>
          <w:rFonts w:hint="default" w:ascii="Times New Roman" w:hAnsi="Times New Roman" w:eastAsia="宋体" w:cs="宋体"/>
          <w:kern w:val="0"/>
          <w:sz w:val="20"/>
          <w:szCs w:val="20"/>
          <w:highlight w:val="none"/>
        </w:rPr>
        <w:t>8</w:t>
      </w:r>
      <w:r>
        <w:rPr>
          <w:rFonts w:hint="eastAsia" w:ascii="宋体" w:hAnsi="宋体" w:eastAsia="宋体" w:cs="宋体"/>
          <w:kern w:val="0"/>
          <w:sz w:val="20"/>
          <w:szCs w:val="20"/>
          <w:highlight w:val="none"/>
        </w:rPr>
        <w:t>、投标人得分为各评委评分的算术平均值（若分数出现小数点时，保留小数点后二位，第三位小数四舍五入）。</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bidi="ar"/>
        </w:rPr>
        <w:t xml:space="preserve"> </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bidi="ar"/>
        </w:rPr>
        <w:t xml:space="preserve">评委签名：                     日期：   </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highlight w:val="none"/>
        </w:rPr>
      </w:pPr>
    </w:p>
    <w:p>
      <w:pPr>
        <w:rPr>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0000000000000000000"/>
    <w:charset w:val="00"/>
    <w:family w:val="auto"/>
    <w:pitch w:val="default"/>
    <w:sig w:usb0="00000000" w:usb1="00000000" w:usb2="00000000" w:usb3="00000000" w:csb0="00000000" w:csb1="00000000"/>
  </w:font>
  <w:font w:name="Century Schoolbook">
    <w:altName w:val="Century"/>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E5958"/>
    <w:multiLevelType w:val="multilevel"/>
    <w:tmpl w:val="9DEE595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FBF683A0"/>
    <w:multiLevelType w:val="multilevel"/>
    <w:tmpl w:val="FBF683A0"/>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ViY2JkMjU3NGYzZTEwMzZmMGFkZWViYmNkYWU3NDIifQ=="/>
  </w:docVars>
  <w:rsids>
    <w:rsidRoot w:val="006E26ED"/>
    <w:rsid w:val="000E3242"/>
    <w:rsid w:val="000F03B9"/>
    <w:rsid w:val="0013590A"/>
    <w:rsid w:val="001446CE"/>
    <w:rsid w:val="001754D1"/>
    <w:rsid w:val="001F60FD"/>
    <w:rsid w:val="00273BF6"/>
    <w:rsid w:val="00295693"/>
    <w:rsid w:val="00313F3B"/>
    <w:rsid w:val="00374CBA"/>
    <w:rsid w:val="003A6F87"/>
    <w:rsid w:val="003B5761"/>
    <w:rsid w:val="003B6C90"/>
    <w:rsid w:val="003C4331"/>
    <w:rsid w:val="00405559"/>
    <w:rsid w:val="00411EC5"/>
    <w:rsid w:val="00446591"/>
    <w:rsid w:val="00476E8C"/>
    <w:rsid w:val="006874A1"/>
    <w:rsid w:val="00697DDA"/>
    <w:rsid w:val="006E26ED"/>
    <w:rsid w:val="00705016"/>
    <w:rsid w:val="00714771"/>
    <w:rsid w:val="00751C3C"/>
    <w:rsid w:val="00755A33"/>
    <w:rsid w:val="007A1BED"/>
    <w:rsid w:val="007B3FE4"/>
    <w:rsid w:val="007C324B"/>
    <w:rsid w:val="00853710"/>
    <w:rsid w:val="00866469"/>
    <w:rsid w:val="008A070D"/>
    <w:rsid w:val="00B21D0E"/>
    <w:rsid w:val="00B87CE9"/>
    <w:rsid w:val="00CA2FE8"/>
    <w:rsid w:val="00DF3232"/>
    <w:rsid w:val="00EE3A9F"/>
    <w:rsid w:val="00F53AA0"/>
    <w:rsid w:val="00FA1396"/>
    <w:rsid w:val="00FB6774"/>
    <w:rsid w:val="05FF33E3"/>
    <w:rsid w:val="0AD97031"/>
    <w:rsid w:val="14056D2E"/>
    <w:rsid w:val="1559533D"/>
    <w:rsid w:val="16FF9C72"/>
    <w:rsid w:val="1DEF27E3"/>
    <w:rsid w:val="2D1C7F52"/>
    <w:rsid w:val="3ECF3C71"/>
    <w:rsid w:val="3FBA7511"/>
    <w:rsid w:val="3FE557D3"/>
    <w:rsid w:val="48510856"/>
    <w:rsid w:val="4D1060F9"/>
    <w:rsid w:val="5BA04553"/>
    <w:rsid w:val="5D8D0C62"/>
    <w:rsid w:val="76BF6E56"/>
    <w:rsid w:val="79751B03"/>
    <w:rsid w:val="7CA71700"/>
    <w:rsid w:val="7F140AA3"/>
    <w:rsid w:val="7FBF9F90"/>
    <w:rsid w:val="7FEF5048"/>
    <w:rsid w:val="91F94B40"/>
    <w:rsid w:val="EFFD4356"/>
    <w:rsid w:val="FD9904DA"/>
    <w:rsid w:val="FF2D81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val="0"/>
      <w:keepLines w:val="0"/>
      <w:widowControl w:val="0"/>
      <w:suppressLineNumbers w:val="0"/>
      <w:autoSpaceDE w:val="0"/>
      <w:autoSpaceDN w:val="0"/>
      <w:spacing w:before="2" w:beforeAutospacing="0" w:after="0" w:afterAutospacing="0"/>
      <w:ind w:left="215" w:right="0"/>
      <w:jc w:val="left"/>
      <w:outlineLvl w:val="0"/>
    </w:pPr>
    <w:rPr>
      <w:rFonts w:hint="eastAsia" w:ascii="宋体" w:hAnsi="宋体" w:eastAsia="宋体" w:cs="宋体"/>
      <w:b/>
      <w:kern w:val="0"/>
      <w:sz w:val="24"/>
      <w:szCs w:val="24"/>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semiHidden/>
    <w:unhideWhenUsed/>
    <w:qFormat/>
    <w:uiPriority w:val="99"/>
    <w:pPr>
      <w:keepNext w:val="0"/>
      <w:keepLines w:val="0"/>
      <w:widowControl w:val="0"/>
      <w:suppressLineNumbers w:val="0"/>
      <w:spacing w:before="0" w:beforeAutospacing="0" w:after="0" w:afterAutospacing="0"/>
      <w:ind w:left="0" w:right="0" w:firstLine="420"/>
      <w:jc w:val="both"/>
    </w:pPr>
    <w:rPr>
      <w:rFonts w:hint="default" w:ascii="Times New Roman" w:hAnsi="Times New Roman" w:eastAsia="宋体" w:cs="Times New Roman"/>
      <w:kern w:val="0"/>
      <w:sz w:val="20"/>
      <w:szCs w:val="20"/>
      <w:lang w:val="en-US" w:eastAsia="zh-CN" w:bidi="ar"/>
    </w:rPr>
  </w:style>
  <w:style w:type="paragraph" w:styleId="4">
    <w:name w:val="Body Text"/>
    <w:basedOn w:val="1"/>
    <w:semiHidden/>
    <w:unhideWhenUsed/>
    <w:uiPriority w:val="99"/>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1"/>
      <w:szCs w:val="21"/>
      <w:lang w:val="en-US" w:eastAsia="zh-CN" w:bidi="ar"/>
    </w:rPr>
  </w:style>
  <w:style w:type="paragraph" w:styleId="5">
    <w:name w:val="footer"/>
    <w:basedOn w:val="1"/>
    <w:semiHidden/>
    <w:unhideWhenUsed/>
    <w:uiPriority w:val="99"/>
    <w:pPr>
      <w:tabs>
        <w:tab w:val="center" w:pos="4153"/>
        <w:tab w:val="right" w:pos="8306"/>
      </w:tabs>
      <w:snapToGrid w:val="0"/>
      <w:jc w:val="left"/>
    </w:pPr>
    <w:rPr>
      <w:sz w:val="18"/>
    </w:rPr>
  </w:style>
  <w:style w:type="paragraph" w:styleId="6">
    <w:name w:val="header"/>
    <w:basedOn w:val="1"/>
    <w:autoRedefine/>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10">
    <w:name w:val="Hyperlink"/>
    <w:basedOn w:val="9"/>
    <w:semiHidden/>
    <w:unhideWhenUsed/>
    <w:uiPriority w:val="99"/>
    <w:rPr>
      <w:color w:val="0000FF"/>
      <w:u w:val="single"/>
    </w:rPr>
  </w:style>
  <w:style w:type="character" w:customStyle="1" w:styleId="11">
    <w:name w:val="15"/>
    <w:basedOn w:val="9"/>
    <w:autoRedefine/>
    <w:qFormat/>
    <w:uiPriority w:val="0"/>
    <w:rPr>
      <w:rFonts w:hint="default" w:ascii="Calibri" w:hAnsi="Calibri" w:eastAsia="宋体"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7</Pages>
  <Words>0</Words>
  <Characters>0</Characters>
  <Lines>1</Lines>
  <Paragraphs>1</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2018-12-27T16:33:00Z</dcterms:created>
  <dc:creator>测试2</dc:creator>
  <cp:lastModifiedBy>kobekakaxi薛</cp:lastModifiedBy>
  <dcterms:modified xsi:type="dcterms:W3CDTF">2024-04-03T11:50:52Z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61EA7D31519D406697AA7D72767839DC_12</vt:lpwstr>
  </property>
</Properties>
</file>