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360" w:lineRule="auto"/>
        <w:jc w:val="center"/>
        <w:outlineLvl w:val="0"/>
        <w:rPr>
          <w:rFonts w:ascii="黑体" w:hAnsi="黑体" w:eastAsia="黑体" w:cs="黑体"/>
          <w:sz w:val="36"/>
          <w:szCs w:val="36"/>
        </w:rPr>
      </w:pPr>
      <w:r>
        <w:rPr>
          <w:rFonts w:hint="eastAsia" w:ascii="黑体" w:hAnsi="黑体" w:eastAsia="黑体" w:cs="黑体"/>
          <w:sz w:val="36"/>
          <w:szCs w:val="36"/>
        </w:rPr>
        <w:t>广东奥林匹克体育中心升级改造项目</w:t>
      </w:r>
    </w:p>
    <w:p>
      <w:pPr>
        <w:adjustRightInd w:val="0"/>
        <w:snapToGrid w:val="0"/>
        <w:spacing w:line="360" w:lineRule="auto"/>
        <w:jc w:val="center"/>
        <w:outlineLvl w:val="0"/>
        <w:rPr>
          <w:rFonts w:ascii="黑体" w:hAnsi="黑体" w:eastAsia="黑体" w:cs="黑体"/>
          <w:sz w:val="36"/>
          <w:szCs w:val="36"/>
        </w:rPr>
      </w:pPr>
      <w:bookmarkStart w:id="0" w:name="_Toc31405"/>
      <w:bookmarkStart w:id="1" w:name="_Toc159596162"/>
      <w:bookmarkStart w:id="2" w:name="_Toc30143"/>
      <w:bookmarkStart w:id="3" w:name="_Toc3388"/>
      <w:bookmarkStart w:id="4" w:name="_Toc2320"/>
      <w:bookmarkStart w:id="5" w:name="_Toc5966"/>
      <w:bookmarkStart w:id="6" w:name="_Toc5255"/>
      <w:bookmarkStart w:id="7" w:name="_Toc1678"/>
      <w:r>
        <w:rPr>
          <w:rFonts w:hint="eastAsia" w:ascii="黑体" w:hAnsi="黑体" w:eastAsia="黑体" w:cs="黑体"/>
          <w:sz w:val="36"/>
          <w:szCs w:val="36"/>
        </w:rPr>
        <w:t>施工总承包</w:t>
      </w:r>
      <w:bookmarkEnd w:id="0"/>
      <w:bookmarkEnd w:id="1"/>
      <w:bookmarkEnd w:id="2"/>
      <w:bookmarkEnd w:id="3"/>
      <w:bookmarkEnd w:id="4"/>
      <w:bookmarkEnd w:id="5"/>
      <w:bookmarkEnd w:id="6"/>
      <w:bookmarkEnd w:id="7"/>
    </w:p>
    <w:p>
      <w:pPr>
        <w:adjustRightInd w:val="0"/>
        <w:snapToGrid w:val="0"/>
        <w:spacing w:line="360" w:lineRule="auto"/>
        <w:jc w:val="center"/>
        <w:rPr>
          <w:rFonts w:ascii="黑体" w:hAnsi="黑体" w:eastAsia="黑体" w:cs="黑体"/>
          <w:sz w:val="72"/>
          <w:szCs w:val="72"/>
        </w:rPr>
      </w:pPr>
      <w:r>
        <w:rPr>
          <w:rFonts w:hint="eastAsia" w:ascii="黑体" w:hAnsi="黑体" w:eastAsia="黑体" w:cs="黑体"/>
          <w:sz w:val="72"/>
          <w:szCs w:val="72"/>
        </w:rPr>
        <w:t>项目管理要求</w:t>
      </w:r>
    </w:p>
    <w:p>
      <w:pPr>
        <w:adjustRightInd w:val="0"/>
        <w:snapToGrid w:val="0"/>
        <w:spacing w:line="360" w:lineRule="auto"/>
        <w:jc w:val="center"/>
        <w:rPr>
          <w:rFonts w:ascii="黑体" w:hAnsi="黑体" w:eastAsia="黑体" w:cs="黑体"/>
          <w:sz w:val="72"/>
          <w:szCs w:val="72"/>
        </w:rPr>
      </w:pPr>
      <w:r>
        <w:rPr>
          <w:rFonts w:hint="eastAsia" w:ascii="黑体" w:hAnsi="黑体" w:eastAsia="黑体" w:cs="黑体"/>
          <w:sz w:val="72"/>
          <w:szCs w:val="72"/>
        </w:rPr>
        <w:drawing>
          <wp:inline distT="0" distB="0" distL="114300" distR="114300">
            <wp:extent cx="5232400" cy="3924300"/>
            <wp:effectExtent l="0" t="0" r="10160" b="7620"/>
            <wp:docPr id="17" name="图片 16" descr="DJI_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descr="DJI_0034"/>
                    <pic:cNvPicPr>
                      <a:picLocks noChangeAspect="1"/>
                    </pic:cNvPicPr>
                  </pic:nvPicPr>
                  <pic:blipFill>
                    <a:blip r:embed="rId11"/>
                    <a:stretch>
                      <a:fillRect/>
                    </a:stretch>
                  </pic:blipFill>
                  <pic:spPr>
                    <a:xfrm>
                      <a:off x="0" y="0"/>
                      <a:ext cx="5232400" cy="3924300"/>
                    </a:xfrm>
                    <a:prstGeom prst="rect">
                      <a:avLst/>
                    </a:prstGeom>
                    <a:noFill/>
                    <a:ln>
                      <a:noFill/>
                    </a:ln>
                  </pic:spPr>
                </pic:pic>
              </a:graphicData>
            </a:graphic>
          </wp:inline>
        </w:drawing>
      </w:r>
    </w:p>
    <w:p>
      <w:pPr>
        <w:adjustRightInd w:val="0"/>
        <w:snapToGrid w:val="0"/>
        <w:spacing w:line="360" w:lineRule="auto"/>
        <w:jc w:val="center"/>
        <w:rPr>
          <w:rFonts w:ascii="宋体" w:hAnsi="宋体" w:cs="宋体"/>
          <w:sz w:val="32"/>
          <w:szCs w:val="32"/>
        </w:rPr>
      </w:pPr>
    </w:p>
    <w:p>
      <w:pPr>
        <w:adjustRightInd w:val="0"/>
        <w:snapToGrid w:val="0"/>
        <w:spacing w:line="360" w:lineRule="auto"/>
        <w:jc w:val="center"/>
        <w:rPr>
          <w:rFonts w:ascii="宋体" w:hAnsi="宋体" w:cs="宋体"/>
          <w:sz w:val="32"/>
          <w:szCs w:val="32"/>
        </w:rPr>
      </w:pPr>
      <w:r>
        <w:rPr>
          <w:rFonts w:hint="eastAsia" w:ascii="宋体" w:hAnsi="宋体" w:cs="宋体"/>
          <w:sz w:val="32"/>
          <w:szCs w:val="32"/>
        </w:rPr>
        <w:t>2024年2月</w:t>
      </w:r>
    </w:p>
    <w:p>
      <w:pPr>
        <w:adjustRightInd w:val="0"/>
        <w:snapToGrid w:val="0"/>
        <w:spacing w:line="360" w:lineRule="auto"/>
        <w:jc w:val="center"/>
        <w:rPr>
          <w:rFonts w:ascii="宋体" w:hAnsi="宋体" w:cs="宋体"/>
          <w:sz w:val="32"/>
          <w:szCs w:val="32"/>
        </w:rPr>
      </w:pPr>
    </w:p>
    <w:p>
      <w:pPr>
        <w:adjustRightInd w:val="0"/>
        <w:snapToGrid w:val="0"/>
        <w:spacing w:line="360" w:lineRule="auto"/>
        <w:jc w:val="center"/>
        <w:rPr>
          <w:rFonts w:ascii="宋体" w:hAnsi="宋体" w:cs="宋体"/>
          <w:sz w:val="32"/>
          <w:szCs w:val="32"/>
        </w:rPr>
      </w:pPr>
    </w:p>
    <w:p>
      <w:pPr>
        <w:adjustRightInd w:val="0"/>
        <w:snapToGrid w:val="0"/>
        <w:spacing w:line="360" w:lineRule="auto"/>
        <w:jc w:val="center"/>
        <w:rPr>
          <w:rFonts w:ascii="宋体" w:hAnsi="宋体" w:cs="宋体"/>
          <w:sz w:val="32"/>
          <w:szCs w:val="32"/>
        </w:rPr>
      </w:pPr>
    </w:p>
    <w:p>
      <w:pPr>
        <w:adjustRightInd w:val="0"/>
        <w:snapToGrid w:val="0"/>
        <w:spacing w:line="360" w:lineRule="auto"/>
        <w:jc w:val="center"/>
        <w:rPr>
          <w:rFonts w:ascii="宋体" w:hAnsi="宋体" w:cs="宋体"/>
          <w:sz w:val="32"/>
          <w:szCs w:val="32"/>
        </w:rPr>
      </w:pPr>
    </w:p>
    <w:p>
      <w:pPr>
        <w:adjustRightInd w:val="0"/>
        <w:snapToGrid w:val="0"/>
        <w:spacing w:line="360" w:lineRule="auto"/>
        <w:jc w:val="center"/>
        <w:rPr>
          <w:rFonts w:ascii="宋体" w:hAnsi="宋体" w:cs="宋体"/>
          <w:sz w:val="32"/>
          <w:szCs w:val="32"/>
        </w:rPr>
      </w:pPr>
    </w:p>
    <w:p>
      <w:pPr>
        <w:adjustRightInd w:val="0"/>
        <w:snapToGrid w:val="0"/>
        <w:spacing w:line="360" w:lineRule="auto"/>
        <w:jc w:val="center"/>
        <w:rPr>
          <w:rFonts w:ascii="Calibri" w:hAnsi="Calibri"/>
          <w:caps/>
        </w:rPr>
      </w:pPr>
      <w:r>
        <w:rPr>
          <w:rFonts w:hint="eastAsia" w:ascii="黑体" w:hAnsi="黑体" w:eastAsia="黑体" w:cs="黑体"/>
          <w:sz w:val="44"/>
          <w:szCs w:val="44"/>
        </w:rPr>
        <w:t>目 录</w:t>
      </w:r>
      <w:r>
        <w:rPr>
          <w:b/>
        </w:rPr>
        <w:fldChar w:fldCharType="begin"/>
      </w:r>
      <w:r>
        <w:rPr>
          <w:b/>
        </w:rPr>
        <w:instrText xml:space="preserve">TOC \o "1-2" \h \u </w:instrText>
      </w:r>
      <w:r>
        <w:rPr>
          <w:b/>
        </w:rPr>
        <w:fldChar w:fldCharType="separate"/>
      </w:r>
    </w:p>
    <w:p>
      <w:pPr>
        <w:pStyle w:val="12"/>
        <w:rPr>
          <w:rFonts w:ascii="Calibri" w:hAnsi="Calibri"/>
          <w:caps w:val="0"/>
          <w:kern w:val="2"/>
          <w:sz w:val="21"/>
          <w:szCs w:val="22"/>
        </w:rPr>
      </w:pPr>
      <w:r>
        <w:fldChar w:fldCharType="begin"/>
      </w:r>
      <w:r>
        <w:instrText xml:space="preserve"> HYPERLINK \l "_Toc159596163" </w:instrText>
      </w:r>
      <w:r>
        <w:fldChar w:fldCharType="separate"/>
      </w:r>
      <w:r>
        <w:rPr>
          <w:rStyle w:val="18"/>
          <w:rFonts w:hint="eastAsia" w:ascii="黑体" w:hAnsi="黑体" w:eastAsia="黑体" w:cs="黑体"/>
          <w:color w:val="auto"/>
        </w:rPr>
        <w:t>一、工程概况</w:t>
      </w:r>
      <w:r>
        <w:rPr>
          <w:rFonts w:hint="eastAsia"/>
        </w:rPr>
        <w:tab/>
      </w:r>
      <w:r>
        <w:rPr>
          <w:rFonts w:hint="eastAsia"/>
        </w:rPr>
        <w:fldChar w:fldCharType="begin"/>
      </w:r>
      <w:r>
        <w:rPr>
          <w:rFonts w:hint="eastAsia"/>
        </w:rPr>
        <w:instrText xml:space="preserve"> </w:instrText>
      </w:r>
      <w:r>
        <w:instrText xml:space="preserve">PAGEREF _Toc159596163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"_Toc159596164" </w:instrText>
      </w:r>
      <w:r>
        <w:fldChar w:fldCharType="separate"/>
      </w:r>
      <w:r>
        <w:rPr>
          <w:rStyle w:val="18"/>
          <w:rFonts w:hint="eastAsia"/>
          <w:color w:val="auto"/>
        </w:rPr>
        <w:t>（一）简介</w:t>
      </w:r>
      <w:r>
        <w:rPr>
          <w:rFonts w:hint="eastAsia"/>
        </w:rPr>
        <w:tab/>
      </w:r>
      <w:r>
        <w:rPr>
          <w:rFonts w:hint="eastAsia"/>
        </w:rPr>
        <w:fldChar w:fldCharType="begin"/>
      </w:r>
      <w:r>
        <w:rPr>
          <w:rFonts w:hint="eastAsia"/>
        </w:rPr>
        <w:instrText xml:space="preserve"> </w:instrText>
      </w:r>
      <w:r>
        <w:instrText xml:space="preserve">PAGEREF _Toc159596164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"_Toc159596165" </w:instrText>
      </w:r>
      <w:r>
        <w:fldChar w:fldCharType="separate"/>
      </w:r>
      <w:r>
        <w:rPr>
          <w:rStyle w:val="18"/>
          <w:rFonts w:hint="eastAsia"/>
          <w:color w:val="auto"/>
        </w:rPr>
        <w:t>（二）项目现状</w:t>
      </w:r>
      <w:r>
        <w:rPr>
          <w:rFonts w:hint="eastAsia"/>
        </w:rPr>
        <w:tab/>
      </w:r>
      <w:r>
        <w:rPr>
          <w:rFonts w:hint="eastAsia"/>
        </w:rPr>
        <w:fldChar w:fldCharType="begin"/>
      </w:r>
      <w:r>
        <w:rPr>
          <w:rFonts w:hint="eastAsia"/>
        </w:rPr>
        <w:instrText xml:space="preserve"> </w:instrText>
      </w:r>
      <w:r>
        <w:instrText xml:space="preserve">PAGEREF _Toc159596165 \h</w:instrText>
      </w:r>
      <w:r>
        <w:rPr>
          <w:rFonts w:hint="eastAsia"/>
        </w:rPr>
        <w:instrText xml:space="preserve"> </w:instrText>
      </w:r>
      <w:r>
        <w:rPr>
          <w:rFonts w:hint="eastAsia"/>
        </w:rPr>
        <w:fldChar w:fldCharType="separate"/>
      </w:r>
      <w:r>
        <w:t>2</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"_Toc159596166" </w:instrText>
      </w:r>
      <w:r>
        <w:fldChar w:fldCharType="separate"/>
      </w:r>
      <w:r>
        <w:rPr>
          <w:rStyle w:val="18"/>
          <w:rFonts w:hint="eastAsia"/>
          <w:color w:val="auto"/>
        </w:rPr>
        <w:t>（三）项目实施范围及内容</w:t>
      </w:r>
      <w:r>
        <w:rPr>
          <w:rFonts w:hint="eastAsia"/>
        </w:rPr>
        <w:tab/>
      </w:r>
      <w:r>
        <w:rPr>
          <w:rFonts w:hint="eastAsia"/>
        </w:rPr>
        <w:fldChar w:fldCharType="begin"/>
      </w:r>
      <w:r>
        <w:rPr>
          <w:rFonts w:hint="eastAsia"/>
        </w:rPr>
        <w:instrText xml:space="preserve"> </w:instrText>
      </w:r>
      <w:r>
        <w:instrText xml:space="preserve">PAGEREF _Toc159596166 \h</w:instrText>
      </w:r>
      <w:r>
        <w:rPr>
          <w:rFonts w:hint="eastAsia"/>
        </w:rPr>
        <w:instrText xml:space="preserve"> </w:instrText>
      </w:r>
      <w:r>
        <w:rPr>
          <w:rFonts w:hint="eastAsia"/>
        </w:rPr>
        <w:fldChar w:fldCharType="separate"/>
      </w:r>
      <w:r>
        <w:t>3</w:t>
      </w:r>
      <w:r>
        <w:rPr>
          <w:rFonts w:hint="eastAsia"/>
        </w:rPr>
        <w:fldChar w:fldCharType="end"/>
      </w:r>
      <w:r>
        <w:rPr>
          <w:rFonts w:hint="eastAsia"/>
        </w:rPr>
        <w:fldChar w:fldCharType="end"/>
      </w:r>
    </w:p>
    <w:p>
      <w:pPr>
        <w:pStyle w:val="12"/>
        <w:rPr>
          <w:rFonts w:ascii="Calibri" w:hAnsi="Calibri"/>
          <w:caps w:val="0"/>
          <w:kern w:val="2"/>
          <w:sz w:val="21"/>
          <w:szCs w:val="22"/>
        </w:rPr>
      </w:pPr>
      <w:r>
        <w:fldChar w:fldCharType="begin"/>
      </w:r>
      <w:r>
        <w:instrText xml:space="preserve"> HYPERLINK \l "_Toc159596167" </w:instrText>
      </w:r>
      <w:r>
        <w:fldChar w:fldCharType="separate"/>
      </w:r>
      <w:r>
        <w:rPr>
          <w:rStyle w:val="18"/>
          <w:rFonts w:hint="eastAsia"/>
          <w:color w:val="auto"/>
        </w:rPr>
        <w:t>二、项目管理目标</w:t>
      </w:r>
      <w:r>
        <w:rPr>
          <w:rFonts w:hint="eastAsia"/>
        </w:rPr>
        <w:tab/>
      </w:r>
      <w:r>
        <w:rPr>
          <w:rFonts w:hint="eastAsia"/>
        </w:rPr>
        <w:fldChar w:fldCharType="begin"/>
      </w:r>
      <w:r>
        <w:rPr>
          <w:rFonts w:hint="eastAsia"/>
        </w:rPr>
        <w:instrText xml:space="preserve"> </w:instrText>
      </w:r>
      <w:r>
        <w:instrText xml:space="preserve">PAGEREF _Toc159596167 \h</w:instrText>
      </w:r>
      <w:r>
        <w:rPr>
          <w:rFonts w:hint="eastAsia"/>
        </w:rPr>
        <w:instrText xml:space="preserve"> </w:instrText>
      </w:r>
      <w:r>
        <w:rPr>
          <w:rFonts w:hint="eastAsia"/>
        </w:rPr>
        <w:fldChar w:fldCharType="separate"/>
      </w:r>
      <w:r>
        <w:t>3</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"_Toc159596168" </w:instrText>
      </w:r>
      <w:r>
        <w:fldChar w:fldCharType="separate"/>
      </w:r>
      <w:r>
        <w:rPr>
          <w:rStyle w:val="18"/>
          <w:rFonts w:hint="eastAsia"/>
          <w:color w:val="auto"/>
        </w:rPr>
        <w:t>（一）工期进度目标</w:t>
      </w:r>
      <w:r>
        <w:rPr>
          <w:rFonts w:hint="eastAsia"/>
        </w:rPr>
        <w:tab/>
      </w:r>
      <w:r>
        <w:rPr>
          <w:rFonts w:hint="eastAsia"/>
        </w:rPr>
        <w:fldChar w:fldCharType="begin"/>
      </w:r>
      <w:r>
        <w:rPr>
          <w:rFonts w:hint="eastAsia"/>
        </w:rPr>
        <w:instrText xml:space="preserve"> </w:instrText>
      </w:r>
      <w:r>
        <w:instrText xml:space="preserve">PAGEREF _Toc159596168 \h</w:instrText>
      </w:r>
      <w:r>
        <w:rPr>
          <w:rFonts w:hint="eastAsia"/>
        </w:rPr>
        <w:instrText xml:space="preserve"> </w:instrText>
      </w:r>
      <w:r>
        <w:rPr>
          <w:rFonts w:hint="eastAsia"/>
        </w:rPr>
        <w:fldChar w:fldCharType="separate"/>
      </w:r>
      <w:r>
        <w:t>3</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"_Toc159596169" </w:instrText>
      </w:r>
      <w:r>
        <w:fldChar w:fldCharType="separate"/>
      </w:r>
      <w:r>
        <w:rPr>
          <w:rStyle w:val="18"/>
          <w:rFonts w:hint="eastAsia"/>
          <w:color w:val="auto"/>
        </w:rPr>
        <w:t>（二）质量目标</w:t>
      </w:r>
      <w:r>
        <w:rPr>
          <w:rFonts w:hint="eastAsia"/>
        </w:rPr>
        <w:tab/>
      </w:r>
      <w:r>
        <w:rPr>
          <w:rFonts w:hint="eastAsia"/>
        </w:rPr>
        <w:fldChar w:fldCharType="begin"/>
      </w:r>
      <w:r>
        <w:rPr>
          <w:rFonts w:hint="eastAsia"/>
        </w:rPr>
        <w:instrText xml:space="preserve"> </w:instrText>
      </w:r>
      <w:r>
        <w:instrText xml:space="preserve">PAGEREF _Toc159596169 \h</w:instrText>
      </w:r>
      <w:r>
        <w:rPr>
          <w:rFonts w:hint="eastAsia"/>
        </w:rPr>
        <w:instrText xml:space="preserve"> </w:instrText>
      </w:r>
      <w:r>
        <w:rPr>
          <w:rFonts w:hint="eastAsia"/>
        </w:rPr>
        <w:fldChar w:fldCharType="separate"/>
      </w:r>
      <w:r>
        <w:t>6</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"_Toc159596170" </w:instrText>
      </w:r>
      <w:r>
        <w:fldChar w:fldCharType="separate"/>
      </w:r>
      <w:r>
        <w:rPr>
          <w:rStyle w:val="18"/>
          <w:rFonts w:hint="eastAsia"/>
          <w:color w:val="auto"/>
        </w:rPr>
        <w:t>（三）安全、文明施工目标</w:t>
      </w:r>
      <w:r>
        <w:rPr>
          <w:rFonts w:hint="eastAsia"/>
        </w:rPr>
        <w:tab/>
      </w:r>
      <w:r>
        <w:rPr>
          <w:rFonts w:hint="eastAsia"/>
        </w:rPr>
        <w:fldChar w:fldCharType="begin"/>
      </w:r>
      <w:r>
        <w:rPr>
          <w:rFonts w:hint="eastAsia"/>
        </w:rPr>
        <w:instrText xml:space="preserve"> </w:instrText>
      </w:r>
      <w:r>
        <w:instrText xml:space="preserve">PAGEREF _Toc159596170 \h</w:instrText>
      </w:r>
      <w:r>
        <w:rPr>
          <w:rFonts w:hint="eastAsia"/>
        </w:rPr>
        <w:instrText xml:space="preserve"> </w:instrText>
      </w:r>
      <w:r>
        <w:rPr>
          <w:rFonts w:hint="eastAsia"/>
        </w:rPr>
        <w:fldChar w:fldCharType="separate"/>
      </w:r>
      <w:r>
        <w:t>6</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"_Toc159596171" </w:instrText>
      </w:r>
      <w:r>
        <w:fldChar w:fldCharType="separate"/>
      </w:r>
      <w:r>
        <w:rPr>
          <w:rStyle w:val="18"/>
          <w:rFonts w:hint="eastAsia"/>
          <w:color w:val="auto"/>
        </w:rPr>
        <w:t>（四）投资目标</w:t>
      </w:r>
      <w:r>
        <w:rPr>
          <w:rFonts w:hint="eastAsia"/>
        </w:rPr>
        <w:tab/>
      </w:r>
      <w:r>
        <w:rPr>
          <w:rFonts w:hint="eastAsia"/>
        </w:rPr>
        <w:fldChar w:fldCharType="begin"/>
      </w:r>
      <w:r>
        <w:rPr>
          <w:rFonts w:hint="eastAsia"/>
        </w:rPr>
        <w:instrText xml:space="preserve"> </w:instrText>
      </w:r>
      <w:r>
        <w:instrText xml:space="preserve">PAGEREF _Toc159596171 \h</w:instrText>
      </w:r>
      <w:r>
        <w:rPr>
          <w:rFonts w:hint="eastAsia"/>
        </w:rPr>
        <w:instrText xml:space="preserve"> </w:instrText>
      </w:r>
      <w:r>
        <w:rPr>
          <w:rFonts w:hint="eastAsia"/>
        </w:rPr>
        <w:fldChar w:fldCharType="separate"/>
      </w:r>
      <w:r>
        <w:t>6</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"_Toc159596172" </w:instrText>
      </w:r>
      <w:r>
        <w:fldChar w:fldCharType="separate"/>
      </w:r>
      <w:r>
        <w:rPr>
          <w:rStyle w:val="18"/>
          <w:rFonts w:hint="eastAsia"/>
          <w:color w:val="auto"/>
        </w:rPr>
        <w:t>（五）工程创优目标</w:t>
      </w:r>
      <w:r>
        <w:rPr>
          <w:rFonts w:hint="eastAsia"/>
        </w:rPr>
        <w:tab/>
      </w:r>
      <w:r>
        <w:rPr>
          <w:rFonts w:hint="eastAsia"/>
        </w:rPr>
        <w:fldChar w:fldCharType="begin"/>
      </w:r>
      <w:r>
        <w:rPr>
          <w:rFonts w:hint="eastAsia"/>
        </w:rPr>
        <w:instrText xml:space="preserve"> </w:instrText>
      </w:r>
      <w:r>
        <w:instrText xml:space="preserve">PAGEREF _Toc159596172 \h</w:instrText>
      </w:r>
      <w:r>
        <w:rPr>
          <w:rFonts w:hint="eastAsia"/>
        </w:rPr>
        <w:instrText xml:space="preserve"> </w:instrText>
      </w:r>
      <w:r>
        <w:rPr>
          <w:rFonts w:hint="eastAsia"/>
        </w:rPr>
        <w:fldChar w:fldCharType="separate"/>
      </w:r>
      <w:r>
        <w:t>7</w:t>
      </w:r>
      <w:r>
        <w:rPr>
          <w:rFonts w:hint="eastAsia"/>
        </w:rPr>
        <w:fldChar w:fldCharType="end"/>
      </w:r>
      <w:r>
        <w:rPr>
          <w:rFonts w:hint="eastAsia"/>
        </w:rPr>
        <w:fldChar w:fldCharType="end"/>
      </w:r>
    </w:p>
    <w:p>
      <w:pPr>
        <w:pStyle w:val="12"/>
        <w:rPr>
          <w:rFonts w:ascii="Calibri" w:hAnsi="Calibri"/>
          <w:caps w:val="0"/>
          <w:kern w:val="2"/>
          <w:sz w:val="21"/>
          <w:szCs w:val="22"/>
        </w:rPr>
      </w:pPr>
      <w:r>
        <w:fldChar w:fldCharType="begin"/>
      </w:r>
      <w:r>
        <w:instrText xml:space="preserve"> HYPERLINK \l "_Toc159596173" </w:instrText>
      </w:r>
      <w:r>
        <w:fldChar w:fldCharType="separate"/>
      </w:r>
      <w:r>
        <w:rPr>
          <w:rStyle w:val="18"/>
          <w:rFonts w:hint="eastAsia"/>
          <w:color w:val="auto"/>
        </w:rPr>
        <w:t>三、项目管理重点、难点及分析</w:t>
      </w:r>
      <w:r>
        <w:rPr>
          <w:rFonts w:hint="eastAsia"/>
        </w:rPr>
        <w:tab/>
      </w:r>
      <w:r>
        <w:rPr>
          <w:rFonts w:hint="eastAsia"/>
        </w:rPr>
        <w:fldChar w:fldCharType="begin"/>
      </w:r>
      <w:r>
        <w:rPr>
          <w:rFonts w:hint="eastAsia"/>
        </w:rPr>
        <w:instrText xml:space="preserve"> </w:instrText>
      </w:r>
      <w:r>
        <w:instrText xml:space="preserve">PAGEREF _Toc159596173 \h</w:instrText>
      </w:r>
      <w:r>
        <w:rPr>
          <w:rFonts w:hint="eastAsia"/>
        </w:rPr>
        <w:instrText xml:space="preserve"> </w:instrText>
      </w:r>
      <w:r>
        <w:rPr>
          <w:rFonts w:hint="eastAsia"/>
        </w:rPr>
        <w:fldChar w:fldCharType="separate"/>
      </w:r>
      <w:r>
        <w:t>7</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"_Toc159596174" </w:instrText>
      </w:r>
      <w:r>
        <w:fldChar w:fldCharType="separate"/>
      </w:r>
      <w:r>
        <w:rPr>
          <w:rStyle w:val="18"/>
          <w:rFonts w:hint="eastAsia"/>
          <w:color w:val="auto"/>
        </w:rPr>
        <w:t>（一）项目管理重点</w:t>
      </w:r>
      <w:r>
        <w:rPr>
          <w:rFonts w:hint="eastAsia"/>
        </w:rPr>
        <w:tab/>
      </w:r>
      <w:r>
        <w:rPr>
          <w:rFonts w:hint="eastAsia"/>
        </w:rPr>
        <w:fldChar w:fldCharType="begin"/>
      </w:r>
      <w:r>
        <w:rPr>
          <w:rFonts w:hint="eastAsia"/>
        </w:rPr>
        <w:instrText xml:space="preserve"> </w:instrText>
      </w:r>
      <w:r>
        <w:instrText xml:space="preserve">PAGEREF _Toc159596174 \h</w:instrText>
      </w:r>
      <w:r>
        <w:rPr>
          <w:rFonts w:hint="eastAsia"/>
        </w:rPr>
        <w:instrText xml:space="preserve"> </w:instrText>
      </w:r>
      <w:r>
        <w:rPr>
          <w:rFonts w:hint="eastAsia"/>
        </w:rPr>
        <w:fldChar w:fldCharType="separate"/>
      </w:r>
      <w:r>
        <w:t>7</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"_Toc159596175" </w:instrText>
      </w:r>
      <w:r>
        <w:fldChar w:fldCharType="separate"/>
      </w:r>
      <w:r>
        <w:rPr>
          <w:rStyle w:val="18"/>
          <w:rFonts w:hint="eastAsia" w:ascii="Arial" w:hAnsi="Arial"/>
          <w:b/>
          <w:color w:val="auto"/>
        </w:rPr>
        <w:t>（二）项目管理难点</w:t>
      </w:r>
      <w:r>
        <w:rPr>
          <w:rFonts w:hint="eastAsia"/>
        </w:rPr>
        <w:tab/>
      </w:r>
      <w:r>
        <w:rPr>
          <w:rFonts w:hint="eastAsia"/>
        </w:rPr>
        <w:fldChar w:fldCharType="begin"/>
      </w:r>
      <w:r>
        <w:rPr>
          <w:rFonts w:hint="eastAsia"/>
        </w:rPr>
        <w:instrText xml:space="preserve"> </w:instrText>
      </w:r>
      <w:r>
        <w:instrText xml:space="preserve">PAGEREF _Toc159596175 \h</w:instrText>
      </w:r>
      <w:r>
        <w:rPr>
          <w:rFonts w:hint="eastAsia"/>
        </w:rPr>
        <w:instrText xml:space="preserve"> </w:instrText>
      </w:r>
      <w:r>
        <w:rPr>
          <w:rFonts w:hint="eastAsia"/>
        </w:rPr>
        <w:fldChar w:fldCharType="separate"/>
      </w:r>
      <w:r>
        <w:t>8</w:t>
      </w:r>
      <w:r>
        <w:rPr>
          <w:rFonts w:hint="eastAsia"/>
        </w:rPr>
        <w:fldChar w:fldCharType="end"/>
      </w:r>
      <w:r>
        <w:rPr>
          <w:rFonts w:hint="eastAsia"/>
        </w:rPr>
        <w:fldChar w:fldCharType="end"/>
      </w:r>
    </w:p>
    <w:p>
      <w:pPr>
        <w:pStyle w:val="12"/>
        <w:rPr>
          <w:rFonts w:ascii="Calibri" w:hAnsi="Calibri"/>
          <w:caps w:val="0"/>
          <w:kern w:val="2"/>
          <w:sz w:val="21"/>
          <w:szCs w:val="22"/>
        </w:rPr>
      </w:pPr>
      <w:r>
        <w:fldChar w:fldCharType="begin"/>
      </w:r>
      <w:r>
        <w:instrText xml:space="preserve"> HYPERLINK \l "_Toc159596176" </w:instrText>
      </w:r>
      <w:r>
        <w:fldChar w:fldCharType="separate"/>
      </w:r>
      <w:r>
        <w:rPr>
          <w:rStyle w:val="18"/>
          <w:rFonts w:hint="eastAsia"/>
          <w:color w:val="auto"/>
        </w:rPr>
        <w:t>四、项目管理要求</w:t>
      </w:r>
      <w:r>
        <w:rPr>
          <w:rFonts w:hint="eastAsia"/>
        </w:rPr>
        <w:tab/>
      </w:r>
      <w:r>
        <w:rPr>
          <w:rFonts w:hint="eastAsia"/>
        </w:rPr>
        <w:fldChar w:fldCharType="begin"/>
      </w:r>
      <w:r>
        <w:rPr>
          <w:rFonts w:hint="eastAsia"/>
        </w:rPr>
        <w:instrText xml:space="preserve"> </w:instrText>
      </w:r>
      <w:r>
        <w:instrText xml:space="preserve">PAGEREF _Toc159596176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"_Toc159596177" </w:instrText>
      </w:r>
      <w:r>
        <w:fldChar w:fldCharType="separate"/>
      </w:r>
      <w:r>
        <w:rPr>
          <w:rStyle w:val="18"/>
          <w:rFonts w:hint="eastAsia"/>
          <w:color w:val="auto"/>
        </w:rPr>
        <w:t>（一）总平面布置要求</w:t>
      </w:r>
      <w:r>
        <w:rPr>
          <w:rFonts w:hint="eastAsia"/>
        </w:rPr>
        <w:tab/>
      </w:r>
      <w:r>
        <w:rPr>
          <w:rFonts w:hint="eastAsia"/>
        </w:rPr>
        <w:fldChar w:fldCharType="begin"/>
      </w:r>
      <w:r>
        <w:rPr>
          <w:rFonts w:hint="eastAsia"/>
        </w:rPr>
        <w:instrText xml:space="preserve"> </w:instrText>
      </w:r>
      <w:r>
        <w:instrText xml:space="preserve">PAGEREF _Toc159596177 \h</w:instrText>
      </w:r>
      <w:r>
        <w:rPr>
          <w:rFonts w:hint="eastAsia"/>
        </w:rPr>
        <w:instrText xml:space="preserve"> </w:instrText>
      </w:r>
      <w:r>
        <w:rPr>
          <w:rFonts w:hint="eastAsia"/>
        </w:rPr>
        <w:fldChar w:fldCharType="separate"/>
      </w:r>
      <w:r>
        <w:t>9</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"_Toc159596178" </w:instrText>
      </w:r>
      <w:r>
        <w:fldChar w:fldCharType="separate"/>
      </w:r>
      <w:r>
        <w:rPr>
          <w:rStyle w:val="18"/>
          <w:rFonts w:hint="eastAsia"/>
          <w:color w:val="auto"/>
        </w:rPr>
        <w:t>（二）体育场金属屋面及网膜施工方案策划及管理要求</w:t>
      </w:r>
      <w:r>
        <w:rPr>
          <w:rFonts w:hint="eastAsia"/>
        </w:rPr>
        <w:tab/>
      </w:r>
      <w:r>
        <w:rPr>
          <w:rFonts w:hint="eastAsia"/>
        </w:rPr>
        <w:fldChar w:fldCharType="begin"/>
      </w:r>
      <w:r>
        <w:rPr>
          <w:rFonts w:hint="eastAsia"/>
        </w:rPr>
        <w:instrText xml:space="preserve"> </w:instrText>
      </w:r>
      <w:r>
        <w:instrText xml:space="preserve">PAGEREF _Toc159596178 \h</w:instrText>
      </w:r>
      <w:r>
        <w:rPr>
          <w:rFonts w:hint="eastAsia"/>
        </w:rPr>
        <w:instrText xml:space="preserve"> </w:instrText>
      </w:r>
      <w:r>
        <w:rPr>
          <w:rFonts w:hint="eastAsia"/>
        </w:rPr>
        <w:fldChar w:fldCharType="separate"/>
      </w:r>
      <w:r>
        <w:t>28</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"_Toc159596180" </w:instrText>
      </w:r>
      <w:r>
        <w:fldChar w:fldCharType="separate"/>
      </w:r>
      <w:r>
        <w:rPr>
          <w:rStyle w:val="18"/>
          <w:rFonts w:hint="eastAsia"/>
          <w:color w:val="auto"/>
        </w:rPr>
        <w:t>（三）体育场幕墙施工方案策划及管理要求</w:t>
      </w:r>
      <w:r>
        <w:rPr>
          <w:rFonts w:hint="eastAsia"/>
        </w:rPr>
        <w:tab/>
      </w:r>
      <w:r>
        <w:rPr>
          <w:rFonts w:hint="eastAsia"/>
        </w:rPr>
        <w:fldChar w:fldCharType="begin"/>
      </w:r>
      <w:r>
        <w:rPr>
          <w:rFonts w:hint="eastAsia"/>
        </w:rPr>
        <w:instrText xml:space="preserve"> </w:instrText>
      </w:r>
      <w:r>
        <w:instrText xml:space="preserve">PAGEREF _Toc159596180 \h</w:instrText>
      </w:r>
      <w:r>
        <w:rPr>
          <w:rFonts w:hint="eastAsia"/>
        </w:rPr>
        <w:instrText xml:space="preserve"> </w:instrText>
      </w:r>
      <w:r>
        <w:rPr>
          <w:rFonts w:hint="eastAsia"/>
        </w:rPr>
        <w:fldChar w:fldCharType="separate"/>
      </w:r>
      <w:r>
        <w:t>30</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"_Toc159596181" </w:instrText>
      </w:r>
      <w:r>
        <w:fldChar w:fldCharType="separate"/>
      </w:r>
      <w:r>
        <w:rPr>
          <w:rStyle w:val="18"/>
          <w:rFonts w:hint="eastAsia"/>
          <w:color w:val="auto"/>
        </w:rPr>
        <w:t>（四）重点区域装修要求</w:t>
      </w:r>
      <w:r>
        <w:rPr>
          <w:rFonts w:hint="eastAsia"/>
        </w:rPr>
        <w:tab/>
      </w:r>
      <w:r>
        <w:rPr>
          <w:rFonts w:hint="eastAsia"/>
        </w:rPr>
        <w:fldChar w:fldCharType="begin"/>
      </w:r>
      <w:r>
        <w:rPr>
          <w:rFonts w:hint="eastAsia"/>
        </w:rPr>
        <w:instrText xml:space="preserve"> </w:instrText>
      </w:r>
      <w:r>
        <w:instrText xml:space="preserve">PAGEREF _Toc159596181 \h</w:instrText>
      </w:r>
      <w:r>
        <w:rPr>
          <w:rFonts w:hint="eastAsia"/>
        </w:rPr>
        <w:instrText xml:space="preserve"> </w:instrText>
      </w:r>
      <w:r>
        <w:rPr>
          <w:rFonts w:hint="eastAsia"/>
        </w:rPr>
        <w:fldChar w:fldCharType="separate"/>
      </w:r>
      <w:r>
        <w:t>31</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"_Toc159596182" </w:instrText>
      </w:r>
      <w:r>
        <w:fldChar w:fldCharType="separate"/>
      </w:r>
      <w:r>
        <w:rPr>
          <w:rStyle w:val="18"/>
          <w:rFonts w:hint="eastAsia"/>
          <w:color w:val="auto"/>
        </w:rPr>
        <w:t>（五）进度管理要求</w:t>
      </w:r>
      <w:r>
        <w:rPr>
          <w:rFonts w:hint="eastAsia"/>
        </w:rPr>
        <w:tab/>
      </w:r>
      <w:r>
        <w:rPr>
          <w:rFonts w:hint="eastAsia"/>
        </w:rPr>
        <w:fldChar w:fldCharType="begin"/>
      </w:r>
      <w:r>
        <w:rPr>
          <w:rFonts w:hint="eastAsia"/>
        </w:rPr>
        <w:instrText xml:space="preserve"> </w:instrText>
      </w:r>
      <w:r>
        <w:instrText xml:space="preserve">PAGEREF _Toc159596182 \h</w:instrText>
      </w:r>
      <w:r>
        <w:rPr>
          <w:rFonts w:hint="eastAsia"/>
        </w:rPr>
        <w:instrText xml:space="preserve"> </w:instrText>
      </w:r>
      <w:r>
        <w:rPr>
          <w:rFonts w:hint="eastAsia"/>
        </w:rPr>
        <w:fldChar w:fldCharType="separate"/>
      </w:r>
      <w:r>
        <w:t>33</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"_Toc159596183" </w:instrText>
      </w:r>
      <w:r>
        <w:fldChar w:fldCharType="separate"/>
      </w:r>
      <w:r>
        <w:rPr>
          <w:rStyle w:val="18"/>
          <w:rFonts w:hint="eastAsia"/>
          <w:color w:val="auto"/>
        </w:rPr>
        <w:t>（六）质量管理要求</w:t>
      </w:r>
      <w:r>
        <w:rPr>
          <w:rFonts w:hint="eastAsia"/>
        </w:rPr>
        <w:tab/>
      </w:r>
      <w:r>
        <w:rPr>
          <w:rFonts w:hint="eastAsia"/>
        </w:rPr>
        <w:fldChar w:fldCharType="begin"/>
      </w:r>
      <w:r>
        <w:rPr>
          <w:rFonts w:hint="eastAsia"/>
        </w:rPr>
        <w:instrText xml:space="preserve"> </w:instrText>
      </w:r>
      <w:r>
        <w:instrText xml:space="preserve">PAGEREF _Toc159596183 \h</w:instrText>
      </w:r>
      <w:r>
        <w:rPr>
          <w:rFonts w:hint="eastAsia"/>
        </w:rPr>
        <w:instrText xml:space="preserve"> </w:instrText>
      </w:r>
      <w:r>
        <w:rPr>
          <w:rFonts w:hint="eastAsia"/>
        </w:rPr>
        <w:fldChar w:fldCharType="separate"/>
      </w:r>
      <w:r>
        <w:t>34</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"_Toc159596184" </w:instrText>
      </w:r>
      <w:r>
        <w:fldChar w:fldCharType="separate"/>
      </w:r>
      <w:r>
        <w:rPr>
          <w:rStyle w:val="18"/>
          <w:rFonts w:hint="eastAsia"/>
          <w:color w:val="auto"/>
        </w:rPr>
        <w:t>（七）安全、文明施工管理要求</w:t>
      </w:r>
      <w:r>
        <w:rPr>
          <w:rFonts w:hint="eastAsia"/>
        </w:rPr>
        <w:tab/>
      </w:r>
      <w:r>
        <w:rPr>
          <w:rFonts w:hint="eastAsia"/>
        </w:rPr>
        <w:fldChar w:fldCharType="begin"/>
      </w:r>
      <w:r>
        <w:rPr>
          <w:rFonts w:hint="eastAsia"/>
        </w:rPr>
        <w:instrText xml:space="preserve"> </w:instrText>
      </w:r>
      <w:r>
        <w:instrText xml:space="preserve">PAGEREF _Toc159596184 \h</w:instrText>
      </w:r>
      <w:r>
        <w:rPr>
          <w:rFonts w:hint="eastAsia"/>
        </w:rPr>
        <w:instrText xml:space="preserve"> </w:instrText>
      </w:r>
      <w:r>
        <w:rPr>
          <w:rFonts w:hint="eastAsia"/>
        </w:rPr>
        <w:fldChar w:fldCharType="separate"/>
      </w:r>
      <w:r>
        <w:t>36</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"_Toc159596185" </w:instrText>
      </w:r>
      <w:r>
        <w:fldChar w:fldCharType="separate"/>
      </w:r>
      <w:r>
        <w:rPr>
          <w:rStyle w:val="18"/>
          <w:rFonts w:hint="eastAsia"/>
          <w:color w:val="auto"/>
        </w:rPr>
        <w:t>（八）投资控制要求</w:t>
      </w:r>
      <w:r>
        <w:rPr>
          <w:rFonts w:hint="eastAsia"/>
        </w:rPr>
        <w:tab/>
      </w:r>
      <w:r>
        <w:rPr>
          <w:rFonts w:hint="eastAsia"/>
        </w:rPr>
        <w:fldChar w:fldCharType="begin"/>
      </w:r>
      <w:r>
        <w:rPr>
          <w:rFonts w:hint="eastAsia"/>
        </w:rPr>
        <w:instrText xml:space="preserve"> </w:instrText>
      </w:r>
      <w:r>
        <w:instrText xml:space="preserve">PAGEREF _Toc159596185 \h</w:instrText>
      </w:r>
      <w:r>
        <w:rPr>
          <w:rFonts w:hint="eastAsia"/>
        </w:rPr>
        <w:instrText xml:space="preserve"> </w:instrText>
      </w:r>
      <w:r>
        <w:rPr>
          <w:rFonts w:hint="eastAsia"/>
        </w:rPr>
        <w:fldChar w:fldCharType="separate"/>
      </w:r>
      <w:r>
        <w:t>39</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"_Toc159596186" </w:instrText>
      </w:r>
      <w:r>
        <w:fldChar w:fldCharType="separate"/>
      </w:r>
      <w:r>
        <w:rPr>
          <w:rStyle w:val="18"/>
          <w:rFonts w:hint="eastAsia"/>
          <w:color w:val="auto"/>
        </w:rPr>
        <w:t>（九）计量支付管理要求</w:t>
      </w:r>
      <w:r>
        <w:rPr>
          <w:rFonts w:hint="eastAsia"/>
        </w:rPr>
        <w:tab/>
      </w:r>
      <w:r>
        <w:rPr>
          <w:rFonts w:hint="eastAsia"/>
        </w:rPr>
        <w:fldChar w:fldCharType="begin"/>
      </w:r>
      <w:r>
        <w:rPr>
          <w:rFonts w:hint="eastAsia"/>
        </w:rPr>
        <w:instrText xml:space="preserve"> </w:instrText>
      </w:r>
      <w:r>
        <w:instrText xml:space="preserve">PAGEREF _Toc159596186 \h</w:instrText>
      </w:r>
      <w:r>
        <w:rPr>
          <w:rFonts w:hint="eastAsia"/>
        </w:rPr>
        <w:instrText xml:space="preserve"> </w:instrText>
      </w:r>
      <w:r>
        <w:rPr>
          <w:rFonts w:hint="eastAsia"/>
        </w:rPr>
        <w:fldChar w:fldCharType="separate"/>
      </w:r>
      <w:r>
        <w:t>39</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"_Toc159596187" </w:instrText>
      </w:r>
      <w:r>
        <w:fldChar w:fldCharType="separate"/>
      </w:r>
      <w:r>
        <w:rPr>
          <w:rStyle w:val="18"/>
          <w:rFonts w:hint="eastAsia"/>
          <w:color w:val="auto"/>
        </w:rPr>
        <w:t>（十）工程签证管理要求</w:t>
      </w:r>
      <w:r>
        <w:rPr>
          <w:rFonts w:hint="eastAsia"/>
        </w:rPr>
        <w:tab/>
      </w:r>
      <w:r>
        <w:rPr>
          <w:rFonts w:hint="eastAsia"/>
        </w:rPr>
        <w:fldChar w:fldCharType="begin"/>
      </w:r>
      <w:r>
        <w:rPr>
          <w:rFonts w:hint="eastAsia"/>
        </w:rPr>
        <w:instrText xml:space="preserve"> </w:instrText>
      </w:r>
      <w:r>
        <w:instrText xml:space="preserve">PAGEREF _Toc159596187 \h</w:instrText>
      </w:r>
      <w:r>
        <w:rPr>
          <w:rFonts w:hint="eastAsia"/>
        </w:rPr>
        <w:instrText xml:space="preserve"> </w:instrText>
      </w:r>
      <w:r>
        <w:rPr>
          <w:rFonts w:hint="eastAsia"/>
        </w:rPr>
        <w:fldChar w:fldCharType="separate"/>
      </w:r>
      <w:r>
        <w:t>39</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"_Toc159596188" </w:instrText>
      </w:r>
      <w:r>
        <w:fldChar w:fldCharType="separate"/>
      </w:r>
      <w:r>
        <w:rPr>
          <w:rStyle w:val="18"/>
          <w:rFonts w:hint="eastAsia"/>
          <w:color w:val="auto"/>
        </w:rPr>
        <w:t>（十一）人员配置及规范化管理要求</w:t>
      </w:r>
      <w:r>
        <w:rPr>
          <w:rFonts w:hint="eastAsia"/>
        </w:rPr>
        <w:tab/>
      </w:r>
      <w:r>
        <w:rPr>
          <w:rFonts w:hint="eastAsia"/>
        </w:rPr>
        <w:fldChar w:fldCharType="begin"/>
      </w:r>
      <w:r>
        <w:rPr>
          <w:rFonts w:hint="eastAsia"/>
        </w:rPr>
        <w:instrText xml:space="preserve"> </w:instrText>
      </w:r>
      <w:r>
        <w:instrText xml:space="preserve">PAGEREF _Toc159596188 \h</w:instrText>
      </w:r>
      <w:r>
        <w:rPr>
          <w:rFonts w:hint="eastAsia"/>
        </w:rPr>
        <w:instrText xml:space="preserve"> </w:instrText>
      </w:r>
      <w:r>
        <w:rPr>
          <w:rFonts w:hint="eastAsia"/>
        </w:rPr>
        <w:fldChar w:fldCharType="separate"/>
      </w:r>
      <w:r>
        <w:t>40</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"_Toc159596189" </w:instrText>
      </w:r>
      <w:r>
        <w:fldChar w:fldCharType="separate"/>
      </w:r>
      <w:r>
        <w:rPr>
          <w:rStyle w:val="18"/>
          <w:rFonts w:hint="eastAsia"/>
          <w:color w:val="auto"/>
        </w:rPr>
        <w:t>（十二）施工人员着装要求</w:t>
      </w:r>
      <w:r>
        <w:rPr>
          <w:rFonts w:hint="eastAsia"/>
        </w:rPr>
        <w:tab/>
      </w:r>
      <w:r>
        <w:rPr>
          <w:rFonts w:hint="eastAsia"/>
        </w:rPr>
        <w:fldChar w:fldCharType="begin"/>
      </w:r>
      <w:r>
        <w:rPr>
          <w:rFonts w:hint="eastAsia"/>
        </w:rPr>
        <w:instrText xml:space="preserve"> </w:instrText>
      </w:r>
      <w:r>
        <w:instrText xml:space="preserve">PAGEREF _Toc159596189 \h</w:instrText>
      </w:r>
      <w:r>
        <w:rPr>
          <w:rFonts w:hint="eastAsia"/>
        </w:rPr>
        <w:instrText xml:space="preserve"> </w:instrText>
      </w:r>
      <w:r>
        <w:rPr>
          <w:rFonts w:hint="eastAsia"/>
        </w:rPr>
        <w:fldChar w:fldCharType="separate"/>
      </w:r>
      <w:r>
        <w:t>44</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"_Toc159596190" </w:instrText>
      </w:r>
      <w:r>
        <w:fldChar w:fldCharType="separate"/>
      </w:r>
      <w:r>
        <w:rPr>
          <w:rStyle w:val="18"/>
          <w:rFonts w:hint="eastAsia"/>
          <w:color w:val="auto"/>
        </w:rPr>
        <w:t>（十三）主要施工机械设备要求</w:t>
      </w:r>
      <w:r>
        <w:rPr>
          <w:rFonts w:hint="eastAsia"/>
        </w:rPr>
        <w:tab/>
      </w:r>
      <w:r>
        <w:rPr>
          <w:rFonts w:hint="eastAsia"/>
        </w:rPr>
        <w:fldChar w:fldCharType="begin"/>
      </w:r>
      <w:r>
        <w:rPr>
          <w:rFonts w:hint="eastAsia"/>
        </w:rPr>
        <w:instrText xml:space="preserve"> </w:instrText>
      </w:r>
      <w:r>
        <w:instrText xml:space="preserve">PAGEREF _Toc159596190 \h</w:instrText>
      </w:r>
      <w:r>
        <w:rPr>
          <w:rFonts w:hint="eastAsia"/>
        </w:rPr>
        <w:instrText xml:space="preserve"> </w:instrText>
      </w:r>
      <w:r>
        <w:rPr>
          <w:rFonts w:hint="eastAsia"/>
        </w:rPr>
        <w:fldChar w:fldCharType="separate"/>
      </w:r>
      <w:r>
        <w:t>45</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"_Toc159596191" </w:instrText>
      </w:r>
      <w:r>
        <w:fldChar w:fldCharType="separate"/>
      </w:r>
      <w:r>
        <w:rPr>
          <w:rStyle w:val="18"/>
          <w:rFonts w:hint="eastAsia"/>
          <w:color w:val="auto"/>
        </w:rPr>
        <w:t>（十四）材料设备管理要求</w:t>
      </w:r>
      <w:r>
        <w:rPr>
          <w:rFonts w:hint="eastAsia"/>
        </w:rPr>
        <w:tab/>
      </w:r>
      <w:r>
        <w:rPr>
          <w:rFonts w:hint="eastAsia"/>
        </w:rPr>
        <w:fldChar w:fldCharType="begin"/>
      </w:r>
      <w:r>
        <w:rPr>
          <w:rFonts w:hint="eastAsia"/>
        </w:rPr>
        <w:instrText xml:space="preserve"> </w:instrText>
      </w:r>
      <w:r>
        <w:instrText xml:space="preserve">PAGEREF _Toc159596191 \h</w:instrText>
      </w:r>
      <w:r>
        <w:rPr>
          <w:rFonts w:hint="eastAsia"/>
        </w:rPr>
        <w:instrText xml:space="preserve"> </w:instrText>
      </w:r>
      <w:r>
        <w:rPr>
          <w:rFonts w:hint="eastAsia"/>
        </w:rPr>
        <w:fldChar w:fldCharType="separate"/>
      </w:r>
      <w:r>
        <w:t>46</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"_Toc159596192" </w:instrText>
      </w:r>
      <w:r>
        <w:fldChar w:fldCharType="separate"/>
      </w:r>
      <w:r>
        <w:rPr>
          <w:rStyle w:val="18"/>
          <w:rFonts w:hint="eastAsia"/>
          <w:color w:val="auto"/>
        </w:rPr>
        <w:t>（十五）成品保护措施要求</w:t>
      </w:r>
      <w:r>
        <w:rPr>
          <w:rFonts w:hint="eastAsia"/>
        </w:rPr>
        <w:tab/>
      </w:r>
      <w:r>
        <w:rPr>
          <w:rFonts w:hint="eastAsia"/>
        </w:rPr>
        <w:fldChar w:fldCharType="begin"/>
      </w:r>
      <w:r>
        <w:rPr>
          <w:rFonts w:hint="eastAsia"/>
        </w:rPr>
        <w:instrText xml:space="preserve"> </w:instrText>
      </w:r>
      <w:r>
        <w:instrText xml:space="preserve">PAGEREF _Toc159596192 \h</w:instrText>
      </w:r>
      <w:r>
        <w:rPr>
          <w:rFonts w:hint="eastAsia"/>
        </w:rPr>
        <w:instrText xml:space="preserve"> </w:instrText>
      </w:r>
      <w:r>
        <w:rPr>
          <w:rFonts w:hint="eastAsia"/>
        </w:rPr>
        <w:fldChar w:fldCharType="separate"/>
      </w:r>
      <w:r>
        <w:t>49</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"_Toc159596193" </w:instrText>
      </w:r>
      <w:r>
        <w:fldChar w:fldCharType="separate"/>
      </w:r>
      <w:r>
        <w:rPr>
          <w:rStyle w:val="18"/>
          <w:rFonts w:hint="eastAsia"/>
          <w:color w:val="auto"/>
        </w:rPr>
        <w:t>（十六）施工总承包管理与专业分包配合服务的要求</w:t>
      </w:r>
      <w:r>
        <w:rPr>
          <w:rFonts w:hint="eastAsia"/>
        </w:rPr>
        <w:tab/>
      </w:r>
      <w:r>
        <w:rPr>
          <w:rFonts w:hint="eastAsia"/>
        </w:rPr>
        <w:fldChar w:fldCharType="begin"/>
      </w:r>
      <w:r>
        <w:rPr>
          <w:rFonts w:hint="eastAsia"/>
        </w:rPr>
        <w:instrText xml:space="preserve"> </w:instrText>
      </w:r>
      <w:r>
        <w:instrText xml:space="preserve">PAGEREF _Toc159596193 \h</w:instrText>
      </w:r>
      <w:r>
        <w:rPr>
          <w:rFonts w:hint="eastAsia"/>
        </w:rPr>
        <w:instrText xml:space="preserve"> </w:instrText>
      </w:r>
      <w:r>
        <w:rPr>
          <w:rFonts w:hint="eastAsia"/>
        </w:rPr>
        <w:fldChar w:fldCharType="separate"/>
      </w:r>
      <w:r>
        <w:t>50</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"_Toc159596194" </w:instrText>
      </w:r>
      <w:r>
        <w:fldChar w:fldCharType="separate"/>
      </w:r>
      <w:r>
        <w:rPr>
          <w:rStyle w:val="18"/>
          <w:rFonts w:hint="eastAsia"/>
          <w:color w:val="auto"/>
        </w:rPr>
        <w:t>（十七）验收、移交及结算管理要求</w:t>
      </w:r>
      <w:r>
        <w:rPr>
          <w:rFonts w:hint="eastAsia"/>
        </w:rPr>
        <w:tab/>
      </w:r>
      <w:r>
        <w:rPr>
          <w:rFonts w:hint="eastAsia"/>
        </w:rPr>
        <w:fldChar w:fldCharType="begin"/>
      </w:r>
      <w:r>
        <w:rPr>
          <w:rFonts w:hint="eastAsia"/>
        </w:rPr>
        <w:instrText xml:space="preserve"> </w:instrText>
      </w:r>
      <w:r>
        <w:instrText xml:space="preserve">PAGEREF _Toc159596194 \h</w:instrText>
      </w:r>
      <w:r>
        <w:rPr>
          <w:rFonts w:hint="eastAsia"/>
        </w:rPr>
        <w:instrText xml:space="preserve"> </w:instrText>
      </w:r>
      <w:r>
        <w:rPr>
          <w:rFonts w:hint="eastAsia"/>
        </w:rPr>
        <w:fldChar w:fldCharType="separate"/>
      </w:r>
      <w:r>
        <w:t>52</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"_Toc159596196" </w:instrText>
      </w:r>
      <w:r>
        <w:fldChar w:fldCharType="separate"/>
      </w:r>
      <w:r>
        <w:rPr>
          <w:rStyle w:val="18"/>
          <w:rFonts w:hint="eastAsia"/>
          <w:color w:val="auto"/>
        </w:rPr>
        <w:t>（十八）质保期服务管理要求</w:t>
      </w:r>
      <w:r>
        <w:rPr>
          <w:rFonts w:hint="eastAsia"/>
        </w:rPr>
        <w:tab/>
      </w:r>
      <w:r>
        <w:rPr>
          <w:rFonts w:hint="eastAsia"/>
        </w:rPr>
        <w:fldChar w:fldCharType="begin"/>
      </w:r>
      <w:r>
        <w:rPr>
          <w:rFonts w:hint="eastAsia"/>
        </w:rPr>
        <w:instrText xml:space="preserve"> </w:instrText>
      </w:r>
      <w:r>
        <w:instrText xml:space="preserve">PAGEREF _Toc159596196 \h</w:instrText>
      </w:r>
      <w:r>
        <w:rPr>
          <w:rFonts w:hint="eastAsia"/>
        </w:rPr>
        <w:instrText xml:space="preserve"> </w:instrText>
      </w:r>
      <w:r>
        <w:rPr>
          <w:rFonts w:hint="eastAsia"/>
        </w:rPr>
        <w:fldChar w:fldCharType="separate"/>
      </w:r>
      <w:r>
        <w:t>55</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"_Toc159596197" </w:instrText>
      </w:r>
      <w:r>
        <w:fldChar w:fldCharType="separate"/>
      </w:r>
      <w:r>
        <w:rPr>
          <w:rStyle w:val="18"/>
          <w:rFonts w:hint="eastAsia"/>
          <w:color w:val="auto"/>
        </w:rPr>
        <w:t>（十九）调价机制</w:t>
      </w:r>
      <w:r>
        <w:rPr>
          <w:rFonts w:hint="eastAsia"/>
        </w:rPr>
        <w:tab/>
      </w:r>
      <w:r>
        <w:rPr>
          <w:rFonts w:hint="eastAsia"/>
        </w:rPr>
        <w:fldChar w:fldCharType="begin"/>
      </w:r>
      <w:r>
        <w:rPr>
          <w:rFonts w:hint="eastAsia"/>
        </w:rPr>
        <w:instrText xml:space="preserve"> </w:instrText>
      </w:r>
      <w:r>
        <w:instrText xml:space="preserve">PAGEREF _Toc159596197 \h</w:instrText>
      </w:r>
      <w:r>
        <w:rPr>
          <w:rFonts w:hint="eastAsia"/>
        </w:rPr>
        <w:instrText xml:space="preserve"> </w:instrText>
      </w:r>
      <w:r>
        <w:rPr>
          <w:rFonts w:hint="eastAsia"/>
        </w:rPr>
        <w:fldChar w:fldCharType="separate"/>
      </w:r>
      <w:r>
        <w:t>55</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"_Toc159596198" </w:instrText>
      </w:r>
      <w:r>
        <w:fldChar w:fldCharType="separate"/>
      </w:r>
      <w:r>
        <w:rPr>
          <w:rStyle w:val="18"/>
          <w:rFonts w:hint="eastAsia" w:ascii="黑体" w:hAnsi="黑体" w:cs="黑体"/>
          <w:color w:val="auto"/>
        </w:rPr>
        <w:t>（二十）BIM技术应用要求</w:t>
      </w:r>
      <w:r>
        <w:rPr>
          <w:rFonts w:hint="eastAsia"/>
        </w:rPr>
        <w:tab/>
      </w:r>
      <w:r>
        <w:rPr>
          <w:rFonts w:hint="eastAsia"/>
        </w:rPr>
        <w:fldChar w:fldCharType="begin"/>
      </w:r>
      <w:r>
        <w:rPr>
          <w:rFonts w:hint="eastAsia"/>
        </w:rPr>
        <w:instrText xml:space="preserve"> </w:instrText>
      </w:r>
      <w:r>
        <w:instrText xml:space="preserve">PAGEREF _Toc159596198 \h</w:instrText>
      </w:r>
      <w:r>
        <w:rPr>
          <w:rFonts w:hint="eastAsia"/>
        </w:rPr>
        <w:instrText xml:space="preserve"> </w:instrText>
      </w:r>
      <w:r>
        <w:rPr>
          <w:rFonts w:hint="eastAsia"/>
        </w:rPr>
        <w:fldChar w:fldCharType="separate"/>
      </w:r>
      <w:r>
        <w:t>55</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"_Toc159596199" </w:instrText>
      </w:r>
      <w:r>
        <w:fldChar w:fldCharType="separate"/>
      </w:r>
      <w:r>
        <w:rPr>
          <w:rStyle w:val="18"/>
          <w:rFonts w:hint="eastAsia" w:ascii="黑体" w:hAnsi="黑体" w:cs="黑体"/>
          <w:color w:val="auto"/>
        </w:rPr>
        <w:t>（二十一）相关施工手续的办理</w:t>
      </w:r>
      <w:r>
        <w:rPr>
          <w:rFonts w:hint="eastAsia"/>
        </w:rPr>
        <w:tab/>
      </w:r>
      <w:r>
        <w:rPr>
          <w:rFonts w:hint="eastAsia"/>
        </w:rPr>
        <w:fldChar w:fldCharType="begin"/>
      </w:r>
      <w:r>
        <w:rPr>
          <w:rFonts w:hint="eastAsia"/>
        </w:rPr>
        <w:instrText xml:space="preserve"> </w:instrText>
      </w:r>
      <w:r>
        <w:instrText xml:space="preserve">PAGEREF _Toc159596199 \h</w:instrText>
      </w:r>
      <w:r>
        <w:rPr>
          <w:rFonts w:hint="eastAsia"/>
        </w:rPr>
        <w:instrText xml:space="preserve"> </w:instrText>
      </w:r>
      <w:r>
        <w:rPr>
          <w:rFonts w:hint="eastAsia"/>
        </w:rPr>
        <w:fldChar w:fldCharType="separate"/>
      </w:r>
      <w:r>
        <w:t>61</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"_Toc159596200" </w:instrText>
      </w:r>
      <w:r>
        <w:fldChar w:fldCharType="separate"/>
      </w:r>
      <w:r>
        <w:rPr>
          <w:rStyle w:val="18"/>
          <w:rFonts w:hint="eastAsia"/>
          <w:color w:val="auto"/>
        </w:rPr>
        <w:t>（二十二）项目管理其他要求</w:t>
      </w:r>
      <w:r>
        <w:rPr>
          <w:rFonts w:hint="eastAsia"/>
        </w:rPr>
        <w:tab/>
      </w:r>
      <w:r>
        <w:rPr>
          <w:rFonts w:hint="eastAsia"/>
        </w:rPr>
        <w:fldChar w:fldCharType="begin"/>
      </w:r>
      <w:r>
        <w:rPr>
          <w:rFonts w:hint="eastAsia"/>
        </w:rPr>
        <w:instrText xml:space="preserve"> </w:instrText>
      </w:r>
      <w:r>
        <w:instrText xml:space="preserve">PAGEREF _Toc159596200 \h</w:instrText>
      </w:r>
      <w:r>
        <w:rPr>
          <w:rFonts w:hint="eastAsia"/>
        </w:rPr>
        <w:instrText xml:space="preserve"> </w:instrText>
      </w:r>
      <w:r>
        <w:rPr>
          <w:rFonts w:hint="eastAsia"/>
        </w:rPr>
        <w:fldChar w:fldCharType="separate"/>
      </w:r>
      <w:r>
        <w:t>62</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"_Toc159596201" </w:instrText>
      </w:r>
      <w:r>
        <w:fldChar w:fldCharType="separate"/>
      </w:r>
      <w:r>
        <w:rPr>
          <w:rStyle w:val="18"/>
          <w:rFonts w:hint="eastAsia"/>
          <w:color w:val="auto"/>
        </w:rPr>
        <w:t>（二十三）智慧工地平台要求</w:t>
      </w:r>
      <w:r>
        <w:rPr>
          <w:rFonts w:hint="eastAsia"/>
        </w:rPr>
        <w:tab/>
      </w:r>
      <w:r>
        <w:rPr>
          <w:rFonts w:hint="eastAsia"/>
        </w:rPr>
        <w:fldChar w:fldCharType="begin"/>
      </w:r>
      <w:r>
        <w:rPr>
          <w:rFonts w:hint="eastAsia"/>
        </w:rPr>
        <w:instrText xml:space="preserve"> </w:instrText>
      </w:r>
      <w:r>
        <w:instrText xml:space="preserve">PAGEREF _Toc159596201 \h</w:instrText>
      </w:r>
      <w:r>
        <w:rPr>
          <w:rFonts w:hint="eastAsia"/>
        </w:rPr>
        <w:instrText xml:space="preserve"> </w:instrText>
      </w:r>
      <w:r>
        <w:rPr>
          <w:rFonts w:hint="eastAsia"/>
        </w:rPr>
        <w:fldChar w:fldCharType="separate"/>
      </w:r>
      <w:r>
        <w:t>66</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"_Toc159596204" </w:instrText>
      </w:r>
      <w:r>
        <w:fldChar w:fldCharType="separate"/>
      </w:r>
      <w:r>
        <w:rPr>
          <w:rStyle w:val="18"/>
          <w:rFonts w:hint="eastAsia"/>
          <w:color w:val="auto"/>
        </w:rPr>
        <w:t>（二十四）资金监管要求</w:t>
      </w:r>
      <w:r>
        <w:rPr>
          <w:rFonts w:hint="eastAsia"/>
        </w:rPr>
        <w:tab/>
      </w:r>
      <w:r>
        <w:rPr>
          <w:rFonts w:hint="eastAsia"/>
        </w:rPr>
        <w:fldChar w:fldCharType="begin"/>
      </w:r>
      <w:r>
        <w:rPr>
          <w:rFonts w:hint="eastAsia"/>
        </w:rPr>
        <w:instrText xml:space="preserve"> </w:instrText>
      </w:r>
      <w:r>
        <w:instrText xml:space="preserve">PAGEREF _Toc159596204 \h</w:instrText>
      </w:r>
      <w:r>
        <w:rPr>
          <w:rFonts w:hint="eastAsia"/>
        </w:rPr>
        <w:instrText xml:space="preserve"> </w:instrText>
      </w:r>
      <w:r>
        <w:rPr>
          <w:rFonts w:hint="eastAsia"/>
        </w:rPr>
        <w:fldChar w:fldCharType="separate"/>
      </w:r>
      <w:r>
        <w:t>75</w:t>
      </w:r>
      <w:r>
        <w:rPr>
          <w:rFonts w:hint="eastAsia"/>
        </w:rPr>
        <w:fldChar w:fldCharType="end"/>
      </w:r>
      <w:r>
        <w:rPr>
          <w:rFonts w:hint="eastAsia"/>
        </w:rPr>
        <w:fldChar w:fldCharType="end"/>
      </w:r>
    </w:p>
    <w:p>
      <w:pPr>
        <w:pStyle w:val="13"/>
        <w:rPr>
          <w:rFonts w:ascii="Calibri" w:hAnsi="Calibri"/>
          <w:sz w:val="21"/>
          <w:szCs w:val="22"/>
        </w:rPr>
      </w:pPr>
      <w:r>
        <w:fldChar w:fldCharType="begin"/>
      </w:r>
      <w:r>
        <w:instrText xml:space="preserve"> HYPERLINK \l "_Toc159596205" </w:instrText>
      </w:r>
      <w:r>
        <w:fldChar w:fldCharType="separate"/>
      </w:r>
      <w:r>
        <w:rPr>
          <w:rStyle w:val="18"/>
          <w:rFonts w:hint="eastAsia"/>
          <w:color w:val="auto"/>
        </w:rPr>
        <w:t>（二十五）与体育工艺的施工界面划分</w:t>
      </w:r>
      <w:r>
        <w:rPr>
          <w:rFonts w:hint="eastAsia"/>
        </w:rPr>
        <w:tab/>
      </w:r>
      <w:r>
        <w:rPr>
          <w:rFonts w:hint="eastAsia"/>
        </w:rPr>
        <w:fldChar w:fldCharType="begin"/>
      </w:r>
      <w:r>
        <w:rPr>
          <w:rFonts w:hint="eastAsia"/>
        </w:rPr>
        <w:instrText xml:space="preserve"> </w:instrText>
      </w:r>
      <w:r>
        <w:instrText xml:space="preserve">PAGEREF _Toc159596205 \h</w:instrText>
      </w:r>
      <w:r>
        <w:rPr>
          <w:rFonts w:hint="eastAsia"/>
        </w:rPr>
        <w:instrText xml:space="preserve"> </w:instrText>
      </w:r>
      <w:r>
        <w:rPr>
          <w:rFonts w:hint="eastAsia"/>
        </w:rPr>
        <w:fldChar w:fldCharType="separate"/>
      </w:r>
      <w:r>
        <w:t>75</w:t>
      </w:r>
      <w:r>
        <w:rPr>
          <w:rFonts w:hint="eastAsia"/>
        </w:rPr>
        <w:fldChar w:fldCharType="end"/>
      </w:r>
      <w:r>
        <w:rPr>
          <w:rFonts w:hint="eastAsia"/>
        </w:rPr>
        <w:fldChar w:fldCharType="end"/>
      </w:r>
    </w:p>
    <w:p>
      <w:pPr>
        <w:adjustRightInd w:val="0"/>
        <w:snapToGrid w:val="0"/>
        <w:spacing w:line="360" w:lineRule="auto"/>
        <w:jc w:val="center"/>
        <w:rPr>
          <w:b/>
        </w:rPr>
      </w:pPr>
      <w:r>
        <w:rPr>
          <w:b/>
        </w:rPr>
        <w:fldChar w:fldCharType="end"/>
      </w:r>
      <w:r>
        <w:rPr>
          <w:b/>
        </w:rPr>
        <w:fldChar w:fldCharType="begin"/>
      </w:r>
      <w:r>
        <w:rPr>
          <w:b/>
        </w:rPr>
        <w:instrText xml:space="preserve">TOC \o "1-2" \h \u </w:instrText>
      </w:r>
      <w:r>
        <w:rPr>
          <w:b/>
        </w:rPr>
        <w:fldChar w:fldCharType="separate"/>
      </w:r>
    </w:p>
    <w:p>
      <w:pPr>
        <w:pStyle w:val="19"/>
        <w:tabs>
          <w:tab w:val="right" w:leader="dot" w:pos="8306"/>
        </w:tabs>
        <w:rPr>
          <w:b/>
        </w:rPr>
      </w:pPr>
    </w:p>
    <w:p>
      <w:pPr>
        <w:pStyle w:val="5"/>
        <w:rPr>
          <w:b/>
        </w:rPr>
        <w:sectPr>
          <w:headerReference r:id="rId3" w:type="default"/>
          <w:footerReference r:id="rId4" w:type="default"/>
          <w:pgSz w:w="11906" w:h="16838"/>
          <w:pgMar w:top="1440" w:right="1800" w:bottom="1440" w:left="1800" w:header="851" w:footer="992" w:gutter="0"/>
          <w:cols w:space="720" w:num="1"/>
          <w:docGrid w:type="lines" w:linePitch="312" w:charSpace="0"/>
        </w:sectPr>
      </w:pPr>
      <w:r>
        <w:rPr>
          <w:b/>
        </w:rPr>
        <w:fldChar w:fldCharType="end"/>
      </w:r>
    </w:p>
    <w:p>
      <w:pPr>
        <w:pStyle w:val="3"/>
        <w:keepNext w:val="0"/>
        <w:keepLines w:val="0"/>
        <w:adjustRightInd w:val="0"/>
        <w:snapToGrid w:val="0"/>
        <w:rPr>
          <w:rFonts w:ascii="黑体" w:hAnsi="黑体" w:eastAsia="黑体" w:cs="黑体"/>
          <w:sz w:val="32"/>
          <w:szCs w:val="32"/>
        </w:rPr>
      </w:pPr>
      <w:bookmarkStart w:id="8" w:name="_Toc32432"/>
      <w:bookmarkStart w:id="9" w:name="_Toc159596163"/>
      <w:bookmarkStart w:id="10" w:name="_Toc56444390"/>
      <w:bookmarkStart w:id="11" w:name="_Toc5555"/>
      <w:bookmarkStart w:id="12" w:name="_Toc23983"/>
      <w:bookmarkStart w:id="13" w:name="_Toc23103"/>
      <w:bookmarkStart w:id="14" w:name="_Toc6157"/>
      <w:bookmarkStart w:id="15" w:name="_Toc6127"/>
      <w:bookmarkStart w:id="16" w:name="_Toc55581740"/>
      <w:r>
        <w:rPr>
          <w:rFonts w:hint="eastAsia" w:ascii="黑体" w:hAnsi="黑体" w:eastAsia="黑体" w:cs="黑体"/>
          <w:sz w:val="32"/>
          <w:szCs w:val="32"/>
        </w:rPr>
        <w:t>一、工程概况</w:t>
      </w:r>
      <w:bookmarkEnd w:id="8"/>
      <w:bookmarkEnd w:id="9"/>
      <w:bookmarkEnd w:id="10"/>
      <w:bookmarkEnd w:id="11"/>
      <w:bookmarkEnd w:id="12"/>
      <w:bookmarkEnd w:id="13"/>
      <w:bookmarkEnd w:id="14"/>
      <w:bookmarkEnd w:id="15"/>
      <w:bookmarkEnd w:id="16"/>
    </w:p>
    <w:p>
      <w:pPr>
        <w:pStyle w:val="7"/>
        <w:keepNext w:val="0"/>
        <w:keepLines w:val="0"/>
        <w:adjustRightInd w:val="0"/>
        <w:snapToGrid w:val="0"/>
        <w:spacing w:line="360" w:lineRule="auto"/>
        <w:rPr>
          <w:color w:val="auto"/>
        </w:rPr>
      </w:pPr>
      <w:bookmarkStart w:id="17" w:name="_Toc18111"/>
      <w:bookmarkStart w:id="18" w:name="_Toc48838771"/>
      <w:bookmarkStart w:id="19" w:name="_Toc55581741"/>
      <w:bookmarkStart w:id="20" w:name="_Toc15538"/>
      <w:bookmarkStart w:id="21" w:name="_Toc13168"/>
      <w:bookmarkStart w:id="22" w:name="_Toc392692098"/>
      <w:bookmarkStart w:id="23" w:name="_Toc392863099"/>
      <w:bookmarkStart w:id="24" w:name="_Toc28822"/>
      <w:bookmarkStart w:id="25" w:name="_Toc159596164"/>
      <w:bookmarkStart w:id="26" w:name="_Toc48828399"/>
      <w:bookmarkStart w:id="27" w:name="_Toc13354"/>
      <w:bookmarkStart w:id="28" w:name="_Toc56444391"/>
      <w:bookmarkStart w:id="29" w:name="_Toc48828307"/>
      <w:bookmarkStart w:id="30" w:name="_Toc3860"/>
      <w:bookmarkStart w:id="31" w:name="_Toc48828371"/>
      <w:r>
        <w:rPr>
          <w:rFonts w:hint="eastAsia"/>
          <w:color w:val="auto"/>
          <w:sz w:val="30"/>
          <w:szCs w:val="30"/>
        </w:rPr>
        <w:t>（一）简介</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pPr>
        <w:adjustRightInd w:val="0"/>
        <w:snapToGrid w:val="0"/>
        <w:spacing w:line="360" w:lineRule="auto"/>
        <w:ind w:firstLine="585" w:firstLineChars="236"/>
        <w:jc w:val="left"/>
        <w:rPr>
          <w:rFonts w:ascii="宋体" w:hAnsi="宋体" w:cs="宋体"/>
          <w:bCs/>
          <w:spacing w:val="4"/>
          <w:sz w:val="24"/>
          <w:szCs w:val="24"/>
        </w:rPr>
      </w:pPr>
      <w:r>
        <w:rPr>
          <w:rFonts w:hint="eastAsia" w:ascii="宋体" w:hAnsi="宋体" w:cs="宋体"/>
          <w:bCs/>
          <w:spacing w:val="4"/>
          <w:sz w:val="24"/>
          <w:szCs w:val="24"/>
        </w:rPr>
        <w:t>项目名称：广东奥林匹克体育中心升级改造项目</w:t>
      </w:r>
    </w:p>
    <w:p>
      <w:pPr>
        <w:adjustRightInd w:val="0"/>
        <w:snapToGrid w:val="0"/>
        <w:spacing w:line="360" w:lineRule="auto"/>
        <w:ind w:firstLine="585" w:firstLineChars="236"/>
        <w:jc w:val="left"/>
        <w:rPr>
          <w:rFonts w:ascii="宋体" w:hAnsi="宋体" w:cs="宋体"/>
          <w:bCs/>
          <w:spacing w:val="4"/>
          <w:sz w:val="24"/>
          <w:szCs w:val="24"/>
        </w:rPr>
      </w:pPr>
      <w:r>
        <w:rPr>
          <w:rFonts w:hint="eastAsia" w:ascii="宋体" w:hAnsi="宋体" w:cs="宋体"/>
          <w:bCs/>
          <w:spacing w:val="4"/>
          <w:sz w:val="24"/>
          <w:szCs w:val="24"/>
        </w:rPr>
        <w:t>项目地址：广东省广州市天河区大观南路36号</w:t>
      </w:r>
    </w:p>
    <w:p>
      <w:pPr>
        <w:adjustRightInd w:val="0"/>
        <w:snapToGrid w:val="0"/>
        <w:spacing w:line="360" w:lineRule="auto"/>
        <w:ind w:firstLine="585" w:firstLineChars="236"/>
        <w:jc w:val="left"/>
        <w:rPr>
          <w:rFonts w:ascii="宋体" w:hAnsi="宋体" w:cs="宋体"/>
          <w:bCs/>
          <w:spacing w:val="4"/>
          <w:sz w:val="24"/>
          <w:szCs w:val="24"/>
        </w:rPr>
      </w:pPr>
      <w:r>
        <w:rPr>
          <w:rFonts w:hint="eastAsia" w:ascii="宋体" w:hAnsi="宋体" w:cs="宋体"/>
          <w:bCs/>
          <w:spacing w:val="4"/>
          <w:sz w:val="24"/>
          <w:szCs w:val="24"/>
        </w:rPr>
        <w:t>项目建设单位：广州市重点公共建设项目管理中心</w:t>
      </w:r>
    </w:p>
    <w:p>
      <w:pPr>
        <w:adjustRightInd w:val="0"/>
        <w:snapToGrid w:val="0"/>
        <w:spacing w:line="360" w:lineRule="auto"/>
        <w:ind w:firstLine="585" w:firstLineChars="236"/>
        <w:jc w:val="left"/>
        <w:rPr>
          <w:rFonts w:ascii="宋体" w:hAnsi="宋体" w:cs="宋体"/>
          <w:bCs/>
          <w:spacing w:val="4"/>
          <w:sz w:val="24"/>
          <w:szCs w:val="24"/>
        </w:rPr>
      </w:pPr>
      <w:r>
        <w:rPr>
          <w:rFonts w:hint="eastAsia" w:ascii="宋体" w:hAnsi="宋体" w:cs="宋体"/>
          <w:bCs/>
          <w:spacing w:val="4"/>
          <w:sz w:val="24"/>
          <w:szCs w:val="24"/>
        </w:rPr>
        <w:t>项目使用单位：广东奥林匹克体育中心</w:t>
      </w:r>
    </w:p>
    <w:p>
      <w:pPr>
        <w:adjustRightInd w:val="0"/>
        <w:snapToGrid w:val="0"/>
        <w:spacing w:line="360" w:lineRule="auto"/>
        <w:ind w:firstLine="585" w:firstLineChars="236"/>
        <w:jc w:val="left"/>
        <w:rPr>
          <w:rFonts w:ascii="宋体" w:hAnsi="宋体" w:cs="宋体"/>
          <w:bCs/>
          <w:spacing w:val="4"/>
          <w:sz w:val="24"/>
          <w:szCs w:val="24"/>
        </w:rPr>
      </w:pPr>
      <w:r>
        <w:rPr>
          <w:rFonts w:hint="eastAsia" w:ascii="宋体" w:hAnsi="宋体" w:cs="宋体"/>
          <w:bCs/>
          <w:spacing w:val="4"/>
          <w:sz w:val="24"/>
          <w:szCs w:val="24"/>
        </w:rPr>
        <w:t>建设定位：场馆及配套设施升级改造工程</w:t>
      </w:r>
    </w:p>
    <w:p>
      <w:pPr>
        <w:adjustRightInd w:val="0"/>
        <w:snapToGrid w:val="0"/>
        <w:spacing w:line="360" w:lineRule="auto"/>
        <w:ind w:firstLine="585" w:firstLineChars="236"/>
        <w:jc w:val="left"/>
        <w:rPr>
          <w:rFonts w:ascii="宋体" w:hAnsi="宋体" w:cs="宋体"/>
          <w:bCs/>
          <w:spacing w:val="4"/>
          <w:sz w:val="24"/>
          <w:szCs w:val="24"/>
        </w:rPr>
      </w:pPr>
      <w:r>
        <w:rPr>
          <w:rFonts w:hint="eastAsia" w:ascii="宋体" w:hAnsi="宋体" w:cs="宋体"/>
          <w:bCs/>
          <w:spacing w:val="4"/>
          <w:sz w:val="24"/>
          <w:szCs w:val="24"/>
        </w:rPr>
        <w:t>项目简介：广东奥林匹克体育中心总用地面积65.4621万平方米。奥体中心北临广深高速公路，南临广深铁路、广园快速路，西面是大观南路和环城高速公路，广州地铁4号线与21号线直达奥体中心，交通便利。</w:t>
      </w:r>
    </w:p>
    <w:p>
      <w:pPr>
        <w:adjustRightInd w:val="0"/>
        <w:snapToGrid w:val="0"/>
        <w:spacing w:line="360" w:lineRule="auto"/>
        <w:ind w:firstLine="585" w:firstLineChars="236"/>
        <w:jc w:val="left"/>
        <w:rPr>
          <w:rFonts w:ascii="宋体" w:hAnsi="宋体" w:cs="宋体"/>
          <w:bCs/>
          <w:spacing w:val="4"/>
          <w:sz w:val="24"/>
          <w:szCs w:val="24"/>
        </w:rPr>
      </w:pPr>
      <w:r>
        <w:rPr>
          <w:rFonts w:hint="eastAsia" w:ascii="宋体" w:hAnsi="宋体" w:cs="宋体"/>
          <w:bCs/>
          <w:spacing w:val="4"/>
          <w:sz w:val="24"/>
          <w:szCs w:val="24"/>
        </w:rPr>
        <w:t>广东奥林匹克体育中心主要由体育场、网球中心、游泳跳水馆以及其他配套服务设施构成。广东奥林匹克体育场处于广东奥林匹克体育中心的南部，可容纳观众80012人。该体育场总投资12.3亿人民币，于1998年12月31日动工兴建，2001年9月22日落成，2010年作为亚运会的主赛场之一。 广东奥林匹克游泳跳水馆位于奥林匹克中心西北面，主要由游泳跳水馆、室外相关附属设施、露天停车场、道路、广场、绿化等组成，有标准比赛池、训练池、跳水池各一个，总座位数为4136个。停车场面积约7726平方米，约365个停车位。</w:t>
      </w:r>
    </w:p>
    <w:p>
      <w:pPr>
        <w:adjustRightInd w:val="0"/>
        <w:snapToGrid w:val="0"/>
        <w:spacing w:line="360" w:lineRule="auto"/>
        <w:ind w:firstLine="585" w:firstLineChars="236"/>
        <w:jc w:val="left"/>
        <w:rPr>
          <w:rFonts w:ascii="宋体" w:hAnsi="宋体" w:cs="宋体"/>
          <w:bCs/>
          <w:spacing w:val="4"/>
          <w:sz w:val="24"/>
          <w:szCs w:val="24"/>
        </w:rPr>
      </w:pPr>
      <w:r>
        <w:rPr>
          <w:rFonts w:hint="eastAsia" w:ascii="宋体" w:hAnsi="宋体" w:cs="宋体"/>
          <w:bCs/>
          <w:spacing w:val="4"/>
          <w:sz w:val="24"/>
          <w:szCs w:val="24"/>
        </w:rPr>
        <w:t>项目规模：</w:t>
      </w:r>
      <w:bookmarkStart w:id="32" w:name="_Toc55581747"/>
      <w:bookmarkStart w:id="33" w:name="_Toc56444397"/>
      <w:r>
        <w:rPr>
          <w:rFonts w:hint="eastAsia" w:ascii="宋体" w:hAnsi="宋体" w:cs="宋体"/>
          <w:bCs/>
          <w:spacing w:val="4"/>
          <w:sz w:val="24"/>
          <w:szCs w:val="24"/>
        </w:rPr>
        <w:t>本项目涉及室外工程改造部分用地面积为 345864平方米；涉及建筑部分改造建筑面积共计约 183101平方米（其中主体育场改造建筑面积 141434 平方米、副场改造建筑面积 725 平方米、新建副场竞赛功能用房及全运会总指挥中心用房共 8000 平方米、跳水馆改造建筑面积32942 平方米）；附属场馆外立面改造工程面积 65137 平方米（包括网球中心外立面及屋面、曲棍球场功能用房、棒球场功能用房外立面和游泳跳水馆南立面）；夜景照明工程面积 183311 平方米。</w:t>
      </w:r>
    </w:p>
    <w:p>
      <w:pPr>
        <w:adjustRightInd w:val="0"/>
        <w:snapToGrid w:val="0"/>
        <w:spacing w:line="360" w:lineRule="auto"/>
        <w:rPr>
          <w:sz w:val="30"/>
          <w:szCs w:val="30"/>
        </w:rPr>
      </w:pPr>
      <w:bookmarkStart w:id="34" w:name="_Toc18600"/>
      <w:bookmarkStart w:id="35" w:name="_Toc15437"/>
      <w:bookmarkStart w:id="36" w:name="_Toc841"/>
    </w:p>
    <w:p>
      <w:pPr>
        <w:adjustRightInd w:val="0"/>
        <w:snapToGrid w:val="0"/>
        <w:spacing w:line="360" w:lineRule="auto"/>
        <w:rPr>
          <w:sz w:val="30"/>
          <w:szCs w:val="30"/>
        </w:rPr>
      </w:pPr>
    </w:p>
    <w:p>
      <w:pPr>
        <w:adjustRightInd w:val="0"/>
        <w:snapToGrid w:val="0"/>
        <w:spacing w:line="360" w:lineRule="auto"/>
        <w:rPr>
          <w:sz w:val="30"/>
          <w:szCs w:val="30"/>
        </w:rPr>
      </w:pPr>
    </w:p>
    <w:p>
      <w:pPr>
        <w:pStyle w:val="7"/>
        <w:keepNext w:val="0"/>
        <w:keepLines w:val="0"/>
        <w:adjustRightInd w:val="0"/>
        <w:snapToGrid w:val="0"/>
        <w:spacing w:line="360" w:lineRule="auto"/>
        <w:rPr>
          <w:color w:val="auto"/>
          <w:sz w:val="30"/>
          <w:szCs w:val="30"/>
        </w:rPr>
      </w:pPr>
      <w:bookmarkStart w:id="37" w:name="_Toc159596165"/>
      <w:bookmarkStart w:id="38" w:name="_Toc15503"/>
      <w:bookmarkStart w:id="39" w:name="_Toc25290"/>
      <w:bookmarkStart w:id="40" w:name="_Toc24579"/>
      <w:r>
        <w:rPr>
          <w:rFonts w:hint="eastAsia"/>
          <w:color w:val="auto"/>
          <w:sz w:val="30"/>
          <w:szCs w:val="30"/>
        </w:rPr>
        <w:t>（二）项目现状</w:t>
      </w:r>
      <w:bookmarkEnd w:id="32"/>
      <w:bookmarkEnd w:id="33"/>
      <w:bookmarkEnd w:id="34"/>
      <w:bookmarkEnd w:id="35"/>
      <w:bookmarkEnd w:id="36"/>
      <w:bookmarkEnd w:id="37"/>
      <w:bookmarkEnd w:id="38"/>
      <w:bookmarkEnd w:id="39"/>
      <w:bookmarkEnd w:id="40"/>
    </w:p>
    <w:p>
      <w:pPr>
        <w:pStyle w:val="8"/>
        <w:adjustRightInd w:val="0"/>
        <w:snapToGrid w:val="0"/>
        <w:spacing w:line="360" w:lineRule="auto"/>
        <w:ind w:firstLine="118"/>
        <w:rPr>
          <w:b/>
          <w:bCs/>
          <w:sz w:val="24"/>
          <w:szCs w:val="24"/>
        </w:rPr>
      </w:pPr>
      <w:bookmarkStart w:id="41" w:name="_Toc56444398"/>
      <w:bookmarkStart w:id="42" w:name="_Toc55581748"/>
      <w:bookmarkStart w:id="43" w:name="_Toc55575428"/>
      <w:r>
        <w:rPr>
          <w:rFonts w:hint="eastAsia"/>
          <w:b/>
          <w:bCs/>
          <w:sz w:val="24"/>
          <w:szCs w:val="24"/>
        </w:rPr>
        <w:t>1、</w:t>
      </w:r>
      <w:bookmarkEnd w:id="41"/>
      <w:bookmarkEnd w:id="42"/>
      <w:bookmarkEnd w:id="43"/>
      <w:r>
        <w:rPr>
          <w:rFonts w:hint="eastAsia"/>
          <w:b/>
          <w:bCs/>
          <w:sz w:val="28"/>
          <w:szCs w:val="28"/>
        </w:rPr>
        <w:t>总体情况</w:t>
      </w:r>
    </w:p>
    <w:p>
      <w:pPr>
        <w:adjustRightInd w:val="0"/>
        <w:snapToGrid w:val="0"/>
        <w:spacing w:line="360" w:lineRule="auto"/>
        <w:ind w:firstLine="585" w:firstLineChars="236"/>
        <w:jc w:val="left"/>
        <w:rPr>
          <w:rFonts w:ascii="宋体" w:hAnsi="宋体" w:cs="宋体"/>
          <w:bCs/>
          <w:spacing w:val="4"/>
          <w:sz w:val="24"/>
          <w:szCs w:val="24"/>
        </w:rPr>
      </w:pPr>
      <w:r>
        <w:rPr>
          <w:rFonts w:hint="eastAsia" w:ascii="宋体" w:hAnsi="宋体" w:cs="宋体"/>
          <w:bCs/>
          <w:spacing w:val="4"/>
          <w:sz w:val="24"/>
          <w:szCs w:val="24"/>
        </w:rPr>
        <w:t>广东奥体中心体育场于1998年12月31日动工兴建，2001年9月22日落成。体育场在2010年亚运会期间曾进行简单的维修改造。游泳跳水馆于2010年8月落成。现体育场建成已超过23年、游泳跳水馆建成13年，馆内装修陈旧，设施设备较为落后。</w:t>
      </w:r>
    </w:p>
    <w:p>
      <w:pPr>
        <w:pStyle w:val="8"/>
        <w:adjustRightInd w:val="0"/>
        <w:snapToGrid w:val="0"/>
        <w:spacing w:line="360" w:lineRule="auto"/>
        <w:ind w:firstLine="118"/>
        <w:rPr>
          <w:b/>
          <w:bCs/>
        </w:rPr>
      </w:pPr>
      <w:bookmarkStart w:id="44" w:name="_Toc55575429"/>
      <w:bookmarkStart w:id="45" w:name="_Toc56444399"/>
      <w:bookmarkStart w:id="46" w:name="_Toc55581749"/>
      <w:r>
        <w:rPr>
          <w:rFonts w:hint="eastAsia"/>
          <w:b/>
          <w:bCs/>
        </w:rPr>
        <w:t>2、</w:t>
      </w:r>
      <w:bookmarkEnd w:id="44"/>
      <w:bookmarkEnd w:id="45"/>
      <w:bookmarkEnd w:id="46"/>
      <w:r>
        <w:rPr>
          <w:rFonts w:hint="eastAsia"/>
          <w:b/>
          <w:bCs/>
        </w:rPr>
        <w:t>体育场</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（1）目前体育场所有出租物业已全部回收，仅剩余少量物料、桌椅等清理外运工作。</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（2）体育场地下室为泵房、机房和停车场。</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（3）体育场首层为竞赛功能用饭、新闻中心、智慧安保总控中心、餐饮配套服务用房、贵宾用房、公共卫生间等。</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（4）体育场二层为观众休息大厅及其商业服务用房、公共卫生间，目前没有租户。</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（5）体育场三层为贵宾休息室、会议室、服务间及配套卫生间。</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（6）体育场四层为贵宾包厢、场地扩声系统控制室、赛事照明控制系统控制室、电台发射机房等设备机房。</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（7）体育场五、六层为闲置杂物房、公共卫生间。</w:t>
      </w:r>
    </w:p>
    <w:p>
      <w:pPr>
        <w:pStyle w:val="8"/>
        <w:adjustRightInd w:val="0"/>
        <w:snapToGrid w:val="0"/>
        <w:spacing w:line="360" w:lineRule="auto"/>
        <w:ind w:firstLine="118"/>
        <w:rPr>
          <w:b/>
          <w:bCs/>
        </w:rPr>
      </w:pPr>
      <w:bookmarkStart w:id="47" w:name="_Toc56444400"/>
      <w:bookmarkStart w:id="48" w:name="_Toc55581750"/>
      <w:bookmarkStart w:id="49" w:name="_Toc55575430"/>
      <w:r>
        <w:rPr>
          <w:rFonts w:hint="eastAsia"/>
          <w:b/>
          <w:bCs/>
        </w:rPr>
        <w:t>3、</w:t>
      </w:r>
      <w:bookmarkEnd w:id="47"/>
      <w:bookmarkEnd w:id="48"/>
      <w:bookmarkEnd w:id="49"/>
      <w:r>
        <w:rPr>
          <w:rFonts w:hint="eastAsia"/>
          <w:b/>
          <w:bCs/>
        </w:rPr>
        <w:t>游泳跳水馆</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（1）无出租物业，为场馆中心自营，仅剩余少量物料、桌椅等清理外运工作。</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（2）游泳跳水馆地下室为泳池水处理泵房及其他系统泵房和机房。</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（3）游泳跳水馆首层为比赛泳池、训练泳池、更衣室、淋浴区、公共卫生间以及管理用房、新闻中心，目前没有租户，为场馆自营。</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（4）游泳跳水馆二层为看台观赛区、场地扩声系统控制室、赛事照明控制系统控制室、电台发射机房等设备机房。</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（5）游泳跳水馆三层为力量训练室、器材室、设备间。</w:t>
      </w:r>
    </w:p>
    <w:p>
      <w:pPr>
        <w:pStyle w:val="6"/>
        <w:spacing w:before="80" w:line="221" w:lineRule="auto"/>
        <w:ind w:left="2157"/>
        <w:rPr>
          <w:b/>
          <w:bCs/>
        </w:rPr>
      </w:pPr>
      <w:bookmarkStart w:id="50" w:name="_Toc56444402"/>
      <w:bookmarkStart w:id="51" w:name="_Toc55575432"/>
      <w:bookmarkStart w:id="52" w:name="_Toc55581752"/>
    </w:p>
    <w:bookmarkEnd w:id="50"/>
    <w:bookmarkEnd w:id="51"/>
    <w:bookmarkEnd w:id="52"/>
    <w:p>
      <w:pPr>
        <w:pStyle w:val="7"/>
        <w:keepNext w:val="0"/>
        <w:keepLines w:val="0"/>
        <w:adjustRightInd w:val="0"/>
        <w:snapToGrid w:val="0"/>
        <w:spacing w:line="360" w:lineRule="auto"/>
        <w:rPr>
          <w:color w:val="auto"/>
          <w:sz w:val="30"/>
          <w:szCs w:val="30"/>
        </w:rPr>
      </w:pPr>
      <w:bookmarkStart w:id="53" w:name="_Toc55575436"/>
      <w:bookmarkStart w:id="54" w:name="_Toc55581756"/>
      <w:bookmarkStart w:id="55" w:name="_Toc22036"/>
      <w:bookmarkStart w:id="56" w:name="_Toc5541"/>
      <w:bookmarkStart w:id="57" w:name="_Toc11130"/>
      <w:bookmarkStart w:id="58" w:name="_Toc23578"/>
      <w:bookmarkStart w:id="59" w:name="_Toc159596166"/>
      <w:bookmarkStart w:id="60" w:name="_Toc56444406"/>
      <w:bookmarkStart w:id="61" w:name="_Toc11185"/>
      <w:bookmarkStart w:id="62" w:name="_Toc9521"/>
      <w:r>
        <w:rPr>
          <w:rFonts w:hint="eastAsia"/>
          <w:color w:val="auto"/>
          <w:sz w:val="30"/>
          <w:szCs w:val="30"/>
        </w:rPr>
        <w:t>（三）项目实施范围及内容</w:t>
      </w:r>
      <w:bookmarkEnd w:id="53"/>
      <w:bookmarkEnd w:id="54"/>
      <w:bookmarkEnd w:id="55"/>
      <w:bookmarkEnd w:id="56"/>
      <w:bookmarkEnd w:id="57"/>
      <w:bookmarkEnd w:id="58"/>
      <w:bookmarkEnd w:id="59"/>
      <w:bookmarkEnd w:id="60"/>
      <w:bookmarkEnd w:id="61"/>
      <w:bookmarkEnd w:id="62"/>
    </w:p>
    <w:p>
      <w:pPr>
        <w:pStyle w:val="8"/>
        <w:adjustRightInd w:val="0"/>
        <w:snapToGrid w:val="0"/>
        <w:spacing w:line="360" w:lineRule="auto"/>
        <w:ind w:firstLine="118"/>
        <w:rPr>
          <w:b/>
          <w:bCs/>
        </w:rPr>
      </w:pPr>
      <w:r>
        <w:rPr>
          <w:rFonts w:hint="eastAsia"/>
          <w:b/>
          <w:bCs/>
        </w:rPr>
        <w:t>1、承包范围</w:t>
      </w:r>
    </w:p>
    <w:p>
      <w:pPr>
        <w:pStyle w:val="20"/>
        <w:adjustRightInd w:val="0"/>
        <w:snapToGrid w:val="0"/>
        <w:spacing w:line="360" w:lineRule="auto"/>
        <w:ind w:firstLine="460"/>
        <w:jc w:val="both"/>
        <w:rPr>
          <w:color w:val="auto"/>
          <w:sz w:val="24"/>
          <w:szCs w:val="24"/>
        </w:rPr>
      </w:pPr>
      <w:r>
        <w:rPr>
          <w:rFonts w:hint="eastAsia"/>
          <w:color w:val="auto"/>
          <w:sz w:val="24"/>
          <w:szCs w:val="24"/>
        </w:rPr>
        <w:t>根据发包人提供的项目基础资料和工程管理要求，按合同</w:t>
      </w:r>
      <w:r>
        <w:rPr>
          <w:color w:val="auto"/>
          <w:sz w:val="24"/>
          <w:szCs w:val="24"/>
        </w:rPr>
        <w:t>文件、</w:t>
      </w:r>
      <w:r>
        <w:rPr>
          <w:rFonts w:hint="eastAsia"/>
          <w:color w:val="auto"/>
          <w:sz w:val="24"/>
          <w:szCs w:val="24"/>
        </w:rPr>
        <w:t>招标</w:t>
      </w:r>
      <w:r>
        <w:rPr>
          <w:color w:val="auto"/>
          <w:sz w:val="24"/>
          <w:szCs w:val="24"/>
        </w:rPr>
        <w:t>文件、设计文件</w:t>
      </w:r>
      <w:r>
        <w:rPr>
          <w:rFonts w:hint="eastAsia"/>
          <w:color w:val="auto"/>
          <w:sz w:val="24"/>
          <w:szCs w:val="24"/>
        </w:rPr>
        <w:t>完成本</w:t>
      </w:r>
      <w:r>
        <w:rPr>
          <w:color w:val="auto"/>
          <w:sz w:val="24"/>
          <w:szCs w:val="24"/>
        </w:rPr>
        <w:t>项目</w:t>
      </w:r>
      <w:r>
        <w:rPr>
          <w:rFonts w:hint="eastAsia"/>
          <w:color w:val="auto"/>
          <w:sz w:val="24"/>
          <w:szCs w:val="24"/>
        </w:rPr>
        <w:t>的施工及工程竣工验收等工作。</w:t>
      </w:r>
    </w:p>
    <w:p>
      <w:pPr>
        <w:pStyle w:val="8"/>
        <w:adjustRightInd w:val="0"/>
        <w:snapToGrid w:val="0"/>
        <w:spacing w:line="360" w:lineRule="auto"/>
        <w:ind w:firstLine="118"/>
        <w:rPr>
          <w:b/>
          <w:bCs/>
        </w:rPr>
      </w:pPr>
      <w:r>
        <w:rPr>
          <w:rFonts w:hint="eastAsia"/>
          <w:b/>
          <w:bCs/>
        </w:rPr>
        <w:t>2、工程内容（包括但不限于以下内容）</w:t>
      </w:r>
    </w:p>
    <w:p>
      <w:pPr>
        <w:pStyle w:val="15"/>
        <w:spacing w:line="360" w:lineRule="auto"/>
        <w:ind w:left="0" w:leftChars="0" w:firstLine="566" w:firstLineChars="236"/>
        <w:rPr>
          <w:rFonts w:ascii="宋体" w:hAnsi="宋体" w:cs="宋体"/>
          <w:color w:val="auto"/>
          <w:kern w:val="0"/>
          <w:sz w:val="24"/>
          <w:u w:val="single"/>
          <w:shd w:val="clear" w:color="auto" w:fill="FFFFFF"/>
          <w:lang w:eastAsia="zh-CN" w:bidi="ar"/>
        </w:rPr>
      </w:pPr>
      <w:r>
        <w:rPr>
          <w:color w:val="auto"/>
          <w:sz w:val="24"/>
          <w:lang w:eastAsia="zh-CN"/>
        </w:rPr>
        <w:t>负责规划用地红线范围内的施工工作，包括但不限于以下工作：</w:t>
      </w:r>
      <w:r>
        <w:rPr>
          <w:rFonts w:ascii="宋体" w:hAnsi="宋体" w:cs="宋体"/>
          <w:color w:val="auto"/>
          <w:sz w:val="24"/>
          <w:u w:val="single"/>
          <w:lang w:eastAsia="zh-CN"/>
        </w:rPr>
        <w:t>前期工程（含临水、临电、工地视频监控等)、</w:t>
      </w:r>
      <w:r>
        <w:rPr>
          <w:rFonts w:hint="eastAsia" w:ascii="宋体" w:hAnsi="宋体" w:cs="宋体"/>
          <w:color w:val="auto"/>
          <w:sz w:val="24"/>
          <w:u w:val="single"/>
          <w:lang w:eastAsia="zh-CN"/>
        </w:rPr>
        <w:t>拆除工程、</w:t>
      </w:r>
      <w:r>
        <w:rPr>
          <w:rFonts w:ascii="宋体" w:hAnsi="宋体" w:cs="宋体"/>
          <w:color w:val="auto"/>
          <w:sz w:val="24"/>
          <w:u w:val="single"/>
          <w:lang w:eastAsia="zh-CN"/>
        </w:rPr>
        <w:t>土建工程、装饰装修工程、机电安装工程(电气系统、给排水系统、空调系统、消防系统、</w:t>
      </w:r>
      <w:r>
        <w:rPr>
          <w:rFonts w:hint="eastAsia" w:ascii="宋体" w:hAnsi="宋体" w:cs="宋体"/>
          <w:color w:val="auto"/>
          <w:sz w:val="24"/>
          <w:u w:val="single"/>
          <w:lang w:eastAsia="zh-CN"/>
        </w:rPr>
        <w:t>燃气工程、防雷工程</w:t>
      </w:r>
      <w:r>
        <w:rPr>
          <w:rFonts w:ascii="宋体" w:hAnsi="宋体" w:cs="宋体"/>
          <w:color w:val="auto"/>
          <w:sz w:val="24"/>
          <w:u w:val="single"/>
          <w:lang w:eastAsia="zh-CN"/>
        </w:rPr>
        <w:t>等)、</w:t>
      </w:r>
      <w:r>
        <w:rPr>
          <w:rFonts w:hint="eastAsia" w:ascii="宋体" w:hAnsi="宋体" w:cs="宋体"/>
          <w:color w:val="auto"/>
          <w:sz w:val="24"/>
          <w:u w:val="single"/>
          <w:lang w:eastAsia="zh-CN"/>
        </w:rPr>
        <w:t>电梯釆购与安装、</w:t>
      </w:r>
      <w:r>
        <w:rPr>
          <w:rFonts w:ascii="宋体" w:hAnsi="宋体" w:cs="宋体"/>
          <w:color w:val="auto"/>
          <w:sz w:val="24"/>
          <w:u w:val="single"/>
          <w:lang w:eastAsia="zh-CN"/>
        </w:rPr>
        <w:t>室外配套工程（含园建绿化工程、室外给排水工程、其他配套设施等)、标识工程等，并在满足全运会赛事要求的基础上对使用功能进行优化提升。等以及各项施工相关手续办理</w:t>
      </w:r>
      <w:r>
        <w:rPr>
          <w:rFonts w:ascii="宋体" w:hAnsi="宋体" w:cs="宋体"/>
          <w:color w:val="auto"/>
          <w:sz w:val="24"/>
          <w:u w:val="single"/>
          <w:lang w:eastAsia="zh-CN" w:bidi="ar"/>
        </w:rPr>
        <w:t>。本次招标不包含体育工艺（包括场地天然草坪、更换座椅、场地照明系统、场地扩声系统、场地信息显示屏系统、自动升旗系统、标准时钟系统）、智能化工程。具体以招标文件、招标图纸、工程量清单及有关资料说明为准。</w:t>
      </w:r>
    </w:p>
    <w:p>
      <w:pPr>
        <w:pStyle w:val="8"/>
        <w:adjustRightInd w:val="0"/>
        <w:snapToGrid w:val="0"/>
        <w:spacing w:line="360" w:lineRule="auto"/>
        <w:ind w:firstLine="118"/>
        <w:rPr>
          <w:b/>
          <w:bCs/>
        </w:rPr>
      </w:pPr>
      <w:r>
        <w:rPr>
          <w:rFonts w:hint="eastAsia"/>
          <w:b/>
          <w:bCs/>
        </w:rPr>
        <w:t>3、施工总承包管理及配合服务</w:t>
      </w:r>
    </w:p>
    <w:p>
      <w:pPr>
        <w:adjustRightInd w:val="0"/>
        <w:snapToGrid w:val="0"/>
        <w:spacing w:line="360" w:lineRule="auto"/>
        <w:ind w:firstLine="480" w:firstLineChars="200"/>
        <w:rPr>
          <w:rFonts w:ascii="宋体" w:hAnsi="宋体"/>
        </w:rPr>
      </w:pPr>
      <w:r>
        <w:rPr>
          <w:rFonts w:hint="eastAsia" w:ascii="宋体" w:hAnsi="宋体" w:cs="宋体"/>
          <w:kern w:val="0"/>
          <w:sz w:val="24"/>
          <w:u w:val="single"/>
          <w:shd w:val="clear" w:color="auto" w:fill="FFFFFF"/>
          <w:lang w:bidi="ar"/>
        </w:rPr>
        <w:t>包括对本项目由发包人另行发包的专业工程实施总承包管理和配合服务</w:t>
      </w:r>
      <w:r>
        <w:rPr>
          <w:rFonts w:hint="eastAsia" w:ascii="宋体" w:hAnsi="宋体"/>
          <w:sz w:val="24"/>
          <w:szCs w:val="24"/>
        </w:rPr>
        <w:t>。</w:t>
      </w:r>
    </w:p>
    <w:p>
      <w:pPr>
        <w:pStyle w:val="21"/>
        <w:ind w:firstLine="0" w:firstLineChars="0"/>
        <w:rPr>
          <w:rFonts w:ascii="宋体" w:hAnsi="宋体"/>
        </w:rPr>
      </w:pPr>
    </w:p>
    <w:p>
      <w:pPr>
        <w:pStyle w:val="3"/>
        <w:adjustRightInd w:val="0"/>
        <w:snapToGrid w:val="0"/>
        <w:rPr>
          <w:sz w:val="32"/>
          <w:szCs w:val="32"/>
        </w:rPr>
      </w:pPr>
      <w:bookmarkStart w:id="63" w:name="_Toc9861"/>
      <w:bookmarkStart w:id="64" w:name="_Toc48838772"/>
      <w:bookmarkStart w:id="65" w:name="_Toc48828400"/>
      <w:bookmarkStart w:id="66" w:name="_Toc55581758"/>
      <w:bookmarkStart w:id="67" w:name="_Toc20118"/>
      <w:bookmarkStart w:id="68" w:name="_Toc56444408"/>
      <w:bookmarkStart w:id="69" w:name="_Toc48828308"/>
      <w:bookmarkStart w:id="70" w:name="_Toc22166"/>
      <w:bookmarkStart w:id="71" w:name="_Toc8233"/>
      <w:bookmarkStart w:id="72" w:name="_Toc48828372"/>
      <w:bookmarkStart w:id="73" w:name="_Toc986"/>
      <w:bookmarkStart w:id="74" w:name="_Toc525"/>
      <w:bookmarkStart w:id="75" w:name="_Toc159596167"/>
      <w:r>
        <w:rPr>
          <w:rFonts w:hint="eastAsia"/>
          <w:sz w:val="32"/>
          <w:szCs w:val="32"/>
        </w:rPr>
        <w:t>二、项目管理目标</w:t>
      </w:r>
      <w:bookmarkEnd w:id="63"/>
      <w:bookmarkEnd w:id="64"/>
      <w:bookmarkEnd w:id="65"/>
      <w:bookmarkEnd w:id="66"/>
      <w:bookmarkEnd w:id="67"/>
      <w:bookmarkEnd w:id="68"/>
      <w:bookmarkEnd w:id="69"/>
      <w:bookmarkEnd w:id="70"/>
      <w:bookmarkEnd w:id="71"/>
      <w:bookmarkEnd w:id="72"/>
      <w:bookmarkEnd w:id="73"/>
      <w:bookmarkEnd w:id="74"/>
      <w:bookmarkEnd w:id="75"/>
    </w:p>
    <w:p>
      <w:pPr>
        <w:pStyle w:val="7"/>
        <w:adjustRightInd w:val="0"/>
        <w:snapToGrid w:val="0"/>
        <w:spacing w:line="360" w:lineRule="auto"/>
        <w:rPr>
          <w:color w:val="auto"/>
          <w:sz w:val="30"/>
          <w:szCs w:val="30"/>
        </w:rPr>
      </w:pPr>
      <w:bookmarkStart w:id="76" w:name="_Toc29132"/>
      <w:bookmarkStart w:id="77" w:name="_Toc48828401"/>
      <w:bookmarkStart w:id="78" w:name="_Toc48828309"/>
      <w:bookmarkStart w:id="79" w:name="_Toc48828373"/>
      <w:bookmarkStart w:id="80" w:name="_Toc55581759"/>
      <w:bookmarkStart w:id="81" w:name="_Toc9079"/>
      <w:bookmarkStart w:id="82" w:name="_Toc159596168"/>
      <w:bookmarkStart w:id="83" w:name="_Toc56444409"/>
      <w:bookmarkStart w:id="84" w:name="_Toc8225"/>
      <w:bookmarkStart w:id="85" w:name="_Toc14441"/>
      <w:bookmarkStart w:id="86" w:name="_Toc27325"/>
      <w:bookmarkStart w:id="87" w:name="_Toc48838773"/>
      <w:bookmarkStart w:id="88" w:name="_Toc3884"/>
      <w:r>
        <w:rPr>
          <w:rFonts w:hint="eastAsia"/>
          <w:color w:val="auto"/>
          <w:sz w:val="30"/>
          <w:szCs w:val="30"/>
        </w:rPr>
        <w:t>（一）工期进度目标</w:t>
      </w:r>
      <w:bookmarkEnd w:id="76"/>
      <w:bookmarkEnd w:id="77"/>
      <w:bookmarkEnd w:id="78"/>
      <w:bookmarkEnd w:id="79"/>
      <w:bookmarkEnd w:id="80"/>
      <w:bookmarkEnd w:id="81"/>
      <w:bookmarkEnd w:id="82"/>
      <w:bookmarkEnd w:id="83"/>
      <w:bookmarkEnd w:id="84"/>
      <w:bookmarkEnd w:id="85"/>
      <w:bookmarkEnd w:id="86"/>
      <w:bookmarkEnd w:id="87"/>
      <w:bookmarkEnd w:id="88"/>
    </w:p>
    <w:p>
      <w:pPr>
        <w:pStyle w:val="21"/>
        <w:ind w:firstLine="496"/>
      </w:pPr>
      <w:r>
        <w:rPr>
          <w:rFonts w:hint="eastAsia"/>
        </w:rPr>
        <w:t>1、本项目的总工期目标：自2024年4月1日前完成所有前期准备工作正式动工（具体开工日期以总监理工程师发出的开工令为准），至2025年3月31日实体完工，至2025年5月30日完成竣工联合验收工作。总工期</w:t>
      </w:r>
      <w:r>
        <w:t>包括节假日、周六、周日以及中考、高考、政府惯例性的重大会议等。</w:t>
      </w:r>
      <w:r>
        <w:rPr>
          <w:rFonts w:hint="eastAsia"/>
        </w:rPr>
        <w:t>除</w:t>
      </w:r>
      <w:r>
        <w:t>合同规定外，总工期不会因暴风或恶劣天气及一切因停水、停电及政府有关部门对工程发出特别通知使</w:t>
      </w:r>
      <w:r>
        <w:rPr>
          <w:rFonts w:hint="eastAsia"/>
        </w:rPr>
        <w:t>工程</w:t>
      </w:r>
      <w:r>
        <w:t>停工等事宜</w:t>
      </w:r>
      <w:r>
        <w:rPr>
          <w:rFonts w:hint="eastAsia"/>
        </w:rPr>
        <w:t>而</w:t>
      </w:r>
      <w:r>
        <w:t>延长。</w:t>
      </w:r>
      <w:r>
        <w:rPr>
          <w:rFonts w:hint="eastAsia"/>
        </w:rPr>
        <w:t>承包人</w:t>
      </w:r>
      <w:r>
        <w:t>施工合同额已</w:t>
      </w:r>
      <w:r>
        <w:rPr>
          <w:rFonts w:ascii="宋体" w:hAnsi="宋体"/>
        </w:rPr>
        <w:t>包括一切上述工期完成本工程所须的赶工费及技术措施费。</w:t>
      </w:r>
    </w:p>
    <w:p>
      <w:pPr>
        <w:pStyle w:val="21"/>
        <w:ind w:firstLine="496"/>
        <w:rPr>
          <w:rFonts w:ascii="宋体" w:hAnsi="宋体"/>
        </w:rPr>
      </w:pPr>
      <w:r>
        <w:rPr>
          <w:rFonts w:hint="eastAsia"/>
        </w:rPr>
        <w:t>2、关键工期节点包括：</w:t>
      </w:r>
      <w:r>
        <w:rPr>
          <w:rFonts w:hint="eastAsia" w:ascii="宋体" w:hAnsi="宋体"/>
        </w:rPr>
        <w:t>承包人进场5天内须编制切实可行合理的施工总控计划以及在每月25日前完成据总控进度计划细化的月进度计划报发包人、监理单位批准后实施，在上述总工期不变的前提下各关键节点如下：</w:t>
      </w:r>
    </w:p>
    <w:p>
      <w:pPr>
        <w:pStyle w:val="21"/>
        <w:ind w:firstLine="498"/>
        <w:jc w:val="center"/>
        <w:rPr>
          <w:rFonts w:ascii="宋体" w:hAnsi="宋体"/>
          <w:b/>
          <w:bCs/>
        </w:rPr>
      </w:pPr>
      <w:r>
        <w:rPr>
          <w:rFonts w:hint="eastAsia" w:ascii="宋体" w:hAnsi="宋体"/>
          <w:b/>
          <w:bCs/>
        </w:rPr>
        <w:t>广东奥林匹克体育中心升级改造项目关键线路、节点及工作要求</w:t>
      </w:r>
    </w:p>
    <w:tbl>
      <w:tblPr>
        <w:tblStyle w:val="16"/>
        <w:tblpPr w:leftFromText="181" w:rightFromText="181" w:vertAnchor="text" w:horzAnchor="margin" w:tblpX="6"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134"/>
        <w:gridCol w:w="1389"/>
        <w:gridCol w:w="1276"/>
        <w:gridCol w:w="4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Align w:val="center"/>
          </w:tcPr>
          <w:p>
            <w:pPr>
              <w:widowControl/>
              <w:adjustRightInd w:val="0"/>
              <w:snapToGrid w:val="0"/>
              <w:spacing w:line="288" w:lineRule="auto"/>
              <w:jc w:val="center"/>
              <w:rPr>
                <w:rFonts w:ascii="宋体" w:hAnsi="宋体" w:cs="宋体"/>
                <w:bCs/>
                <w:kern w:val="0"/>
                <w:sz w:val="24"/>
                <w:szCs w:val="24"/>
              </w:rPr>
            </w:pPr>
            <w:r>
              <w:rPr>
                <w:rFonts w:hint="eastAsia" w:ascii="宋体" w:hAnsi="宋体" w:cs="宋体"/>
                <w:bCs/>
                <w:kern w:val="0"/>
                <w:sz w:val="24"/>
                <w:szCs w:val="24"/>
              </w:rPr>
              <w:t>序号</w:t>
            </w:r>
          </w:p>
        </w:tc>
        <w:tc>
          <w:tcPr>
            <w:tcW w:w="1134" w:type="dxa"/>
            <w:vAlign w:val="center"/>
          </w:tcPr>
          <w:p>
            <w:pPr>
              <w:adjustRightInd w:val="0"/>
              <w:snapToGrid w:val="0"/>
              <w:spacing w:line="288" w:lineRule="auto"/>
              <w:jc w:val="center"/>
              <w:rPr>
                <w:rFonts w:ascii="宋体" w:hAnsi="宋体" w:cs="宋体"/>
                <w:bCs/>
                <w:kern w:val="0"/>
                <w:sz w:val="24"/>
                <w:szCs w:val="24"/>
              </w:rPr>
            </w:pPr>
            <w:r>
              <w:rPr>
                <w:rFonts w:hint="eastAsia" w:ascii="宋体" w:hAnsi="宋体" w:cs="宋体"/>
                <w:bCs/>
                <w:kern w:val="0"/>
                <w:sz w:val="24"/>
                <w:szCs w:val="24"/>
              </w:rPr>
              <w:t>单位工程</w:t>
            </w:r>
          </w:p>
        </w:tc>
        <w:tc>
          <w:tcPr>
            <w:tcW w:w="1389" w:type="dxa"/>
            <w:vAlign w:val="center"/>
          </w:tcPr>
          <w:p>
            <w:pPr>
              <w:adjustRightInd w:val="0"/>
              <w:snapToGrid w:val="0"/>
              <w:spacing w:line="288" w:lineRule="auto"/>
              <w:jc w:val="center"/>
              <w:rPr>
                <w:rFonts w:ascii="宋体" w:hAnsi="宋体" w:cs="宋体"/>
                <w:bCs/>
                <w:kern w:val="0"/>
                <w:sz w:val="24"/>
                <w:szCs w:val="24"/>
              </w:rPr>
            </w:pPr>
            <w:r>
              <w:rPr>
                <w:rFonts w:hint="eastAsia" w:ascii="宋体" w:hAnsi="宋体" w:cs="宋体"/>
                <w:bCs/>
                <w:kern w:val="0"/>
                <w:sz w:val="24"/>
                <w:szCs w:val="24"/>
              </w:rPr>
              <w:t>计划开始日期</w:t>
            </w:r>
          </w:p>
        </w:tc>
        <w:tc>
          <w:tcPr>
            <w:tcW w:w="1276" w:type="dxa"/>
            <w:vAlign w:val="center"/>
          </w:tcPr>
          <w:p>
            <w:pPr>
              <w:adjustRightInd w:val="0"/>
              <w:snapToGrid w:val="0"/>
              <w:spacing w:line="288" w:lineRule="auto"/>
              <w:jc w:val="center"/>
              <w:rPr>
                <w:rFonts w:ascii="宋体" w:hAnsi="宋体" w:cs="宋体"/>
                <w:bCs/>
                <w:kern w:val="0"/>
                <w:sz w:val="24"/>
                <w:szCs w:val="24"/>
              </w:rPr>
            </w:pPr>
            <w:r>
              <w:rPr>
                <w:rFonts w:hint="eastAsia" w:ascii="宋体" w:hAnsi="宋体" w:cs="宋体"/>
                <w:bCs/>
                <w:kern w:val="0"/>
                <w:sz w:val="24"/>
                <w:szCs w:val="24"/>
              </w:rPr>
              <w:t>计划完成日期</w:t>
            </w:r>
          </w:p>
        </w:tc>
        <w:tc>
          <w:tcPr>
            <w:tcW w:w="4530" w:type="dxa"/>
            <w:vAlign w:val="center"/>
          </w:tcPr>
          <w:p>
            <w:pPr>
              <w:adjustRightInd w:val="0"/>
              <w:snapToGrid w:val="0"/>
              <w:spacing w:line="288" w:lineRule="auto"/>
              <w:jc w:val="center"/>
              <w:rPr>
                <w:rFonts w:ascii="宋体" w:hAnsi="宋体" w:cs="宋体"/>
                <w:bCs/>
                <w:kern w:val="0"/>
                <w:sz w:val="24"/>
                <w:szCs w:val="24"/>
              </w:rPr>
            </w:pPr>
            <w:r>
              <w:rPr>
                <w:rFonts w:hint="eastAsia" w:ascii="宋体" w:hAnsi="宋体" w:cs="宋体"/>
                <w:bCs/>
                <w:kern w:val="0"/>
                <w:sz w:val="24"/>
                <w:szCs w:val="24"/>
              </w:rPr>
              <w:t>配合工作要求及管理要点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Align w:val="center"/>
          </w:tcPr>
          <w:p>
            <w:pPr>
              <w:widowControl/>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1</w:t>
            </w:r>
          </w:p>
        </w:tc>
        <w:tc>
          <w:tcPr>
            <w:tcW w:w="1134" w:type="dxa"/>
            <w:vAlign w:val="center"/>
          </w:tcPr>
          <w:p>
            <w:pPr>
              <w:adjustRightInd w:val="0"/>
              <w:snapToGrid w:val="0"/>
              <w:spacing w:line="288" w:lineRule="auto"/>
              <w:jc w:val="left"/>
              <w:rPr>
                <w:rFonts w:ascii="宋体" w:hAnsi="宋体" w:cs="宋体"/>
                <w:bCs/>
                <w:kern w:val="0"/>
                <w:szCs w:val="21"/>
              </w:rPr>
            </w:pPr>
            <w:r>
              <w:rPr>
                <w:rFonts w:hint="eastAsia" w:ascii="宋体" w:hAnsi="宋体" w:cs="宋体"/>
                <w:bCs/>
                <w:kern w:val="0"/>
                <w:szCs w:val="21"/>
              </w:rPr>
              <w:t>前期准备（施工进场准备、施工许可证办理）</w:t>
            </w: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w:t>
            </w:r>
            <w:r>
              <w:rPr>
                <w:rFonts w:ascii="宋体" w:hAnsi="宋体" w:cs="宋体"/>
                <w:bCs/>
                <w:kern w:val="0"/>
                <w:szCs w:val="21"/>
              </w:rPr>
              <w:t>02</w:t>
            </w:r>
            <w:r>
              <w:rPr>
                <w:rFonts w:hint="eastAsia" w:ascii="宋体" w:hAnsi="宋体" w:cs="宋体"/>
                <w:bCs/>
                <w:kern w:val="0"/>
                <w:szCs w:val="21"/>
              </w:rPr>
              <w:t>4</w:t>
            </w:r>
            <w:r>
              <w:rPr>
                <w:rFonts w:ascii="宋体" w:hAnsi="宋体" w:cs="宋体"/>
                <w:bCs/>
                <w:kern w:val="0"/>
                <w:szCs w:val="21"/>
              </w:rPr>
              <w:t>.4.1</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w:t>
            </w:r>
            <w:r>
              <w:rPr>
                <w:rFonts w:ascii="宋体" w:hAnsi="宋体" w:cs="宋体"/>
                <w:bCs/>
                <w:kern w:val="0"/>
                <w:szCs w:val="21"/>
              </w:rPr>
              <w:t>02</w:t>
            </w:r>
            <w:r>
              <w:rPr>
                <w:rFonts w:hint="eastAsia" w:ascii="宋体" w:hAnsi="宋体" w:cs="宋体"/>
                <w:bCs/>
                <w:kern w:val="0"/>
                <w:szCs w:val="21"/>
              </w:rPr>
              <w:t>4</w:t>
            </w:r>
            <w:r>
              <w:rPr>
                <w:rFonts w:ascii="宋体" w:hAnsi="宋体" w:cs="宋体"/>
                <w:bCs/>
                <w:kern w:val="0"/>
                <w:szCs w:val="21"/>
              </w:rPr>
              <w:t>.</w:t>
            </w:r>
            <w:r>
              <w:rPr>
                <w:rFonts w:hint="eastAsia" w:ascii="宋体" w:hAnsi="宋体" w:cs="宋体"/>
                <w:bCs/>
                <w:kern w:val="0"/>
                <w:szCs w:val="21"/>
              </w:rPr>
              <w:t>4</w:t>
            </w:r>
            <w:r>
              <w:rPr>
                <w:rFonts w:ascii="宋体" w:hAnsi="宋体" w:cs="宋体"/>
                <w:bCs/>
                <w:kern w:val="0"/>
                <w:szCs w:val="21"/>
              </w:rPr>
              <w:t>.30</w:t>
            </w:r>
          </w:p>
        </w:tc>
        <w:tc>
          <w:tcPr>
            <w:tcW w:w="4530" w:type="dxa"/>
            <w:vAlign w:val="center"/>
          </w:tcPr>
          <w:p>
            <w:pPr>
              <w:numPr>
                <w:ilvl w:val="0"/>
                <w:numId w:val="1"/>
              </w:numPr>
              <w:tabs>
                <w:tab w:val="clear" w:pos="360"/>
              </w:tabs>
              <w:adjustRightInd w:val="0"/>
              <w:snapToGrid w:val="0"/>
              <w:spacing w:line="288" w:lineRule="auto"/>
              <w:ind w:left="0" w:firstLine="0"/>
              <w:rPr>
                <w:rFonts w:ascii="宋体" w:hAnsi="宋体"/>
                <w:szCs w:val="21"/>
              </w:rPr>
            </w:pPr>
            <w:r>
              <w:rPr>
                <w:rFonts w:hint="eastAsia" w:ascii="宋体" w:hAnsi="宋体"/>
                <w:szCs w:val="21"/>
              </w:rPr>
              <w:t>承包人搭建满足安全规范的临时设施；</w:t>
            </w:r>
          </w:p>
          <w:p>
            <w:pPr>
              <w:numPr>
                <w:ilvl w:val="0"/>
                <w:numId w:val="1"/>
              </w:numPr>
              <w:tabs>
                <w:tab w:val="clear" w:pos="360"/>
              </w:tabs>
              <w:adjustRightInd w:val="0"/>
              <w:snapToGrid w:val="0"/>
              <w:spacing w:line="288" w:lineRule="auto"/>
              <w:ind w:left="0" w:firstLine="0"/>
              <w:rPr>
                <w:rFonts w:ascii="宋体" w:hAnsi="宋体"/>
                <w:szCs w:val="21"/>
              </w:rPr>
            </w:pPr>
            <w:r>
              <w:rPr>
                <w:rFonts w:hint="eastAsia" w:ascii="宋体" w:hAnsi="宋体"/>
                <w:szCs w:val="21"/>
              </w:rPr>
              <w:t>接通临水、临电运行正常；</w:t>
            </w:r>
          </w:p>
          <w:p>
            <w:pPr>
              <w:numPr>
                <w:ilvl w:val="0"/>
                <w:numId w:val="1"/>
              </w:numPr>
              <w:tabs>
                <w:tab w:val="clear" w:pos="360"/>
              </w:tabs>
              <w:adjustRightInd w:val="0"/>
              <w:snapToGrid w:val="0"/>
              <w:spacing w:line="288" w:lineRule="auto"/>
              <w:ind w:left="0" w:firstLine="0"/>
              <w:rPr>
                <w:rFonts w:ascii="宋体" w:hAnsi="宋体"/>
                <w:szCs w:val="21"/>
              </w:rPr>
            </w:pPr>
            <w:r>
              <w:rPr>
                <w:rFonts w:hint="eastAsia" w:ascii="宋体" w:hAnsi="宋体"/>
                <w:szCs w:val="21"/>
              </w:rPr>
              <w:t>检查排水、排污系统运行正常；</w:t>
            </w:r>
          </w:p>
          <w:p>
            <w:pPr>
              <w:numPr>
                <w:ilvl w:val="0"/>
                <w:numId w:val="1"/>
              </w:numPr>
              <w:tabs>
                <w:tab w:val="clear" w:pos="360"/>
              </w:tabs>
              <w:adjustRightInd w:val="0"/>
              <w:snapToGrid w:val="0"/>
              <w:spacing w:line="288" w:lineRule="auto"/>
              <w:ind w:left="0" w:firstLine="0"/>
              <w:rPr>
                <w:rFonts w:ascii="宋体" w:hAnsi="宋体"/>
                <w:szCs w:val="21"/>
              </w:rPr>
            </w:pPr>
            <w:r>
              <w:rPr>
                <w:rFonts w:hint="eastAsia" w:ascii="宋体" w:hAnsi="宋体"/>
                <w:szCs w:val="21"/>
              </w:rPr>
              <w:t>编制总进度控制计划；</w:t>
            </w:r>
          </w:p>
          <w:p>
            <w:pPr>
              <w:numPr>
                <w:ilvl w:val="0"/>
                <w:numId w:val="1"/>
              </w:numPr>
              <w:tabs>
                <w:tab w:val="clear" w:pos="360"/>
              </w:tabs>
              <w:adjustRightInd w:val="0"/>
              <w:snapToGrid w:val="0"/>
              <w:spacing w:line="288" w:lineRule="auto"/>
              <w:ind w:left="0" w:firstLine="0"/>
              <w:rPr>
                <w:rFonts w:ascii="宋体" w:hAnsi="宋体"/>
                <w:szCs w:val="21"/>
              </w:rPr>
            </w:pPr>
            <w:r>
              <w:rPr>
                <w:rFonts w:hint="eastAsia" w:ascii="宋体" w:hAnsi="宋体"/>
                <w:szCs w:val="21"/>
              </w:rPr>
              <w:t>编制施工组织设计和专项施工方案，应急预案；</w:t>
            </w:r>
          </w:p>
          <w:p>
            <w:pPr>
              <w:numPr>
                <w:ilvl w:val="0"/>
                <w:numId w:val="1"/>
              </w:numPr>
              <w:tabs>
                <w:tab w:val="clear" w:pos="360"/>
              </w:tabs>
              <w:adjustRightInd w:val="0"/>
              <w:snapToGrid w:val="0"/>
              <w:spacing w:line="288" w:lineRule="auto"/>
              <w:ind w:left="0" w:firstLine="0"/>
              <w:rPr>
                <w:rFonts w:ascii="宋体" w:hAnsi="宋体"/>
                <w:szCs w:val="21"/>
              </w:rPr>
            </w:pPr>
            <w:r>
              <w:rPr>
                <w:rFonts w:hint="eastAsia" w:ascii="宋体" w:hAnsi="宋体"/>
                <w:szCs w:val="21"/>
              </w:rPr>
              <w:t>负责组织各参建单位办理施工许可证；</w:t>
            </w:r>
          </w:p>
          <w:p>
            <w:pPr>
              <w:numPr>
                <w:ilvl w:val="0"/>
                <w:numId w:val="1"/>
              </w:numPr>
              <w:adjustRightInd w:val="0"/>
              <w:snapToGrid w:val="0"/>
              <w:spacing w:line="288" w:lineRule="auto"/>
              <w:rPr>
                <w:rFonts w:ascii="宋体" w:hAnsi="宋体"/>
                <w:szCs w:val="21"/>
              </w:rPr>
            </w:pPr>
            <w:r>
              <w:rPr>
                <w:rFonts w:hint="eastAsia" w:ascii="宋体" w:hAnsi="宋体"/>
                <w:szCs w:val="21"/>
              </w:rPr>
              <w:t>安排超前钻单位进场（新建副场竞赛功能房及指挥中心地质勘探）；</w:t>
            </w:r>
          </w:p>
          <w:p>
            <w:pPr>
              <w:numPr>
                <w:ilvl w:val="0"/>
                <w:numId w:val="1"/>
              </w:numPr>
              <w:tabs>
                <w:tab w:val="clear" w:pos="360"/>
              </w:tabs>
              <w:adjustRightInd w:val="0"/>
              <w:snapToGrid w:val="0"/>
              <w:spacing w:line="288" w:lineRule="auto"/>
              <w:ind w:left="0" w:firstLine="0"/>
              <w:rPr>
                <w:rFonts w:ascii="宋体" w:hAnsi="宋体"/>
                <w:szCs w:val="21"/>
              </w:rPr>
            </w:pPr>
            <w:r>
              <w:rPr>
                <w:rFonts w:hint="eastAsia" w:ascii="宋体" w:hAnsi="宋体"/>
                <w:szCs w:val="21"/>
              </w:rPr>
              <w:t>与使用单位协商，划分施工区域的围蔽和交通管制。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restart"/>
            <w:vAlign w:val="center"/>
          </w:tcPr>
          <w:p>
            <w:pPr>
              <w:widowControl/>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w:t>
            </w:r>
          </w:p>
        </w:tc>
        <w:tc>
          <w:tcPr>
            <w:tcW w:w="1134" w:type="dxa"/>
            <w:vMerge w:val="restart"/>
            <w:vAlign w:val="center"/>
          </w:tcPr>
          <w:p>
            <w:pPr>
              <w:adjustRightInd w:val="0"/>
              <w:snapToGrid w:val="0"/>
              <w:spacing w:line="288" w:lineRule="auto"/>
              <w:jc w:val="left"/>
              <w:rPr>
                <w:rFonts w:ascii="宋体" w:hAnsi="宋体" w:cs="宋体"/>
                <w:bCs/>
                <w:kern w:val="0"/>
                <w:szCs w:val="21"/>
              </w:rPr>
            </w:pPr>
            <w:r>
              <w:rPr>
                <w:rFonts w:hint="eastAsia" w:ascii="宋体" w:hAnsi="宋体" w:cs="宋体"/>
                <w:bCs/>
                <w:kern w:val="0"/>
                <w:szCs w:val="21"/>
              </w:rPr>
              <w:t>体育场（关键线路）</w:t>
            </w: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2024.4</w:t>
            </w:r>
            <w:r>
              <w:rPr>
                <w:rFonts w:ascii="宋体" w:hAnsi="宋体" w:cs="宋体"/>
                <w:bCs/>
                <w:kern w:val="0"/>
                <w:szCs w:val="21"/>
              </w:rPr>
              <w:t>.</w:t>
            </w:r>
            <w:r>
              <w:rPr>
                <w:rFonts w:hint="eastAsia" w:ascii="宋体" w:hAnsi="宋体" w:cs="宋体"/>
                <w:bCs/>
                <w:kern w:val="0"/>
                <w:szCs w:val="21"/>
              </w:rPr>
              <w:t>26</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8.15</w:t>
            </w:r>
          </w:p>
        </w:tc>
        <w:tc>
          <w:tcPr>
            <w:tcW w:w="4530" w:type="dxa"/>
            <w:vAlign w:val="center"/>
          </w:tcPr>
          <w:p>
            <w:pPr>
              <w:adjustRightInd w:val="0"/>
              <w:snapToGrid w:val="0"/>
              <w:spacing w:line="288" w:lineRule="auto"/>
              <w:rPr>
                <w:rFonts w:ascii="宋体" w:hAnsi="宋体"/>
                <w:szCs w:val="21"/>
              </w:rPr>
            </w:pPr>
            <w:r>
              <w:rPr>
                <w:rFonts w:hint="eastAsia" w:ascii="宋体" w:hAnsi="宋体"/>
                <w:szCs w:val="21"/>
              </w:rPr>
              <w:t xml:space="preserve">1、外立面局部结构拆除（含大楼梯拆除、西侧圆筒楼梯拆除、北入口局部拆除）及部分结构加固工程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jc w:val="left"/>
              <w:rPr>
                <w:rFonts w:ascii="宋体" w:hAnsi="宋体" w:cs="宋体"/>
                <w:bCs/>
                <w:kern w:val="0"/>
                <w:szCs w:val="21"/>
              </w:rPr>
            </w:pP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4.26</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9.19</w:t>
            </w:r>
          </w:p>
        </w:tc>
        <w:tc>
          <w:tcPr>
            <w:tcW w:w="4530" w:type="dxa"/>
            <w:vAlign w:val="center"/>
          </w:tcPr>
          <w:p>
            <w:pPr>
              <w:adjustRightInd w:val="0"/>
              <w:snapToGrid w:val="0"/>
              <w:spacing w:line="288" w:lineRule="auto"/>
              <w:rPr>
                <w:rFonts w:ascii="宋体" w:hAnsi="宋体"/>
                <w:szCs w:val="21"/>
              </w:rPr>
            </w:pPr>
            <w:r>
              <w:rPr>
                <w:rFonts w:hint="eastAsia" w:ascii="宋体" w:hAnsi="宋体"/>
                <w:szCs w:val="21"/>
              </w:rPr>
              <w:t>2、原金属屋面系统拆除及新金属屋面系统安装完成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jc w:val="left"/>
              <w:rPr>
                <w:rFonts w:ascii="宋体" w:hAnsi="宋体" w:cs="宋体"/>
                <w:bCs/>
                <w:kern w:val="0"/>
                <w:szCs w:val="21"/>
              </w:rPr>
            </w:pP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4.26</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11.4</w:t>
            </w:r>
          </w:p>
        </w:tc>
        <w:tc>
          <w:tcPr>
            <w:tcW w:w="4530" w:type="dxa"/>
            <w:vAlign w:val="center"/>
          </w:tcPr>
          <w:p>
            <w:pPr>
              <w:widowControl/>
              <w:jc w:val="left"/>
              <w:rPr>
                <w:rFonts w:ascii="宋体" w:hAnsi="宋体"/>
                <w:szCs w:val="21"/>
              </w:rPr>
            </w:pPr>
            <w:r>
              <w:rPr>
                <w:rFonts w:hint="eastAsia" w:ascii="宋体" w:hAnsi="宋体"/>
                <w:szCs w:val="21"/>
              </w:rPr>
              <w:t>3、钢罩棚结构修缮及罩棚天花PTFE膜安装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jc w:val="left"/>
              <w:rPr>
                <w:rFonts w:ascii="宋体" w:hAnsi="宋体" w:cs="宋体"/>
                <w:bCs/>
                <w:kern w:val="0"/>
                <w:szCs w:val="21"/>
              </w:rPr>
            </w:pP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4.26</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11.14</w:t>
            </w:r>
          </w:p>
        </w:tc>
        <w:tc>
          <w:tcPr>
            <w:tcW w:w="4530" w:type="dxa"/>
            <w:vAlign w:val="center"/>
          </w:tcPr>
          <w:p>
            <w:pPr>
              <w:adjustRightInd w:val="0"/>
              <w:snapToGrid w:val="0"/>
              <w:spacing w:line="288" w:lineRule="auto"/>
              <w:rPr>
                <w:rFonts w:ascii="宋体" w:hAnsi="宋体"/>
                <w:szCs w:val="21"/>
              </w:rPr>
            </w:pPr>
            <w:r>
              <w:rPr>
                <w:rFonts w:hint="eastAsia" w:ascii="宋体" w:hAnsi="宋体"/>
                <w:szCs w:val="21"/>
              </w:rPr>
              <w:t>4、原幕墙系统拆除、新幕墙外挑檐施工及新幕墙系统安装完成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jc w:val="left"/>
              <w:rPr>
                <w:rFonts w:ascii="宋体" w:hAnsi="宋体" w:cs="宋体"/>
                <w:bCs/>
                <w:kern w:val="0"/>
                <w:szCs w:val="21"/>
              </w:rPr>
            </w:pP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4.26</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7.9</w:t>
            </w:r>
          </w:p>
        </w:tc>
        <w:tc>
          <w:tcPr>
            <w:tcW w:w="4530" w:type="dxa"/>
            <w:vAlign w:val="center"/>
          </w:tcPr>
          <w:p>
            <w:pPr>
              <w:adjustRightInd w:val="0"/>
              <w:snapToGrid w:val="0"/>
              <w:spacing w:line="288" w:lineRule="auto"/>
              <w:rPr>
                <w:rFonts w:ascii="宋体" w:hAnsi="宋体"/>
                <w:szCs w:val="21"/>
              </w:rPr>
            </w:pPr>
            <w:r>
              <w:rPr>
                <w:rFonts w:hint="eastAsia" w:ascii="宋体" w:hAnsi="宋体"/>
                <w:szCs w:val="21"/>
              </w:rPr>
              <w:t>5、原建筑房间内隔断墙体及管线、设备等拆除完成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jc w:val="left"/>
              <w:rPr>
                <w:rFonts w:ascii="宋体" w:hAnsi="宋体" w:cs="宋体"/>
                <w:bCs/>
                <w:kern w:val="0"/>
                <w:szCs w:val="21"/>
              </w:rPr>
            </w:pP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6</w:t>
            </w:r>
            <w:r>
              <w:rPr>
                <w:rFonts w:hint="eastAsia" w:ascii="宋体" w:hAnsi="宋体" w:cs="宋体"/>
                <w:bCs/>
                <w:kern w:val="0"/>
                <w:szCs w:val="21"/>
              </w:rPr>
              <w:t>.1</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8.1</w:t>
            </w:r>
          </w:p>
        </w:tc>
        <w:tc>
          <w:tcPr>
            <w:tcW w:w="4530" w:type="dxa"/>
            <w:vAlign w:val="center"/>
          </w:tcPr>
          <w:p>
            <w:pPr>
              <w:adjustRightInd w:val="0"/>
              <w:snapToGrid w:val="0"/>
              <w:spacing w:line="288" w:lineRule="auto"/>
              <w:rPr>
                <w:rFonts w:ascii="宋体" w:hAnsi="宋体"/>
                <w:szCs w:val="21"/>
              </w:rPr>
            </w:pPr>
            <w:r>
              <w:rPr>
                <w:rFonts w:hint="eastAsia" w:ascii="宋体" w:hAnsi="宋体"/>
                <w:szCs w:val="21"/>
              </w:rPr>
              <w:t>6、新建筑房间内隔断墙体砌筑及主要设备、一次管线安装完成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jc w:val="left"/>
              <w:rPr>
                <w:rFonts w:ascii="宋体" w:hAnsi="宋体" w:cs="宋体"/>
                <w:bCs/>
                <w:kern w:val="0"/>
                <w:szCs w:val="21"/>
              </w:rPr>
            </w:pP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2024.8.</w:t>
            </w:r>
            <w:r>
              <w:rPr>
                <w:rFonts w:ascii="宋体" w:hAnsi="宋体" w:cs="宋体"/>
                <w:bCs/>
                <w:kern w:val="0"/>
                <w:szCs w:val="21"/>
              </w:rPr>
              <w:t>2</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2024.10.15</w:t>
            </w:r>
          </w:p>
        </w:tc>
        <w:tc>
          <w:tcPr>
            <w:tcW w:w="4530" w:type="dxa"/>
            <w:vAlign w:val="center"/>
          </w:tcPr>
          <w:p>
            <w:pPr>
              <w:adjustRightInd w:val="0"/>
              <w:snapToGrid w:val="0"/>
              <w:spacing w:line="288" w:lineRule="auto"/>
              <w:rPr>
                <w:rFonts w:ascii="宋体" w:hAnsi="宋体"/>
                <w:szCs w:val="21"/>
              </w:rPr>
            </w:pPr>
            <w:r>
              <w:rPr>
                <w:rFonts w:hint="eastAsia" w:ascii="宋体" w:hAnsi="宋体"/>
                <w:szCs w:val="21"/>
              </w:rPr>
              <w:t>7、普通功能房二次管线及装饰装修完成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jc w:val="left"/>
              <w:rPr>
                <w:rFonts w:ascii="宋体" w:hAnsi="宋体" w:cs="宋体"/>
                <w:bCs/>
                <w:kern w:val="0"/>
                <w:szCs w:val="21"/>
              </w:rPr>
            </w:pP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4.26</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7.27</w:t>
            </w:r>
          </w:p>
        </w:tc>
        <w:tc>
          <w:tcPr>
            <w:tcW w:w="4530" w:type="dxa"/>
            <w:vAlign w:val="center"/>
          </w:tcPr>
          <w:p>
            <w:pPr>
              <w:adjustRightInd w:val="0"/>
              <w:snapToGrid w:val="0"/>
              <w:spacing w:line="288" w:lineRule="auto"/>
              <w:rPr>
                <w:rFonts w:ascii="宋体" w:hAnsi="宋体"/>
                <w:szCs w:val="21"/>
              </w:rPr>
            </w:pPr>
            <w:r>
              <w:rPr>
                <w:rFonts w:hint="eastAsia" w:ascii="宋体" w:hAnsi="宋体"/>
                <w:szCs w:val="21"/>
              </w:rPr>
              <w:t>8、重要区域装饰装修⽅案设计确定、主</w:t>
            </w:r>
          </w:p>
          <w:p>
            <w:pPr>
              <w:adjustRightInd w:val="0"/>
              <w:snapToGrid w:val="0"/>
              <w:spacing w:line="288" w:lineRule="auto"/>
              <w:rPr>
                <w:rFonts w:ascii="宋体" w:hAnsi="宋体"/>
                <w:szCs w:val="21"/>
              </w:rPr>
            </w:pPr>
            <w:r>
              <w:rPr>
                <w:rFonts w:hint="eastAsia" w:ascii="宋体" w:hAnsi="宋体"/>
                <w:szCs w:val="21"/>
              </w:rPr>
              <w:t>要材料定板、深化设计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jc w:val="left"/>
              <w:rPr>
                <w:rFonts w:ascii="宋体" w:hAnsi="宋体" w:cs="宋体"/>
                <w:bCs/>
                <w:kern w:val="0"/>
                <w:szCs w:val="21"/>
              </w:rPr>
            </w:pP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6</w:t>
            </w:r>
            <w:r>
              <w:rPr>
                <w:rFonts w:hint="eastAsia" w:ascii="宋体" w:hAnsi="宋体" w:cs="宋体"/>
                <w:bCs/>
                <w:kern w:val="0"/>
                <w:szCs w:val="21"/>
              </w:rPr>
              <w:t>.1</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7.30</w:t>
            </w:r>
          </w:p>
        </w:tc>
        <w:tc>
          <w:tcPr>
            <w:tcW w:w="4530" w:type="dxa"/>
            <w:vAlign w:val="center"/>
          </w:tcPr>
          <w:p>
            <w:pPr>
              <w:adjustRightInd w:val="0"/>
              <w:snapToGrid w:val="0"/>
              <w:spacing w:line="288" w:lineRule="auto"/>
              <w:rPr>
                <w:rFonts w:ascii="宋体" w:hAnsi="宋体"/>
                <w:szCs w:val="21"/>
              </w:rPr>
            </w:pPr>
            <w:r>
              <w:rPr>
                <w:rFonts w:hint="eastAsia" w:ascii="宋体" w:hAnsi="宋体"/>
                <w:szCs w:val="21"/>
              </w:rPr>
              <w:t>9、涉及重要区域结构拆改及原装修、机电拆除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jc w:val="left"/>
              <w:rPr>
                <w:rFonts w:ascii="宋体" w:hAnsi="宋体" w:cs="宋体"/>
                <w:bCs/>
                <w:kern w:val="0"/>
                <w:szCs w:val="21"/>
              </w:rPr>
            </w:pP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11.15</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w:t>
            </w:r>
            <w:r>
              <w:rPr>
                <w:rFonts w:hint="eastAsia" w:ascii="宋体" w:hAnsi="宋体" w:cs="宋体"/>
                <w:bCs/>
                <w:kern w:val="0"/>
                <w:szCs w:val="21"/>
                <w:lang w:val="en-US" w:eastAsia="zh-CN"/>
              </w:rPr>
              <w:t>5</w:t>
            </w:r>
            <w:r>
              <w:rPr>
                <w:rFonts w:hint="eastAsia" w:ascii="宋体" w:hAnsi="宋体" w:cs="宋体"/>
                <w:bCs/>
                <w:kern w:val="0"/>
                <w:szCs w:val="21"/>
              </w:rPr>
              <w:t>.</w:t>
            </w:r>
            <w:r>
              <w:rPr>
                <w:rFonts w:ascii="宋体" w:hAnsi="宋体" w:cs="宋体"/>
                <w:bCs/>
                <w:kern w:val="0"/>
                <w:szCs w:val="21"/>
              </w:rPr>
              <w:t>3.29</w:t>
            </w:r>
          </w:p>
        </w:tc>
        <w:tc>
          <w:tcPr>
            <w:tcW w:w="4530" w:type="dxa"/>
            <w:vAlign w:val="center"/>
          </w:tcPr>
          <w:p>
            <w:pPr>
              <w:adjustRightInd w:val="0"/>
              <w:snapToGrid w:val="0"/>
              <w:spacing w:line="288" w:lineRule="auto"/>
              <w:rPr>
                <w:rFonts w:ascii="宋体" w:hAnsi="宋体"/>
                <w:szCs w:val="21"/>
              </w:rPr>
            </w:pPr>
            <w:r>
              <w:rPr>
                <w:rFonts w:hint="eastAsia" w:ascii="宋体" w:hAnsi="宋体"/>
                <w:szCs w:val="21"/>
              </w:rPr>
              <w:t>10、重要区域装饰装修施⼯完成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jc w:val="left"/>
              <w:rPr>
                <w:rFonts w:ascii="宋体" w:hAnsi="宋体" w:cs="宋体"/>
                <w:bCs/>
                <w:kern w:val="0"/>
                <w:szCs w:val="21"/>
              </w:rPr>
            </w:pP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6.1</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11.25</w:t>
            </w:r>
          </w:p>
        </w:tc>
        <w:tc>
          <w:tcPr>
            <w:tcW w:w="4530" w:type="dxa"/>
            <w:vAlign w:val="center"/>
          </w:tcPr>
          <w:p>
            <w:pPr>
              <w:adjustRightInd w:val="0"/>
              <w:snapToGrid w:val="0"/>
              <w:spacing w:line="288" w:lineRule="auto"/>
              <w:rPr>
                <w:rFonts w:ascii="宋体" w:hAnsi="宋体"/>
                <w:szCs w:val="21"/>
              </w:rPr>
            </w:pPr>
            <w:r>
              <w:rPr>
                <w:rFonts w:hint="eastAsia" w:ascii="宋体" w:hAnsi="宋体"/>
                <w:szCs w:val="21"/>
              </w:rPr>
              <w:t>11、场馆智能化工程完成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jc w:val="left"/>
              <w:rPr>
                <w:rFonts w:ascii="宋体" w:hAnsi="宋体" w:cs="宋体"/>
                <w:bCs/>
                <w:kern w:val="0"/>
                <w:szCs w:val="21"/>
              </w:rPr>
            </w:pPr>
          </w:p>
        </w:tc>
        <w:tc>
          <w:tcPr>
            <w:tcW w:w="1389" w:type="dxa"/>
            <w:vAlign w:val="center"/>
          </w:tcPr>
          <w:p>
            <w:pPr>
              <w:pStyle w:val="14"/>
              <w:jc w:val="center"/>
              <w:rPr>
                <w:rFonts w:cs="宋体"/>
                <w:bCs/>
                <w:sz w:val="21"/>
                <w:szCs w:val="21"/>
              </w:rPr>
            </w:pPr>
            <w:r>
              <w:rPr>
                <w:rFonts w:hint="eastAsia" w:cs="宋体"/>
                <w:bCs/>
                <w:sz w:val="21"/>
                <w:szCs w:val="21"/>
              </w:rPr>
              <w:t>2024.9.1</w:t>
            </w:r>
          </w:p>
        </w:tc>
        <w:tc>
          <w:tcPr>
            <w:tcW w:w="1276" w:type="dxa"/>
            <w:vAlign w:val="center"/>
          </w:tcPr>
          <w:p>
            <w:pPr>
              <w:pStyle w:val="14"/>
              <w:rPr>
                <w:rFonts w:cs="宋体"/>
                <w:bCs/>
                <w:sz w:val="21"/>
                <w:szCs w:val="21"/>
              </w:rPr>
            </w:pPr>
            <w:r>
              <w:rPr>
                <w:rFonts w:hint="eastAsia" w:cs="宋体"/>
                <w:bCs/>
                <w:sz w:val="21"/>
                <w:szCs w:val="21"/>
              </w:rPr>
              <w:t>2025.</w:t>
            </w:r>
            <w:r>
              <w:rPr>
                <w:rFonts w:cs="宋体"/>
                <w:bCs/>
                <w:sz w:val="21"/>
                <w:szCs w:val="21"/>
              </w:rPr>
              <w:t>2.</w:t>
            </w:r>
            <w:r>
              <w:rPr>
                <w:rFonts w:hint="eastAsia" w:cs="宋体"/>
                <w:bCs/>
                <w:sz w:val="21"/>
                <w:szCs w:val="21"/>
              </w:rPr>
              <w:t>28</w:t>
            </w:r>
          </w:p>
        </w:tc>
        <w:tc>
          <w:tcPr>
            <w:tcW w:w="4530" w:type="dxa"/>
            <w:vAlign w:val="center"/>
          </w:tcPr>
          <w:p>
            <w:pPr>
              <w:adjustRightInd w:val="0"/>
              <w:snapToGrid w:val="0"/>
              <w:spacing w:line="288" w:lineRule="auto"/>
              <w:rPr>
                <w:rFonts w:ascii="宋体" w:hAnsi="宋体"/>
                <w:szCs w:val="21"/>
              </w:rPr>
            </w:pPr>
            <w:r>
              <w:rPr>
                <w:rFonts w:hint="eastAsia" w:ascii="宋体" w:hAnsi="宋体"/>
                <w:szCs w:val="21"/>
              </w:rPr>
              <w:t>12、体育工艺专项工程施⼯及检测完成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restart"/>
            <w:vAlign w:val="center"/>
          </w:tcPr>
          <w:p>
            <w:pPr>
              <w:widowControl/>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3</w:t>
            </w:r>
          </w:p>
        </w:tc>
        <w:tc>
          <w:tcPr>
            <w:tcW w:w="1134" w:type="dxa"/>
            <w:vMerge w:val="restart"/>
            <w:vAlign w:val="center"/>
          </w:tcPr>
          <w:p>
            <w:pPr>
              <w:adjustRightInd w:val="0"/>
              <w:snapToGrid w:val="0"/>
              <w:spacing w:line="288" w:lineRule="auto"/>
              <w:rPr>
                <w:rFonts w:ascii="宋体" w:hAnsi="宋体" w:cs="宋体"/>
                <w:bCs/>
                <w:kern w:val="0"/>
                <w:szCs w:val="21"/>
              </w:rPr>
            </w:pPr>
            <w:r>
              <w:rPr>
                <w:rFonts w:hint="eastAsia" w:ascii="宋体" w:hAnsi="宋体" w:cs="宋体"/>
                <w:bCs/>
                <w:kern w:val="0"/>
                <w:szCs w:val="21"/>
              </w:rPr>
              <w:t>新建副场竞赛功能房及指挥中心</w:t>
            </w: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4.26</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5.30</w:t>
            </w:r>
          </w:p>
        </w:tc>
        <w:tc>
          <w:tcPr>
            <w:tcW w:w="4530" w:type="dxa"/>
            <w:vAlign w:val="center"/>
          </w:tcPr>
          <w:p>
            <w:pPr>
              <w:numPr>
                <w:ilvl w:val="0"/>
                <w:numId w:val="2"/>
              </w:numPr>
              <w:tabs>
                <w:tab w:val="clear" w:pos="360"/>
              </w:tabs>
              <w:adjustRightInd w:val="0"/>
              <w:snapToGrid w:val="0"/>
              <w:spacing w:line="288" w:lineRule="auto"/>
              <w:ind w:left="0" w:firstLine="0"/>
              <w:rPr>
                <w:rFonts w:ascii="宋体" w:hAnsi="宋体"/>
                <w:szCs w:val="21"/>
              </w:rPr>
            </w:pPr>
            <w:r>
              <w:rPr>
                <w:rFonts w:hint="eastAsia" w:ascii="宋体" w:hAnsi="宋体"/>
                <w:szCs w:val="21"/>
              </w:rPr>
              <w:t>安排超前钻单位进场，完成副场新建竞赛功能用房，完成地质勘察和施工图设计。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rPr>
                <w:rFonts w:ascii="宋体" w:hAnsi="宋体" w:cs="宋体"/>
                <w:bCs/>
                <w:kern w:val="0"/>
                <w:szCs w:val="21"/>
              </w:rPr>
            </w:pP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5.31</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8.16</w:t>
            </w:r>
          </w:p>
        </w:tc>
        <w:tc>
          <w:tcPr>
            <w:tcW w:w="4530" w:type="dxa"/>
            <w:vAlign w:val="center"/>
          </w:tcPr>
          <w:p>
            <w:pPr>
              <w:numPr>
                <w:ilvl w:val="0"/>
                <w:numId w:val="2"/>
              </w:numPr>
              <w:tabs>
                <w:tab w:val="clear" w:pos="360"/>
              </w:tabs>
              <w:adjustRightInd w:val="0"/>
              <w:snapToGrid w:val="0"/>
              <w:spacing w:line="288" w:lineRule="auto"/>
              <w:ind w:left="0" w:firstLine="0"/>
              <w:rPr>
                <w:rFonts w:ascii="宋体" w:hAnsi="宋体"/>
                <w:szCs w:val="21"/>
              </w:rPr>
            </w:pPr>
            <w:r>
              <w:rPr>
                <w:rFonts w:hint="eastAsia" w:ascii="宋体" w:hAnsi="宋体"/>
                <w:szCs w:val="21"/>
              </w:rPr>
              <w:t>基础工程完成。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rPr>
                <w:rFonts w:ascii="宋体" w:hAnsi="宋体" w:cs="宋体"/>
                <w:bCs/>
                <w:kern w:val="0"/>
                <w:szCs w:val="21"/>
              </w:rPr>
            </w:pP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8.17</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11.17</w:t>
            </w:r>
          </w:p>
        </w:tc>
        <w:tc>
          <w:tcPr>
            <w:tcW w:w="4530" w:type="dxa"/>
            <w:vAlign w:val="center"/>
          </w:tcPr>
          <w:p>
            <w:pPr>
              <w:numPr>
                <w:ilvl w:val="0"/>
                <w:numId w:val="2"/>
              </w:numPr>
              <w:tabs>
                <w:tab w:val="clear" w:pos="360"/>
              </w:tabs>
              <w:adjustRightInd w:val="0"/>
              <w:snapToGrid w:val="0"/>
              <w:spacing w:line="288" w:lineRule="auto"/>
              <w:ind w:left="0" w:firstLine="0"/>
              <w:rPr>
                <w:rFonts w:ascii="宋体" w:hAnsi="宋体"/>
                <w:szCs w:val="21"/>
              </w:rPr>
            </w:pPr>
            <w:r>
              <w:rPr>
                <w:rFonts w:hint="eastAsia" w:ascii="宋体" w:hAnsi="宋体"/>
                <w:szCs w:val="21"/>
              </w:rPr>
              <w:t>主体结构工程完成。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rPr>
                <w:rFonts w:ascii="宋体" w:hAnsi="宋体" w:cs="宋体"/>
                <w:bCs/>
                <w:kern w:val="0"/>
                <w:szCs w:val="21"/>
              </w:rPr>
            </w:pP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10.25</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w:t>
            </w:r>
            <w:r>
              <w:rPr>
                <w:rFonts w:hint="eastAsia" w:ascii="宋体" w:hAnsi="宋体" w:cs="宋体"/>
                <w:bCs/>
                <w:kern w:val="0"/>
                <w:szCs w:val="21"/>
                <w:lang w:val="en-US" w:eastAsia="zh-CN"/>
              </w:rPr>
              <w:t>5</w:t>
            </w:r>
            <w:r>
              <w:rPr>
                <w:rFonts w:hint="eastAsia" w:ascii="宋体" w:hAnsi="宋体" w:cs="宋体"/>
                <w:bCs/>
                <w:kern w:val="0"/>
                <w:szCs w:val="21"/>
              </w:rPr>
              <w:t>.</w:t>
            </w:r>
            <w:r>
              <w:rPr>
                <w:rFonts w:ascii="宋体" w:hAnsi="宋体" w:cs="宋体"/>
                <w:bCs/>
                <w:kern w:val="0"/>
                <w:szCs w:val="21"/>
              </w:rPr>
              <w:t>2.16</w:t>
            </w:r>
          </w:p>
        </w:tc>
        <w:tc>
          <w:tcPr>
            <w:tcW w:w="4530" w:type="dxa"/>
            <w:vAlign w:val="center"/>
          </w:tcPr>
          <w:p>
            <w:pPr>
              <w:numPr>
                <w:ilvl w:val="0"/>
                <w:numId w:val="2"/>
              </w:numPr>
              <w:tabs>
                <w:tab w:val="clear" w:pos="360"/>
              </w:tabs>
              <w:adjustRightInd w:val="0"/>
              <w:snapToGrid w:val="0"/>
              <w:spacing w:line="288" w:lineRule="auto"/>
              <w:ind w:left="0" w:firstLine="0"/>
              <w:rPr>
                <w:rFonts w:ascii="宋体" w:hAnsi="宋体"/>
                <w:szCs w:val="21"/>
              </w:rPr>
            </w:pPr>
            <w:r>
              <w:rPr>
                <w:rFonts w:hint="eastAsia" w:ascii="宋体" w:hAnsi="宋体"/>
                <w:szCs w:val="21"/>
              </w:rPr>
              <w:t>装饰装修及机电安装工程完成。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rPr>
                <w:rFonts w:ascii="宋体" w:hAnsi="宋体" w:cs="宋体"/>
                <w:bCs/>
                <w:kern w:val="0"/>
                <w:szCs w:val="21"/>
              </w:rPr>
            </w:pP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9.25</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w:t>
            </w:r>
            <w:r>
              <w:rPr>
                <w:rFonts w:ascii="宋体" w:hAnsi="宋体" w:cs="宋体"/>
                <w:bCs/>
                <w:kern w:val="0"/>
                <w:szCs w:val="21"/>
              </w:rPr>
              <w:t>10.30</w:t>
            </w:r>
          </w:p>
        </w:tc>
        <w:tc>
          <w:tcPr>
            <w:tcW w:w="4530" w:type="dxa"/>
            <w:vAlign w:val="center"/>
          </w:tcPr>
          <w:p>
            <w:pPr>
              <w:numPr>
                <w:ilvl w:val="0"/>
                <w:numId w:val="2"/>
              </w:numPr>
              <w:tabs>
                <w:tab w:val="clear" w:pos="360"/>
              </w:tabs>
              <w:adjustRightInd w:val="0"/>
              <w:snapToGrid w:val="0"/>
              <w:spacing w:line="288" w:lineRule="auto"/>
              <w:ind w:left="0" w:firstLine="0"/>
              <w:rPr>
                <w:rFonts w:ascii="宋体" w:hAnsi="宋体"/>
                <w:szCs w:val="21"/>
              </w:rPr>
            </w:pPr>
            <w:r>
              <w:rPr>
                <w:rFonts w:hint="eastAsia" w:ascii="宋体" w:hAnsi="宋体"/>
                <w:szCs w:val="21"/>
              </w:rPr>
              <w:t>屋面工程完成。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rPr>
                <w:rFonts w:ascii="宋体" w:hAnsi="宋体" w:cs="宋体"/>
                <w:bCs/>
                <w:kern w:val="0"/>
                <w:szCs w:val="21"/>
              </w:rPr>
            </w:pP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2024.7.24</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2024.9.17</w:t>
            </w:r>
          </w:p>
        </w:tc>
        <w:tc>
          <w:tcPr>
            <w:tcW w:w="4530" w:type="dxa"/>
            <w:vAlign w:val="center"/>
          </w:tcPr>
          <w:p>
            <w:pPr>
              <w:numPr>
                <w:ilvl w:val="0"/>
                <w:numId w:val="2"/>
              </w:numPr>
              <w:tabs>
                <w:tab w:val="clear" w:pos="360"/>
              </w:tabs>
              <w:adjustRightInd w:val="0"/>
              <w:snapToGrid w:val="0"/>
              <w:spacing w:line="288" w:lineRule="auto"/>
              <w:ind w:left="0" w:firstLine="0"/>
              <w:rPr>
                <w:rFonts w:ascii="宋体" w:hAnsi="宋体"/>
                <w:szCs w:val="21"/>
              </w:rPr>
            </w:pPr>
            <w:r>
              <w:rPr>
                <w:rFonts w:hint="eastAsia" w:ascii="宋体" w:hAnsi="宋体"/>
                <w:szCs w:val="21"/>
              </w:rPr>
              <w:t>电梯工程完成。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rPr>
                <w:rFonts w:ascii="宋体" w:hAnsi="宋体" w:cs="宋体"/>
                <w:bCs/>
                <w:kern w:val="0"/>
                <w:szCs w:val="21"/>
              </w:rPr>
            </w:pPr>
          </w:p>
        </w:tc>
        <w:tc>
          <w:tcPr>
            <w:tcW w:w="1389"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2024.7.1</w:t>
            </w:r>
          </w:p>
        </w:tc>
        <w:tc>
          <w:tcPr>
            <w:tcW w:w="1276" w:type="dxa"/>
            <w:vAlign w:val="center"/>
          </w:tcPr>
          <w:p>
            <w:pPr>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2024.11.30</w:t>
            </w:r>
          </w:p>
        </w:tc>
        <w:tc>
          <w:tcPr>
            <w:tcW w:w="4530" w:type="dxa"/>
            <w:vAlign w:val="center"/>
          </w:tcPr>
          <w:p>
            <w:pPr>
              <w:numPr>
                <w:ilvl w:val="0"/>
                <w:numId w:val="2"/>
              </w:numPr>
              <w:tabs>
                <w:tab w:val="clear" w:pos="360"/>
              </w:tabs>
              <w:adjustRightInd w:val="0"/>
              <w:snapToGrid w:val="0"/>
              <w:spacing w:line="288" w:lineRule="auto"/>
              <w:ind w:left="0" w:firstLine="0"/>
              <w:rPr>
                <w:rFonts w:ascii="宋体" w:hAnsi="宋体"/>
                <w:szCs w:val="21"/>
              </w:rPr>
            </w:pPr>
            <w:r>
              <w:rPr>
                <w:rFonts w:hint="eastAsia" w:ascii="宋体" w:hAnsi="宋体"/>
                <w:szCs w:val="21"/>
              </w:rPr>
              <w:t>市政及园林配套工程完成。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rPr>
                <w:rFonts w:ascii="宋体" w:hAnsi="宋体" w:cs="宋体"/>
                <w:bCs/>
                <w:kern w:val="0"/>
                <w:szCs w:val="21"/>
              </w:rPr>
            </w:pPr>
          </w:p>
        </w:tc>
        <w:tc>
          <w:tcPr>
            <w:tcW w:w="1389" w:type="dxa"/>
            <w:vAlign w:val="center"/>
          </w:tcPr>
          <w:p>
            <w:pPr>
              <w:pStyle w:val="14"/>
              <w:jc w:val="center"/>
              <w:rPr>
                <w:rFonts w:cs="宋体"/>
                <w:bCs/>
                <w:sz w:val="21"/>
                <w:szCs w:val="21"/>
              </w:rPr>
            </w:pPr>
            <w:r>
              <w:rPr>
                <w:rFonts w:hint="eastAsia" w:cs="宋体"/>
                <w:bCs/>
                <w:sz w:val="21"/>
                <w:szCs w:val="21"/>
              </w:rPr>
              <w:t>2024.10.1</w:t>
            </w:r>
          </w:p>
        </w:tc>
        <w:tc>
          <w:tcPr>
            <w:tcW w:w="1276" w:type="dxa"/>
            <w:vAlign w:val="center"/>
          </w:tcPr>
          <w:p>
            <w:pPr>
              <w:pStyle w:val="14"/>
              <w:rPr>
                <w:rFonts w:cs="宋体"/>
                <w:bCs/>
                <w:sz w:val="21"/>
                <w:szCs w:val="21"/>
              </w:rPr>
            </w:pPr>
            <w:r>
              <w:rPr>
                <w:rFonts w:hint="eastAsia" w:cs="宋体"/>
                <w:bCs/>
                <w:sz w:val="21"/>
                <w:szCs w:val="21"/>
              </w:rPr>
              <w:t>202</w:t>
            </w:r>
            <w:r>
              <w:rPr>
                <w:rFonts w:hint="eastAsia" w:cs="宋体"/>
                <w:bCs/>
                <w:sz w:val="21"/>
                <w:szCs w:val="21"/>
                <w:lang w:val="en-US" w:eastAsia="zh-CN"/>
              </w:rPr>
              <w:t>5</w:t>
            </w:r>
            <w:r>
              <w:rPr>
                <w:rFonts w:hint="eastAsia" w:cs="宋体"/>
                <w:bCs/>
                <w:sz w:val="21"/>
                <w:szCs w:val="21"/>
              </w:rPr>
              <w:t>.</w:t>
            </w:r>
            <w:r>
              <w:rPr>
                <w:rFonts w:cs="宋体"/>
                <w:bCs/>
                <w:sz w:val="21"/>
                <w:szCs w:val="21"/>
              </w:rPr>
              <w:t>1</w:t>
            </w:r>
            <w:r>
              <w:rPr>
                <w:rFonts w:hint="eastAsia" w:cs="宋体"/>
                <w:bCs/>
                <w:sz w:val="21"/>
                <w:szCs w:val="21"/>
              </w:rPr>
              <w:t>.31</w:t>
            </w:r>
          </w:p>
        </w:tc>
        <w:tc>
          <w:tcPr>
            <w:tcW w:w="4530" w:type="dxa"/>
            <w:vAlign w:val="center"/>
          </w:tcPr>
          <w:p>
            <w:pPr>
              <w:numPr>
                <w:ilvl w:val="0"/>
                <w:numId w:val="2"/>
              </w:numPr>
              <w:tabs>
                <w:tab w:val="clear" w:pos="360"/>
              </w:tabs>
              <w:adjustRightInd w:val="0"/>
              <w:snapToGrid w:val="0"/>
              <w:spacing w:line="288" w:lineRule="auto"/>
              <w:ind w:left="0" w:firstLine="0"/>
              <w:rPr>
                <w:rFonts w:ascii="宋体" w:hAnsi="宋体"/>
                <w:szCs w:val="21"/>
              </w:rPr>
            </w:pPr>
            <w:r>
              <w:rPr>
                <w:rFonts w:hint="eastAsia" w:ascii="宋体" w:hAnsi="宋体"/>
                <w:szCs w:val="21"/>
              </w:rPr>
              <w:t>智能化工程完成。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restart"/>
            <w:vAlign w:val="center"/>
          </w:tcPr>
          <w:p>
            <w:pPr>
              <w:widowControl/>
              <w:adjustRightInd w:val="0"/>
              <w:snapToGrid w:val="0"/>
              <w:spacing w:line="288" w:lineRule="auto"/>
              <w:jc w:val="center"/>
              <w:rPr>
                <w:rFonts w:ascii="宋体" w:hAnsi="宋体" w:cs="宋体"/>
                <w:bCs/>
                <w:kern w:val="0"/>
                <w:szCs w:val="21"/>
              </w:rPr>
            </w:pPr>
            <w:r>
              <w:rPr>
                <w:rFonts w:hint="eastAsia" w:ascii="宋体" w:hAnsi="宋体" w:cs="宋体"/>
                <w:bCs/>
                <w:kern w:val="0"/>
                <w:szCs w:val="21"/>
              </w:rPr>
              <w:t>4</w:t>
            </w:r>
          </w:p>
        </w:tc>
        <w:tc>
          <w:tcPr>
            <w:tcW w:w="1134" w:type="dxa"/>
            <w:vMerge w:val="restart"/>
            <w:vAlign w:val="center"/>
          </w:tcPr>
          <w:p>
            <w:pPr>
              <w:adjustRightInd w:val="0"/>
              <w:snapToGrid w:val="0"/>
              <w:spacing w:line="288" w:lineRule="auto"/>
              <w:rPr>
                <w:rFonts w:ascii="宋体" w:hAnsi="宋体" w:cs="宋体"/>
                <w:bCs/>
                <w:kern w:val="0"/>
                <w:szCs w:val="21"/>
              </w:rPr>
            </w:pPr>
            <w:r>
              <w:rPr>
                <w:rFonts w:hint="eastAsia" w:ascii="宋体" w:hAnsi="宋体" w:cs="宋体"/>
                <w:bCs/>
                <w:kern w:val="0"/>
                <w:szCs w:val="21"/>
              </w:rPr>
              <w:t>游泳跳水馆</w:t>
            </w:r>
          </w:p>
        </w:tc>
        <w:tc>
          <w:tcPr>
            <w:tcW w:w="1389" w:type="dxa"/>
            <w:vAlign w:val="center"/>
          </w:tcPr>
          <w:p>
            <w:pPr>
              <w:pStyle w:val="14"/>
              <w:rPr>
                <w:rFonts w:cs="宋体"/>
                <w:bCs/>
                <w:sz w:val="21"/>
                <w:szCs w:val="21"/>
                <w:lang w:bidi="ar"/>
              </w:rPr>
            </w:pPr>
            <w:r>
              <w:rPr>
                <w:rFonts w:hint="eastAsia" w:cs="宋体"/>
                <w:bCs/>
                <w:sz w:val="21"/>
                <w:szCs w:val="21"/>
              </w:rPr>
              <w:t>2024.</w:t>
            </w:r>
            <w:r>
              <w:rPr>
                <w:rFonts w:cs="宋体"/>
                <w:bCs/>
                <w:sz w:val="21"/>
                <w:szCs w:val="21"/>
              </w:rPr>
              <w:t>6.30</w:t>
            </w:r>
          </w:p>
        </w:tc>
        <w:tc>
          <w:tcPr>
            <w:tcW w:w="1276" w:type="dxa"/>
            <w:vAlign w:val="center"/>
          </w:tcPr>
          <w:p>
            <w:pPr>
              <w:pStyle w:val="14"/>
              <w:rPr>
                <w:rFonts w:cs="宋体"/>
                <w:bCs/>
                <w:sz w:val="21"/>
                <w:szCs w:val="21"/>
                <w:lang w:bidi="ar"/>
              </w:rPr>
            </w:pPr>
            <w:r>
              <w:rPr>
                <w:rFonts w:hint="eastAsia" w:cs="宋体"/>
                <w:bCs/>
                <w:sz w:val="21"/>
                <w:szCs w:val="21"/>
                <w:lang w:bidi="ar"/>
              </w:rPr>
              <w:t>2024.</w:t>
            </w:r>
            <w:r>
              <w:rPr>
                <w:rFonts w:cs="宋体"/>
                <w:bCs/>
                <w:sz w:val="21"/>
                <w:szCs w:val="21"/>
                <w:lang w:bidi="ar"/>
              </w:rPr>
              <w:t>7.30</w:t>
            </w:r>
          </w:p>
        </w:tc>
        <w:tc>
          <w:tcPr>
            <w:tcW w:w="4530" w:type="dxa"/>
            <w:vAlign w:val="center"/>
          </w:tcPr>
          <w:p>
            <w:pPr>
              <w:numPr>
                <w:ilvl w:val="0"/>
                <w:numId w:val="3"/>
              </w:numPr>
              <w:tabs>
                <w:tab w:val="clear" w:pos="360"/>
              </w:tabs>
              <w:adjustRightInd w:val="0"/>
              <w:snapToGrid w:val="0"/>
              <w:spacing w:line="288" w:lineRule="auto"/>
              <w:ind w:left="0" w:firstLine="0"/>
              <w:rPr>
                <w:rFonts w:ascii="宋体" w:hAnsi="宋体"/>
                <w:szCs w:val="21"/>
              </w:rPr>
            </w:pPr>
            <w:r>
              <w:rPr>
                <w:rFonts w:hint="eastAsia" w:ascii="宋体" w:hAnsi="宋体"/>
                <w:szCs w:val="21"/>
              </w:rPr>
              <w:t>原装修、机电设备、管线拆除。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rPr>
                <w:rFonts w:ascii="宋体" w:hAnsi="宋体" w:cs="宋体"/>
                <w:bCs/>
                <w:kern w:val="0"/>
                <w:szCs w:val="21"/>
              </w:rPr>
            </w:pPr>
          </w:p>
        </w:tc>
        <w:tc>
          <w:tcPr>
            <w:tcW w:w="1389" w:type="dxa"/>
            <w:vAlign w:val="center"/>
          </w:tcPr>
          <w:p>
            <w:pPr>
              <w:pStyle w:val="14"/>
              <w:rPr>
                <w:rFonts w:cs="宋体"/>
                <w:bCs/>
                <w:sz w:val="21"/>
                <w:szCs w:val="21"/>
                <w:lang w:bidi="ar"/>
              </w:rPr>
            </w:pPr>
            <w:r>
              <w:rPr>
                <w:rFonts w:hint="eastAsia" w:cs="宋体"/>
                <w:bCs/>
                <w:sz w:val="21"/>
                <w:szCs w:val="21"/>
              </w:rPr>
              <w:t>2024.</w:t>
            </w:r>
            <w:r>
              <w:rPr>
                <w:rFonts w:cs="宋体"/>
                <w:bCs/>
                <w:sz w:val="21"/>
                <w:szCs w:val="21"/>
              </w:rPr>
              <w:t>5.26</w:t>
            </w:r>
          </w:p>
        </w:tc>
        <w:tc>
          <w:tcPr>
            <w:tcW w:w="1276" w:type="dxa"/>
            <w:vAlign w:val="center"/>
          </w:tcPr>
          <w:p>
            <w:pPr>
              <w:pStyle w:val="14"/>
              <w:rPr>
                <w:rFonts w:cs="宋体"/>
                <w:bCs/>
                <w:sz w:val="21"/>
                <w:szCs w:val="21"/>
                <w:lang w:bidi="ar"/>
              </w:rPr>
            </w:pPr>
            <w:r>
              <w:rPr>
                <w:rFonts w:hint="eastAsia" w:cs="宋体"/>
                <w:bCs/>
                <w:sz w:val="21"/>
                <w:szCs w:val="21"/>
              </w:rPr>
              <w:t>2024.</w:t>
            </w:r>
            <w:r>
              <w:rPr>
                <w:rFonts w:cs="宋体"/>
                <w:bCs/>
                <w:sz w:val="21"/>
                <w:szCs w:val="21"/>
              </w:rPr>
              <w:t>6.29</w:t>
            </w:r>
          </w:p>
        </w:tc>
        <w:tc>
          <w:tcPr>
            <w:tcW w:w="4530" w:type="dxa"/>
            <w:vAlign w:val="center"/>
          </w:tcPr>
          <w:p>
            <w:pPr>
              <w:numPr>
                <w:ilvl w:val="0"/>
                <w:numId w:val="3"/>
              </w:numPr>
              <w:tabs>
                <w:tab w:val="clear" w:pos="360"/>
              </w:tabs>
              <w:adjustRightInd w:val="0"/>
              <w:snapToGrid w:val="0"/>
              <w:spacing w:line="288" w:lineRule="auto"/>
              <w:ind w:left="0" w:firstLine="0"/>
              <w:rPr>
                <w:rFonts w:ascii="宋体" w:hAnsi="宋体"/>
                <w:szCs w:val="21"/>
              </w:rPr>
            </w:pPr>
            <w:r>
              <w:rPr>
                <w:rFonts w:hint="eastAsia" w:ascii="宋体" w:hAnsi="宋体"/>
                <w:szCs w:val="21"/>
              </w:rPr>
              <w:t>外⽴⾯翻新完成。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rPr>
                <w:rFonts w:ascii="宋体" w:hAnsi="宋体" w:cs="宋体"/>
                <w:bCs/>
                <w:kern w:val="0"/>
                <w:szCs w:val="21"/>
              </w:rPr>
            </w:pPr>
          </w:p>
        </w:tc>
        <w:tc>
          <w:tcPr>
            <w:tcW w:w="1389" w:type="dxa"/>
            <w:vAlign w:val="center"/>
          </w:tcPr>
          <w:p>
            <w:pPr>
              <w:pStyle w:val="14"/>
              <w:rPr>
                <w:rFonts w:cs="宋体"/>
                <w:bCs/>
                <w:sz w:val="21"/>
                <w:szCs w:val="21"/>
                <w:lang w:bidi="ar"/>
              </w:rPr>
            </w:pPr>
            <w:r>
              <w:rPr>
                <w:rFonts w:hint="eastAsia" w:cs="宋体"/>
                <w:bCs/>
                <w:sz w:val="21"/>
                <w:szCs w:val="21"/>
              </w:rPr>
              <w:t>2024.</w:t>
            </w:r>
            <w:r>
              <w:rPr>
                <w:rFonts w:cs="宋体"/>
                <w:bCs/>
                <w:sz w:val="21"/>
                <w:szCs w:val="21"/>
              </w:rPr>
              <w:t>4.26</w:t>
            </w:r>
          </w:p>
        </w:tc>
        <w:tc>
          <w:tcPr>
            <w:tcW w:w="1276" w:type="dxa"/>
            <w:vAlign w:val="center"/>
          </w:tcPr>
          <w:p>
            <w:pPr>
              <w:pStyle w:val="14"/>
              <w:rPr>
                <w:rFonts w:cs="宋体"/>
                <w:bCs/>
                <w:sz w:val="21"/>
                <w:szCs w:val="21"/>
                <w:lang w:bidi="ar"/>
              </w:rPr>
            </w:pPr>
            <w:r>
              <w:rPr>
                <w:rFonts w:hint="eastAsia" w:cs="宋体"/>
                <w:bCs/>
                <w:sz w:val="21"/>
                <w:szCs w:val="21"/>
              </w:rPr>
              <w:t>2024.</w:t>
            </w:r>
            <w:r>
              <w:rPr>
                <w:rFonts w:cs="宋体"/>
                <w:bCs/>
                <w:sz w:val="21"/>
                <w:szCs w:val="21"/>
              </w:rPr>
              <w:t>5.25</w:t>
            </w:r>
          </w:p>
        </w:tc>
        <w:tc>
          <w:tcPr>
            <w:tcW w:w="4530" w:type="dxa"/>
            <w:vAlign w:val="center"/>
          </w:tcPr>
          <w:p>
            <w:pPr>
              <w:numPr>
                <w:ilvl w:val="0"/>
                <w:numId w:val="3"/>
              </w:numPr>
              <w:tabs>
                <w:tab w:val="clear" w:pos="360"/>
              </w:tabs>
              <w:adjustRightInd w:val="0"/>
              <w:snapToGrid w:val="0"/>
              <w:spacing w:line="288" w:lineRule="auto"/>
              <w:ind w:left="0" w:firstLine="0"/>
              <w:rPr>
                <w:rFonts w:ascii="宋体" w:hAnsi="宋体"/>
                <w:szCs w:val="21"/>
              </w:rPr>
            </w:pPr>
            <w:r>
              <w:rPr>
                <w:rFonts w:hint="eastAsia" w:ascii="宋体" w:hAnsi="宋体"/>
                <w:szCs w:val="21"/>
              </w:rPr>
              <w:t>⾦属屋⾯修缮、防水渗漏处理完成。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rPr>
                <w:rFonts w:ascii="宋体" w:hAnsi="宋体" w:cs="宋体"/>
                <w:bCs/>
                <w:kern w:val="0"/>
                <w:szCs w:val="21"/>
              </w:rPr>
            </w:pPr>
          </w:p>
        </w:tc>
        <w:tc>
          <w:tcPr>
            <w:tcW w:w="1389" w:type="dxa"/>
            <w:vAlign w:val="center"/>
          </w:tcPr>
          <w:p>
            <w:pPr>
              <w:pStyle w:val="14"/>
              <w:rPr>
                <w:rFonts w:cs="宋体"/>
                <w:bCs/>
                <w:sz w:val="21"/>
                <w:szCs w:val="21"/>
              </w:rPr>
            </w:pPr>
            <w:r>
              <w:rPr>
                <w:rFonts w:hint="eastAsia" w:cs="宋体"/>
                <w:bCs/>
                <w:sz w:val="21"/>
                <w:szCs w:val="21"/>
              </w:rPr>
              <w:t>2024.</w:t>
            </w:r>
            <w:r>
              <w:rPr>
                <w:rFonts w:cs="宋体"/>
                <w:bCs/>
                <w:sz w:val="21"/>
                <w:szCs w:val="21"/>
              </w:rPr>
              <w:t>8.15</w:t>
            </w:r>
          </w:p>
        </w:tc>
        <w:tc>
          <w:tcPr>
            <w:tcW w:w="1276" w:type="dxa"/>
            <w:vAlign w:val="center"/>
          </w:tcPr>
          <w:p>
            <w:pPr>
              <w:pStyle w:val="14"/>
              <w:rPr>
                <w:rFonts w:cs="宋体"/>
                <w:bCs/>
                <w:sz w:val="21"/>
                <w:szCs w:val="21"/>
              </w:rPr>
            </w:pPr>
            <w:r>
              <w:rPr>
                <w:rFonts w:hint="eastAsia" w:cs="宋体"/>
                <w:bCs/>
                <w:sz w:val="21"/>
                <w:szCs w:val="21"/>
              </w:rPr>
              <w:t>2024.</w:t>
            </w:r>
            <w:r>
              <w:rPr>
                <w:rFonts w:cs="宋体"/>
                <w:bCs/>
                <w:sz w:val="21"/>
                <w:szCs w:val="21"/>
              </w:rPr>
              <w:t>11.12</w:t>
            </w:r>
          </w:p>
        </w:tc>
        <w:tc>
          <w:tcPr>
            <w:tcW w:w="4530" w:type="dxa"/>
            <w:vAlign w:val="center"/>
          </w:tcPr>
          <w:p>
            <w:pPr>
              <w:numPr>
                <w:ilvl w:val="0"/>
                <w:numId w:val="3"/>
              </w:numPr>
              <w:tabs>
                <w:tab w:val="clear" w:pos="360"/>
              </w:tabs>
              <w:adjustRightInd w:val="0"/>
              <w:snapToGrid w:val="0"/>
              <w:spacing w:line="288" w:lineRule="auto"/>
              <w:ind w:left="0" w:firstLine="0"/>
              <w:rPr>
                <w:rFonts w:ascii="宋体" w:hAnsi="宋体"/>
                <w:szCs w:val="21"/>
              </w:rPr>
            </w:pPr>
            <w:r>
              <w:rPr>
                <w:rFonts w:hint="eastAsia" w:ascii="宋体" w:hAnsi="宋体"/>
                <w:szCs w:val="21"/>
              </w:rPr>
              <w:t>装修翻新修缮完成。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rPr>
                <w:rFonts w:ascii="宋体" w:hAnsi="宋体" w:cs="宋体"/>
                <w:bCs/>
                <w:kern w:val="0"/>
                <w:szCs w:val="21"/>
              </w:rPr>
            </w:pPr>
          </w:p>
        </w:tc>
        <w:tc>
          <w:tcPr>
            <w:tcW w:w="1389" w:type="dxa"/>
            <w:vAlign w:val="center"/>
          </w:tcPr>
          <w:p>
            <w:pPr>
              <w:pStyle w:val="14"/>
              <w:rPr>
                <w:rFonts w:cs="宋体"/>
                <w:bCs/>
                <w:sz w:val="21"/>
                <w:szCs w:val="21"/>
              </w:rPr>
            </w:pPr>
            <w:r>
              <w:rPr>
                <w:rFonts w:hint="eastAsia" w:cs="宋体"/>
                <w:bCs/>
                <w:sz w:val="21"/>
                <w:szCs w:val="21"/>
              </w:rPr>
              <w:t>2024.</w:t>
            </w:r>
            <w:r>
              <w:rPr>
                <w:rFonts w:cs="宋体"/>
                <w:bCs/>
                <w:sz w:val="21"/>
                <w:szCs w:val="21"/>
              </w:rPr>
              <w:t>7.31</w:t>
            </w:r>
          </w:p>
        </w:tc>
        <w:tc>
          <w:tcPr>
            <w:tcW w:w="1276" w:type="dxa"/>
            <w:vAlign w:val="center"/>
          </w:tcPr>
          <w:p>
            <w:pPr>
              <w:pStyle w:val="14"/>
              <w:rPr>
                <w:rFonts w:cs="宋体"/>
                <w:bCs/>
                <w:sz w:val="21"/>
                <w:szCs w:val="21"/>
              </w:rPr>
            </w:pPr>
            <w:r>
              <w:rPr>
                <w:rFonts w:hint="eastAsia" w:cs="宋体"/>
                <w:bCs/>
                <w:sz w:val="21"/>
                <w:szCs w:val="21"/>
              </w:rPr>
              <w:t>2024.</w:t>
            </w:r>
            <w:r>
              <w:rPr>
                <w:rFonts w:cs="宋体"/>
                <w:bCs/>
                <w:sz w:val="21"/>
                <w:szCs w:val="21"/>
              </w:rPr>
              <w:t>9.30</w:t>
            </w:r>
          </w:p>
        </w:tc>
        <w:tc>
          <w:tcPr>
            <w:tcW w:w="4530" w:type="dxa"/>
            <w:vAlign w:val="center"/>
          </w:tcPr>
          <w:p>
            <w:pPr>
              <w:numPr>
                <w:ilvl w:val="0"/>
                <w:numId w:val="3"/>
              </w:numPr>
              <w:tabs>
                <w:tab w:val="clear" w:pos="360"/>
              </w:tabs>
              <w:adjustRightInd w:val="0"/>
              <w:snapToGrid w:val="0"/>
              <w:spacing w:line="288" w:lineRule="auto"/>
              <w:ind w:left="0" w:firstLine="0"/>
              <w:rPr>
                <w:rFonts w:ascii="宋体" w:hAnsi="宋体"/>
                <w:szCs w:val="21"/>
              </w:rPr>
            </w:pPr>
            <w:r>
              <w:rPr>
                <w:rFonts w:hint="eastAsia" w:ascii="宋体" w:hAnsi="宋体"/>
                <w:szCs w:val="21"/>
              </w:rPr>
              <w:t>机电设备、管线改造施⼯完成。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rPr>
                <w:rFonts w:ascii="宋体" w:hAnsi="宋体" w:cs="宋体"/>
                <w:bCs/>
                <w:kern w:val="0"/>
                <w:szCs w:val="21"/>
              </w:rPr>
            </w:pPr>
          </w:p>
        </w:tc>
        <w:tc>
          <w:tcPr>
            <w:tcW w:w="1389" w:type="dxa"/>
            <w:vAlign w:val="center"/>
          </w:tcPr>
          <w:p>
            <w:pPr>
              <w:pStyle w:val="14"/>
              <w:rPr>
                <w:rFonts w:cs="宋体"/>
                <w:bCs/>
                <w:sz w:val="21"/>
                <w:szCs w:val="21"/>
              </w:rPr>
            </w:pPr>
            <w:r>
              <w:rPr>
                <w:rFonts w:hint="eastAsia" w:cs="宋体"/>
                <w:bCs/>
                <w:sz w:val="21"/>
                <w:szCs w:val="21"/>
              </w:rPr>
              <w:t>2024.</w:t>
            </w:r>
            <w:r>
              <w:rPr>
                <w:rFonts w:cs="宋体"/>
                <w:bCs/>
                <w:sz w:val="21"/>
                <w:szCs w:val="21"/>
              </w:rPr>
              <w:t>8.31</w:t>
            </w:r>
          </w:p>
        </w:tc>
        <w:tc>
          <w:tcPr>
            <w:tcW w:w="1276" w:type="dxa"/>
            <w:vAlign w:val="center"/>
          </w:tcPr>
          <w:p>
            <w:pPr>
              <w:pStyle w:val="14"/>
              <w:rPr>
                <w:rFonts w:cs="宋体"/>
                <w:bCs/>
                <w:sz w:val="21"/>
                <w:szCs w:val="21"/>
              </w:rPr>
            </w:pPr>
            <w:r>
              <w:rPr>
                <w:rFonts w:hint="eastAsia" w:cs="宋体"/>
                <w:bCs/>
                <w:sz w:val="21"/>
                <w:szCs w:val="21"/>
              </w:rPr>
              <w:t>2024.</w:t>
            </w:r>
            <w:r>
              <w:rPr>
                <w:rFonts w:cs="宋体"/>
                <w:bCs/>
                <w:sz w:val="21"/>
                <w:szCs w:val="21"/>
              </w:rPr>
              <w:t>9</w:t>
            </w:r>
            <w:r>
              <w:rPr>
                <w:rFonts w:hint="eastAsia" w:cs="宋体"/>
                <w:bCs/>
                <w:sz w:val="21"/>
                <w:szCs w:val="21"/>
              </w:rPr>
              <w:t>.30</w:t>
            </w:r>
          </w:p>
        </w:tc>
        <w:tc>
          <w:tcPr>
            <w:tcW w:w="4530" w:type="dxa"/>
            <w:vAlign w:val="center"/>
          </w:tcPr>
          <w:p>
            <w:pPr>
              <w:numPr>
                <w:ilvl w:val="0"/>
                <w:numId w:val="3"/>
              </w:numPr>
              <w:tabs>
                <w:tab w:val="clear" w:pos="360"/>
              </w:tabs>
              <w:adjustRightInd w:val="0"/>
              <w:snapToGrid w:val="0"/>
              <w:spacing w:line="288" w:lineRule="auto"/>
              <w:ind w:left="0" w:firstLine="0"/>
              <w:rPr>
                <w:rFonts w:ascii="宋体" w:hAnsi="宋体"/>
                <w:szCs w:val="21"/>
              </w:rPr>
            </w:pPr>
            <w:r>
              <w:rPr>
                <w:rFonts w:hint="eastAsia" w:ascii="宋体" w:hAnsi="宋体"/>
                <w:szCs w:val="21"/>
              </w:rPr>
              <w:t>智能化工程完成。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rPr>
                <w:rFonts w:ascii="宋体" w:hAnsi="宋体" w:cs="宋体"/>
                <w:bCs/>
                <w:kern w:val="0"/>
                <w:szCs w:val="21"/>
              </w:rPr>
            </w:pPr>
          </w:p>
        </w:tc>
        <w:tc>
          <w:tcPr>
            <w:tcW w:w="1389" w:type="dxa"/>
            <w:vAlign w:val="center"/>
          </w:tcPr>
          <w:p>
            <w:pPr>
              <w:pStyle w:val="14"/>
              <w:rPr>
                <w:rFonts w:cs="宋体"/>
                <w:bCs/>
                <w:sz w:val="21"/>
                <w:szCs w:val="21"/>
              </w:rPr>
            </w:pPr>
            <w:r>
              <w:rPr>
                <w:rFonts w:hint="eastAsia" w:cs="宋体"/>
                <w:bCs/>
                <w:sz w:val="21"/>
                <w:szCs w:val="21"/>
              </w:rPr>
              <w:t>2024.</w:t>
            </w:r>
            <w:r>
              <w:rPr>
                <w:rFonts w:cs="宋体"/>
                <w:bCs/>
                <w:sz w:val="21"/>
                <w:szCs w:val="21"/>
              </w:rPr>
              <w:t>8</w:t>
            </w:r>
            <w:r>
              <w:rPr>
                <w:rFonts w:hint="eastAsia" w:cs="宋体"/>
                <w:bCs/>
                <w:sz w:val="21"/>
                <w:szCs w:val="21"/>
              </w:rPr>
              <w:t>.20</w:t>
            </w:r>
          </w:p>
        </w:tc>
        <w:tc>
          <w:tcPr>
            <w:tcW w:w="1276" w:type="dxa"/>
            <w:vAlign w:val="center"/>
          </w:tcPr>
          <w:p>
            <w:pPr>
              <w:pStyle w:val="14"/>
              <w:rPr>
                <w:rFonts w:cs="宋体"/>
                <w:bCs/>
                <w:sz w:val="21"/>
                <w:szCs w:val="21"/>
              </w:rPr>
            </w:pPr>
            <w:r>
              <w:rPr>
                <w:rFonts w:hint="eastAsia" w:cs="宋体"/>
                <w:bCs/>
                <w:sz w:val="21"/>
                <w:szCs w:val="21"/>
              </w:rPr>
              <w:t>2024.</w:t>
            </w:r>
            <w:r>
              <w:rPr>
                <w:rFonts w:cs="宋体"/>
                <w:bCs/>
                <w:sz w:val="21"/>
                <w:szCs w:val="21"/>
              </w:rPr>
              <w:t>9</w:t>
            </w:r>
            <w:r>
              <w:rPr>
                <w:rFonts w:hint="eastAsia" w:cs="宋体"/>
                <w:bCs/>
                <w:sz w:val="21"/>
                <w:szCs w:val="21"/>
              </w:rPr>
              <w:t>.30</w:t>
            </w:r>
          </w:p>
        </w:tc>
        <w:tc>
          <w:tcPr>
            <w:tcW w:w="4530" w:type="dxa"/>
            <w:vAlign w:val="center"/>
          </w:tcPr>
          <w:p>
            <w:pPr>
              <w:numPr>
                <w:ilvl w:val="0"/>
                <w:numId w:val="3"/>
              </w:numPr>
              <w:tabs>
                <w:tab w:val="clear" w:pos="360"/>
              </w:tabs>
              <w:adjustRightInd w:val="0"/>
              <w:snapToGrid w:val="0"/>
              <w:spacing w:line="288" w:lineRule="auto"/>
              <w:ind w:left="0" w:firstLine="0"/>
              <w:rPr>
                <w:rFonts w:ascii="宋体" w:hAnsi="宋体"/>
                <w:szCs w:val="21"/>
              </w:rPr>
            </w:pPr>
            <w:r>
              <w:rPr>
                <w:rFonts w:hint="eastAsia" w:ascii="宋体" w:hAnsi="宋体"/>
                <w:szCs w:val="21"/>
              </w:rPr>
              <w:t>体育工艺专项工程完成。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blHeader/>
        </w:trPr>
        <w:tc>
          <w:tcPr>
            <w:tcW w:w="562" w:type="dxa"/>
            <w:vMerge w:val="continue"/>
            <w:vAlign w:val="center"/>
          </w:tcPr>
          <w:p>
            <w:pPr>
              <w:widowControl/>
              <w:adjustRightInd w:val="0"/>
              <w:snapToGrid w:val="0"/>
              <w:spacing w:line="288" w:lineRule="auto"/>
              <w:jc w:val="center"/>
              <w:rPr>
                <w:rFonts w:ascii="宋体" w:hAnsi="宋体" w:cs="宋体"/>
                <w:bCs/>
                <w:kern w:val="0"/>
                <w:szCs w:val="21"/>
              </w:rPr>
            </w:pPr>
          </w:p>
        </w:tc>
        <w:tc>
          <w:tcPr>
            <w:tcW w:w="1134" w:type="dxa"/>
            <w:vMerge w:val="continue"/>
            <w:vAlign w:val="center"/>
          </w:tcPr>
          <w:p>
            <w:pPr>
              <w:adjustRightInd w:val="0"/>
              <w:snapToGrid w:val="0"/>
              <w:spacing w:line="288" w:lineRule="auto"/>
              <w:rPr>
                <w:rFonts w:ascii="宋体" w:hAnsi="宋体" w:cs="宋体"/>
                <w:bCs/>
                <w:kern w:val="0"/>
                <w:szCs w:val="21"/>
              </w:rPr>
            </w:pPr>
          </w:p>
        </w:tc>
        <w:tc>
          <w:tcPr>
            <w:tcW w:w="1389" w:type="dxa"/>
            <w:vAlign w:val="center"/>
          </w:tcPr>
          <w:p>
            <w:pPr>
              <w:pStyle w:val="14"/>
              <w:rPr>
                <w:rFonts w:cs="宋体"/>
                <w:bCs/>
                <w:sz w:val="21"/>
                <w:szCs w:val="21"/>
              </w:rPr>
            </w:pPr>
            <w:r>
              <w:rPr>
                <w:rFonts w:hint="eastAsia" w:cs="宋体"/>
                <w:bCs/>
                <w:sz w:val="21"/>
                <w:szCs w:val="21"/>
              </w:rPr>
              <w:t>2024.6.1</w:t>
            </w:r>
          </w:p>
        </w:tc>
        <w:tc>
          <w:tcPr>
            <w:tcW w:w="1276" w:type="dxa"/>
            <w:vAlign w:val="center"/>
          </w:tcPr>
          <w:p>
            <w:pPr>
              <w:pStyle w:val="14"/>
              <w:rPr>
                <w:rFonts w:cs="宋体"/>
                <w:bCs/>
                <w:sz w:val="21"/>
                <w:szCs w:val="21"/>
              </w:rPr>
            </w:pPr>
            <w:r>
              <w:rPr>
                <w:rFonts w:hint="eastAsia" w:cs="宋体"/>
                <w:bCs/>
                <w:sz w:val="21"/>
                <w:szCs w:val="21"/>
              </w:rPr>
              <w:t>2024.11.30</w:t>
            </w:r>
          </w:p>
        </w:tc>
        <w:tc>
          <w:tcPr>
            <w:tcW w:w="4530" w:type="dxa"/>
            <w:vAlign w:val="center"/>
          </w:tcPr>
          <w:p>
            <w:pPr>
              <w:numPr>
                <w:ilvl w:val="0"/>
                <w:numId w:val="3"/>
              </w:numPr>
              <w:tabs>
                <w:tab w:val="clear" w:pos="360"/>
              </w:tabs>
              <w:adjustRightInd w:val="0"/>
              <w:snapToGrid w:val="0"/>
              <w:spacing w:line="288" w:lineRule="auto"/>
              <w:ind w:left="0" w:firstLine="0"/>
              <w:rPr>
                <w:rFonts w:ascii="宋体" w:hAnsi="宋体"/>
                <w:szCs w:val="21"/>
              </w:rPr>
            </w:pPr>
            <w:r>
              <w:rPr>
                <w:rFonts w:hint="eastAsia" w:ascii="宋体" w:hAnsi="宋体"/>
                <w:szCs w:val="21"/>
              </w:rPr>
              <w:t>室外及其他工程完成。</w:t>
            </w:r>
          </w:p>
        </w:tc>
      </w:tr>
    </w:tbl>
    <w:p>
      <w:pPr>
        <w:rPr>
          <w:vanish/>
        </w:rPr>
      </w:pP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02"/>
        <w:gridCol w:w="1990"/>
        <w:gridCol w:w="2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21"/>
              <w:spacing w:line="288" w:lineRule="auto"/>
              <w:ind w:firstLine="0" w:firstLineChars="0"/>
              <w:jc w:val="center"/>
              <w:rPr>
                <w:rFonts w:ascii="宋体" w:hAnsi="宋体" w:cs="宋体"/>
                <w:bCs/>
                <w:spacing w:val="0"/>
                <w:sz w:val="21"/>
                <w:szCs w:val="21"/>
                <w:shd w:val="clear" w:color="auto" w:fill="FFFFFF"/>
              </w:rPr>
            </w:pPr>
            <w:r>
              <w:rPr>
                <w:rFonts w:hint="eastAsia" w:ascii="宋体" w:hAnsi="宋体" w:cs="宋体"/>
                <w:bCs/>
                <w:spacing w:val="0"/>
                <w:sz w:val="21"/>
                <w:szCs w:val="21"/>
                <w:shd w:val="clear" w:color="auto" w:fill="FFFFFF"/>
              </w:rPr>
              <w:t>质量验收内容(如有)</w:t>
            </w:r>
          </w:p>
        </w:tc>
        <w:tc>
          <w:tcPr>
            <w:tcW w:w="1990" w:type="dxa"/>
            <w:vAlign w:val="center"/>
          </w:tcPr>
          <w:p>
            <w:pPr>
              <w:pStyle w:val="21"/>
              <w:spacing w:line="288" w:lineRule="auto"/>
              <w:ind w:firstLine="0" w:firstLineChars="0"/>
              <w:jc w:val="center"/>
              <w:rPr>
                <w:rFonts w:ascii="宋体" w:hAnsi="宋体" w:cs="宋体"/>
                <w:bCs/>
                <w:spacing w:val="0"/>
                <w:sz w:val="21"/>
                <w:szCs w:val="21"/>
                <w:shd w:val="clear" w:color="auto" w:fill="FFFFFF"/>
              </w:rPr>
            </w:pPr>
            <w:r>
              <w:rPr>
                <w:rFonts w:hint="eastAsia" w:ascii="宋体" w:hAnsi="宋体" w:cs="宋体"/>
                <w:bCs/>
                <w:spacing w:val="0"/>
                <w:sz w:val="21"/>
                <w:szCs w:val="21"/>
                <w:shd w:val="clear" w:color="auto" w:fill="FFFFFF"/>
              </w:rPr>
              <w:t>计划验收时间</w:t>
            </w:r>
          </w:p>
        </w:tc>
        <w:tc>
          <w:tcPr>
            <w:tcW w:w="2705" w:type="dxa"/>
            <w:vAlign w:val="center"/>
          </w:tcPr>
          <w:p>
            <w:pPr>
              <w:pStyle w:val="21"/>
              <w:spacing w:line="288" w:lineRule="auto"/>
              <w:ind w:firstLine="0" w:firstLineChars="0"/>
              <w:jc w:val="center"/>
              <w:rPr>
                <w:rFonts w:ascii="宋体" w:hAnsi="宋体" w:cs="宋体"/>
                <w:bCs/>
                <w:spacing w:val="0"/>
                <w:sz w:val="21"/>
                <w:szCs w:val="21"/>
                <w:shd w:val="clear" w:color="auto" w:fill="FFFFFF"/>
              </w:rPr>
            </w:pPr>
            <w:r>
              <w:rPr>
                <w:rFonts w:hint="eastAsia" w:ascii="宋体" w:hAnsi="宋体" w:cs="宋体"/>
                <w:bCs/>
                <w:spacing w:val="0"/>
                <w:sz w:val="21"/>
                <w:szCs w:val="21"/>
                <w:shd w:val="clear" w:color="auto" w:fill="FFFFFF"/>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21"/>
              <w:spacing w:line="288" w:lineRule="auto"/>
              <w:ind w:firstLine="0" w:firstLineChars="0"/>
              <w:jc w:val="center"/>
              <w:rPr>
                <w:rFonts w:ascii="宋体" w:hAnsi="宋体" w:cs="宋体"/>
                <w:bCs/>
                <w:spacing w:val="0"/>
                <w:sz w:val="21"/>
                <w:szCs w:val="21"/>
                <w:shd w:val="clear" w:color="auto" w:fill="FFFFFF"/>
              </w:rPr>
            </w:pPr>
            <w:r>
              <w:rPr>
                <w:rFonts w:hint="eastAsia" w:ascii="宋体" w:hAnsi="宋体" w:cs="宋体"/>
                <w:bCs/>
                <w:spacing w:val="0"/>
                <w:sz w:val="21"/>
                <w:szCs w:val="21"/>
                <w:shd w:val="clear" w:color="auto" w:fill="FFFFFF"/>
              </w:rPr>
              <w:t>地基与基础工程分部验收</w:t>
            </w:r>
          </w:p>
        </w:tc>
        <w:tc>
          <w:tcPr>
            <w:tcW w:w="1990" w:type="dxa"/>
            <w:vAlign w:val="center"/>
          </w:tcPr>
          <w:p>
            <w:pPr>
              <w:pStyle w:val="14"/>
              <w:jc w:val="center"/>
              <w:rPr>
                <w:rFonts w:cs="宋体"/>
                <w:bCs/>
                <w:snapToGrid w:val="0"/>
                <w:sz w:val="21"/>
                <w:szCs w:val="21"/>
                <w:shd w:val="clear" w:color="auto" w:fill="FFFFFF"/>
              </w:rPr>
            </w:pPr>
            <w:r>
              <w:rPr>
                <w:rFonts w:hint="eastAsia" w:cs="宋体"/>
                <w:bCs/>
                <w:snapToGrid w:val="0"/>
                <w:sz w:val="21"/>
                <w:szCs w:val="21"/>
                <w:shd w:val="clear" w:color="auto" w:fill="FFFFFF"/>
              </w:rPr>
              <w:t>202</w:t>
            </w:r>
            <w:r>
              <w:rPr>
                <w:rFonts w:cs="宋体"/>
                <w:bCs/>
                <w:snapToGrid w:val="0"/>
                <w:sz w:val="21"/>
                <w:szCs w:val="21"/>
                <w:shd w:val="clear" w:color="auto" w:fill="FFFFFF"/>
              </w:rPr>
              <w:t>4.8.20</w:t>
            </w:r>
          </w:p>
        </w:tc>
        <w:tc>
          <w:tcPr>
            <w:tcW w:w="2705" w:type="dxa"/>
            <w:vAlign w:val="center"/>
          </w:tcPr>
          <w:p>
            <w:pPr>
              <w:pStyle w:val="21"/>
              <w:spacing w:line="288" w:lineRule="auto"/>
              <w:ind w:firstLine="0" w:firstLineChars="0"/>
              <w:jc w:val="center"/>
              <w:rPr>
                <w:rFonts w:ascii="宋体" w:hAnsi="宋体" w:cs="宋体"/>
                <w:bCs/>
                <w:spacing w:val="0"/>
                <w:sz w:val="21"/>
                <w:szCs w:val="21"/>
                <w:shd w:val="clear" w:color="auto" w:fill="FFFFFF"/>
              </w:rPr>
            </w:pPr>
            <w:r>
              <w:rPr>
                <w:rFonts w:hint="eastAsia" w:ascii="宋体" w:hAnsi="宋体" w:cs="宋体"/>
                <w:bCs/>
                <w:szCs w:val="21"/>
              </w:rPr>
              <w:t>新建副场竞赛功能房及指挥中心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21"/>
              <w:spacing w:line="288" w:lineRule="auto"/>
              <w:ind w:firstLine="0" w:firstLineChars="0"/>
              <w:jc w:val="center"/>
              <w:rPr>
                <w:rFonts w:ascii="宋体" w:hAnsi="宋体" w:cs="宋体"/>
                <w:bCs/>
                <w:spacing w:val="0"/>
                <w:sz w:val="21"/>
                <w:szCs w:val="21"/>
                <w:shd w:val="clear" w:color="auto" w:fill="FFFFFF"/>
              </w:rPr>
            </w:pPr>
            <w:r>
              <w:rPr>
                <w:rFonts w:hint="eastAsia" w:ascii="宋体" w:hAnsi="宋体" w:cs="宋体"/>
                <w:bCs/>
                <w:spacing w:val="0"/>
                <w:sz w:val="21"/>
                <w:szCs w:val="21"/>
                <w:shd w:val="clear" w:color="auto" w:fill="FFFFFF"/>
              </w:rPr>
              <w:t>主体结构工程分部验收</w:t>
            </w:r>
          </w:p>
        </w:tc>
        <w:tc>
          <w:tcPr>
            <w:tcW w:w="1990" w:type="dxa"/>
            <w:vAlign w:val="center"/>
          </w:tcPr>
          <w:p>
            <w:pPr>
              <w:pStyle w:val="14"/>
              <w:jc w:val="center"/>
              <w:rPr>
                <w:rFonts w:cs="宋体"/>
                <w:bCs/>
                <w:snapToGrid w:val="0"/>
                <w:sz w:val="21"/>
                <w:szCs w:val="21"/>
                <w:shd w:val="clear" w:color="auto" w:fill="FFFFFF"/>
              </w:rPr>
            </w:pPr>
            <w:r>
              <w:rPr>
                <w:rFonts w:hint="eastAsia" w:cs="宋体"/>
                <w:bCs/>
                <w:snapToGrid w:val="0"/>
                <w:sz w:val="21"/>
                <w:szCs w:val="21"/>
                <w:shd w:val="clear" w:color="auto" w:fill="FFFFFF"/>
              </w:rPr>
              <w:t>2024.</w:t>
            </w:r>
            <w:r>
              <w:rPr>
                <w:rFonts w:cs="宋体"/>
                <w:bCs/>
                <w:snapToGrid w:val="0"/>
                <w:sz w:val="21"/>
                <w:szCs w:val="21"/>
                <w:shd w:val="clear" w:color="auto" w:fill="FFFFFF"/>
              </w:rPr>
              <w:t>11</w:t>
            </w:r>
            <w:r>
              <w:rPr>
                <w:rFonts w:hint="eastAsia" w:cs="宋体"/>
                <w:bCs/>
                <w:snapToGrid w:val="0"/>
                <w:sz w:val="21"/>
                <w:szCs w:val="21"/>
                <w:shd w:val="clear" w:color="auto" w:fill="FFFFFF"/>
              </w:rPr>
              <w:t>.30</w:t>
            </w:r>
          </w:p>
        </w:tc>
        <w:tc>
          <w:tcPr>
            <w:tcW w:w="2705" w:type="dxa"/>
            <w:vAlign w:val="center"/>
          </w:tcPr>
          <w:p>
            <w:pPr>
              <w:pStyle w:val="21"/>
              <w:spacing w:line="288" w:lineRule="auto"/>
              <w:ind w:firstLine="0" w:firstLineChars="0"/>
              <w:jc w:val="center"/>
              <w:rPr>
                <w:rFonts w:ascii="宋体" w:hAnsi="宋体" w:cs="宋体"/>
                <w:bCs/>
                <w:spacing w:val="0"/>
                <w:sz w:val="21"/>
                <w:szCs w:val="21"/>
                <w:shd w:val="clear" w:color="auto" w:fill="FFFFFF"/>
              </w:rPr>
            </w:pPr>
            <w:r>
              <w:rPr>
                <w:rFonts w:hint="eastAsia" w:ascii="宋体" w:hAnsi="宋体" w:cs="宋体"/>
                <w:bCs/>
                <w:szCs w:val="21"/>
              </w:rPr>
              <w:t>新建副场竞赛功能房及指挥中心</w:t>
            </w:r>
            <w:r>
              <w:rPr>
                <w:rFonts w:hint="eastAsia" w:ascii="宋体" w:hAnsi="宋体" w:cs="宋体"/>
                <w:bCs/>
                <w:spacing w:val="0"/>
                <w:sz w:val="21"/>
                <w:szCs w:val="21"/>
                <w:shd w:val="clear" w:color="auto" w:fill="FFFFFF"/>
              </w:rPr>
              <w:t>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21"/>
              <w:spacing w:line="288" w:lineRule="auto"/>
              <w:ind w:firstLine="0" w:firstLineChars="0"/>
              <w:jc w:val="center"/>
              <w:rPr>
                <w:rFonts w:ascii="宋体" w:hAnsi="宋体" w:cs="宋体"/>
                <w:bCs/>
                <w:spacing w:val="0"/>
                <w:sz w:val="21"/>
                <w:szCs w:val="21"/>
                <w:shd w:val="clear" w:color="auto" w:fill="FFFFFF"/>
              </w:rPr>
            </w:pPr>
            <w:r>
              <w:rPr>
                <w:rFonts w:hint="eastAsia" w:ascii="宋体" w:hAnsi="宋体" w:cs="宋体"/>
                <w:bCs/>
                <w:spacing w:val="0"/>
                <w:sz w:val="21"/>
                <w:szCs w:val="21"/>
                <w:shd w:val="clear" w:color="auto" w:fill="FFFFFF"/>
              </w:rPr>
              <w:t>装饰装修工程分部验收</w:t>
            </w:r>
          </w:p>
        </w:tc>
        <w:tc>
          <w:tcPr>
            <w:tcW w:w="1990" w:type="dxa"/>
            <w:vAlign w:val="center"/>
          </w:tcPr>
          <w:p>
            <w:pPr>
              <w:pStyle w:val="14"/>
              <w:jc w:val="center"/>
              <w:rPr>
                <w:rFonts w:cs="宋体"/>
                <w:bCs/>
                <w:snapToGrid w:val="0"/>
                <w:sz w:val="21"/>
                <w:szCs w:val="21"/>
                <w:shd w:val="clear" w:color="auto" w:fill="FFFFFF"/>
              </w:rPr>
            </w:pPr>
            <w:r>
              <w:rPr>
                <w:rFonts w:hint="eastAsia" w:cs="宋体"/>
                <w:bCs/>
                <w:snapToGrid w:val="0"/>
                <w:sz w:val="21"/>
                <w:szCs w:val="21"/>
                <w:shd w:val="clear" w:color="auto" w:fill="FFFFFF"/>
              </w:rPr>
              <w:t>2025.2.28</w:t>
            </w:r>
          </w:p>
        </w:tc>
        <w:tc>
          <w:tcPr>
            <w:tcW w:w="2705" w:type="dxa"/>
            <w:vAlign w:val="center"/>
          </w:tcPr>
          <w:p>
            <w:pPr>
              <w:pStyle w:val="21"/>
              <w:spacing w:line="288" w:lineRule="auto"/>
              <w:ind w:firstLine="0" w:firstLineChars="0"/>
              <w:jc w:val="center"/>
              <w:rPr>
                <w:rFonts w:ascii="宋体" w:hAnsi="宋体" w:cs="宋体"/>
                <w:bCs/>
                <w:spacing w:val="0"/>
                <w:sz w:val="21"/>
                <w:szCs w:val="21"/>
                <w:shd w:val="clear" w:color="auto" w:fill="FFFFFF"/>
              </w:rPr>
            </w:pPr>
            <w:r>
              <w:rPr>
                <w:rFonts w:hint="eastAsia" w:ascii="宋体" w:hAnsi="宋体" w:cs="宋体"/>
                <w:bCs/>
                <w:spacing w:val="0"/>
                <w:sz w:val="21"/>
                <w:szCs w:val="21"/>
                <w:shd w:val="clear" w:color="auto" w:fill="FFFFFF"/>
              </w:rPr>
              <w:t>整个项目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21"/>
              <w:spacing w:line="288" w:lineRule="auto"/>
              <w:ind w:firstLine="0" w:firstLineChars="0"/>
              <w:jc w:val="center"/>
              <w:rPr>
                <w:rFonts w:ascii="宋体" w:hAnsi="宋体" w:cs="宋体"/>
                <w:bCs/>
                <w:spacing w:val="0"/>
                <w:sz w:val="21"/>
                <w:szCs w:val="21"/>
                <w:shd w:val="clear" w:color="auto" w:fill="FFFFFF"/>
              </w:rPr>
            </w:pPr>
            <w:r>
              <w:rPr>
                <w:rFonts w:hint="eastAsia" w:ascii="宋体" w:hAnsi="宋体" w:cs="宋体"/>
                <w:bCs/>
                <w:spacing w:val="0"/>
                <w:sz w:val="21"/>
                <w:szCs w:val="21"/>
                <w:shd w:val="clear" w:color="auto" w:fill="FFFFFF"/>
              </w:rPr>
              <w:t>电气工程分部验收</w:t>
            </w:r>
          </w:p>
        </w:tc>
        <w:tc>
          <w:tcPr>
            <w:tcW w:w="1990" w:type="dxa"/>
            <w:vAlign w:val="center"/>
          </w:tcPr>
          <w:p>
            <w:pPr>
              <w:pStyle w:val="14"/>
              <w:jc w:val="center"/>
              <w:rPr>
                <w:rFonts w:cs="宋体"/>
                <w:bCs/>
                <w:snapToGrid w:val="0"/>
                <w:sz w:val="21"/>
                <w:szCs w:val="21"/>
                <w:shd w:val="clear" w:color="auto" w:fill="FFFFFF"/>
              </w:rPr>
            </w:pPr>
            <w:r>
              <w:rPr>
                <w:rFonts w:hint="eastAsia" w:cs="宋体"/>
                <w:bCs/>
                <w:snapToGrid w:val="0"/>
                <w:sz w:val="21"/>
                <w:szCs w:val="21"/>
                <w:shd w:val="clear" w:color="auto" w:fill="FFFFFF"/>
              </w:rPr>
              <w:t>2025.1.31</w:t>
            </w:r>
          </w:p>
        </w:tc>
        <w:tc>
          <w:tcPr>
            <w:tcW w:w="2705" w:type="dxa"/>
            <w:vAlign w:val="center"/>
          </w:tcPr>
          <w:p>
            <w:pPr>
              <w:spacing w:line="288" w:lineRule="auto"/>
              <w:jc w:val="center"/>
              <w:rPr>
                <w:rFonts w:ascii="宋体" w:hAnsi="宋体" w:cs="宋体"/>
                <w:bCs/>
                <w:szCs w:val="21"/>
                <w:shd w:val="clear" w:color="auto" w:fill="FFFFFF"/>
              </w:rPr>
            </w:pPr>
            <w:r>
              <w:rPr>
                <w:rFonts w:hint="eastAsia" w:ascii="宋体" w:hAnsi="宋体" w:cs="宋体"/>
                <w:bCs/>
                <w:szCs w:val="21"/>
                <w:shd w:val="clear" w:color="auto" w:fill="FFFFFF"/>
              </w:rPr>
              <w:t>整个项目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21"/>
              <w:spacing w:line="288" w:lineRule="auto"/>
              <w:ind w:firstLine="0" w:firstLineChars="0"/>
              <w:jc w:val="center"/>
              <w:rPr>
                <w:rFonts w:ascii="宋体" w:hAnsi="宋体" w:cs="宋体"/>
                <w:bCs/>
                <w:spacing w:val="0"/>
                <w:sz w:val="21"/>
                <w:szCs w:val="21"/>
                <w:shd w:val="clear" w:color="auto" w:fill="FFFFFF"/>
              </w:rPr>
            </w:pPr>
            <w:r>
              <w:rPr>
                <w:rFonts w:hint="eastAsia" w:ascii="宋体" w:hAnsi="宋体" w:cs="宋体"/>
                <w:bCs/>
                <w:spacing w:val="0"/>
                <w:sz w:val="21"/>
                <w:szCs w:val="21"/>
                <w:shd w:val="clear" w:color="auto" w:fill="FFFFFF"/>
              </w:rPr>
              <w:t>给排水工程分部验收</w:t>
            </w:r>
          </w:p>
        </w:tc>
        <w:tc>
          <w:tcPr>
            <w:tcW w:w="1990" w:type="dxa"/>
            <w:vAlign w:val="center"/>
          </w:tcPr>
          <w:p>
            <w:pPr>
              <w:pStyle w:val="14"/>
              <w:jc w:val="center"/>
              <w:rPr>
                <w:rFonts w:cs="宋体"/>
                <w:bCs/>
                <w:snapToGrid w:val="0"/>
                <w:sz w:val="21"/>
                <w:szCs w:val="21"/>
                <w:shd w:val="clear" w:color="auto" w:fill="FFFFFF"/>
              </w:rPr>
            </w:pPr>
            <w:r>
              <w:rPr>
                <w:rFonts w:hint="eastAsia" w:cs="宋体"/>
                <w:bCs/>
                <w:snapToGrid w:val="0"/>
                <w:sz w:val="21"/>
                <w:szCs w:val="21"/>
                <w:shd w:val="clear" w:color="auto" w:fill="FFFFFF"/>
              </w:rPr>
              <w:t>2025.1.31</w:t>
            </w:r>
          </w:p>
        </w:tc>
        <w:tc>
          <w:tcPr>
            <w:tcW w:w="2705" w:type="dxa"/>
            <w:vAlign w:val="center"/>
          </w:tcPr>
          <w:p>
            <w:pPr>
              <w:spacing w:line="288" w:lineRule="auto"/>
              <w:jc w:val="center"/>
              <w:rPr>
                <w:rFonts w:ascii="宋体" w:hAnsi="宋体" w:cs="宋体"/>
                <w:bCs/>
                <w:szCs w:val="21"/>
                <w:shd w:val="clear" w:color="auto" w:fill="FFFFFF"/>
              </w:rPr>
            </w:pPr>
            <w:r>
              <w:rPr>
                <w:rFonts w:hint="eastAsia" w:ascii="宋体" w:hAnsi="宋体" w:cs="宋体"/>
                <w:bCs/>
                <w:szCs w:val="21"/>
                <w:shd w:val="clear" w:color="auto" w:fill="FFFFFF"/>
              </w:rPr>
              <w:t>整个项目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21"/>
              <w:spacing w:line="288" w:lineRule="auto"/>
              <w:ind w:firstLine="0" w:firstLineChars="0"/>
              <w:jc w:val="center"/>
              <w:rPr>
                <w:rFonts w:ascii="宋体" w:hAnsi="宋体" w:cs="宋体"/>
                <w:bCs/>
                <w:spacing w:val="0"/>
                <w:sz w:val="21"/>
                <w:szCs w:val="21"/>
                <w:shd w:val="clear" w:color="auto" w:fill="FFFFFF"/>
              </w:rPr>
            </w:pPr>
            <w:r>
              <w:rPr>
                <w:rFonts w:hint="eastAsia" w:ascii="宋体" w:hAnsi="宋体" w:cs="宋体"/>
                <w:bCs/>
                <w:spacing w:val="0"/>
                <w:sz w:val="21"/>
                <w:szCs w:val="21"/>
                <w:shd w:val="clear" w:color="auto" w:fill="FFFFFF"/>
              </w:rPr>
              <w:t>通风与空调工程分部验收</w:t>
            </w:r>
          </w:p>
        </w:tc>
        <w:tc>
          <w:tcPr>
            <w:tcW w:w="1990" w:type="dxa"/>
            <w:vAlign w:val="center"/>
          </w:tcPr>
          <w:p>
            <w:pPr>
              <w:pStyle w:val="14"/>
              <w:jc w:val="center"/>
              <w:rPr>
                <w:rFonts w:cs="宋体"/>
                <w:bCs/>
                <w:snapToGrid w:val="0"/>
                <w:sz w:val="21"/>
                <w:szCs w:val="21"/>
                <w:shd w:val="clear" w:color="auto" w:fill="FFFFFF"/>
              </w:rPr>
            </w:pPr>
            <w:r>
              <w:rPr>
                <w:rFonts w:hint="eastAsia" w:cs="宋体"/>
                <w:bCs/>
                <w:snapToGrid w:val="0"/>
                <w:sz w:val="21"/>
                <w:szCs w:val="21"/>
                <w:shd w:val="clear" w:color="auto" w:fill="FFFFFF"/>
              </w:rPr>
              <w:t>2025.1.31</w:t>
            </w:r>
          </w:p>
        </w:tc>
        <w:tc>
          <w:tcPr>
            <w:tcW w:w="2705" w:type="dxa"/>
            <w:vAlign w:val="center"/>
          </w:tcPr>
          <w:p>
            <w:pPr>
              <w:spacing w:line="288" w:lineRule="auto"/>
              <w:jc w:val="center"/>
              <w:rPr>
                <w:rFonts w:ascii="宋体" w:hAnsi="宋体" w:cs="宋体"/>
                <w:bCs/>
                <w:szCs w:val="21"/>
                <w:shd w:val="clear" w:color="auto" w:fill="FFFFFF"/>
              </w:rPr>
            </w:pPr>
            <w:r>
              <w:rPr>
                <w:rFonts w:hint="eastAsia" w:ascii="宋体" w:hAnsi="宋体" w:cs="宋体"/>
                <w:bCs/>
                <w:szCs w:val="21"/>
                <w:shd w:val="clear" w:color="auto" w:fill="FFFFFF"/>
              </w:rPr>
              <w:t>整个项目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21"/>
              <w:spacing w:line="288" w:lineRule="auto"/>
              <w:ind w:firstLine="0" w:firstLineChars="0"/>
              <w:jc w:val="center"/>
              <w:rPr>
                <w:rFonts w:ascii="宋体" w:hAnsi="宋体" w:cs="宋体"/>
                <w:bCs/>
                <w:spacing w:val="0"/>
                <w:sz w:val="21"/>
                <w:szCs w:val="21"/>
                <w:shd w:val="clear" w:color="auto" w:fill="FFFFFF"/>
              </w:rPr>
            </w:pPr>
            <w:r>
              <w:rPr>
                <w:rFonts w:hint="eastAsia" w:ascii="宋体" w:hAnsi="宋体" w:cs="宋体"/>
                <w:bCs/>
                <w:spacing w:val="0"/>
                <w:sz w:val="21"/>
                <w:szCs w:val="21"/>
                <w:shd w:val="clear" w:color="auto" w:fill="FFFFFF"/>
              </w:rPr>
              <w:t>电梯工程分部验收</w:t>
            </w:r>
          </w:p>
        </w:tc>
        <w:tc>
          <w:tcPr>
            <w:tcW w:w="1990" w:type="dxa"/>
            <w:vAlign w:val="center"/>
          </w:tcPr>
          <w:p>
            <w:pPr>
              <w:pStyle w:val="14"/>
              <w:jc w:val="center"/>
              <w:rPr>
                <w:rFonts w:cs="宋体"/>
                <w:bCs/>
                <w:snapToGrid w:val="0"/>
                <w:sz w:val="21"/>
                <w:szCs w:val="21"/>
                <w:shd w:val="clear" w:color="auto" w:fill="FFFFFF"/>
              </w:rPr>
            </w:pPr>
            <w:r>
              <w:rPr>
                <w:rFonts w:hint="eastAsia" w:cs="宋体"/>
                <w:bCs/>
                <w:snapToGrid w:val="0"/>
                <w:sz w:val="21"/>
                <w:szCs w:val="21"/>
                <w:shd w:val="clear" w:color="auto" w:fill="FFFFFF"/>
              </w:rPr>
              <w:t>2025.12.31</w:t>
            </w:r>
          </w:p>
        </w:tc>
        <w:tc>
          <w:tcPr>
            <w:tcW w:w="2705" w:type="dxa"/>
            <w:vAlign w:val="center"/>
          </w:tcPr>
          <w:p>
            <w:pPr>
              <w:spacing w:line="288" w:lineRule="auto"/>
              <w:jc w:val="center"/>
              <w:rPr>
                <w:rFonts w:ascii="宋体" w:hAnsi="宋体" w:cs="宋体"/>
                <w:bCs/>
                <w:szCs w:val="21"/>
                <w:shd w:val="clear" w:color="auto" w:fill="FFFFFF"/>
              </w:rPr>
            </w:pPr>
            <w:r>
              <w:rPr>
                <w:rFonts w:hint="eastAsia" w:ascii="宋体" w:hAnsi="宋体" w:cs="宋体"/>
                <w:bCs/>
                <w:szCs w:val="21"/>
                <w:shd w:val="clear" w:color="auto" w:fill="FFFFFF"/>
              </w:rPr>
              <w:t>整个项目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21"/>
              <w:spacing w:line="288" w:lineRule="auto"/>
              <w:ind w:firstLine="0" w:firstLineChars="0"/>
              <w:jc w:val="center"/>
              <w:rPr>
                <w:rFonts w:ascii="宋体" w:hAnsi="宋体" w:cs="宋体"/>
                <w:bCs/>
                <w:spacing w:val="0"/>
                <w:sz w:val="21"/>
                <w:szCs w:val="21"/>
                <w:shd w:val="clear" w:color="auto" w:fill="FFFFFF"/>
              </w:rPr>
            </w:pPr>
            <w:r>
              <w:rPr>
                <w:rFonts w:hint="eastAsia" w:ascii="宋体" w:hAnsi="宋体" w:cs="宋体"/>
                <w:bCs/>
                <w:spacing w:val="0"/>
                <w:sz w:val="21"/>
                <w:szCs w:val="21"/>
                <w:shd w:val="clear" w:color="auto" w:fill="FFFFFF"/>
              </w:rPr>
              <w:t>屋面工程分部验收</w:t>
            </w:r>
          </w:p>
        </w:tc>
        <w:tc>
          <w:tcPr>
            <w:tcW w:w="1990" w:type="dxa"/>
            <w:vAlign w:val="center"/>
          </w:tcPr>
          <w:p>
            <w:pPr>
              <w:pStyle w:val="14"/>
              <w:jc w:val="center"/>
              <w:rPr>
                <w:rFonts w:cs="宋体"/>
                <w:bCs/>
                <w:snapToGrid w:val="0"/>
                <w:sz w:val="21"/>
                <w:szCs w:val="21"/>
                <w:shd w:val="clear" w:color="auto" w:fill="FFFFFF"/>
              </w:rPr>
            </w:pPr>
            <w:r>
              <w:rPr>
                <w:rFonts w:hint="eastAsia" w:cs="宋体"/>
                <w:bCs/>
                <w:snapToGrid w:val="0"/>
                <w:sz w:val="21"/>
                <w:szCs w:val="21"/>
                <w:shd w:val="clear" w:color="auto" w:fill="FFFFFF"/>
              </w:rPr>
              <w:t>2025.1.31</w:t>
            </w:r>
          </w:p>
        </w:tc>
        <w:tc>
          <w:tcPr>
            <w:tcW w:w="2705" w:type="dxa"/>
            <w:vAlign w:val="center"/>
          </w:tcPr>
          <w:p>
            <w:pPr>
              <w:spacing w:line="288" w:lineRule="auto"/>
              <w:jc w:val="center"/>
              <w:rPr>
                <w:rFonts w:ascii="宋体" w:hAnsi="宋体" w:cs="宋体"/>
                <w:bCs/>
                <w:szCs w:val="21"/>
                <w:shd w:val="clear" w:color="auto" w:fill="FFFFFF"/>
              </w:rPr>
            </w:pPr>
            <w:r>
              <w:rPr>
                <w:rFonts w:hint="eastAsia" w:ascii="宋体" w:hAnsi="宋体" w:cs="宋体"/>
                <w:bCs/>
                <w:szCs w:val="21"/>
                <w:shd w:val="clear" w:color="auto" w:fill="FFFFFF"/>
              </w:rPr>
              <w:t>整个项目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4202" w:type="dxa"/>
            <w:vAlign w:val="center"/>
          </w:tcPr>
          <w:p>
            <w:pPr>
              <w:pStyle w:val="21"/>
              <w:spacing w:line="288" w:lineRule="auto"/>
              <w:ind w:firstLine="0" w:firstLineChars="0"/>
              <w:jc w:val="center"/>
              <w:rPr>
                <w:rFonts w:ascii="宋体" w:hAnsi="宋体" w:cs="宋体"/>
                <w:bCs/>
                <w:spacing w:val="0"/>
                <w:sz w:val="21"/>
                <w:szCs w:val="21"/>
              </w:rPr>
            </w:pPr>
            <w:r>
              <w:rPr>
                <w:rFonts w:hint="eastAsia" w:ascii="宋体" w:hAnsi="宋体" w:cs="宋体"/>
                <w:bCs/>
                <w:spacing w:val="0"/>
                <w:sz w:val="21"/>
                <w:szCs w:val="21"/>
              </w:rPr>
              <w:t>节能工程分部验收</w:t>
            </w:r>
          </w:p>
        </w:tc>
        <w:tc>
          <w:tcPr>
            <w:tcW w:w="1990" w:type="dxa"/>
            <w:vAlign w:val="center"/>
          </w:tcPr>
          <w:p>
            <w:pPr>
              <w:pStyle w:val="14"/>
              <w:jc w:val="center"/>
              <w:rPr>
                <w:rFonts w:cs="宋体"/>
                <w:bCs/>
                <w:snapToGrid w:val="0"/>
                <w:sz w:val="21"/>
                <w:szCs w:val="21"/>
                <w:shd w:val="clear" w:color="auto" w:fill="FFFFFF"/>
              </w:rPr>
            </w:pPr>
            <w:r>
              <w:rPr>
                <w:rFonts w:hint="eastAsia" w:cs="宋体"/>
                <w:bCs/>
                <w:snapToGrid w:val="0"/>
                <w:sz w:val="21"/>
                <w:szCs w:val="21"/>
                <w:shd w:val="clear" w:color="auto" w:fill="FFFFFF"/>
              </w:rPr>
              <w:t>2025.1.31</w:t>
            </w:r>
          </w:p>
        </w:tc>
        <w:tc>
          <w:tcPr>
            <w:tcW w:w="2705" w:type="dxa"/>
            <w:vAlign w:val="center"/>
          </w:tcPr>
          <w:p>
            <w:pPr>
              <w:spacing w:line="288" w:lineRule="auto"/>
              <w:jc w:val="center"/>
              <w:rPr>
                <w:rFonts w:ascii="宋体" w:hAnsi="宋体" w:cs="宋体"/>
                <w:bCs/>
                <w:szCs w:val="21"/>
              </w:rPr>
            </w:pPr>
            <w:r>
              <w:rPr>
                <w:rFonts w:hint="eastAsia" w:ascii="宋体" w:hAnsi="宋体" w:cs="宋体"/>
                <w:bCs/>
                <w:szCs w:val="21"/>
                <w:shd w:val="clear" w:color="auto" w:fill="FFFFFF"/>
              </w:rPr>
              <w:t>整个项目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4202" w:type="dxa"/>
            <w:vAlign w:val="center"/>
          </w:tcPr>
          <w:p>
            <w:pPr>
              <w:pStyle w:val="21"/>
              <w:spacing w:line="288" w:lineRule="auto"/>
              <w:ind w:firstLine="0" w:firstLineChars="0"/>
              <w:jc w:val="center"/>
              <w:rPr>
                <w:rFonts w:ascii="宋体" w:hAnsi="宋体" w:cs="宋体"/>
                <w:bCs/>
                <w:spacing w:val="0"/>
                <w:sz w:val="21"/>
                <w:szCs w:val="21"/>
              </w:rPr>
            </w:pPr>
            <w:r>
              <w:rPr>
                <w:rFonts w:hint="eastAsia" w:ascii="宋体" w:hAnsi="宋体" w:cs="宋体"/>
                <w:bCs/>
                <w:spacing w:val="0"/>
                <w:sz w:val="21"/>
                <w:szCs w:val="21"/>
              </w:rPr>
              <w:t>智能化工程分部验收</w:t>
            </w:r>
          </w:p>
        </w:tc>
        <w:tc>
          <w:tcPr>
            <w:tcW w:w="1990" w:type="dxa"/>
            <w:vAlign w:val="center"/>
          </w:tcPr>
          <w:p>
            <w:pPr>
              <w:pStyle w:val="14"/>
              <w:jc w:val="center"/>
              <w:rPr>
                <w:rFonts w:cs="宋体"/>
                <w:bCs/>
                <w:snapToGrid w:val="0"/>
                <w:sz w:val="21"/>
                <w:szCs w:val="21"/>
                <w:shd w:val="clear" w:color="auto" w:fill="FFFFFF"/>
              </w:rPr>
            </w:pPr>
            <w:r>
              <w:rPr>
                <w:rFonts w:hint="eastAsia" w:cs="宋体"/>
                <w:bCs/>
                <w:snapToGrid w:val="0"/>
                <w:sz w:val="21"/>
                <w:szCs w:val="21"/>
                <w:shd w:val="clear" w:color="auto" w:fill="FFFFFF"/>
              </w:rPr>
              <w:t>2025.2.28</w:t>
            </w:r>
          </w:p>
        </w:tc>
        <w:tc>
          <w:tcPr>
            <w:tcW w:w="2705" w:type="dxa"/>
            <w:vAlign w:val="center"/>
          </w:tcPr>
          <w:p>
            <w:pPr>
              <w:spacing w:line="288" w:lineRule="auto"/>
              <w:jc w:val="center"/>
              <w:rPr>
                <w:rFonts w:ascii="宋体" w:hAnsi="宋体" w:cs="宋体"/>
                <w:bCs/>
                <w:szCs w:val="21"/>
              </w:rPr>
            </w:pPr>
            <w:r>
              <w:rPr>
                <w:rFonts w:hint="eastAsia" w:ascii="宋体" w:hAnsi="宋体" w:cs="宋体"/>
                <w:bCs/>
                <w:szCs w:val="21"/>
                <w:shd w:val="clear" w:color="auto" w:fill="FFFFFF"/>
              </w:rPr>
              <w:t>整个项目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4202" w:type="dxa"/>
            <w:vAlign w:val="center"/>
          </w:tcPr>
          <w:p>
            <w:pPr>
              <w:pStyle w:val="21"/>
              <w:spacing w:line="288" w:lineRule="auto"/>
              <w:ind w:firstLine="0" w:firstLineChars="0"/>
              <w:jc w:val="center"/>
              <w:rPr>
                <w:rFonts w:ascii="宋体" w:hAnsi="宋体" w:cs="宋体"/>
                <w:bCs/>
                <w:spacing w:val="0"/>
                <w:sz w:val="21"/>
                <w:szCs w:val="21"/>
              </w:rPr>
            </w:pPr>
            <w:r>
              <w:rPr>
                <w:rFonts w:hint="eastAsia" w:ascii="宋体" w:hAnsi="宋体" w:cs="宋体"/>
                <w:bCs/>
                <w:spacing w:val="0"/>
                <w:sz w:val="21"/>
                <w:szCs w:val="21"/>
              </w:rPr>
              <w:t>质量验收竣工验收</w:t>
            </w:r>
          </w:p>
        </w:tc>
        <w:tc>
          <w:tcPr>
            <w:tcW w:w="1990" w:type="dxa"/>
            <w:vAlign w:val="center"/>
          </w:tcPr>
          <w:p>
            <w:pPr>
              <w:pStyle w:val="14"/>
              <w:jc w:val="center"/>
              <w:rPr>
                <w:rFonts w:cs="宋体"/>
                <w:bCs/>
                <w:snapToGrid w:val="0"/>
                <w:sz w:val="21"/>
                <w:szCs w:val="21"/>
                <w:shd w:val="clear" w:color="auto" w:fill="FFFFFF"/>
              </w:rPr>
            </w:pPr>
            <w:r>
              <w:rPr>
                <w:rFonts w:hint="eastAsia" w:cs="宋体"/>
                <w:bCs/>
                <w:snapToGrid w:val="0"/>
                <w:sz w:val="21"/>
                <w:szCs w:val="21"/>
                <w:shd w:val="clear" w:color="auto" w:fill="FFFFFF"/>
              </w:rPr>
              <w:t>2025.3.30</w:t>
            </w:r>
          </w:p>
        </w:tc>
        <w:tc>
          <w:tcPr>
            <w:tcW w:w="2705" w:type="dxa"/>
            <w:vAlign w:val="center"/>
          </w:tcPr>
          <w:p>
            <w:pPr>
              <w:spacing w:line="288" w:lineRule="auto"/>
              <w:jc w:val="center"/>
              <w:rPr>
                <w:rFonts w:ascii="宋体" w:hAnsi="宋体" w:cs="宋体"/>
                <w:bCs/>
                <w:szCs w:val="21"/>
              </w:rPr>
            </w:pPr>
            <w:r>
              <w:rPr>
                <w:rFonts w:hint="eastAsia" w:ascii="宋体" w:hAnsi="宋体" w:cs="宋体"/>
                <w:bCs/>
                <w:szCs w:val="21"/>
                <w:shd w:val="clear" w:color="auto" w:fill="FFFFFF"/>
              </w:rPr>
              <w:t>整个项目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21"/>
              <w:spacing w:line="288" w:lineRule="auto"/>
              <w:ind w:firstLine="0" w:firstLineChars="0"/>
              <w:jc w:val="center"/>
              <w:rPr>
                <w:rFonts w:ascii="宋体" w:hAnsi="宋体" w:cs="宋体"/>
                <w:bCs/>
                <w:spacing w:val="0"/>
                <w:sz w:val="21"/>
                <w:szCs w:val="21"/>
                <w:shd w:val="clear" w:color="auto" w:fill="FFFFFF"/>
              </w:rPr>
            </w:pPr>
            <w:r>
              <w:rPr>
                <w:rFonts w:hint="eastAsia" w:ascii="宋体" w:hAnsi="宋体" w:cs="宋体"/>
                <w:bCs/>
                <w:spacing w:val="0"/>
                <w:sz w:val="21"/>
                <w:szCs w:val="21"/>
                <w:shd w:val="clear" w:color="auto" w:fill="FFFFFF"/>
              </w:rPr>
              <w:t>专项验收内容</w:t>
            </w:r>
          </w:p>
        </w:tc>
        <w:tc>
          <w:tcPr>
            <w:tcW w:w="4695" w:type="dxa"/>
            <w:gridSpan w:val="2"/>
            <w:vAlign w:val="center"/>
          </w:tcPr>
          <w:p>
            <w:pPr>
              <w:pStyle w:val="21"/>
              <w:spacing w:line="288" w:lineRule="auto"/>
              <w:ind w:firstLine="0" w:firstLineChars="0"/>
              <w:jc w:val="center"/>
              <w:rPr>
                <w:rFonts w:ascii="宋体" w:hAnsi="宋体" w:cs="宋体"/>
                <w:bCs/>
                <w:spacing w:val="0"/>
                <w:sz w:val="21"/>
                <w:szCs w:val="21"/>
                <w:shd w:val="clear" w:color="auto" w:fill="FFFFFF"/>
              </w:rPr>
            </w:pPr>
            <w:r>
              <w:rPr>
                <w:rFonts w:hint="eastAsia" w:ascii="宋体" w:hAnsi="宋体" w:cs="宋体"/>
                <w:bCs/>
                <w:spacing w:val="0"/>
                <w:sz w:val="21"/>
                <w:szCs w:val="21"/>
                <w:shd w:val="clear" w:color="auto" w:fill="FFFFFF"/>
              </w:rPr>
              <w:t>计划验收时间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14"/>
              <w:jc w:val="center"/>
              <w:rPr>
                <w:rFonts w:cs="宋体"/>
                <w:bCs/>
                <w:snapToGrid w:val="0"/>
                <w:sz w:val="21"/>
                <w:szCs w:val="21"/>
              </w:rPr>
            </w:pPr>
            <w:r>
              <w:rPr>
                <w:rFonts w:hint="eastAsia" w:cs="宋体"/>
                <w:bCs/>
                <w:snapToGrid w:val="0"/>
                <w:sz w:val="21"/>
                <w:szCs w:val="21"/>
              </w:rPr>
              <w:t>白蚁防治</w:t>
            </w:r>
          </w:p>
        </w:tc>
        <w:tc>
          <w:tcPr>
            <w:tcW w:w="4695" w:type="dxa"/>
            <w:gridSpan w:val="2"/>
            <w:vAlign w:val="center"/>
          </w:tcPr>
          <w:p>
            <w:pPr>
              <w:pStyle w:val="14"/>
              <w:jc w:val="center"/>
              <w:rPr>
                <w:rFonts w:cs="宋体"/>
                <w:bCs/>
                <w:snapToGrid w:val="0"/>
                <w:sz w:val="21"/>
                <w:szCs w:val="21"/>
              </w:rPr>
            </w:pPr>
            <w:r>
              <w:rPr>
                <w:rFonts w:hint="eastAsia" w:cs="宋体"/>
                <w:bCs/>
                <w:snapToGrid w:val="0"/>
                <w:sz w:val="21"/>
                <w:szCs w:val="21"/>
              </w:rPr>
              <w:t>2025.</w:t>
            </w:r>
            <w:r>
              <w:rPr>
                <w:rFonts w:cs="宋体"/>
                <w:bCs/>
                <w:snapToGrid w:val="0"/>
                <w:sz w:val="21"/>
                <w:szCs w:val="21"/>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14"/>
              <w:jc w:val="center"/>
              <w:rPr>
                <w:rFonts w:cs="宋体"/>
                <w:bCs/>
                <w:snapToGrid w:val="0"/>
                <w:sz w:val="21"/>
                <w:szCs w:val="21"/>
              </w:rPr>
            </w:pPr>
            <w:r>
              <w:rPr>
                <w:rFonts w:hint="eastAsia" w:cs="宋体"/>
                <w:bCs/>
                <w:snapToGrid w:val="0"/>
                <w:sz w:val="21"/>
                <w:szCs w:val="21"/>
              </w:rPr>
              <w:t>水土保持验收</w:t>
            </w:r>
          </w:p>
        </w:tc>
        <w:tc>
          <w:tcPr>
            <w:tcW w:w="4695" w:type="dxa"/>
            <w:gridSpan w:val="2"/>
            <w:vAlign w:val="center"/>
          </w:tcPr>
          <w:p>
            <w:pPr>
              <w:pStyle w:val="14"/>
              <w:jc w:val="center"/>
              <w:rPr>
                <w:rFonts w:cs="宋体"/>
                <w:bCs/>
                <w:snapToGrid w:val="0"/>
                <w:sz w:val="21"/>
                <w:szCs w:val="21"/>
              </w:rPr>
            </w:pPr>
            <w:r>
              <w:rPr>
                <w:rFonts w:hint="eastAsia" w:cs="宋体"/>
                <w:bCs/>
                <w:snapToGrid w:val="0"/>
                <w:sz w:val="21"/>
                <w:szCs w:val="21"/>
              </w:rPr>
              <w:t>2025.</w:t>
            </w:r>
            <w:r>
              <w:rPr>
                <w:rFonts w:cs="宋体"/>
                <w:bCs/>
                <w:snapToGrid w:val="0"/>
                <w:sz w:val="21"/>
                <w:szCs w:val="21"/>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14"/>
              <w:jc w:val="center"/>
              <w:rPr>
                <w:rFonts w:cs="宋体"/>
                <w:bCs/>
                <w:snapToGrid w:val="0"/>
                <w:sz w:val="21"/>
                <w:szCs w:val="21"/>
              </w:rPr>
            </w:pPr>
            <w:r>
              <w:rPr>
                <w:rFonts w:hint="eastAsia" w:cs="宋体"/>
                <w:bCs/>
                <w:snapToGrid w:val="0"/>
                <w:sz w:val="21"/>
                <w:szCs w:val="21"/>
              </w:rPr>
              <w:t>供水、供电（验收）</w:t>
            </w:r>
          </w:p>
        </w:tc>
        <w:tc>
          <w:tcPr>
            <w:tcW w:w="4695" w:type="dxa"/>
            <w:gridSpan w:val="2"/>
            <w:vAlign w:val="center"/>
          </w:tcPr>
          <w:p>
            <w:pPr>
              <w:pStyle w:val="14"/>
              <w:jc w:val="center"/>
              <w:rPr>
                <w:rFonts w:cs="宋体"/>
                <w:bCs/>
                <w:snapToGrid w:val="0"/>
                <w:sz w:val="21"/>
                <w:szCs w:val="21"/>
              </w:rPr>
            </w:pPr>
            <w:r>
              <w:rPr>
                <w:rFonts w:hint="eastAsia" w:cs="宋体"/>
                <w:bCs/>
                <w:snapToGrid w:val="0"/>
                <w:sz w:val="21"/>
                <w:szCs w:val="21"/>
              </w:rPr>
              <w:t>2025.</w:t>
            </w:r>
            <w:r>
              <w:rPr>
                <w:rFonts w:cs="宋体"/>
                <w:bCs/>
                <w:snapToGrid w:val="0"/>
                <w:sz w:val="21"/>
                <w:szCs w:val="21"/>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14"/>
              <w:jc w:val="center"/>
              <w:rPr>
                <w:rFonts w:cs="宋体"/>
                <w:bCs/>
                <w:snapToGrid w:val="0"/>
                <w:sz w:val="21"/>
                <w:szCs w:val="21"/>
              </w:rPr>
            </w:pPr>
            <w:r>
              <w:rPr>
                <w:rFonts w:hint="eastAsia" w:cs="宋体"/>
                <w:bCs/>
                <w:snapToGrid w:val="0"/>
                <w:sz w:val="21"/>
                <w:szCs w:val="21"/>
              </w:rPr>
              <w:t>防雷验收</w:t>
            </w:r>
          </w:p>
        </w:tc>
        <w:tc>
          <w:tcPr>
            <w:tcW w:w="4695" w:type="dxa"/>
            <w:gridSpan w:val="2"/>
            <w:vAlign w:val="center"/>
          </w:tcPr>
          <w:p>
            <w:pPr>
              <w:pStyle w:val="14"/>
              <w:jc w:val="center"/>
              <w:rPr>
                <w:rFonts w:cs="宋体"/>
                <w:bCs/>
                <w:snapToGrid w:val="0"/>
                <w:sz w:val="21"/>
                <w:szCs w:val="21"/>
              </w:rPr>
            </w:pPr>
            <w:r>
              <w:rPr>
                <w:rFonts w:hint="eastAsia" w:cs="宋体"/>
                <w:bCs/>
                <w:snapToGrid w:val="0"/>
                <w:sz w:val="21"/>
                <w:szCs w:val="21"/>
              </w:rPr>
              <w:t>2025.</w:t>
            </w:r>
            <w:r>
              <w:rPr>
                <w:rFonts w:cs="宋体"/>
                <w:bCs/>
                <w:snapToGrid w:val="0"/>
                <w:sz w:val="21"/>
                <w:szCs w:val="21"/>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14"/>
              <w:jc w:val="center"/>
              <w:rPr>
                <w:rFonts w:cs="宋体"/>
                <w:bCs/>
                <w:snapToGrid w:val="0"/>
                <w:sz w:val="21"/>
                <w:szCs w:val="21"/>
              </w:rPr>
            </w:pPr>
            <w:r>
              <w:rPr>
                <w:rFonts w:hint="eastAsia" w:cs="宋体"/>
                <w:bCs/>
                <w:snapToGrid w:val="0"/>
                <w:sz w:val="21"/>
                <w:szCs w:val="21"/>
              </w:rPr>
              <w:t>节能验收</w:t>
            </w:r>
          </w:p>
        </w:tc>
        <w:tc>
          <w:tcPr>
            <w:tcW w:w="4695" w:type="dxa"/>
            <w:gridSpan w:val="2"/>
            <w:vAlign w:val="center"/>
          </w:tcPr>
          <w:p>
            <w:pPr>
              <w:pStyle w:val="14"/>
              <w:jc w:val="center"/>
              <w:rPr>
                <w:rFonts w:cs="宋体"/>
                <w:bCs/>
                <w:snapToGrid w:val="0"/>
                <w:sz w:val="21"/>
                <w:szCs w:val="21"/>
              </w:rPr>
            </w:pPr>
            <w:r>
              <w:rPr>
                <w:rFonts w:hint="eastAsia" w:cs="宋体"/>
                <w:bCs/>
                <w:snapToGrid w:val="0"/>
                <w:sz w:val="21"/>
                <w:szCs w:val="21"/>
              </w:rPr>
              <w:t>2025.</w:t>
            </w:r>
            <w:r>
              <w:rPr>
                <w:rFonts w:cs="宋体"/>
                <w:bCs/>
                <w:snapToGrid w:val="0"/>
                <w:sz w:val="21"/>
                <w:szCs w:val="21"/>
              </w:rPr>
              <w:t>4.10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14"/>
              <w:jc w:val="center"/>
              <w:rPr>
                <w:rFonts w:cs="宋体"/>
                <w:bCs/>
                <w:snapToGrid w:val="0"/>
                <w:sz w:val="21"/>
                <w:szCs w:val="21"/>
              </w:rPr>
            </w:pPr>
            <w:r>
              <w:rPr>
                <w:rFonts w:hint="eastAsia" w:cs="宋体"/>
                <w:bCs/>
                <w:snapToGrid w:val="0"/>
                <w:sz w:val="21"/>
                <w:szCs w:val="21"/>
              </w:rPr>
              <w:t>电梯验收</w:t>
            </w:r>
          </w:p>
        </w:tc>
        <w:tc>
          <w:tcPr>
            <w:tcW w:w="4695" w:type="dxa"/>
            <w:gridSpan w:val="2"/>
            <w:vAlign w:val="center"/>
          </w:tcPr>
          <w:p>
            <w:pPr>
              <w:pStyle w:val="14"/>
              <w:jc w:val="center"/>
              <w:rPr>
                <w:rFonts w:cs="宋体"/>
                <w:bCs/>
                <w:snapToGrid w:val="0"/>
                <w:sz w:val="21"/>
                <w:szCs w:val="21"/>
              </w:rPr>
            </w:pPr>
            <w:r>
              <w:rPr>
                <w:rFonts w:hint="eastAsia" w:cs="宋体"/>
                <w:bCs/>
                <w:snapToGrid w:val="0"/>
                <w:sz w:val="21"/>
                <w:szCs w:val="21"/>
              </w:rPr>
              <w:t>2025.</w:t>
            </w:r>
            <w:r>
              <w:rPr>
                <w:rFonts w:cs="宋体"/>
                <w:bCs/>
                <w:snapToGrid w:val="0"/>
                <w:sz w:val="21"/>
                <w:szCs w:val="21"/>
              </w:rPr>
              <w:t>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14"/>
              <w:jc w:val="center"/>
              <w:rPr>
                <w:rFonts w:cs="宋体"/>
                <w:bCs/>
                <w:snapToGrid w:val="0"/>
                <w:sz w:val="21"/>
                <w:szCs w:val="21"/>
              </w:rPr>
            </w:pPr>
            <w:r>
              <w:rPr>
                <w:rFonts w:hint="eastAsia" w:cs="宋体"/>
                <w:bCs/>
                <w:snapToGrid w:val="0"/>
                <w:sz w:val="21"/>
                <w:szCs w:val="21"/>
              </w:rPr>
              <w:t>机电工程综合调试及验收</w:t>
            </w:r>
          </w:p>
        </w:tc>
        <w:tc>
          <w:tcPr>
            <w:tcW w:w="4695" w:type="dxa"/>
            <w:gridSpan w:val="2"/>
            <w:vAlign w:val="center"/>
          </w:tcPr>
          <w:p>
            <w:pPr>
              <w:pStyle w:val="14"/>
              <w:jc w:val="center"/>
              <w:rPr>
                <w:rFonts w:cs="宋体"/>
                <w:bCs/>
                <w:snapToGrid w:val="0"/>
                <w:sz w:val="21"/>
                <w:szCs w:val="21"/>
              </w:rPr>
            </w:pPr>
            <w:r>
              <w:rPr>
                <w:rFonts w:hint="eastAsia" w:cs="宋体"/>
                <w:bCs/>
                <w:snapToGrid w:val="0"/>
                <w:sz w:val="21"/>
                <w:szCs w:val="21"/>
              </w:rPr>
              <w:t>2025.</w:t>
            </w:r>
            <w:r>
              <w:rPr>
                <w:rFonts w:cs="宋体"/>
                <w:bCs/>
                <w:snapToGrid w:val="0"/>
                <w:sz w:val="21"/>
                <w:szCs w:val="21"/>
              </w:rPr>
              <w:t>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14"/>
              <w:jc w:val="center"/>
              <w:rPr>
                <w:rFonts w:cs="宋体"/>
                <w:bCs/>
                <w:snapToGrid w:val="0"/>
                <w:sz w:val="21"/>
                <w:szCs w:val="21"/>
              </w:rPr>
            </w:pPr>
            <w:r>
              <w:rPr>
                <w:rFonts w:hint="eastAsia" w:cs="宋体"/>
                <w:bCs/>
                <w:snapToGrid w:val="0"/>
                <w:sz w:val="21"/>
                <w:szCs w:val="21"/>
              </w:rPr>
              <w:t>光纤入户验收</w:t>
            </w:r>
          </w:p>
        </w:tc>
        <w:tc>
          <w:tcPr>
            <w:tcW w:w="4695" w:type="dxa"/>
            <w:gridSpan w:val="2"/>
            <w:vAlign w:val="center"/>
          </w:tcPr>
          <w:p>
            <w:pPr>
              <w:pStyle w:val="14"/>
              <w:jc w:val="center"/>
              <w:rPr>
                <w:rFonts w:cs="宋体"/>
                <w:bCs/>
                <w:snapToGrid w:val="0"/>
                <w:sz w:val="21"/>
                <w:szCs w:val="21"/>
              </w:rPr>
            </w:pPr>
            <w:r>
              <w:rPr>
                <w:rFonts w:hint="eastAsia" w:cs="宋体"/>
                <w:bCs/>
                <w:snapToGrid w:val="0"/>
                <w:sz w:val="21"/>
                <w:szCs w:val="21"/>
              </w:rPr>
              <w:t>2025.</w:t>
            </w:r>
            <w:r>
              <w:rPr>
                <w:rFonts w:cs="宋体"/>
                <w:bCs/>
                <w:snapToGrid w:val="0"/>
                <w:sz w:val="21"/>
                <w:szCs w:val="21"/>
              </w:rPr>
              <w:t>4.15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14"/>
              <w:jc w:val="center"/>
              <w:rPr>
                <w:rFonts w:cs="宋体"/>
                <w:bCs/>
                <w:snapToGrid w:val="0"/>
                <w:sz w:val="21"/>
                <w:szCs w:val="21"/>
                <w:lang w:bidi="ar"/>
              </w:rPr>
            </w:pPr>
            <w:r>
              <w:rPr>
                <w:rFonts w:hint="eastAsia" w:cs="宋体"/>
                <w:bCs/>
                <w:snapToGrid w:val="0"/>
                <w:sz w:val="21"/>
                <w:szCs w:val="21"/>
              </w:rPr>
              <w:t>环保验收</w:t>
            </w:r>
          </w:p>
        </w:tc>
        <w:tc>
          <w:tcPr>
            <w:tcW w:w="4695" w:type="dxa"/>
            <w:gridSpan w:val="2"/>
            <w:vAlign w:val="center"/>
          </w:tcPr>
          <w:p>
            <w:pPr>
              <w:pStyle w:val="14"/>
              <w:jc w:val="center"/>
              <w:rPr>
                <w:rFonts w:cs="宋体"/>
                <w:bCs/>
                <w:snapToGrid w:val="0"/>
                <w:sz w:val="21"/>
                <w:szCs w:val="21"/>
                <w:lang w:bidi="ar"/>
              </w:rPr>
            </w:pPr>
            <w:r>
              <w:rPr>
                <w:rFonts w:hint="eastAsia" w:cs="宋体"/>
                <w:bCs/>
                <w:snapToGrid w:val="0"/>
                <w:sz w:val="21"/>
                <w:szCs w:val="21"/>
              </w:rPr>
              <w:t>2025.</w:t>
            </w:r>
            <w:r>
              <w:rPr>
                <w:rFonts w:cs="宋体"/>
                <w:bCs/>
                <w:snapToGrid w:val="0"/>
                <w:sz w:val="21"/>
                <w:szCs w:val="21"/>
              </w:rPr>
              <w:t>4.17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14"/>
              <w:jc w:val="center"/>
              <w:rPr>
                <w:rFonts w:cs="宋体"/>
                <w:bCs/>
                <w:snapToGrid w:val="0"/>
                <w:sz w:val="21"/>
                <w:szCs w:val="21"/>
                <w:lang w:bidi="ar"/>
              </w:rPr>
            </w:pPr>
            <w:r>
              <w:rPr>
                <w:rFonts w:hint="eastAsia" w:cs="宋体"/>
                <w:bCs/>
                <w:snapToGrid w:val="0"/>
                <w:sz w:val="21"/>
                <w:szCs w:val="21"/>
              </w:rPr>
              <w:t>卫生防疫验收</w:t>
            </w:r>
          </w:p>
        </w:tc>
        <w:tc>
          <w:tcPr>
            <w:tcW w:w="4695" w:type="dxa"/>
            <w:gridSpan w:val="2"/>
            <w:vAlign w:val="center"/>
          </w:tcPr>
          <w:p>
            <w:pPr>
              <w:pStyle w:val="14"/>
              <w:jc w:val="center"/>
              <w:rPr>
                <w:rFonts w:cs="宋体"/>
                <w:bCs/>
                <w:snapToGrid w:val="0"/>
                <w:sz w:val="21"/>
                <w:szCs w:val="21"/>
                <w:lang w:bidi="ar"/>
              </w:rPr>
            </w:pPr>
            <w:r>
              <w:rPr>
                <w:rFonts w:hint="eastAsia" w:cs="宋体"/>
                <w:bCs/>
                <w:snapToGrid w:val="0"/>
                <w:sz w:val="21"/>
                <w:szCs w:val="21"/>
              </w:rPr>
              <w:t>2025.</w:t>
            </w:r>
            <w:r>
              <w:rPr>
                <w:rFonts w:cs="宋体"/>
                <w:bCs/>
                <w:snapToGrid w:val="0"/>
                <w:sz w:val="21"/>
                <w:szCs w:val="21"/>
              </w:rPr>
              <w:t>4.19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14"/>
              <w:jc w:val="center"/>
              <w:rPr>
                <w:rFonts w:cs="宋体"/>
                <w:bCs/>
                <w:snapToGrid w:val="0"/>
                <w:sz w:val="21"/>
                <w:szCs w:val="21"/>
              </w:rPr>
            </w:pPr>
            <w:r>
              <w:rPr>
                <w:rFonts w:hint="eastAsia" w:cs="宋体"/>
                <w:bCs/>
                <w:snapToGrid w:val="0"/>
                <w:sz w:val="21"/>
                <w:szCs w:val="21"/>
              </w:rPr>
              <w:t>规划验收</w:t>
            </w:r>
          </w:p>
        </w:tc>
        <w:tc>
          <w:tcPr>
            <w:tcW w:w="4695" w:type="dxa"/>
            <w:gridSpan w:val="2"/>
            <w:vAlign w:val="center"/>
          </w:tcPr>
          <w:p>
            <w:pPr>
              <w:pStyle w:val="14"/>
              <w:jc w:val="center"/>
              <w:rPr>
                <w:rFonts w:cs="宋体"/>
                <w:bCs/>
                <w:snapToGrid w:val="0"/>
                <w:sz w:val="21"/>
                <w:szCs w:val="21"/>
              </w:rPr>
            </w:pPr>
            <w:r>
              <w:rPr>
                <w:rFonts w:hint="eastAsia" w:cs="宋体"/>
                <w:bCs/>
                <w:snapToGrid w:val="0"/>
                <w:sz w:val="21"/>
                <w:szCs w:val="21"/>
              </w:rPr>
              <w:t>2025.</w:t>
            </w:r>
            <w:r>
              <w:rPr>
                <w:rFonts w:cs="宋体"/>
                <w:bCs/>
                <w:snapToGrid w:val="0"/>
                <w:sz w:val="21"/>
                <w:szCs w:val="21"/>
              </w:rPr>
              <w:t>4.25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14"/>
              <w:jc w:val="center"/>
              <w:rPr>
                <w:rFonts w:cs="宋体"/>
                <w:bCs/>
                <w:snapToGrid w:val="0"/>
                <w:sz w:val="21"/>
                <w:szCs w:val="21"/>
                <w:lang w:bidi="ar"/>
              </w:rPr>
            </w:pPr>
            <w:r>
              <w:rPr>
                <w:rFonts w:hint="eastAsia" w:cs="宋体"/>
                <w:bCs/>
                <w:snapToGrid w:val="0"/>
                <w:sz w:val="21"/>
                <w:szCs w:val="21"/>
              </w:rPr>
              <w:t>消防验收</w:t>
            </w:r>
          </w:p>
        </w:tc>
        <w:tc>
          <w:tcPr>
            <w:tcW w:w="4695" w:type="dxa"/>
            <w:gridSpan w:val="2"/>
            <w:vAlign w:val="center"/>
          </w:tcPr>
          <w:p>
            <w:pPr>
              <w:pStyle w:val="14"/>
              <w:jc w:val="center"/>
              <w:rPr>
                <w:rFonts w:cs="宋体"/>
                <w:bCs/>
                <w:snapToGrid w:val="0"/>
                <w:sz w:val="21"/>
                <w:szCs w:val="21"/>
                <w:lang w:bidi="ar"/>
              </w:rPr>
            </w:pPr>
            <w:r>
              <w:rPr>
                <w:rFonts w:hint="eastAsia" w:cs="宋体"/>
                <w:bCs/>
                <w:snapToGrid w:val="0"/>
                <w:sz w:val="21"/>
                <w:szCs w:val="21"/>
              </w:rPr>
              <w:t>2025.4.</w:t>
            </w:r>
            <w:r>
              <w:rPr>
                <w:rFonts w:cs="宋体"/>
                <w:bCs/>
                <w:snapToGrid w:val="0"/>
                <w:sz w:val="21"/>
                <w:szCs w:val="21"/>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vAlign w:val="center"/>
          </w:tcPr>
          <w:p>
            <w:pPr>
              <w:pStyle w:val="14"/>
              <w:jc w:val="center"/>
              <w:rPr>
                <w:rFonts w:cs="宋体"/>
                <w:bCs/>
                <w:snapToGrid w:val="0"/>
                <w:sz w:val="21"/>
                <w:szCs w:val="21"/>
              </w:rPr>
            </w:pPr>
            <w:r>
              <w:rPr>
                <w:rFonts w:hint="eastAsia" w:cs="宋体"/>
                <w:bCs/>
                <w:snapToGrid w:val="0"/>
                <w:sz w:val="21"/>
                <w:szCs w:val="21"/>
              </w:rPr>
              <w:t>竣工联合验收</w:t>
            </w:r>
          </w:p>
        </w:tc>
        <w:tc>
          <w:tcPr>
            <w:tcW w:w="4695" w:type="dxa"/>
            <w:gridSpan w:val="2"/>
            <w:vAlign w:val="center"/>
          </w:tcPr>
          <w:p>
            <w:pPr>
              <w:pStyle w:val="14"/>
              <w:jc w:val="center"/>
              <w:rPr>
                <w:rFonts w:cs="宋体"/>
                <w:bCs/>
                <w:snapToGrid w:val="0"/>
                <w:sz w:val="21"/>
                <w:szCs w:val="21"/>
              </w:rPr>
            </w:pPr>
            <w:r>
              <w:rPr>
                <w:rFonts w:hint="eastAsia" w:cs="宋体"/>
                <w:bCs/>
                <w:snapToGrid w:val="0"/>
                <w:sz w:val="21"/>
                <w:szCs w:val="21"/>
              </w:rPr>
              <w:t>2025.5.30</w:t>
            </w:r>
          </w:p>
        </w:tc>
      </w:tr>
    </w:tbl>
    <w:p>
      <w:pPr>
        <w:pStyle w:val="21"/>
        <w:ind w:firstLine="498"/>
        <w:jc w:val="center"/>
        <w:rPr>
          <w:b/>
        </w:rPr>
      </w:pPr>
    </w:p>
    <w:p>
      <w:pPr>
        <w:rPr>
          <w:vanish/>
        </w:rPr>
      </w:pPr>
    </w:p>
    <w:p>
      <w:pPr>
        <w:rPr>
          <w:vanish/>
        </w:rPr>
      </w:pPr>
    </w:p>
    <w:p>
      <w:pPr>
        <w:pStyle w:val="21"/>
        <w:ind w:firstLine="496"/>
        <w:rPr>
          <w:rFonts w:ascii="宋体" w:hAnsi="宋体"/>
        </w:rPr>
      </w:pPr>
      <w:r>
        <w:rPr>
          <w:rFonts w:hint="eastAsia" w:ascii="宋体" w:hAnsi="宋体"/>
        </w:rPr>
        <w:t>3、承包人应投入足够的人力、物力、财力等，科学组织、精密策划，严格按照上述工期要求组织施工。发包人将按合同相关约定对承包人出现的工期延误进行相应处罚。若最终承包人能按期完成建设任务，发包人可撤销上述工期延误的处罚，若关键节点未能按期完成建设任务，发包人将严格依据合同相关条款进行处罚。</w:t>
      </w:r>
    </w:p>
    <w:p>
      <w:pPr>
        <w:pStyle w:val="21"/>
        <w:ind w:firstLine="496"/>
      </w:pPr>
      <w:r>
        <w:rPr>
          <w:rFonts w:hint="eastAsia" w:ascii="宋体" w:hAnsi="宋体"/>
        </w:rPr>
        <w:t>4、本工程</w:t>
      </w:r>
      <w:r>
        <w:rPr>
          <w:rFonts w:ascii="宋体" w:hAnsi="宋体"/>
        </w:rPr>
        <w:t>的工期已包含因承包人的深化设计未能达到</w:t>
      </w:r>
      <w:r>
        <w:rPr>
          <w:rFonts w:ascii="宋体" w:hAnsi="宋体" w:cs="宋体"/>
        </w:rPr>
        <w:t>发包人</w:t>
      </w:r>
      <w:r>
        <w:rPr>
          <w:rFonts w:ascii="宋体" w:hAnsi="宋体"/>
        </w:rPr>
        <w:t>、设计单位及相关政府部门的要求而需要修改或重新设计所涉及的额外工程期限，</w:t>
      </w:r>
      <w:r>
        <w:rPr>
          <w:rFonts w:hint="eastAsia" w:ascii="宋体" w:hAnsi="宋体"/>
        </w:rPr>
        <w:t>承包人</w:t>
      </w:r>
      <w:r>
        <w:rPr>
          <w:rFonts w:ascii="宋体" w:hAnsi="宋体"/>
        </w:rPr>
        <w:t>已被视为对上述审批时间</w:t>
      </w:r>
      <w:r>
        <w:rPr>
          <w:rFonts w:hint="eastAsia" w:ascii="宋体" w:hAnsi="宋体"/>
        </w:rPr>
        <w:t>作出</w:t>
      </w:r>
      <w:r>
        <w:rPr>
          <w:rFonts w:ascii="宋体" w:hAnsi="宋体"/>
        </w:rPr>
        <w:t>考虑和预留。</w:t>
      </w:r>
    </w:p>
    <w:p>
      <w:pPr>
        <w:pStyle w:val="7"/>
        <w:adjustRightInd w:val="0"/>
        <w:snapToGrid w:val="0"/>
        <w:spacing w:line="360" w:lineRule="auto"/>
        <w:rPr>
          <w:color w:val="auto"/>
          <w:sz w:val="30"/>
          <w:szCs w:val="30"/>
        </w:rPr>
      </w:pPr>
      <w:bookmarkStart w:id="89" w:name="_Toc24402"/>
      <w:bookmarkStart w:id="90" w:name="_Toc12208"/>
      <w:bookmarkStart w:id="91" w:name="_Toc23072"/>
      <w:bookmarkStart w:id="92" w:name="_Toc55581760"/>
      <w:bookmarkStart w:id="93" w:name="_Toc159596169"/>
      <w:bookmarkStart w:id="94" w:name="_Toc56444410"/>
      <w:bookmarkStart w:id="95" w:name="_Toc23043"/>
      <w:bookmarkStart w:id="96" w:name="_Toc1393"/>
      <w:bookmarkStart w:id="97" w:name="_Toc18275"/>
      <w:r>
        <w:rPr>
          <w:rFonts w:hint="eastAsia"/>
          <w:color w:val="auto"/>
          <w:sz w:val="30"/>
          <w:szCs w:val="30"/>
        </w:rPr>
        <w:t>（二）质量目标</w:t>
      </w:r>
      <w:bookmarkEnd w:id="89"/>
      <w:bookmarkEnd w:id="90"/>
      <w:bookmarkEnd w:id="91"/>
      <w:bookmarkEnd w:id="92"/>
      <w:bookmarkEnd w:id="93"/>
      <w:bookmarkEnd w:id="94"/>
      <w:bookmarkEnd w:id="95"/>
      <w:bookmarkEnd w:id="96"/>
      <w:bookmarkEnd w:id="97"/>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质量验收一次性达到合格或以上验收标准，确保项目</w:t>
      </w:r>
      <w:r>
        <w:rPr>
          <w:rFonts w:ascii="宋体" w:hAnsi="宋体" w:cs="宋体"/>
          <w:sz w:val="24"/>
          <w:szCs w:val="24"/>
        </w:rPr>
        <w:t>满足本次全运会及残特奥会的赛事要求</w:t>
      </w:r>
      <w:r>
        <w:rPr>
          <w:rFonts w:hint="eastAsia" w:ascii="宋体" w:hAnsi="宋体" w:cs="宋体"/>
          <w:sz w:val="24"/>
          <w:szCs w:val="24"/>
        </w:rPr>
        <w:t>。</w:t>
      </w:r>
    </w:p>
    <w:p>
      <w:pPr>
        <w:pStyle w:val="7"/>
        <w:adjustRightInd w:val="0"/>
        <w:snapToGrid w:val="0"/>
        <w:spacing w:line="360" w:lineRule="auto"/>
        <w:rPr>
          <w:color w:val="auto"/>
          <w:sz w:val="30"/>
          <w:szCs w:val="30"/>
        </w:rPr>
      </w:pPr>
      <w:bookmarkStart w:id="98" w:name="_Toc392863105"/>
      <w:bookmarkStart w:id="99" w:name="_Toc25546"/>
      <w:bookmarkStart w:id="100" w:name="_Toc21843"/>
      <w:bookmarkStart w:id="101" w:name="_Toc31712"/>
      <w:bookmarkStart w:id="102" w:name="_Toc6793"/>
      <w:bookmarkStart w:id="103" w:name="_Toc7266"/>
      <w:bookmarkStart w:id="104" w:name="_Toc31371"/>
      <w:bookmarkStart w:id="105" w:name="_Toc159596170"/>
      <w:bookmarkStart w:id="106" w:name="_Toc392692106"/>
      <w:bookmarkStart w:id="107" w:name="_Toc55581761"/>
      <w:bookmarkStart w:id="108" w:name="_Toc56444411"/>
      <w:r>
        <w:rPr>
          <w:rFonts w:hint="eastAsia"/>
          <w:color w:val="auto"/>
          <w:sz w:val="30"/>
          <w:szCs w:val="30"/>
        </w:rPr>
        <w:t>（三）安全、文明施工目标</w:t>
      </w:r>
      <w:bookmarkEnd w:id="98"/>
      <w:bookmarkEnd w:id="99"/>
      <w:bookmarkEnd w:id="100"/>
      <w:bookmarkEnd w:id="101"/>
      <w:bookmarkEnd w:id="102"/>
      <w:bookmarkEnd w:id="103"/>
      <w:bookmarkEnd w:id="104"/>
      <w:bookmarkEnd w:id="105"/>
      <w:bookmarkEnd w:id="106"/>
      <w:bookmarkEnd w:id="107"/>
      <w:bookmarkEnd w:id="108"/>
    </w:p>
    <w:p>
      <w:pPr>
        <w:topLinePunct/>
        <w:adjustRightInd w:val="0"/>
        <w:snapToGrid w:val="0"/>
        <w:spacing w:line="360" w:lineRule="auto"/>
        <w:ind w:firstLine="496" w:firstLineChars="200"/>
        <w:jc w:val="left"/>
        <w:rPr>
          <w:spacing w:val="4"/>
          <w:kern w:val="0"/>
          <w:sz w:val="24"/>
          <w:szCs w:val="24"/>
        </w:rPr>
      </w:pPr>
      <w:r>
        <w:rPr>
          <w:rFonts w:hint="eastAsia"/>
          <w:spacing w:val="4"/>
          <w:kern w:val="0"/>
          <w:sz w:val="24"/>
          <w:szCs w:val="24"/>
        </w:rPr>
        <w:t>杜绝一般等级以上的伤亡事故且工伤责任事故人数为零。</w:t>
      </w:r>
    </w:p>
    <w:p>
      <w:pPr>
        <w:pStyle w:val="7"/>
        <w:adjustRightInd w:val="0"/>
        <w:snapToGrid w:val="0"/>
        <w:spacing w:line="360" w:lineRule="auto"/>
        <w:rPr>
          <w:color w:val="auto"/>
          <w:sz w:val="30"/>
          <w:szCs w:val="30"/>
        </w:rPr>
      </w:pPr>
      <w:bookmarkStart w:id="109" w:name="_Toc8655"/>
      <w:bookmarkStart w:id="110" w:name="_Toc16665"/>
      <w:bookmarkStart w:id="111" w:name="_Toc15689"/>
      <w:bookmarkStart w:id="112" w:name="_Toc12239"/>
      <w:bookmarkStart w:id="113" w:name="_Toc32632"/>
      <w:bookmarkStart w:id="114" w:name="_Toc159596171"/>
      <w:bookmarkStart w:id="115" w:name="_Toc23779"/>
      <w:bookmarkStart w:id="116" w:name="_Toc55581762"/>
      <w:bookmarkStart w:id="117" w:name="_Toc56444412"/>
      <w:r>
        <w:rPr>
          <w:rFonts w:hint="eastAsia"/>
          <w:color w:val="auto"/>
          <w:sz w:val="30"/>
          <w:szCs w:val="30"/>
        </w:rPr>
        <w:t>（四）投资目标</w:t>
      </w:r>
      <w:bookmarkEnd w:id="109"/>
      <w:bookmarkEnd w:id="110"/>
      <w:bookmarkEnd w:id="111"/>
      <w:bookmarkEnd w:id="112"/>
      <w:bookmarkEnd w:id="113"/>
      <w:bookmarkEnd w:id="114"/>
      <w:bookmarkEnd w:id="115"/>
      <w:bookmarkEnd w:id="116"/>
      <w:bookmarkEnd w:id="117"/>
    </w:p>
    <w:p>
      <w:pPr>
        <w:pStyle w:val="21"/>
        <w:ind w:firstLine="496"/>
        <w:rPr>
          <w:rFonts w:ascii="宋体" w:hAnsi="宋体"/>
        </w:rPr>
      </w:pPr>
      <w:r>
        <w:rPr>
          <w:rFonts w:hint="eastAsia" w:ascii="宋体" w:hAnsi="宋体" w:cs="宋体"/>
        </w:rPr>
        <w:t>1、</w:t>
      </w:r>
      <w:r>
        <w:rPr>
          <w:rFonts w:hint="eastAsia" w:ascii="宋体" w:hAnsi="宋体"/>
        </w:rPr>
        <w:t>承包人须在中标后60日历天内根据施工图纸编制施工图预算，提出施工图预算工程量与招标清单工程量之间的差异，并报监理单位和发包人审核备案，但不得因此而影响工程进度。</w:t>
      </w:r>
    </w:p>
    <w:p>
      <w:pPr>
        <w:adjustRightInd w:val="0"/>
        <w:snapToGrid w:val="0"/>
        <w:spacing w:line="360" w:lineRule="auto"/>
        <w:ind w:firstLine="480" w:firstLineChars="200"/>
        <w:rPr>
          <w:rFonts w:ascii="宋体" w:hAnsi="宋体"/>
          <w:sz w:val="24"/>
        </w:rPr>
      </w:pPr>
      <w:r>
        <w:rPr>
          <w:rFonts w:hint="eastAsia" w:ascii="宋体" w:hAnsi="宋体"/>
          <w:sz w:val="24"/>
        </w:rPr>
        <w:t>2、承包人须协助发包人加强投资控制，每期申请进度款的计量计价应准确，进度款的申请应与主要材料设备采购计划相匹配，严禁虚报计量（承包人申报的进度款金额超出经监理人、发包人核实金额的10%，视为承包人虚报计量）或超前计量，否则严格按合同约定承担违约责任。</w:t>
      </w:r>
    </w:p>
    <w:p>
      <w:pPr>
        <w:adjustRightInd w:val="0"/>
        <w:snapToGrid w:val="0"/>
        <w:spacing w:line="360" w:lineRule="auto"/>
        <w:ind w:firstLine="480" w:firstLineChars="200"/>
        <w:rPr>
          <w:rFonts w:ascii="宋体" w:hAnsi="宋体"/>
          <w:sz w:val="24"/>
        </w:rPr>
      </w:pPr>
      <w:r>
        <w:rPr>
          <w:rFonts w:hint="eastAsia" w:ascii="宋体" w:hAnsi="宋体"/>
          <w:sz w:val="24"/>
        </w:rPr>
        <w:t>3、在施工过程中发生的工程变更、工程签证等引起合同价款调增事件后30天内，承包人未按合同约定办理变更工程预算审批的，则发包人有权根据实际情况决定是否调整合同价款以及调整的金额。</w:t>
      </w:r>
    </w:p>
    <w:p>
      <w:pPr>
        <w:adjustRightInd w:val="0"/>
        <w:snapToGrid w:val="0"/>
        <w:spacing w:line="360" w:lineRule="auto"/>
        <w:ind w:firstLine="480" w:firstLineChars="200"/>
        <w:rPr>
          <w:rFonts w:ascii="宋体" w:hAnsi="宋体" w:cs="宋体"/>
          <w:kern w:val="0"/>
          <w:sz w:val="24"/>
        </w:rPr>
      </w:pPr>
      <w:r>
        <w:rPr>
          <w:rFonts w:hint="eastAsia" w:ascii="宋体" w:hAnsi="宋体" w:cs="宋体"/>
          <w:kern w:val="0"/>
          <w:sz w:val="24"/>
        </w:rPr>
        <w:t>4、根据项目的实际情况，如承包人需另行租用场地用于临设之用，以及工人上下班所产生的交通费用，属于承包人自行考虑范畴，相关的费用投标时综合考虑，不再另行计量、支付。</w:t>
      </w:r>
    </w:p>
    <w:p>
      <w:pPr>
        <w:pStyle w:val="7"/>
        <w:adjustRightInd w:val="0"/>
        <w:snapToGrid w:val="0"/>
        <w:spacing w:line="360" w:lineRule="auto"/>
        <w:rPr>
          <w:color w:val="auto"/>
          <w:sz w:val="30"/>
          <w:szCs w:val="30"/>
        </w:rPr>
      </w:pPr>
      <w:bookmarkStart w:id="118" w:name="_Toc6903"/>
      <w:bookmarkStart w:id="119" w:name="_Toc28731"/>
      <w:bookmarkStart w:id="120" w:name="_Toc8322"/>
      <w:bookmarkStart w:id="121" w:name="_Toc15637"/>
      <w:bookmarkStart w:id="122" w:name="_Toc159596172"/>
      <w:bookmarkStart w:id="123" w:name="_Toc16404"/>
      <w:bookmarkStart w:id="124" w:name="_Toc12386"/>
      <w:r>
        <w:rPr>
          <w:rFonts w:hint="eastAsia"/>
          <w:color w:val="auto"/>
          <w:sz w:val="30"/>
          <w:szCs w:val="30"/>
        </w:rPr>
        <w:t>（五）工程创优目标</w:t>
      </w:r>
      <w:bookmarkEnd w:id="118"/>
      <w:bookmarkEnd w:id="119"/>
      <w:bookmarkEnd w:id="120"/>
      <w:bookmarkEnd w:id="121"/>
      <w:bookmarkEnd w:id="122"/>
      <w:bookmarkEnd w:id="123"/>
      <w:bookmarkEnd w:id="124"/>
    </w:p>
    <w:p>
      <w:pPr>
        <w:adjustRightInd w:val="0"/>
        <w:snapToGrid w:val="0"/>
        <w:spacing w:line="360" w:lineRule="auto"/>
        <w:ind w:firstLine="480" w:firstLineChars="200"/>
        <w:rPr>
          <w:rFonts w:ascii="宋体" w:hAnsi="宋体" w:cs="宋体"/>
          <w:kern w:val="0"/>
          <w:sz w:val="24"/>
        </w:rPr>
      </w:pPr>
      <w:r>
        <w:rPr>
          <w:rFonts w:hint="eastAsia" w:ascii="宋体" w:hAnsi="宋体" w:cs="宋体"/>
          <w:kern w:val="0"/>
          <w:sz w:val="24"/>
        </w:rPr>
        <w:t>1、获得“广东省优秀建筑装饰工程奖”，</w:t>
      </w:r>
      <w:r>
        <w:rPr>
          <w:rFonts w:ascii="宋体" w:hAnsi="宋体" w:cs="宋体"/>
          <w:kern w:val="0"/>
          <w:sz w:val="24"/>
        </w:rPr>
        <w:t>获得</w:t>
      </w:r>
      <w:r>
        <w:rPr>
          <w:rFonts w:hint="eastAsia" w:ascii="宋体" w:hAnsi="宋体" w:cs="宋体"/>
          <w:kern w:val="0"/>
          <w:sz w:val="24"/>
        </w:rPr>
        <w:t>“中国建筑工程装饰奖”；</w:t>
      </w:r>
    </w:p>
    <w:p>
      <w:pPr>
        <w:adjustRightInd w:val="0"/>
        <w:snapToGrid w:val="0"/>
        <w:spacing w:line="360" w:lineRule="auto"/>
        <w:rPr>
          <w:rFonts w:ascii="宋体" w:hAnsi="宋体" w:cs="宋体"/>
          <w:kern w:val="0"/>
          <w:sz w:val="24"/>
        </w:rPr>
      </w:pPr>
      <w:r>
        <w:rPr>
          <w:rFonts w:hint="eastAsia" w:ascii="宋体" w:hAnsi="宋体" w:cs="宋体"/>
          <w:kern w:val="0"/>
          <w:sz w:val="24"/>
        </w:rPr>
        <w:t xml:space="preserve">    2、获得广东省土木建筑学会科技进步一等奖和广东省土木工程“詹天佑故乡杯”。</w:t>
      </w:r>
    </w:p>
    <w:p>
      <w:pPr>
        <w:adjustRightInd w:val="0"/>
        <w:snapToGrid w:val="0"/>
        <w:spacing w:line="360" w:lineRule="auto"/>
        <w:rPr>
          <w:rFonts w:ascii="宋体" w:hAnsi="宋体" w:cs="宋体"/>
          <w:kern w:val="0"/>
          <w:sz w:val="24"/>
        </w:rPr>
      </w:pPr>
      <w:bookmarkStart w:id="510" w:name="_GoBack"/>
      <w:bookmarkEnd w:id="510"/>
    </w:p>
    <w:p>
      <w:pPr>
        <w:pStyle w:val="3"/>
        <w:adjustRightInd w:val="0"/>
        <w:snapToGrid w:val="0"/>
        <w:rPr>
          <w:sz w:val="32"/>
          <w:szCs w:val="32"/>
        </w:rPr>
      </w:pPr>
      <w:bookmarkStart w:id="125" w:name="_Toc48828310"/>
      <w:bookmarkStart w:id="126" w:name="_Toc48838774"/>
      <w:bookmarkStart w:id="127" w:name="_Toc48828374"/>
      <w:bookmarkStart w:id="128" w:name="_Toc48828402"/>
      <w:bookmarkStart w:id="129" w:name="_Toc18246"/>
      <w:bookmarkStart w:id="130" w:name="_Toc516265994"/>
      <w:bookmarkStart w:id="131" w:name="_Toc55581763"/>
      <w:bookmarkStart w:id="132" w:name="_Toc56444413"/>
      <w:bookmarkStart w:id="133" w:name="_Toc22154"/>
      <w:bookmarkStart w:id="134" w:name="_Toc26596"/>
      <w:bookmarkStart w:id="135" w:name="_Toc159596173"/>
      <w:bookmarkStart w:id="136" w:name="_Toc31334"/>
      <w:bookmarkStart w:id="137" w:name="_Toc25007"/>
      <w:bookmarkStart w:id="138" w:name="_Toc25875"/>
      <w:r>
        <w:rPr>
          <w:rFonts w:hint="eastAsia"/>
          <w:sz w:val="32"/>
          <w:szCs w:val="32"/>
        </w:rPr>
        <w:t>三、项目管理重点、难点及</w:t>
      </w:r>
      <w:bookmarkEnd w:id="125"/>
      <w:bookmarkEnd w:id="126"/>
      <w:bookmarkEnd w:id="127"/>
      <w:bookmarkEnd w:id="128"/>
      <w:bookmarkEnd w:id="129"/>
      <w:bookmarkEnd w:id="130"/>
      <w:bookmarkEnd w:id="131"/>
      <w:bookmarkEnd w:id="132"/>
      <w:r>
        <w:rPr>
          <w:rFonts w:hint="eastAsia"/>
          <w:sz w:val="32"/>
          <w:szCs w:val="32"/>
        </w:rPr>
        <w:t>分析</w:t>
      </w:r>
      <w:bookmarkEnd w:id="133"/>
      <w:bookmarkEnd w:id="134"/>
      <w:bookmarkEnd w:id="135"/>
      <w:bookmarkEnd w:id="136"/>
      <w:bookmarkEnd w:id="137"/>
      <w:bookmarkEnd w:id="138"/>
    </w:p>
    <w:p>
      <w:pPr>
        <w:pStyle w:val="7"/>
        <w:adjustRightInd w:val="0"/>
        <w:snapToGrid w:val="0"/>
        <w:spacing w:line="360" w:lineRule="auto"/>
        <w:rPr>
          <w:color w:val="auto"/>
          <w:sz w:val="30"/>
          <w:szCs w:val="30"/>
        </w:rPr>
      </w:pPr>
      <w:bookmarkStart w:id="139" w:name="_Toc48828375"/>
      <w:bookmarkStart w:id="140" w:name="_Toc516265995"/>
      <w:bookmarkStart w:id="141" w:name="_Toc48828311"/>
      <w:bookmarkStart w:id="142" w:name="_Toc55581764"/>
      <w:bookmarkStart w:id="143" w:name="_Toc48828403"/>
      <w:bookmarkStart w:id="144" w:name="_Toc14902"/>
      <w:bookmarkStart w:id="145" w:name="_Toc56444414"/>
      <w:bookmarkStart w:id="146" w:name="_Toc28948"/>
      <w:bookmarkStart w:id="147" w:name="_Toc48838775"/>
      <w:bookmarkStart w:id="148" w:name="_Toc12708"/>
      <w:bookmarkStart w:id="149" w:name="_Toc6994"/>
      <w:bookmarkStart w:id="150" w:name="_Toc13375"/>
      <w:bookmarkStart w:id="151" w:name="_Toc3227"/>
      <w:bookmarkStart w:id="152" w:name="_Toc20969"/>
      <w:bookmarkStart w:id="153" w:name="_Toc159596174"/>
      <w:r>
        <w:rPr>
          <w:rFonts w:hint="eastAsia"/>
          <w:color w:val="auto"/>
          <w:sz w:val="30"/>
          <w:szCs w:val="30"/>
        </w:rPr>
        <w:t>（一）项目管理</w:t>
      </w:r>
      <w:bookmarkEnd w:id="139"/>
      <w:bookmarkEnd w:id="140"/>
      <w:bookmarkEnd w:id="141"/>
      <w:bookmarkEnd w:id="142"/>
      <w:bookmarkEnd w:id="143"/>
      <w:bookmarkEnd w:id="144"/>
      <w:bookmarkEnd w:id="145"/>
      <w:bookmarkEnd w:id="146"/>
      <w:bookmarkEnd w:id="147"/>
      <w:r>
        <w:rPr>
          <w:rFonts w:hint="eastAsia"/>
          <w:color w:val="auto"/>
          <w:sz w:val="30"/>
          <w:szCs w:val="30"/>
        </w:rPr>
        <w:t>重点</w:t>
      </w:r>
      <w:bookmarkEnd w:id="148"/>
      <w:bookmarkEnd w:id="149"/>
      <w:bookmarkEnd w:id="150"/>
      <w:bookmarkEnd w:id="151"/>
      <w:bookmarkEnd w:id="152"/>
      <w:bookmarkEnd w:id="153"/>
    </w:p>
    <w:p>
      <w:pPr>
        <w:adjustRightInd w:val="0"/>
        <w:snapToGrid w:val="0"/>
        <w:spacing w:line="360" w:lineRule="auto"/>
        <w:rPr>
          <w:rFonts w:ascii="宋体" w:hAnsi="宋体"/>
          <w:sz w:val="24"/>
          <w:szCs w:val="24"/>
        </w:rPr>
      </w:pPr>
      <w:r>
        <w:rPr>
          <w:rFonts w:hint="eastAsia" w:ascii="宋体" w:hAnsi="宋体"/>
          <w:sz w:val="24"/>
          <w:szCs w:val="24"/>
        </w:rPr>
        <w:t>1、质量控制重点</w:t>
      </w:r>
    </w:p>
    <w:p>
      <w:pPr>
        <w:adjustRightInd w:val="0"/>
        <w:snapToGrid w:val="0"/>
        <w:spacing w:line="360" w:lineRule="auto"/>
        <w:ind w:firstLine="360" w:firstLineChars="150"/>
        <w:rPr>
          <w:rFonts w:ascii="宋体" w:hAnsi="宋体"/>
          <w:sz w:val="24"/>
          <w:szCs w:val="24"/>
        </w:rPr>
      </w:pPr>
      <w:r>
        <w:rPr>
          <w:rFonts w:hint="eastAsia" w:ascii="宋体" w:hAnsi="宋体"/>
          <w:sz w:val="24"/>
          <w:szCs w:val="24"/>
        </w:rPr>
        <w:t>（1）开幕式设施和体育工艺施工质量是管理的重点；</w:t>
      </w:r>
    </w:p>
    <w:p>
      <w:pPr>
        <w:adjustRightInd w:val="0"/>
        <w:snapToGrid w:val="0"/>
        <w:spacing w:line="360" w:lineRule="auto"/>
        <w:ind w:firstLine="360" w:firstLineChars="150"/>
        <w:rPr>
          <w:rFonts w:ascii="宋体" w:hAnsi="宋体"/>
          <w:sz w:val="24"/>
          <w:szCs w:val="24"/>
        </w:rPr>
      </w:pPr>
      <w:r>
        <w:rPr>
          <w:rFonts w:hint="eastAsia" w:ascii="宋体" w:hAnsi="宋体"/>
          <w:sz w:val="24"/>
          <w:szCs w:val="24"/>
        </w:rPr>
        <w:t>（2）赛事专项工程施工质量是管理的重点；</w:t>
      </w:r>
    </w:p>
    <w:p>
      <w:pPr>
        <w:adjustRightInd w:val="0"/>
        <w:snapToGrid w:val="0"/>
        <w:spacing w:line="360" w:lineRule="auto"/>
        <w:ind w:firstLine="360" w:firstLineChars="150"/>
        <w:rPr>
          <w:rFonts w:ascii="宋体" w:hAnsi="宋体"/>
          <w:sz w:val="24"/>
          <w:szCs w:val="24"/>
        </w:rPr>
      </w:pPr>
      <w:r>
        <w:rPr>
          <w:rFonts w:hint="eastAsia" w:ascii="宋体" w:hAnsi="宋体"/>
          <w:sz w:val="24"/>
          <w:szCs w:val="24"/>
        </w:rPr>
        <w:t>（3）材料品牌的选用是管理的重点。</w:t>
      </w:r>
    </w:p>
    <w:p>
      <w:pPr>
        <w:adjustRightInd w:val="0"/>
        <w:snapToGrid w:val="0"/>
        <w:spacing w:line="360" w:lineRule="auto"/>
        <w:rPr>
          <w:rFonts w:ascii="宋体" w:hAnsi="宋体"/>
          <w:sz w:val="24"/>
          <w:szCs w:val="24"/>
        </w:rPr>
      </w:pPr>
      <w:r>
        <w:rPr>
          <w:rFonts w:hint="eastAsia" w:ascii="宋体" w:hAnsi="宋体"/>
          <w:sz w:val="24"/>
          <w:szCs w:val="24"/>
        </w:rPr>
        <w:t>2、安全文明施工重点</w:t>
      </w:r>
    </w:p>
    <w:p>
      <w:pPr>
        <w:adjustRightInd w:val="0"/>
        <w:snapToGrid w:val="0"/>
        <w:spacing w:line="360" w:lineRule="auto"/>
        <w:ind w:firstLine="360" w:firstLineChars="150"/>
        <w:rPr>
          <w:rFonts w:ascii="宋体" w:hAnsi="宋体"/>
          <w:sz w:val="24"/>
          <w:szCs w:val="24"/>
        </w:rPr>
      </w:pPr>
      <w:r>
        <w:rPr>
          <w:rFonts w:hint="eastAsia" w:ascii="宋体" w:hAnsi="宋体"/>
          <w:sz w:val="24"/>
          <w:szCs w:val="24"/>
        </w:rPr>
        <w:t>（1）组织施工队伍有序施工，保持良好的施工作业环境，提高施工人员的整体形象，是管理的重点。</w:t>
      </w:r>
    </w:p>
    <w:p>
      <w:pPr>
        <w:adjustRightInd w:val="0"/>
        <w:snapToGrid w:val="0"/>
        <w:spacing w:line="360" w:lineRule="auto"/>
        <w:ind w:firstLine="360" w:firstLineChars="150"/>
        <w:rPr>
          <w:rFonts w:ascii="宋体" w:hAnsi="宋体"/>
          <w:sz w:val="24"/>
          <w:szCs w:val="24"/>
        </w:rPr>
      </w:pPr>
      <w:r>
        <w:rPr>
          <w:rFonts w:hint="eastAsia" w:ascii="宋体" w:hAnsi="宋体"/>
          <w:sz w:val="24"/>
          <w:szCs w:val="24"/>
        </w:rPr>
        <w:t>（2）项目作业面广且多，高处作业、吊装作业等危大工程多，如何确保施工标准化、作业规范化，是施工管理的重点。</w:t>
      </w:r>
    </w:p>
    <w:p>
      <w:pPr>
        <w:adjustRightInd w:val="0"/>
        <w:snapToGrid w:val="0"/>
        <w:spacing w:line="360" w:lineRule="auto"/>
        <w:ind w:firstLine="360" w:firstLineChars="150"/>
        <w:rPr>
          <w:rFonts w:ascii="宋体" w:hAnsi="宋体"/>
          <w:sz w:val="24"/>
          <w:szCs w:val="24"/>
        </w:rPr>
      </w:pPr>
      <w:r>
        <w:rPr>
          <w:rFonts w:hint="eastAsia" w:ascii="宋体" w:hAnsi="宋体"/>
          <w:sz w:val="24"/>
          <w:szCs w:val="24"/>
        </w:rPr>
        <w:t>（3）确保对周边环境的保护，减少噪音、扬尘，是施工管理的重点。</w:t>
      </w:r>
    </w:p>
    <w:p>
      <w:pPr>
        <w:adjustRightInd w:val="0"/>
        <w:snapToGrid w:val="0"/>
        <w:spacing w:line="360" w:lineRule="auto"/>
        <w:rPr>
          <w:rFonts w:ascii="宋体" w:hAnsi="宋体"/>
          <w:sz w:val="24"/>
          <w:szCs w:val="24"/>
        </w:rPr>
      </w:pPr>
      <w:r>
        <w:rPr>
          <w:rFonts w:hint="eastAsia" w:ascii="宋体" w:hAnsi="宋体"/>
          <w:sz w:val="24"/>
          <w:szCs w:val="24"/>
        </w:rPr>
        <w:t>3、协调管理的重点</w:t>
      </w:r>
    </w:p>
    <w:p>
      <w:pPr>
        <w:adjustRightInd w:val="0"/>
        <w:snapToGrid w:val="0"/>
        <w:spacing w:line="360" w:lineRule="auto"/>
        <w:ind w:firstLine="360" w:firstLineChars="150"/>
        <w:rPr>
          <w:rFonts w:ascii="宋体" w:hAnsi="宋体"/>
          <w:sz w:val="24"/>
          <w:szCs w:val="24"/>
        </w:rPr>
      </w:pPr>
      <w:r>
        <w:rPr>
          <w:rFonts w:hint="eastAsia" w:ascii="宋体" w:hAnsi="宋体"/>
          <w:sz w:val="24"/>
          <w:szCs w:val="24"/>
        </w:rPr>
        <w:t>（1）做好与省体育局、场馆中心的沟通协调工作如：固定资产的处置等，是协调管理重点；</w:t>
      </w:r>
    </w:p>
    <w:p>
      <w:pPr>
        <w:adjustRightInd w:val="0"/>
        <w:snapToGrid w:val="0"/>
        <w:spacing w:line="360" w:lineRule="auto"/>
        <w:ind w:firstLine="360" w:firstLineChars="150"/>
        <w:rPr>
          <w:rFonts w:ascii="宋体" w:hAnsi="宋体"/>
          <w:sz w:val="24"/>
          <w:szCs w:val="24"/>
        </w:rPr>
      </w:pPr>
      <w:r>
        <w:rPr>
          <w:rFonts w:hint="eastAsia" w:ascii="宋体" w:hAnsi="宋体"/>
          <w:sz w:val="24"/>
          <w:szCs w:val="24"/>
        </w:rPr>
        <w:t>（2）施工许可的办理方式是协调管理重点；</w:t>
      </w:r>
    </w:p>
    <w:p>
      <w:pPr>
        <w:adjustRightInd w:val="0"/>
        <w:snapToGrid w:val="0"/>
        <w:spacing w:line="360" w:lineRule="auto"/>
        <w:ind w:firstLine="360" w:firstLineChars="150"/>
        <w:rPr>
          <w:rFonts w:ascii="宋体" w:hAnsi="宋体"/>
          <w:sz w:val="24"/>
          <w:szCs w:val="24"/>
        </w:rPr>
      </w:pPr>
      <w:r>
        <w:rPr>
          <w:rFonts w:hint="eastAsia" w:ascii="宋体" w:hAnsi="宋体"/>
          <w:sz w:val="24"/>
          <w:szCs w:val="24"/>
        </w:rPr>
        <w:t>（3）控制好施工所带来的舆情，快速处理、控制好舆情投诉，是协调工作的重点。</w:t>
      </w:r>
    </w:p>
    <w:p>
      <w:pPr>
        <w:adjustRightInd w:val="0"/>
        <w:snapToGrid w:val="0"/>
        <w:spacing w:line="360" w:lineRule="auto"/>
        <w:rPr>
          <w:rFonts w:ascii="宋体" w:hAnsi="宋体"/>
          <w:sz w:val="24"/>
          <w:szCs w:val="24"/>
        </w:rPr>
      </w:pPr>
      <w:r>
        <w:rPr>
          <w:rFonts w:hint="eastAsia" w:ascii="宋体" w:hAnsi="宋体"/>
          <w:sz w:val="24"/>
          <w:szCs w:val="24"/>
        </w:rPr>
        <w:t>4、计划管理重点</w:t>
      </w:r>
    </w:p>
    <w:p>
      <w:pPr>
        <w:adjustRightInd w:val="0"/>
        <w:snapToGrid w:val="0"/>
        <w:spacing w:line="360" w:lineRule="auto"/>
        <w:ind w:firstLine="360" w:firstLineChars="150"/>
        <w:rPr>
          <w:rFonts w:ascii="宋体" w:hAnsi="宋体"/>
          <w:sz w:val="24"/>
          <w:szCs w:val="24"/>
        </w:rPr>
      </w:pPr>
      <w:r>
        <w:rPr>
          <w:rFonts w:hint="eastAsia" w:ascii="宋体" w:hAnsi="宋体"/>
          <w:sz w:val="24"/>
          <w:szCs w:val="24"/>
        </w:rPr>
        <w:t>（1）根据项目实施进展，控制设计阶段性出图（确保设计准确性）是计划管理重点；</w:t>
      </w:r>
    </w:p>
    <w:p>
      <w:pPr>
        <w:adjustRightInd w:val="0"/>
        <w:snapToGrid w:val="0"/>
        <w:spacing w:line="360" w:lineRule="auto"/>
        <w:ind w:firstLine="360" w:firstLineChars="150"/>
        <w:rPr>
          <w:rFonts w:ascii="宋体" w:hAnsi="宋体"/>
          <w:sz w:val="24"/>
          <w:szCs w:val="24"/>
        </w:rPr>
      </w:pPr>
      <w:r>
        <w:rPr>
          <w:rFonts w:hint="eastAsia" w:ascii="宋体" w:hAnsi="宋体"/>
          <w:sz w:val="24"/>
          <w:szCs w:val="24"/>
        </w:rPr>
        <w:t>（2）结合工期分析，合理排布施工关键节点（里程碑节点）是计划管理的重点；</w:t>
      </w:r>
    </w:p>
    <w:p>
      <w:pPr>
        <w:adjustRightInd w:val="0"/>
        <w:snapToGrid w:val="0"/>
        <w:spacing w:line="360" w:lineRule="auto"/>
        <w:ind w:firstLine="360" w:firstLineChars="150"/>
        <w:rPr>
          <w:rFonts w:ascii="宋体" w:hAnsi="宋体"/>
          <w:sz w:val="24"/>
          <w:szCs w:val="24"/>
        </w:rPr>
      </w:pPr>
      <w:r>
        <w:rPr>
          <w:rFonts w:hint="eastAsia" w:ascii="宋体" w:hAnsi="宋体"/>
          <w:sz w:val="24"/>
          <w:szCs w:val="24"/>
        </w:rPr>
        <w:t>（3）依据各类验收的顺序安排，针对性做出各项验收工作策划是计划管理重点；</w:t>
      </w:r>
    </w:p>
    <w:p>
      <w:pPr>
        <w:adjustRightInd w:val="0"/>
        <w:snapToGrid w:val="0"/>
        <w:spacing w:line="360" w:lineRule="auto"/>
        <w:rPr>
          <w:rFonts w:ascii="宋体" w:hAnsi="宋体"/>
          <w:sz w:val="24"/>
          <w:szCs w:val="24"/>
        </w:rPr>
      </w:pPr>
      <w:r>
        <w:rPr>
          <w:rFonts w:hint="eastAsia" w:ascii="宋体" w:hAnsi="宋体"/>
          <w:sz w:val="24"/>
          <w:szCs w:val="24"/>
        </w:rPr>
        <w:t>5、进度管理重点</w:t>
      </w:r>
    </w:p>
    <w:p>
      <w:pPr>
        <w:adjustRightInd w:val="0"/>
        <w:snapToGrid w:val="0"/>
        <w:spacing w:line="360" w:lineRule="auto"/>
        <w:ind w:firstLine="360" w:firstLineChars="150"/>
        <w:rPr>
          <w:rFonts w:ascii="宋体" w:hAnsi="宋体"/>
          <w:sz w:val="24"/>
          <w:szCs w:val="24"/>
        </w:rPr>
      </w:pPr>
      <w:r>
        <w:rPr>
          <w:rFonts w:hint="eastAsia" w:ascii="宋体" w:hAnsi="宋体"/>
          <w:sz w:val="24"/>
          <w:szCs w:val="24"/>
        </w:rPr>
        <w:t>（1）组织做好材料看样定板工作，是保证进度推进的重点。</w:t>
      </w:r>
    </w:p>
    <w:p>
      <w:pPr>
        <w:adjustRightInd w:val="0"/>
        <w:snapToGrid w:val="0"/>
        <w:spacing w:line="360" w:lineRule="auto"/>
        <w:ind w:firstLine="360" w:firstLineChars="150"/>
        <w:rPr>
          <w:rFonts w:ascii="宋体" w:hAnsi="宋体"/>
          <w:sz w:val="24"/>
          <w:szCs w:val="24"/>
        </w:rPr>
      </w:pPr>
      <w:r>
        <w:rPr>
          <w:rFonts w:hint="eastAsia" w:ascii="宋体" w:hAnsi="宋体"/>
          <w:sz w:val="24"/>
          <w:szCs w:val="24"/>
        </w:rPr>
        <w:t>（2）组织做好材料供应商比选，材料排产及进场的过程监督，是进度控制的重点。</w:t>
      </w:r>
    </w:p>
    <w:p>
      <w:pPr>
        <w:adjustRightInd w:val="0"/>
        <w:snapToGrid w:val="0"/>
        <w:spacing w:line="360" w:lineRule="auto"/>
        <w:ind w:firstLine="360" w:firstLineChars="150"/>
        <w:rPr>
          <w:rFonts w:ascii="宋体" w:hAnsi="宋体"/>
          <w:bCs/>
          <w:sz w:val="24"/>
          <w:szCs w:val="24"/>
        </w:rPr>
      </w:pPr>
      <w:r>
        <w:rPr>
          <w:rFonts w:hint="eastAsia" w:ascii="宋体" w:hAnsi="宋体"/>
          <w:sz w:val="24"/>
          <w:szCs w:val="24"/>
        </w:rPr>
        <w:t>（3）按计划落实及考核关键节点，及时进行进度纠偏，是进度控制的重点。</w:t>
      </w:r>
    </w:p>
    <w:p>
      <w:pPr>
        <w:keepNext/>
        <w:keepLines/>
        <w:adjustRightInd w:val="0"/>
        <w:snapToGrid w:val="0"/>
        <w:spacing w:before="260" w:after="260" w:line="360" w:lineRule="auto"/>
        <w:jc w:val="center"/>
        <w:outlineLvl w:val="1"/>
        <w:rPr>
          <w:snapToGrid w:val="0"/>
          <w:spacing w:val="4"/>
          <w:kern w:val="0"/>
          <w:sz w:val="24"/>
          <w:szCs w:val="24"/>
        </w:rPr>
      </w:pPr>
      <w:bookmarkStart w:id="154" w:name="_Toc49347725"/>
      <w:bookmarkStart w:id="155" w:name="_Toc55581765"/>
      <w:bookmarkStart w:id="156" w:name="_Toc56444415"/>
      <w:bookmarkStart w:id="157" w:name="_Toc9770"/>
      <w:bookmarkStart w:id="158" w:name="_Toc25426"/>
      <w:bookmarkStart w:id="159" w:name="_Toc23884"/>
      <w:bookmarkStart w:id="160" w:name="_Toc159596175"/>
      <w:bookmarkStart w:id="161" w:name="_Toc10318"/>
      <w:bookmarkStart w:id="162" w:name="_Toc31128"/>
      <w:bookmarkStart w:id="163" w:name="_Toc8972"/>
      <w:r>
        <w:rPr>
          <w:rFonts w:hint="eastAsia" w:ascii="Arial" w:hAnsi="Arial"/>
          <w:b/>
          <w:sz w:val="30"/>
          <w:szCs w:val="30"/>
        </w:rPr>
        <w:t>（二）项目管理</w:t>
      </w:r>
      <w:bookmarkEnd w:id="154"/>
      <w:bookmarkEnd w:id="155"/>
      <w:bookmarkEnd w:id="156"/>
      <w:bookmarkEnd w:id="157"/>
      <w:r>
        <w:rPr>
          <w:rFonts w:hint="eastAsia" w:ascii="Arial" w:hAnsi="Arial"/>
          <w:b/>
          <w:sz w:val="30"/>
          <w:szCs w:val="30"/>
        </w:rPr>
        <w:t>难点</w:t>
      </w:r>
      <w:bookmarkEnd w:id="158"/>
      <w:bookmarkEnd w:id="159"/>
      <w:bookmarkEnd w:id="160"/>
      <w:bookmarkEnd w:id="161"/>
      <w:bookmarkEnd w:id="162"/>
      <w:bookmarkEnd w:id="163"/>
    </w:p>
    <w:p>
      <w:pPr>
        <w:topLinePunct/>
        <w:adjustRightInd w:val="0"/>
        <w:snapToGrid w:val="0"/>
        <w:spacing w:line="360" w:lineRule="auto"/>
        <w:jc w:val="left"/>
        <w:rPr>
          <w:snapToGrid w:val="0"/>
          <w:spacing w:val="4"/>
          <w:kern w:val="0"/>
          <w:sz w:val="24"/>
          <w:szCs w:val="24"/>
        </w:rPr>
      </w:pPr>
      <w:r>
        <w:rPr>
          <w:rFonts w:hint="eastAsia"/>
          <w:snapToGrid w:val="0"/>
          <w:spacing w:val="4"/>
          <w:kern w:val="0"/>
          <w:sz w:val="24"/>
          <w:szCs w:val="24"/>
        </w:rPr>
        <w:t>1、总平面布置难点</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（1）本项目场地大，围蔽范围广，场内外的交通组织及日常封闭管理是难点；</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（2）本项目拆除作业、吊装及高处作业多，对设备设施的选型及布置是管理难点；</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（3）本项目作业点多，临水临电的接驳方案的确定是难点；</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（4）本项目场地大范围广，材料、设备的临时存放管理，减少二次搬运是难点。</w:t>
      </w:r>
    </w:p>
    <w:p>
      <w:pPr>
        <w:topLinePunct/>
        <w:adjustRightInd w:val="0"/>
        <w:snapToGrid w:val="0"/>
        <w:spacing w:line="360" w:lineRule="auto"/>
        <w:jc w:val="left"/>
        <w:rPr>
          <w:snapToGrid w:val="0"/>
          <w:spacing w:val="4"/>
          <w:kern w:val="0"/>
          <w:sz w:val="24"/>
          <w:szCs w:val="24"/>
        </w:rPr>
      </w:pPr>
      <w:r>
        <w:rPr>
          <w:rFonts w:hint="eastAsia"/>
          <w:snapToGrid w:val="0"/>
          <w:spacing w:val="4"/>
          <w:kern w:val="0"/>
          <w:sz w:val="24"/>
          <w:szCs w:val="24"/>
        </w:rPr>
        <w:t>2、金属屋面、幕墙及机电改造的难点</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（1）本项目金属屋面及幕墙改造存在较多高空作业，因此落实高空作业安全保护措施，是管理的难点；</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（2）本项目金属屋面及幕墙工程大多是异形结构，施工方式的选择与实施是管理难点。</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（3）旧的的机电系统不能满足最新赛事的要求、路由主线与现有设计及结构的冲突、工序繁杂，如何有效且高效的进行改造是难点。</w:t>
      </w:r>
    </w:p>
    <w:p>
      <w:pPr>
        <w:topLinePunct/>
        <w:adjustRightInd w:val="0"/>
        <w:snapToGrid w:val="0"/>
        <w:spacing w:line="360" w:lineRule="auto"/>
        <w:jc w:val="left"/>
        <w:rPr>
          <w:snapToGrid w:val="0"/>
          <w:spacing w:val="4"/>
          <w:kern w:val="0"/>
          <w:sz w:val="24"/>
          <w:szCs w:val="24"/>
        </w:rPr>
      </w:pPr>
      <w:r>
        <w:rPr>
          <w:rFonts w:hint="eastAsia"/>
          <w:snapToGrid w:val="0"/>
          <w:spacing w:val="4"/>
          <w:kern w:val="0"/>
          <w:sz w:val="24"/>
          <w:szCs w:val="24"/>
        </w:rPr>
        <w:t>3、进度控制的难点</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本项目时间紧、任务重，完工时间无法延迟，保证关键节点（里程碑节点）完成是进度管理的难点。</w:t>
      </w:r>
    </w:p>
    <w:p>
      <w:pPr>
        <w:topLinePunct/>
        <w:adjustRightInd w:val="0"/>
        <w:snapToGrid w:val="0"/>
        <w:spacing w:line="360" w:lineRule="auto"/>
        <w:jc w:val="left"/>
        <w:rPr>
          <w:snapToGrid w:val="0"/>
          <w:spacing w:val="4"/>
          <w:kern w:val="0"/>
          <w:sz w:val="24"/>
          <w:szCs w:val="24"/>
        </w:rPr>
      </w:pPr>
      <w:r>
        <w:rPr>
          <w:rFonts w:hint="eastAsia"/>
          <w:snapToGrid w:val="0"/>
          <w:spacing w:val="4"/>
          <w:kern w:val="0"/>
          <w:sz w:val="24"/>
          <w:szCs w:val="24"/>
        </w:rPr>
        <w:t>4、开幕式的衔接难点</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开幕式转播的衔接、领导安保的对接，需考虑的界面很多，如何有序且及时的开展保障工作是难点。</w:t>
      </w:r>
    </w:p>
    <w:p>
      <w:pPr>
        <w:topLinePunct/>
        <w:adjustRightInd w:val="0"/>
        <w:snapToGrid w:val="0"/>
        <w:spacing w:line="360" w:lineRule="auto"/>
        <w:jc w:val="left"/>
        <w:rPr>
          <w:snapToGrid w:val="0"/>
          <w:spacing w:val="4"/>
          <w:kern w:val="0"/>
          <w:sz w:val="24"/>
          <w:szCs w:val="24"/>
        </w:rPr>
      </w:pPr>
      <w:r>
        <w:rPr>
          <w:rFonts w:hint="eastAsia"/>
          <w:snapToGrid w:val="0"/>
          <w:spacing w:val="4"/>
          <w:kern w:val="0"/>
          <w:sz w:val="24"/>
          <w:szCs w:val="24"/>
        </w:rPr>
        <w:t>5、智慧场馆改造的难点</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（1）现有的系统均为早期建设，设备陈旧，技术落后，系统单一，如何集成到一个管理平台是难点；</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 xml:space="preserve">（2）智慧场馆各个新建管理系统与旧设备的对接如何实施是难点。  </w:t>
      </w:r>
    </w:p>
    <w:p>
      <w:pPr>
        <w:topLinePunct/>
        <w:adjustRightInd w:val="0"/>
        <w:snapToGrid w:val="0"/>
        <w:spacing w:line="360" w:lineRule="auto"/>
        <w:jc w:val="left"/>
        <w:rPr>
          <w:snapToGrid w:val="0"/>
          <w:spacing w:val="4"/>
          <w:kern w:val="0"/>
          <w:sz w:val="24"/>
          <w:szCs w:val="24"/>
        </w:rPr>
      </w:pPr>
      <w:r>
        <w:rPr>
          <w:rFonts w:hint="eastAsia"/>
          <w:snapToGrid w:val="0"/>
          <w:spacing w:val="4"/>
          <w:kern w:val="0"/>
          <w:sz w:val="24"/>
          <w:szCs w:val="24"/>
        </w:rPr>
        <w:t>6、投资控制的难点</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（1）对现有设施的摸查，有针对性的设计，是投资控制难点；</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（2）合理控制设计变更，减少工程签证，是投资控制的难点；</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（3）由于施工工期紧，施工投入巨大。因此计量支付设置是投资控制的难点。</w:t>
      </w:r>
    </w:p>
    <w:p>
      <w:pPr>
        <w:topLinePunct/>
        <w:adjustRightInd w:val="0"/>
        <w:snapToGrid w:val="0"/>
        <w:spacing w:line="360" w:lineRule="auto"/>
        <w:ind w:firstLine="496" w:firstLineChars="200"/>
        <w:jc w:val="left"/>
        <w:rPr>
          <w:snapToGrid w:val="0"/>
          <w:spacing w:val="4"/>
          <w:kern w:val="0"/>
          <w:sz w:val="24"/>
          <w:szCs w:val="24"/>
        </w:rPr>
      </w:pPr>
    </w:p>
    <w:p>
      <w:pPr>
        <w:pStyle w:val="3"/>
        <w:adjustRightInd w:val="0"/>
        <w:snapToGrid w:val="0"/>
        <w:rPr>
          <w:sz w:val="32"/>
          <w:szCs w:val="32"/>
        </w:rPr>
      </w:pPr>
      <w:bookmarkStart w:id="164" w:name="_Toc13825"/>
      <w:bookmarkStart w:id="165" w:name="_Toc11676"/>
      <w:bookmarkStart w:id="166" w:name="_Toc10967"/>
      <w:bookmarkStart w:id="167" w:name="_Toc22058"/>
      <w:bookmarkStart w:id="168" w:name="_Toc55581771"/>
      <w:bookmarkStart w:id="169" w:name="_Toc4519"/>
      <w:bookmarkStart w:id="170" w:name="_Toc56444421"/>
      <w:bookmarkStart w:id="171" w:name="_Toc159596176"/>
      <w:bookmarkStart w:id="172" w:name="_Toc13453"/>
      <w:r>
        <w:rPr>
          <w:rFonts w:hint="eastAsia"/>
          <w:sz w:val="32"/>
          <w:szCs w:val="32"/>
        </w:rPr>
        <w:t>四</w:t>
      </w:r>
      <w:r>
        <w:rPr>
          <w:sz w:val="32"/>
          <w:szCs w:val="32"/>
        </w:rPr>
        <w:t>、项目管理要求</w:t>
      </w:r>
      <w:bookmarkEnd w:id="164"/>
      <w:bookmarkEnd w:id="165"/>
      <w:bookmarkEnd w:id="166"/>
      <w:bookmarkEnd w:id="167"/>
      <w:bookmarkEnd w:id="168"/>
      <w:bookmarkEnd w:id="169"/>
      <w:bookmarkEnd w:id="170"/>
      <w:bookmarkEnd w:id="171"/>
      <w:bookmarkEnd w:id="172"/>
    </w:p>
    <w:p>
      <w:pPr>
        <w:pStyle w:val="7"/>
        <w:adjustRightInd w:val="0"/>
        <w:snapToGrid w:val="0"/>
        <w:spacing w:line="360" w:lineRule="auto"/>
        <w:rPr>
          <w:color w:val="auto"/>
          <w:sz w:val="30"/>
          <w:szCs w:val="30"/>
        </w:rPr>
      </w:pPr>
      <w:bookmarkStart w:id="173" w:name="_Toc14775"/>
      <w:bookmarkStart w:id="174" w:name="_Toc159596177"/>
      <w:bookmarkStart w:id="175" w:name="_Toc11293"/>
      <w:bookmarkStart w:id="176" w:name="_Toc4398"/>
      <w:bookmarkStart w:id="177" w:name="_Toc25147"/>
      <w:bookmarkStart w:id="178" w:name="_Toc18120"/>
      <w:bookmarkStart w:id="179" w:name="_Toc30623"/>
      <w:bookmarkStart w:id="180" w:name="_Toc55581772"/>
      <w:bookmarkStart w:id="181" w:name="_Toc56444422"/>
      <w:r>
        <w:rPr>
          <w:rFonts w:hint="eastAsia"/>
          <w:color w:val="auto"/>
          <w:sz w:val="30"/>
          <w:szCs w:val="30"/>
        </w:rPr>
        <w:t>（一）总平面布置</w:t>
      </w:r>
      <w:r>
        <w:rPr>
          <w:color w:val="auto"/>
          <w:sz w:val="30"/>
          <w:szCs w:val="30"/>
        </w:rPr>
        <w:t>要求</w:t>
      </w:r>
      <w:bookmarkEnd w:id="173"/>
      <w:bookmarkEnd w:id="174"/>
      <w:bookmarkEnd w:id="175"/>
      <w:bookmarkEnd w:id="176"/>
      <w:bookmarkEnd w:id="177"/>
      <w:bookmarkEnd w:id="178"/>
      <w:bookmarkEnd w:id="179"/>
    </w:p>
    <w:p>
      <w:pPr>
        <w:adjustRightInd w:val="0"/>
        <w:snapToGrid w:val="0"/>
        <w:spacing w:line="360" w:lineRule="auto"/>
        <w:ind w:firstLine="118"/>
      </w:pPr>
      <w:r>
        <w:rPr>
          <w:sz w:val="24"/>
          <w:szCs w:val="28"/>
        </w:rPr>
        <w:t>本项目总平面布置的围蔽等临设费用包含重复搭设费用。</w:t>
      </w:r>
    </w:p>
    <w:p>
      <w:pPr>
        <w:pStyle w:val="8"/>
        <w:adjustRightInd w:val="0"/>
        <w:snapToGrid w:val="0"/>
        <w:spacing w:line="360" w:lineRule="auto"/>
        <w:ind w:firstLine="118"/>
      </w:pPr>
      <w:r>
        <w:rPr>
          <w:rFonts w:hint="eastAsia"/>
        </w:rPr>
        <w:t>1、临建设施搭设要求</w:t>
      </w:r>
    </w:p>
    <w:p>
      <w:pPr>
        <w:spacing w:line="360" w:lineRule="auto"/>
        <w:rPr>
          <w:rFonts w:ascii="宋体" w:hAnsi="宋体"/>
          <w:sz w:val="24"/>
          <w:szCs w:val="24"/>
        </w:rPr>
      </w:pPr>
      <w:r>
        <w:drawing>
          <wp:inline distT="0" distB="0" distL="114300" distR="114300">
            <wp:extent cx="5400040" cy="3513455"/>
            <wp:effectExtent l="0" t="0" r="10160" b="6985"/>
            <wp:docPr id="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7"/>
                    <pic:cNvPicPr>
                      <a:picLocks noChangeAspect="1"/>
                    </pic:cNvPicPr>
                  </pic:nvPicPr>
                  <pic:blipFill>
                    <a:blip r:embed="rId12"/>
                    <a:stretch>
                      <a:fillRect/>
                    </a:stretch>
                  </pic:blipFill>
                  <pic:spPr>
                    <a:xfrm>
                      <a:off x="0" y="0"/>
                      <a:ext cx="5400040" cy="3513455"/>
                    </a:xfrm>
                    <a:prstGeom prst="rect">
                      <a:avLst/>
                    </a:prstGeom>
                    <a:noFill/>
                    <a:ln>
                      <a:noFill/>
                    </a:ln>
                  </pic:spPr>
                </pic:pic>
              </a:graphicData>
            </a:graphic>
          </wp:inline>
        </w:drawing>
      </w:r>
    </w:p>
    <w:p>
      <w:pPr>
        <w:spacing w:line="360" w:lineRule="auto"/>
        <w:ind w:firstLine="480" w:firstLineChars="200"/>
        <w:rPr>
          <w:rFonts w:ascii="宋体" w:hAnsi="宋体"/>
          <w:sz w:val="24"/>
          <w:szCs w:val="24"/>
        </w:rPr>
      </w:pPr>
      <w:r>
        <w:rPr>
          <w:rFonts w:hint="eastAsia" w:ascii="宋体" w:hAnsi="宋体"/>
          <w:sz w:val="24"/>
          <w:szCs w:val="24"/>
        </w:rPr>
        <w:t>根据体育中心现状，结合现场实际情况，临设区拟搭设于体育场、游泳跳水馆西侧及副场南侧区域。</w:t>
      </w:r>
    </w:p>
    <w:p>
      <w:pPr>
        <w:spacing w:line="360" w:lineRule="auto"/>
        <w:ind w:firstLine="480" w:firstLineChars="200"/>
        <w:rPr>
          <w:rFonts w:ascii="宋体" w:hAnsi="宋体"/>
          <w:sz w:val="24"/>
          <w:szCs w:val="24"/>
        </w:rPr>
      </w:pPr>
      <w:r>
        <w:rPr>
          <w:rFonts w:hint="eastAsia" w:ascii="宋体" w:hAnsi="宋体"/>
          <w:sz w:val="24"/>
          <w:szCs w:val="24"/>
        </w:rPr>
        <w:t>1.优势：此地块西临大观南路、南临奥体南路，背靠地铁临设板房，交通条件优越。场地空间宽裕，临水、临电拉设距离较短，排水、排污接驳较近，且属于项目非改造区域。因此要求总承包单位优先选择此处作为临设区域搭建。</w:t>
      </w:r>
    </w:p>
    <w:p>
      <w:pPr>
        <w:spacing w:line="360" w:lineRule="auto"/>
        <w:ind w:firstLine="480" w:firstLineChars="200"/>
        <w:rPr>
          <w:rFonts w:ascii="宋体" w:hAnsi="宋体"/>
          <w:sz w:val="24"/>
          <w:szCs w:val="24"/>
        </w:rPr>
      </w:pPr>
      <w:r>
        <w:rPr>
          <w:rFonts w:hint="eastAsia" w:ascii="宋体" w:hAnsi="宋体"/>
          <w:sz w:val="24"/>
          <w:szCs w:val="24"/>
        </w:rPr>
        <w:t>2.划分：临设区分为管理人员办公区及工人生活区，分别于奥体中心的东、西侧搭设，相互独立设置。</w:t>
      </w:r>
    </w:p>
    <w:p>
      <w:pPr>
        <w:spacing w:line="360" w:lineRule="auto"/>
        <w:ind w:firstLine="480" w:firstLineChars="200"/>
        <w:rPr>
          <w:rFonts w:ascii="宋体" w:hAnsi="宋体"/>
          <w:sz w:val="24"/>
          <w:szCs w:val="24"/>
        </w:rPr>
      </w:pPr>
      <w:r>
        <w:rPr>
          <w:rFonts w:hint="eastAsia" w:ascii="宋体" w:hAnsi="宋体"/>
          <w:sz w:val="24"/>
          <w:szCs w:val="24"/>
        </w:rPr>
        <w:t>3.规格要求：根据集装箱板房规格，一间房间18平方米 ，能容纳5人居住。因此按高峰期4000人居住计算，搭设三层板房需占地15000平方米。管理人员按300人办公居住，按搭设两层集装箱计算，则需占地约8000平方米。此地块可用于生活区办公区（含停车场）约为23000平方米 ，能满足搭设需求。</w:t>
      </w:r>
    </w:p>
    <w:p>
      <w:pPr>
        <w:spacing w:line="360" w:lineRule="auto"/>
        <w:ind w:firstLine="480" w:firstLineChars="200"/>
        <w:rPr>
          <w:rFonts w:ascii="宋体" w:hAnsi="宋体"/>
          <w:sz w:val="24"/>
          <w:szCs w:val="24"/>
        </w:rPr>
      </w:pPr>
      <w:r>
        <w:rPr>
          <w:rFonts w:hint="eastAsia" w:ascii="宋体" w:hAnsi="宋体"/>
          <w:sz w:val="24"/>
          <w:szCs w:val="24"/>
        </w:rPr>
        <w:t>4.发包人需求，承包人自行负责现场办公用房及相应配套设施的场地租赁和搭建，以及提供不少于800㎡的办公用房及相应配套设施供</w:t>
      </w:r>
      <w:r>
        <w:rPr>
          <w:rFonts w:ascii="宋体" w:hAnsi="宋体"/>
          <w:sz w:val="24"/>
          <w:szCs w:val="24"/>
        </w:rPr>
        <w:t>发包人</w:t>
      </w:r>
      <w:r>
        <w:rPr>
          <w:rFonts w:hint="eastAsia" w:ascii="宋体" w:hAnsi="宋体"/>
          <w:sz w:val="24"/>
          <w:szCs w:val="24"/>
        </w:rPr>
        <w:t>、设计、监理、使用单位、咨询单位等单位现场办公条件，及其日常维护管理。相应配套设施应满足发包人要求，经发包人同意后实施。</w:t>
      </w:r>
    </w:p>
    <w:p>
      <w:pPr>
        <w:spacing w:line="360" w:lineRule="auto"/>
        <w:ind w:firstLine="480" w:firstLineChars="200"/>
        <w:rPr>
          <w:rFonts w:ascii="宋体" w:hAnsi="宋体"/>
          <w:sz w:val="24"/>
          <w:szCs w:val="24"/>
        </w:rPr>
      </w:pPr>
      <w:r>
        <w:rPr>
          <w:rFonts w:hint="eastAsia" w:ascii="宋体" w:hAnsi="宋体"/>
          <w:sz w:val="24"/>
          <w:szCs w:val="24"/>
        </w:rPr>
        <w:t>临建设施搭设具体要求如下：</w:t>
      </w:r>
    </w:p>
    <w:tbl>
      <w:tblPr>
        <w:tblStyle w:val="16"/>
        <w:tblW w:w="0" w:type="auto"/>
        <w:tblCellSpacing w:w="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10"/>
        <w:gridCol w:w="1283"/>
        <w:gridCol w:w="813"/>
        <w:gridCol w:w="680"/>
        <w:gridCol w:w="735"/>
        <w:gridCol w:w="798"/>
        <w:gridCol w:w="827"/>
        <w:gridCol w:w="787"/>
        <w:gridCol w:w="1293"/>
        <w:gridCol w:w="560"/>
        <w:gridCol w:w="7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6" w:hRule="atLeast"/>
          <w:tblCellSpacing w:w="0" w:type="dxa"/>
        </w:trPr>
        <w:tc>
          <w:tcPr>
            <w:tcW w:w="9562" w:type="dxa"/>
            <w:gridSpan w:val="11"/>
            <w:shd w:val="clear" w:color="auto" w:fill="B9D6E6"/>
            <w:tcMar>
              <w:top w:w="100" w:type="dxa"/>
              <w:left w:w="170" w:type="dxa"/>
              <w:bottom w:w="100" w:type="dxa"/>
              <w:right w:w="170" w:type="dxa"/>
            </w:tcMar>
            <w:vAlign w:val="center"/>
          </w:tcPr>
          <w:p>
            <w:pPr>
              <w:pStyle w:val="14"/>
              <w:jc w:val="center"/>
              <w:rPr>
                <w:rFonts w:cs="宋体"/>
                <w:sz w:val="21"/>
                <w:szCs w:val="21"/>
              </w:rPr>
            </w:pPr>
            <w:r>
              <w:rPr>
                <w:rFonts w:hint="eastAsia" w:cs="宋体"/>
                <w:b/>
                <w:bCs/>
                <w:sz w:val="21"/>
                <w:szCs w:val="21"/>
              </w:rPr>
              <w:t>活动板房搭设具体要求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tblCellSpacing w:w="0" w:type="dxa"/>
        </w:trPr>
        <w:tc>
          <w:tcPr>
            <w:tcW w:w="1010" w:type="dxa"/>
            <w:vMerge w:val="restart"/>
            <w:tcBorders>
              <w:top w:val="single" w:color="auto" w:sz="4" w:space="0"/>
              <w:left w:val="nil"/>
              <w:bottom w:val="single" w:color="auto" w:sz="4" w:space="0"/>
              <w:right w:val="single" w:color="auto" w:sz="4" w:space="0"/>
            </w:tcBorders>
            <w:shd w:val="clear" w:color="auto" w:fill="FFFFFF"/>
            <w:tcMar>
              <w:top w:w="100" w:type="dxa"/>
              <w:left w:w="170" w:type="dxa"/>
              <w:bottom w:w="100" w:type="dxa"/>
              <w:right w:w="170" w:type="dxa"/>
            </w:tcMar>
            <w:vAlign w:val="center"/>
          </w:tcPr>
          <w:p>
            <w:pPr>
              <w:pStyle w:val="14"/>
              <w:jc w:val="center"/>
              <w:rPr>
                <w:rFonts w:cs="宋体"/>
                <w:sz w:val="22"/>
                <w:szCs w:val="15"/>
              </w:rPr>
            </w:pPr>
            <w:r>
              <w:rPr>
                <w:rFonts w:hint="eastAsia" w:cs="宋体"/>
                <w:sz w:val="22"/>
                <w:szCs w:val="15"/>
              </w:rPr>
              <w:t>使用类型</w:t>
            </w:r>
          </w:p>
        </w:tc>
        <w:tc>
          <w:tcPr>
            <w:tcW w:w="1283" w:type="dxa"/>
            <w:vMerge w:val="restart"/>
            <w:tcBorders>
              <w:top w:val="single" w:color="auto" w:sz="4" w:space="0"/>
              <w:left w:val="single" w:color="auto" w:sz="4" w:space="0"/>
              <w:bottom w:val="single" w:color="auto" w:sz="4" w:space="0"/>
              <w:right w:val="single" w:color="auto" w:sz="4" w:space="0"/>
            </w:tcBorders>
            <w:shd w:val="clear" w:color="auto" w:fill="FFFFFF"/>
            <w:tcMar>
              <w:top w:w="100" w:type="dxa"/>
              <w:left w:w="170" w:type="dxa"/>
              <w:bottom w:w="100" w:type="dxa"/>
              <w:right w:w="170" w:type="dxa"/>
            </w:tcMar>
            <w:vAlign w:val="center"/>
          </w:tcPr>
          <w:p>
            <w:pPr>
              <w:pStyle w:val="14"/>
              <w:jc w:val="center"/>
              <w:rPr>
                <w:rFonts w:cs="宋体"/>
                <w:sz w:val="22"/>
                <w:szCs w:val="15"/>
              </w:rPr>
            </w:pPr>
            <w:r>
              <w:rPr>
                <w:rFonts w:hint="eastAsia" w:cs="宋体"/>
                <w:sz w:val="22"/>
                <w:szCs w:val="15"/>
              </w:rPr>
              <w:t>板房样式（规格）</w:t>
            </w:r>
          </w:p>
        </w:tc>
        <w:tc>
          <w:tcPr>
            <w:tcW w:w="2228" w:type="dxa"/>
            <w:gridSpan w:val="3"/>
            <w:tcBorders>
              <w:top w:val="single" w:color="auto" w:sz="4" w:space="0"/>
              <w:left w:val="single" w:color="auto" w:sz="4" w:space="0"/>
              <w:bottom w:val="single" w:color="auto" w:sz="4" w:space="0"/>
              <w:right w:val="single" w:color="auto" w:sz="4" w:space="0"/>
            </w:tcBorders>
            <w:shd w:val="clear" w:color="auto" w:fill="FFFFFF"/>
            <w:tcMar>
              <w:top w:w="100" w:type="dxa"/>
              <w:left w:w="170" w:type="dxa"/>
              <w:bottom w:w="100" w:type="dxa"/>
              <w:right w:w="170" w:type="dxa"/>
            </w:tcMar>
            <w:vAlign w:val="center"/>
          </w:tcPr>
          <w:p>
            <w:pPr>
              <w:pStyle w:val="14"/>
              <w:jc w:val="center"/>
              <w:rPr>
                <w:rFonts w:cs="宋体"/>
                <w:sz w:val="22"/>
                <w:szCs w:val="15"/>
              </w:rPr>
            </w:pPr>
            <w:r>
              <w:rPr>
                <w:rFonts w:hint="eastAsia" w:cs="宋体"/>
                <w:sz w:val="22"/>
                <w:szCs w:val="15"/>
              </w:rPr>
              <w:t>外观</w:t>
            </w:r>
          </w:p>
        </w:tc>
        <w:tc>
          <w:tcPr>
            <w:tcW w:w="3705" w:type="dxa"/>
            <w:gridSpan w:val="4"/>
            <w:tcBorders>
              <w:top w:val="single" w:color="auto" w:sz="4" w:space="0"/>
              <w:left w:val="single" w:color="auto" w:sz="4" w:space="0"/>
              <w:bottom w:val="single" w:color="auto" w:sz="4" w:space="0"/>
              <w:right w:val="single" w:color="auto" w:sz="4" w:space="0"/>
            </w:tcBorders>
            <w:shd w:val="clear" w:color="auto" w:fill="FFFFFF"/>
            <w:tcMar>
              <w:top w:w="100" w:type="dxa"/>
              <w:left w:w="170" w:type="dxa"/>
              <w:bottom w:w="100" w:type="dxa"/>
              <w:right w:w="170" w:type="dxa"/>
            </w:tcMar>
            <w:vAlign w:val="center"/>
          </w:tcPr>
          <w:p>
            <w:pPr>
              <w:pStyle w:val="14"/>
              <w:jc w:val="center"/>
              <w:rPr>
                <w:rFonts w:cs="宋体"/>
                <w:sz w:val="22"/>
                <w:szCs w:val="15"/>
              </w:rPr>
            </w:pPr>
            <w:r>
              <w:rPr>
                <w:rFonts w:hint="eastAsia" w:cs="宋体"/>
                <w:sz w:val="22"/>
                <w:szCs w:val="15"/>
              </w:rPr>
              <w:t>室内装修</w:t>
            </w:r>
          </w:p>
        </w:tc>
        <w:tc>
          <w:tcPr>
            <w:tcW w:w="560" w:type="dxa"/>
            <w:vMerge w:val="restart"/>
            <w:tcBorders>
              <w:top w:val="single" w:color="auto" w:sz="4" w:space="0"/>
              <w:left w:val="single" w:color="auto" w:sz="4" w:space="0"/>
              <w:bottom w:val="single" w:color="auto" w:sz="4" w:space="0"/>
              <w:right w:val="single" w:color="auto" w:sz="4" w:space="0"/>
            </w:tcBorders>
            <w:shd w:val="clear" w:color="auto" w:fill="FFFFFF"/>
            <w:tcMar>
              <w:top w:w="100" w:type="dxa"/>
              <w:left w:w="170" w:type="dxa"/>
              <w:bottom w:w="100" w:type="dxa"/>
              <w:right w:w="170" w:type="dxa"/>
            </w:tcMar>
            <w:vAlign w:val="center"/>
          </w:tcPr>
          <w:p>
            <w:pPr>
              <w:pStyle w:val="14"/>
              <w:jc w:val="center"/>
              <w:rPr>
                <w:rFonts w:cs="宋体"/>
                <w:sz w:val="22"/>
                <w:szCs w:val="15"/>
              </w:rPr>
            </w:pPr>
            <w:r>
              <w:rPr>
                <w:rFonts w:hint="eastAsia" w:cs="宋体"/>
                <w:sz w:val="22"/>
                <w:szCs w:val="15"/>
              </w:rPr>
              <w:t>上下梯</w:t>
            </w:r>
          </w:p>
        </w:tc>
        <w:tc>
          <w:tcPr>
            <w:tcW w:w="776" w:type="dxa"/>
            <w:vMerge w:val="restart"/>
            <w:tcBorders>
              <w:top w:val="single" w:color="auto" w:sz="4" w:space="0"/>
              <w:left w:val="single" w:color="auto" w:sz="4" w:space="0"/>
              <w:bottom w:val="single" w:color="auto" w:sz="4" w:space="0"/>
              <w:right w:val="nil"/>
            </w:tcBorders>
            <w:shd w:val="clear" w:color="auto" w:fill="FFFFFF"/>
            <w:tcMar>
              <w:top w:w="100" w:type="dxa"/>
              <w:left w:w="170" w:type="dxa"/>
              <w:bottom w:w="100" w:type="dxa"/>
              <w:right w:w="170" w:type="dxa"/>
            </w:tcMar>
            <w:vAlign w:val="center"/>
          </w:tcPr>
          <w:p>
            <w:pPr>
              <w:pStyle w:val="14"/>
              <w:jc w:val="center"/>
              <w:rPr>
                <w:rFonts w:cs="宋体"/>
                <w:sz w:val="22"/>
                <w:szCs w:val="15"/>
              </w:rPr>
            </w:pPr>
            <w:r>
              <w:rPr>
                <w:rFonts w:hint="eastAsia" w:cs="宋体"/>
                <w:sz w:val="22"/>
                <w:szCs w:val="15"/>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5" w:hRule="atLeast"/>
          <w:tblCellSpacing w:w="0" w:type="dxa"/>
        </w:trPr>
        <w:tc>
          <w:tcPr>
            <w:tcW w:w="1010" w:type="dxa"/>
            <w:vMerge w:val="continue"/>
            <w:tcBorders>
              <w:top w:val="single" w:color="auto" w:sz="4" w:space="0"/>
              <w:left w:val="nil"/>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jc w:val="center"/>
              <w:rPr>
                <w:rFonts w:cs="宋体"/>
                <w:sz w:val="22"/>
                <w:szCs w:val="15"/>
              </w:rPr>
            </w:pPr>
          </w:p>
        </w:tc>
        <w:tc>
          <w:tcPr>
            <w:tcW w:w="1283" w:type="dxa"/>
            <w:vMerge w:val="continue"/>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jc w:val="center"/>
              <w:rPr>
                <w:rFonts w:cs="宋体"/>
                <w:sz w:val="22"/>
                <w:szCs w:val="15"/>
              </w:rPr>
            </w:pPr>
          </w:p>
        </w:tc>
        <w:tc>
          <w:tcPr>
            <w:tcW w:w="813" w:type="dxa"/>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jc w:val="center"/>
              <w:rPr>
                <w:rFonts w:cs="宋体"/>
                <w:sz w:val="22"/>
                <w:szCs w:val="15"/>
              </w:rPr>
            </w:pPr>
            <w:r>
              <w:rPr>
                <w:rFonts w:hint="eastAsia" w:cs="宋体"/>
                <w:sz w:val="22"/>
                <w:szCs w:val="15"/>
              </w:rPr>
              <w:t>立面</w:t>
            </w:r>
          </w:p>
        </w:tc>
        <w:tc>
          <w:tcPr>
            <w:tcW w:w="680" w:type="dxa"/>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jc w:val="center"/>
              <w:rPr>
                <w:rFonts w:cs="宋体"/>
                <w:sz w:val="22"/>
                <w:szCs w:val="15"/>
              </w:rPr>
            </w:pPr>
            <w:r>
              <w:rPr>
                <w:rFonts w:hint="eastAsia" w:cs="宋体"/>
                <w:sz w:val="22"/>
                <w:szCs w:val="15"/>
              </w:rPr>
              <w:t>屋顶</w:t>
            </w:r>
          </w:p>
        </w:tc>
        <w:tc>
          <w:tcPr>
            <w:tcW w:w="735" w:type="dxa"/>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jc w:val="center"/>
              <w:rPr>
                <w:rFonts w:cs="宋体"/>
                <w:sz w:val="22"/>
                <w:szCs w:val="15"/>
              </w:rPr>
            </w:pPr>
            <w:r>
              <w:rPr>
                <w:rFonts w:hint="eastAsia" w:cs="宋体"/>
                <w:sz w:val="22"/>
                <w:szCs w:val="15"/>
              </w:rPr>
              <w:t>大门</w:t>
            </w:r>
          </w:p>
        </w:tc>
        <w:tc>
          <w:tcPr>
            <w:tcW w:w="798" w:type="dxa"/>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jc w:val="center"/>
              <w:rPr>
                <w:rFonts w:cs="宋体"/>
                <w:sz w:val="22"/>
                <w:szCs w:val="15"/>
              </w:rPr>
            </w:pPr>
            <w:r>
              <w:rPr>
                <w:rFonts w:hint="eastAsia" w:cs="宋体"/>
                <w:sz w:val="22"/>
                <w:szCs w:val="15"/>
              </w:rPr>
              <w:t>天花</w:t>
            </w:r>
          </w:p>
        </w:tc>
        <w:tc>
          <w:tcPr>
            <w:tcW w:w="827" w:type="dxa"/>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jc w:val="center"/>
              <w:rPr>
                <w:rFonts w:cs="宋体"/>
                <w:sz w:val="22"/>
                <w:szCs w:val="15"/>
              </w:rPr>
            </w:pPr>
            <w:r>
              <w:rPr>
                <w:rFonts w:hint="eastAsia" w:cs="宋体"/>
                <w:sz w:val="22"/>
                <w:szCs w:val="15"/>
              </w:rPr>
              <w:t>地面</w:t>
            </w:r>
          </w:p>
        </w:tc>
        <w:tc>
          <w:tcPr>
            <w:tcW w:w="787" w:type="dxa"/>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jc w:val="center"/>
              <w:rPr>
                <w:rFonts w:cs="宋体"/>
                <w:sz w:val="22"/>
                <w:szCs w:val="15"/>
              </w:rPr>
            </w:pPr>
            <w:r>
              <w:rPr>
                <w:rFonts w:hint="eastAsia" w:cs="宋体"/>
                <w:sz w:val="22"/>
                <w:szCs w:val="15"/>
              </w:rPr>
              <w:t>灯具</w:t>
            </w:r>
          </w:p>
        </w:tc>
        <w:tc>
          <w:tcPr>
            <w:tcW w:w="1293" w:type="dxa"/>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jc w:val="center"/>
              <w:rPr>
                <w:rFonts w:cs="宋体"/>
                <w:sz w:val="22"/>
                <w:szCs w:val="15"/>
              </w:rPr>
            </w:pPr>
            <w:r>
              <w:rPr>
                <w:rFonts w:hint="eastAsia" w:cs="宋体"/>
                <w:sz w:val="22"/>
                <w:szCs w:val="15"/>
              </w:rPr>
              <w:t>电气插座</w:t>
            </w:r>
          </w:p>
        </w:tc>
        <w:tc>
          <w:tcPr>
            <w:tcW w:w="560" w:type="dxa"/>
            <w:vMerge w:val="continue"/>
            <w:tcBorders>
              <w:top w:val="single" w:color="auto" w:sz="4" w:space="0"/>
              <w:left w:val="single" w:color="auto" w:sz="4" w:space="0"/>
              <w:bottom w:val="single" w:color="auto" w:sz="4" w:space="0"/>
              <w:right w:val="single" w:color="auto" w:sz="4" w:space="0"/>
            </w:tcBorders>
            <w:shd w:val="clear" w:color="auto" w:fill="FFFFFF"/>
            <w:tcMar>
              <w:top w:w="100" w:type="dxa"/>
              <w:left w:w="170" w:type="dxa"/>
              <w:bottom w:w="100" w:type="dxa"/>
              <w:right w:w="170" w:type="dxa"/>
            </w:tcMar>
            <w:vAlign w:val="center"/>
          </w:tcPr>
          <w:p>
            <w:pPr>
              <w:jc w:val="center"/>
              <w:rPr>
                <w:rFonts w:ascii="宋体" w:hAnsi="宋体" w:cs="宋体"/>
                <w:sz w:val="22"/>
                <w:szCs w:val="15"/>
              </w:rPr>
            </w:pPr>
          </w:p>
        </w:tc>
        <w:tc>
          <w:tcPr>
            <w:tcW w:w="776" w:type="dxa"/>
            <w:vMerge w:val="continue"/>
            <w:tcBorders>
              <w:top w:val="single" w:color="auto" w:sz="4" w:space="0"/>
              <w:left w:val="single" w:color="auto" w:sz="4" w:space="0"/>
              <w:bottom w:val="single" w:color="auto" w:sz="4" w:space="0"/>
              <w:right w:val="nil"/>
            </w:tcBorders>
            <w:shd w:val="clear" w:color="auto" w:fill="FFFFFF"/>
            <w:tcMar>
              <w:top w:w="100" w:type="dxa"/>
              <w:left w:w="170" w:type="dxa"/>
              <w:bottom w:w="100" w:type="dxa"/>
              <w:right w:w="170" w:type="dxa"/>
            </w:tcMar>
            <w:vAlign w:val="center"/>
          </w:tcPr>
          <w:p>
            <w:pPr>
              <w:jc w:val="center"/>
              <w:rPr>
                <w:rFonts w:ascii="宋体" w:hAnsi="宋体" w:cs="宋体"/>
                <w:sz w:val="22"/>
                <w:szCs w:val="15"/>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26" w:hRule="atLeast"/>
          <w:tblCellSpacing w:w="0" w:type="dxa"/>
        </w:trPr>
        <w:tc>
          <w:tcPr>
            <w:tcW w:w="1010" w:type="dxa"/>
            <w:tcBorders>
              <w:top w:val="single" w:color="auto" w:sz="4" w:space="0"/>
              <w:left w:val="nil"/>
              <w:bottom w:val="single" w:color="auto" w:sz="4" w:space="0"/>
              <w:right w:val="single" w:color="auto" w:sz="4" w:space="0"/>
            </w:tcBorders>
            <w:shd w:val="clear" w:color="auto" w:fill="FFFFFF"/>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办公区</w:t>
            </w:r>
          </w:p>
        </w:tc>
        <w:tc>
          <w:tcPr>
            <w:tcW w:w="1283" w:type="dxa"/>
            <w:tcBorders>
              <w:top w:val="single" w:color="auto" w:sz="4" w:space="0"/>
              <w:left w:val="single" w:color="auto" w:sz="4" w:space="0"/>
              <w:bottom w:val="single" w:color="auto" w:sz="4" w:space="0"/>
              <w:right w:val="single" w:color="auto" w:sz="4" w:space="0"/>
            </w:tcBorders>
            <w:shd w:val="clear" w:color="auto" w:fill="FFFFFF"/>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装配式集装箱（每箱面积≥18㎡），面积按需求拼接</w:t>
            </w:r>
          </w:p>
        </w:tc>
        <w:tc>
          <w:tcPr>
            <w:tcW w:w="813" w:type="dxa"/>
            <w:tcBorders>
              <w:top w:val="single" w:color="auto" w:sz="4" w:space="0"/>
              <w:left w:val="single" w:color="auto" w:sz="4" w:space="0"/>
              <w:bottom w:val="single" w:color="auto" w:sz="4" w:space="0"/>
              <w:right w:val="single" w:color="auto" w:sz="4" w:space="0"/>
            </w:tcBorders>
            <w:shd w:val="clear" w:color="auto" w:fill="FFFFFF"/>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全玻璃幕墙</w:t>
            </w:r>
          </w:p>
        </w:tc>
        <w:tc>
          <w:tcPr>
            <w:tcW w:w="680" w:type="dxa"/>
            <w:tcBorders>
              <w:top w:val="single" w:color="auto" w:sz="4" w:space="0"/>
              <w:left w:val="single" w:color="auto" w:sz="4" w:space="0"/>
              <w:bottom w:val="single" w:color="auto" w:sz="4" w:space="0"/>
              <w:right w:val="single" w:color="auto" w:sz="4" w:space="0"/>
            </w:tcBorders>
            <w:shd w:val="clear" w:color="auto" w:fill="FFFFFF"/>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保温隔热</w:t>
            </w:r>
          </w:p>
        </w:tc>
        <w:tc>
          <w:tcPr>
            <w:tcW w:w="735" w:type="dxa"/>
            <w:tcBorders>
              <w:top w:val="single" w:color="auto" w:sz="4" w:space="0"/>
              <w:left w:val="single" w:color="auto" w:sz="4" w:space="0"/>
              <w:bottom w:val="single" w:color="auto" w:sz="4" w:space="0"/>
              <w:right w:val="single" w:color="auto" w:sz="4" w:space="0"/>
            </w:tcBorders>
            <w:shd w:val="clear" w:color="auto" w:fill="FFFFFF"/>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自动感应对开玻璃门</w:t>
            </w:r>
          </w:p>
        </w:tc>
        <w:tc>
          <w:tcPr>
            <w:tcW w:w="798" w:type="dxa"/>
            <w:tcBorders>
              <w:top w:val="single" w:color="auto" w:sz="4" w:space="0"/>
              <w:left w:val="single" w:color="auto" w:sz="4" w:space="0"/>
              <w:bottom w:val="single" w:color="auto" w:sz="4" w:space="0"/>
              <w:right w:val="single" w:color="auto" w:sz="4" w:space="0"/>
            </w:tcBorders>
            <w:shd w:val="clear" w:color="auto" w:fill="FFFFFF"/>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自带吊顶</w:t>
            </w:r>
          </w:p>
        </w:tc>
        <w:tc>
          <w:tcPr>
            <w:tcW w:w="827" w:type="dxa"/>
            <w:tcBorders>
              <w:top w:val="single" w:color="auto" w:sz="4" w:space="0"/>
              <w:left w:val="single" w:color="auto" w:sz="4" w:space="0"/>
              <w:bottom w:val="single" w:color="auto" w:sz="4" w:space="0"/>
              <w:right w:val="single" w:color="auto" w:sz="4" w:space="0"/>
            </w:tcBorders>
            <w:shd w:val="clear" w:color="auto" w:fill="FFFFFF"/>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1.首层铺地砖</w:t>
            </w:r>
          </w:p>
          <w:p>
            <w:pPr>
              <w:pStyle w:val="14"/>
              <w:spacing w:beforeAutospacing="0" w:afterAutospacing="0"/>
              <w:jc w:val="center"/>
              <w:rPr>
                <w:rFonts w:cs="宋体"/>
                <w:sz w:val="22"/>
                <w:szCs w:val="15"/>
              </w:rPr>
            </w:pPr>
            <w:r>
              <w:rPr>
                <w:rFonts w:hint="eastAsia" w:cs="宋体"/>
                <w:sz w:val="22"/>
                <w:szCs w:val="15"/>
              </w:rPr>
              <w:t>2.二层铺设地板胶</w:t>
            </w:r>
          </w:p>
        </w:tc>
        <w:tc>
          <w:tcPr>
            <w:tcW w:w="787" w:type="dxa"/>
            <w:tcBorders>
              <w:top w:val="single" w:color="auto" w:sz="4" w:space="0"/>
              <w:left w:val="single" w:color="auto" w:sz="4" w:space="0"/>
              <w:bottom w:val="single" w:color="auto" w:sz="4" w:space="0"/>
              <w:right w:val="single" w:color="auto" w:sz="4" w:space="0"/>
            </w:tcBorders>
            <w:shd w:val="clear" w:color="auto" w:fill="FFFFFF"/>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LED吊顶灯</w:t>
            </w:r>
          </w:p>
        </w:tc>
        <w:tc>
          <w:tcPr>
            <w:tcW w:w="1293" w:type="dxa"/>
            <w:tcBorders>
              <w:top w:val="single" w:color="auto" w:sz="4" w:space="0"/>
              <w:left w:val="single" w:color="auto" w:sz="4" w:space="0"/>
              <w:bottom w:val="single" w:color="auto" w:sz="4" w:space="0"/>
              <w:right w:val="single" w:color="auto" w:sz="4" w:space="0"/>
            </w:tcBorders>
            <w:shd w:val="clear" w:color="auto" w:fill="FFFFFF"/>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提供220V电源，电源布置按需求</w:t>
            </w:r>
          </w:p>
        </w:tc>
        <w:tc>
          <w:tcPr>
            <w:tcW w:w="560" w:type="dxa"/>
            <w:tcBorders>
              <w:top w:val="single" w:color="auto" w:sz="4" w:space="0"/>
              <w:left w:val="single" w:color="auto" w:sz="4" w:space="0"/>
              <w:bottom w:val="single" w:color="auto" w:sz="4" w:space="0"/>
              <w:right w:val="single" w:color="auto" w:sz="4" w:space="0"/>
            </w:tcBorders>
            <w:shd w:val="clear" w:color="auto" w:fill="FFFFFF"/>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内置楼梯</w:t>
            </w:r>
          </w:p>
        </w:tc>
        <w:tc>
          <w:tcPr>
            <w:tcW w:w="776" w:type="dxa"/>
            <w:tcBorders>
              <w:top w:val="single" w:color="auto" w:sz="4" w:space="0"/>
              <w:left w:val="single" w:color="auto" w:sz="4" w:space="0"/>
              <w:bottom w:val="single" w:color="auto" w:sz="4" w:space="0"/>
              <w:right w:val="nil"/>
            </w:tcBorders>
            <w:shd w:val="clear" w:color="auto" w:fill="FFFFFF"/>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A1级耐火等级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60" w:hRule="atLeast"/>
          <w:tblCellSpacing w:w="0" w:type="dxa"/>
        </w:trPr>
        <w:tc>
          <w:tcPr>
            <w:tcW w:w="1010" w:type="dxa"/>
            <w:tcBorders>
              <w:top w:val="single" w:color="auto" w:sz="4" w:space="0"/>
              <w:left w:val="nil"/>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宿舍区</w:t>
            </w:r>
          </w:p>
        </w:tc>
        <w:tc>
          <w:tcPr>
            <w:tcW w:w="1283" w:type="dxa"/>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装配式集装箱（每箱面积≥18㎡）</w:t>
            </w:r>
          </w:p>
        </w:tc>
        <w:tc>
          <w:tcPr>
            <w:tcW w:w="813" w:type="dxa"/>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w:t>
            </w:r>
          </w:p>
        </w:tc>
        <w:tc>
          <w:tcPr>
            <w:tcW w:w="680" w:type="dxa"/>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保温隔热</w:t>
            </w:r>
          </w:p>
        </w:tc>
        <w:tc>
          <w:tcPr>
            <w:tcW w:w="735" w:type="dxa"/>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w:t>
            </w:r>
          </w:p>
        </w:tc>
        <w:tc>
          <w:tcPr>
            <w:tcW w:w="798" w:type="dxa"/>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自带吊顶</w:t>
            </w:r>
          </w:p>
        </w:tc>
        <w:tc>
          <w:tcPr>
            <w:tcW w:w="827" w:type="dxa"/>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铺设地板胶</w:t>
            </w:r>
          </w:p>
        </w:tc>
        <w:tc>
          <w:tcPr>
            <w:tcW w:w="787" w:type="dxa"/>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LED吊顶灯</w:t>
            </w:r>
          </w:p>
        </w:tc>
        <w:tc>
          <w:tcPr>
            <w:tcW w:w="1293" w:type="dxa"/>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1.不提供220V电源2.每床位前提供USB取电口3.每房间设置低压变压器</w:t>
            </w:r>
          </w:p>
        </w:tc>
        <w:tc>
          <w:tcPr>
            <w:tcW w:w="560" w:type="dxa"/>
            <w:tcBorders>
              <w:top w:val="single" w:color="auto" w:sz="4" w:space="0"/>
              <w:left w:val="single" w:color="auto" w:sz="4" w:space="0"/>
              <w:bottom w:val="single" w:color="auto" w:sz="4" w:space="0"/>
              <w:right w:val="single" w:color="auto" w:sz="4" w:space="0"/>
            </w:tcBorders>
            <w:shd w:val="clear" w:color="auto" w:fill="B9D6E6"/>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设置遮雨棚</w:t>
            </w:r>
          </w:p>
        </w:tc>
        <w:tc>
          <w:tcPr>
            <w:tcW w:w="776" w:type="dxa"/>
            <w:tcBorders>
              <w:top w:val="single" w:color="auto" w:sz="4" w:space="0"/>
              <w:left w:val="single" w:color="auto" w:sz="4" w:space="0"/>
              <w:bottom w:val="single" w:color="auto" w:sz="4" w:space="0"/>
              <w:right w:val="nil"/>
            </w:tcBorders>
            <w:shd w:val="clear" w:color="auto" w:fill="B9D6E6"/>
            <w:tcMar>
              <w:top w:w="100" w:type="dxa"/>
              <w:left w:w="170" w:type="dxa"/>
              <w:bottom w:w="100" w:type="dxa"/>
              <w:right w:w="170" w:type="dxa"/>
            </w:tcMar>
            <w:vAlign w:val="center"/>
          </w:tcPr>
          <w:p>
            <w:pPr>
              <w:pStyle w:val="14"/>
              <w:spacing w:beforeAutospacing="0" w:afterAutospacing="0"/>
              <w:jc w:val="center"/>
              <w:rPr>
                <w:rFonts w:cs="宋体"/>
                <w:sz w:val="22"/>
                <w:szCs w:val="15"/>
              </w:rPr>
            </w:pPr>
            <w:r>
              <w:rPr>
                <w:rFonts w:hint="eastAsia" w:cs="宋体"/>
                <w:sz w:val="22"/>
                <w:szCs w:val="15"/>
              </w:rPr>
              <w:t>A1级耐火等级</w:t>
            </w:r>
          </w:p>
        </w:tc>
      </w:tr>
    </w:tbl>
    <w:p>
      <w:pPr>
        <w:spacing w:line="360" w:lineRule="auto"/>
        <w:rPr>
          <w:rFonts w:ascii="宋体" w:hAnsi="宋体"/>
          <w:sz w:val="24"/>
          <w:szCs w:val="24"/>
        </w:rPr>
      </w:pPr>
    </w:p>
    <w:tbl>
      <w:tblPr>
        <w:tblStyle w:val="16"/>
        <w:tblW w:w="0" w:type="auto"/>
        <w:tblCellSpacing w:w="0" w:type="dxa"/>
        <w:tblInd w:w="-178" w:type="dxa"/>
        <w:tblLayout w:type="fixed"/>
        <w:tblCellMar>
          <w:top w:w="0" w:type="dxa"/>
          <w:left w:w="0" w:type="dxa"/>
          <w:bottom w:w="0" w:type="dxa"/>
          <w:right w:w="0" w:type="dxa"/>
        </w:tblCellMar>
      </w:tblPr>
      <w:tblGrid>
        <w:gridCol w:w="422"/>
        <w:gridCol w:w="1332"/>
        <w:gridCol w:w="560"/>
        <w:gridCol w:w="3189"/>
        <w:gridCol w:w="444"/>
        <w:gridCol w:w="529"/>
        <w:gridCol w:w="533"/>
        <w:gridCol w:w="970"/>
        <w:gridCol w:w="1641"/>
      </w:tblGrid>
      <w:tr>
        <w:tblPrEx>
          <w:tblCellMar>
            <w:top w:w="0" w:type="dxa"/>
            <w:left w:w="0" w:type="dxa"/>
            <w:bottom w:w="0" w:type="dxa"/>
            <w:right w:w="0" w:type="dxa"/>
          </w:tblCellMar>
        </w:tblPrEx>
        <w:trPr>
          <w:trHeight w:val="380" w:hRule="atLeast"/>
          <w:tblCellSpacing w:w="0" w:type="dxa"/>
        </w:trPr>
        <w:tc>
          <w:tcPr>
            <w:tcW w:w="9620" w:type="dxa"/>
            <w:gridSpan w:val="9"/>
            <w:tcBorders>
              <w:top w:val="single" w:color="000000" w:sz="4" w:space="0"/>
              <w:left w:val="single" w:color="000000" w:sz="4" w:space="0"/>
              <w:bottom w:val="single" w:color="000000" w:sz="4" w:space="0"/>
              <w:right w:val="single" w:color="000000" w:sz="4" w:space="0"/>
            </w:tcBorders>
            <w:shd w:val="clear" w:color="auto" w:fill="ABC6CA"/>
            <w:tcMar>
              <w:top w:w="10" w:type="dxa"/>
              <w:left w:w="40" w:type="dxa"/>
              <w:bottom w:w="10" w:type="dxa"/>
              <w:right w:w="40" w:type="dxa"/>
            </w:tcMar>
            <w:vAlign w:val="center"/>
          </w:tcPr>
          <w:p>
            <w:pPr>
              <w:pStyle w:val="14"/>
              <w:jc w:val="center"/>
              <w:rPr>
                <w:rFonts w:cs="宋体"/>
                <w:sz w:val="15"/>
                <w:szCs w:val="15"/>
              </w:rPr>
            </w:pPr>
            <w:r>
              <w:rPr>
                <w:rFonts w:hint="eastAsia" w:cs="宋体"/>
                <w:b/>
                <w:bCs/>
                <w:sz w:val="21"/>
                <w:szCs w:val="21"/>
              </w:rPr>
              <w:t>各功能房间配置要求</w:t>
            </w:r>
          </w:p>
        </w:tc>
      </w:tr>
      <w:tr>
        <w:tblPrEx>
          <w:tblCellMar>
            <w:top w:w="0" w:type="dxa"/>
            <w:left w:w="0" w:type="dxa"/>
            <w:bottom w:w="0" w:type="dxa"/>
            <w:right w:w="0" w:type="dxa"/>
          </w:tblCellMar>
        </w:tblPrEx>
        <w:trPr>
          <w:trHeight w:val="780" w:hRule="atLeast"/>
          <w:tblCellSpacing w:w="0" w:type="dxa"/>
        </w:trPr>
        <w:tc>
          <w:tcPr>
            <w:tcW w:w="422" w:type="dxa"/>
            <w:tcBorders>
              <w:top w:val="single" w:color="auto" w:sz="4" w:space="0"/>
              <w:left w:val="single" w:color="auto" w:sz="4" w:space="0"/>
              <w:bottom w:val="single" w:color="auto" w:sz="4" w:space="0"/>
              <w:right w:val="single" w:color="auto" w:sz="4" w:space="0"/>
            </w:tcBorders>
            <w:shd w:val="clear" w:color="auto" w:fill="ABC6CA"/>
            <w:tcMar>
              <w:top w:w="10" w:type="dxa"/>
              <w:left w:w="40" w:type="dxa"/>
              <w:bottom w:w="10" w:type="dxa"/>
              <w:right w:w="40" w:type="dxa"/>
            </w:tcMar>
            <w:vAlign w:val="center"/>
          </w:tcPr>
          <w:p>
            <w:pPr>
              <w:pStyle w:val="14"/>
              <w:jc w:val="center"/>
              <w:rPr>
                <w:rFonts w:cs="宋体"/>
                <w:sz w:val="21"/>
                <w:szCs w:val="15"/>
              </w:rPr>
            </w:pPr>
            <w:r>
              <w:rPr>
                <w:rFonts w:hint="eastAsia" w:cs="宋体"/>
                <w:b/>
                <w:bCs/>
                <w:sz w:val="21"/>
                <w:szCs w:val="15"/>
              </w:rPr>
              <w:t>使用类型</w:t>
            </w:r>
          </w:p>
        </w:tc>
        <w:tc>
          <w:tcPr>
            <w:tcW w:w="1892" w:type="dxa"/>
            <w:gridSpan w:val="2"/>
            <w:tcBorders>
              <w:top w:val="single" w:color="auto" w:sz="4" w:space="0"/>
              <w:left w:val="single" w:color="auto" w:sz="4" w:space="0"/>
              <w:bottom w:val="single" w:color="auto" w:sz="4" w:space="0"/>
              <w:right w:val="single" w:color="auto" w:sz="4" w:space="0"/>
            </w:tcBorders>
            <w:shd w:val="clear" w:color="auto" w:fill="E0EAEB"/>
            <w:tcMar>
              <w:top w:w="10" w:type="dxa"/>
              <w:left w:w="40" w:type="dxa"/>
              <w:bottom w:w="10" w:type="dxa"/>
              <w:right w:w="40" w:type="dxa"/>
            </w:tcMar>
            <w:vAlign w:val="center"/>
          </w:tcPr>
          <w:p>
            <w:pPr>
              <w:pStyle w:val="14"/>
              <w:jc w:val="center"/>
              <w:rPr>
                <w:rFonts w:cs="宋体"/>
                <w:sz w:val="21"/>
                <w:szCs w:val="15"/>
              </w:rPr>
            </w:pPr>
            <w:r>
              <w:rPr>
                <w:rFonts w:hint="eastAsia" w:cs="宋体"/>
                <w:b/>
                <w:bCs/>
                <w:sz w:val="21"/>
                <w:szCs w:val="15"/>
              </w:rPr>
              <w:t>大会议室</w:t>
            </w:r>
          </w:p>
        </w:tc>
        <w:tc>
          <w:tcPr>
            <w:tcW w:w="3633" w:type="dxa"/>
            <w:gridSpan w:val="2"/>
            <w:tcBorders>
              <w:top w:val="single" w:color="auto" w:sz="4" w:space="0"/>
              <w:left w:val="single" w:color="auto" w:sz="4" w:space="0"/>
              <w:bottom w:val="single" w:color="auto" w:sz="4" w:space="0"/>
              <w:right w:val="single" w:color="auto" w:sz="4" w:space="0"/>
            </w:tcBorders>
            <w:shd w:val="clear" w:color="auto" w:fill="E0EAEB"/>
            <w:tcMar>
              <w:top w:w="10" w:type="dxa"/>
              <w:left w:w="40" w:type="dxa"/>
              <w:bottom w:w="10" w:type="dxa"/>
              <w:right w:w="40" w:type="dxa"/>
            </w:tcMar>
            <w:vAlign w:val="center"/>
          </w:tcPr>
          <w:p>
            <w:pPr>
              <w:pStyle w:val="14"/>
              <w:jc w:val="center"/>
              <w:rPr>
                <w:rFonts w:cs="宋体"/>
                <w:sz w:val="21"/>
                <w:szCs w:val="15"/>
              </w:rPr>
            </w:pPr>
            <w:r>
              <w:rPr>
                <w:rFonts w:hint="eastAsia" w:cs="宋体"/>
                <w:b/>
                <w:bCs/>
                <w:sz w:val="21"/>
                <w:szCs w:val="15"/>
              </w:rPr>
              <w:t>作战指挥中心</w:t>
            </w:r>
          </w:p>
        </w:tc>
        <w:tc>
          <w:tcPr>
            <w:tcW w:w="529" w:type="dxa"/>
            <w:tcBorders>
              <w:top w:val="single" w:color="auto" w:sz="4" w:space="0"/>
              <w:left w:val="single" w:color="auto" w:sz="4" w:space="0"/>
              <w:bottom w:val="single" w:color="auto" w:sz="4" w:space="0"/>
              <w:right w:val="single" w:color="auto" w:sz="4" w:space="0"/>
            </w:tcBorders>
            <w:shd w:val="clear" w:color="auto" w:fill="E0EAEB"/>
            <w:tcMar>
              <w:top w:w="10" w:type="dxa"/>
              <w:left w:w="40" w:type="dxa"/>
              <w:bottom w:w="10" w:type="dxa"/>
              <w:right w:w="40" w:type="dxa"/>
            </w:tcMar>
            <w:vAlign w:val="center"/>
          </w:tcPr>
          <w:p>
            <w:pPr>
              <w:pStyle w:val="14"/>
              <w:jc w:val="center"/>
              <w:rPr>
                <w:rFonts w:cs="宋体"/>
                <w:sz w:val="21"/>
                <w:szCs w:val="15"/>
              </w:rPr>
            </w:pPr>
            <w:r>
              <w:rPr>
                <w:rFonts w:hint="eastAsia" w:cs="宋体"/>
                <w:b/>
                <w:bCs/>
                <w:sz w:val="21"/>
                <w:szCs w:val="15"/>
              </w:rPr>
              <w:t>图档室</w:t>
            </w:r>
          </w:p>
        </w:tc>
        <w:tc>
          <w:tcPr>
            <w:tcW w:w="533" w:type="dxa"/>
            <w:tcBorders>
              <w:top w:val="single" w:color="auto" w:sz="4" w:space="0"/>
              <w:left w:val="single" w:color="auto" w:sz="4" w:space="0"/>
              <w:bottom w:val="single" w:color="auto" w:sz="4" w:space="0"/>
              <w:right w:val="single" w:color="auto" w:sz="4" w:space="0"/>
            </w:tcBorders>
            <w:shd w:val="clear" w:color="auto" w:fill="E0EAEB"/>
            <w:tcMar>
              <w:top w:w="10" w:type="dxa"/>
              <w:left w:w="40" w:type="dxa"/>
              <w:bottom w:w="10" w:type="dxa"/>
              <w:right w:w="40" w:type="dxa"/>
            </w:tcMar>
            <w:vAlign w:val="center"/>
          </w:tcPr>
          <w:p>
            <w:pPr>
              <w:pStyle w:val="14"/>
              <w:jc w:val="center"/>
              <w:rPr>
                <w:rFonts w:cs="宋体"/>
                <w:sz w:val="21"/>
                <w:szCs w:val="15"/>
              </w:rPr>
            </w:pPr>
            <w:r>
              <w:rPr>
                <w:rFonts w:hint="eastAsia" w:cs="宋体"/>
                <w:b/>
                <w:bCs/>
                <w:sz w:val="21"/>
                <w:szCs w:val="15"/>
              </w:rPr>
              <w:t>样板展示区</w:t>
            </w:r>
          </w:p>
        </w:tc>
        <w:tc>
          <w:tcPr>
            <w:tcW w:w="970" w:type="dxa"/>
            <w:tcBorders>
              <w:top w:val="single" w:color="auto" w:sz="4" w:space="0"/>
              <w:left w:val="single" w:color="auto" w:sz="4" w:space="0"/>
              <w:bottom w:val="single" w:color="auto" w:sz="4" w:space="0"/>
              <w:right w:val="single" w:color="auto" w:sz="4" w:space="0"/>
            </w:tcBorders>
            <w:shd w:val="clear" w:color="auto" w:fill="E0EAEB"/>
            <w:tcMar>
              <w:top w:w="10" w:type="dxa"/>
              <w:left w:w="40" w:type="dxa"/>
              <w:bottom w:w="10" w:type="dxa"/>
              <w:right w:w="40" w:type="dxa"/>
            </w:tcMar>
            <w:vAlign w:val="center"/>
          </w:tcPr>
          <w:p>
            <w:pPr>
              <w:pStyle w:val="14"/>
              <w:jc w:val="center"/>
              <w:rPr>
                <w:rFonts w:cs="宋体"/>
                <w:sz w:val="21"/>
                <w:szCs w:val="15"/>
              </w:rPr>
            </w:pPr>
            <w:r>
              <w:rPr>
                <w:rFonts w:hint="eastAsia" w:cs="宋体"/>
                <w:b/>
                <w:bCs/>
                <w:sz w:val="21"/>
                <w:szCs w:val="15"/>
              </w:rPr>
              <w:t>食堂</w:t>
            </w:r>
          </w:p>
        </w:tc>
        <w:tc>
          <w:tcPr>
            <w:tcW w:w="1641" w:type="dxa"/>
            <w:tcBorders>
              <w:top w:val="single" w:color="auto" w:sz="4" w:space="0"/>
              <w:left w:val="single" w:color="auto" w:sz="4" w:space="0"/>
              <w:bottom w:val="single" w:color="auto" w:sz="4" w:space="0"/>
              <w:right w:val="single" w:color="auto" w:sz="4" w:space="0"/>
            </w:tcBorders>
            <w:shd w:val="clear" w:color="auto" w:fill="E0EAEB"/>
            <w:tcMar>
              <w:top w:w="10" w:type="dxa"/>
              <w:left w:w="40" w:type="dxa"/>
              <w:bottom w:w="10" w:type="dxa"/>
              <w:right w:w="40" w:type="dxa"/>
            </w:tcMar>
            <w:vAlign w:val="center"/>
          </w:tcPr>
          <w:p>
            <w:pPr>
              <w:pStyle w:val="14"/>
              <w:jc w:val="center"/>
              <w:rPr>
                <w:rFonts w:cs="宋体"/>
                <w:sz w:val="21"/>
                <w:szCs w:val="15"/>
              </w:rPr>
            </w:pPr>
            <w:r>
              <w:rPr>
                <w:rFonts w:hint="eastAsia" w:cs="宋体"/>
                <w:b/>
                <w:bCs/>
                <w:sz w:val="21"/>
                <w:szCs w:val="15"/>
              </w:rPr>
              <w:t>卫生间（淋浴间）</w:t>
            </w:r>
          </w:p>
        </w:tc>
      </w:tr>
      <w:tr>
        <w:tblPrEx>
          <w:tblCellMar>
            <w:top w:w="0" w:type="dxa"/>
            <w:left w:w="0" w:type="dxa"/>
            <w:bottom w:w="0" w:type="dxa"/>
            <w:right w:w="0" w:type="dxa"/>
          </w:tblCellMar>
        </w:tblPrEx>
        <w:trPr>
          <w:trHeight w:val="544" w:hRule="atLeast"/>
          <w:tblCellSpacing w:w="0" w:type="dxa"/>
        </w:trPr>
        <w:tc>
          <w:tcPr>
            <w:tcW w:w="422" w:type="dxa"/>
            <w:tcBorders>
              <w:top w:val="single" w:color="auto" w:sz="4" w:space="0"/>
              <w:left w:val="single" w:color="auto" w:sz="4" w:space="0"/>
              <w:bottom w:val="single" w:color="auto" w:sz="4" w:space="0"/>
              <w:right w:val="single" w:color="auto" w:sz="4" w:space="0"/>
            </w:tcBorders>
            <w:shd w:val="clear" w:color="auto" w:fill="ABC6CA"/>
            <w:tcMar>
              <w:top w:w="10" w:type="dxa"/>
              <w:left w:w="40" w:type="dxa"/>
              <w:bottom w:w="10" w:type="dxa"/>
              <w:right w:w="40" w:type="dxa"/>
            </w:tcMar>
            <w:vAlign w:val="center"/>
          </w:tcPr>
          <w:p>
            <w:pPr>
              <w:pStyle w:val="14"/>
              <w:rPr>
                <w:rFonts w:cs="宋体"/>
                <w:sz w:val="21"/>
                <w:szCs w:val="15"/>
              </w:rPr>
            </w:pPr>
          </w:p>
        </w:tc>
        <w:tc>
          <w:tcPr>
            <w:tcW w:w="1332" w:type="dxa"/>
            <w:tcBorders>
              <w:top w:val="single" w:color="auto" w:sz="4" w:space="0"/>
              <w:left w:val="single" w:color="auto" w:sz="4" w:space="0"/>
              <w:bottom w:val="single" w:color="auto" w:sz="4" w:space="0"/>
              <w:right w:val="single" w:color="auto" w:sz="4" w:space="0"/>
            </w:tcBorders>
            <w:shd w:val="clear" w:color="auto" w:fill="FFFFFF"/>
            <w:tcMar>
              <w:top w:w="10" w:type="dxa"/>
              <w:left w:w="40" w:type="dxa"/>
              <w:bottom w:w="10" w:type="dxa"/>
              <w:right w:w="40" w:type="dxa"/>
            </w:tcMar>
            <w:vAlign w:val="center"/>
          </w:tcPr>
          <w:p>
            <w:pPr>
              <w:pStyle w:val="14"/>
              <w:jc w:val="center"/>
              <w:rPr>
                <w:rFonts w:cs="宋体"/>
                <w:sz w:val="21"/>
                <w:szCs w:val="15"/>
              </w:rPr>
            </w:pPr>
            <w:r>
              <w:rPr>
                <w:rFonts w:hint="eastAsia" w:cs="宋体"/>
                <w:b/>
                <w:bCs/>
                <w:sz w:val="21"/>
                <w:szCs w:val="15"/>
              </w:rPr>
              <w:t>配置要求</w:t>
            </w:r>
          </w:p>
        </w:tc>
        <w:tc>
          <w:tcPr>
            <w:tcW w:w="560" w:type="dxa"/>
            <w:tcBorders>
              <w:top w:val="single" w:color="auto" w:sz="4" w:space="0"/>
              <w:left w:val="single" w:color="auto" w:sz="4" w:space="0"/>
              <w:bottom w:val="single" w:color="auto" w:sz="4" w:space="0"/>
              <w:right w:val="single" w:color="auto" w:sz="4" w:space="0"/>
            </w:tcBorders>
            <w:shd w:val="clear" w:color="auto" w:fill="FFFFFF"/>
            <w:tcMar>
              <w:top w:w="10" w:type="dxa"/>
              <w:left w:w="40" w:type="dxa"/>
              <w:bottom w:w="10" w:type="dxa"/>
              <w:right w:w="40" w:type="dxa"/>
            </w:tcMar>
            <w:vAlign w:val="center"/>
          </w:tcPr>
          <w:p>
            <w:pPr>
              <w:pStyle w:val="14"/>
              <w:spacing w:beforeAutospacing="0" w:afterAutospacing="0"/>
              <w:rPr>
                <w:rFonts w:cs="宋体"/>
                <w:b/>
                <w:bCs/>
                <w:sz w:val="21"/>
                <w:szCs w:val="15"/>
              </w:rPr>
            </w:pPr>
            <w:r>
              <w:rPr>
                <w:rFonts w:hint="eastAsia" w:cs="宋体"/>
                <w:b/>
                <w:bCs/>
                <w:sz w:val="21"/>
                <w:szCs w:val="15"/>
              </w:rPr>
              <w:t>数量</w:t>
            </w:r>
          </w:p>
          <w:p>
            <w:pPr>
              <w:pStyle w:val="14"/>
              <w:spacing w:beforeAutospacing="0" w:afterAutospacing="0"/>
              <w:rPr>
                <w:rFonts w:cs="宋体"/>
                <w:sz w:val="21"/>
                <w:szCs w:val="15"/>
              </w:rPr>
            </w:pPr>
            <w:r>
              <w:rPr>
                <w:rFonts w:hint="eastAsia" w:cs="宋体"/>
                <w:b/>
                <w:bCs/>
                <w:sz w:val="21"/>
                <w:szCs w:val="15"/>
              </w:rPr>
              <w:t>要求</w:t>
            </w:r>
          </w:p>
        </w:tc>
        <w:tc>
          <w:tcPr>
            <w:tcW w:w="3189" w:type="dxa"/>
            <w:tcBorders>
              <w:top w:val="single" w:color="auto" w:sz="4" w:space="0"/>
              <w:left w:val="single" w:color="auto" w:sz="4" w:space="0"/>
              <w:bottom w:val="single" w:color="auto" w:sz="4" w:space="0"/>
              <w:right w:val="single" w:color="auto" w:sz="4" w:space="0"/>
            </w:tcBorders>
            <w:shd w:val="clear" w:color="auto" w:fill="FFFFFF"/>
            <w:tcMar>
              <w:top w:w="10" w:type="dxa"/>
              <w:left w:w="40" w:type="dxa"/>
              <w:bottom w:w="10" w:type="dxa"/>
              <w:right w:w="40" w:type="dxa"/>
            </w:tcMar>
            <w:vAlign w:val="center"/>
          </w:tcPr>
          <w:p>
            <w:pPr>
              <w:pStyle w:val="14"/>
              <w:jc w:val="center"/>
              <w:rPr>
                <w:rFonts w:cs="宋体"/>
                <w:sz w:val="21"/>
                <w:szCs w:val="15"/>
              </w:rPr>
            </w:pPr>
            <w:r>
              <w:rPr>
                <w:rFonts w:hint="eastAsia" w:cs="宋体"/>
                <w:b/>
                <w:bCs/>
                <w:sz w:val="21"/>
                <w:szCs w:val="15"/>
              </w:rPr>
              <w:t>配置要求</w:t>
            </w:r>
          </w:p>
        </w:tc>
        <w:tc>
          <w:tcPr>
            <w:tcW w:w="444" w:type="dxa"/>
            <w:tcBorders>
              <w:top w:val="single" w:color="auto" w:sz="4" w:space="0"/>
              <w:left w:val="single" w:color="auto" w:sz="4" w:space="0"/>
              <w:bottom w:val="single" w:color="auto" w:sz="4" w:space="0"/>
              <w:right w:val="single" w:color="auto" w:sz="4" w:space="0"/>
            </w:tcBorders>
            <w:shd w:val="clear" w:color="auto" w:fill="FFFFFF"/>
            <w:tcMar>
              <w:top w:w="10" w:type="dxa"/>
              <w:left w:w="40" w:type="dxa"/>
              <w:bottom w:w="10" w:type="dxa"/>
              <w:right w:w="40" w:type="dxa"/>
            </w:tcMar>
            <w:vAlign w:val="center"/>
          </w:tcPr>
          <w:p>
            <w:pPr>
              <w:pStyle w:val="14"/>
              <w:spacing w:beforeAutospacing="0" w:afterAutospacing="0"/>
              <w:rPr>
                <w:rFonts w:cs="宋体"/>
                <w:b/>
                <w:bCs/>
                <w:sz w:val="21"/>
                <w:szCs w:val="15"/>
              </w:rPr>
            </w:pPr>
            <w:r>
              <w:rPr>
                <w:rFonts w:hint="eastAsia" w:cs="宋体"/>
                <w:b/>
                <w:bCs/>
                <w:sz w:val="21"/>
                <w:szCs w:val="15"/>
              </w:rPr>
              <w:t>数量</w:t>
            </w:r>
          </w:p>
          <w:p>
            <w:pPr>
              <w:pStyle w:val="14"/>
              <w:spacing w:beforeAutospacing="0" w:afterAutospacing="0"/>
              <w:rPr>
                <w:rFonts w:cs="宋体"/>
                <w:sz w:val="21"/>
                <w:szCs w:val="15"/>
              </w:rPr>
            </w:pPr>
            <w:r>
              <w:rPr>
                <w:rFonts w:hint="eastAsia" w:cs="宋体"/>
                <w:b/>
                <w:bCs/>
                <w:sz w:val="21"/>
                <w:szCs w:val="15"/>
              </w:rPr>
              <w:t>要求</w:t>
            </w:r>
          </w:p>
        </w:tc>
        <w:tc>
          <w:tcPr>
            <w:tcW w:w="529" w:type="dxa"/>
            <w:tcBorders>
              <w:top w:val="single" w:color="auto" w:sz="4" w:space="0"/>
              <w:left w:val="single" w:color="auto" w:sz="4" w:space="0"/>
              <w:bottom w:val="single" w:color="auto" w:sz="4" w:space="0"/>
              <w:right w:val="single" w:color="auto" w:sz="4" w:space="0"/>
            </w:tcBorders>
            <w:shd w:val="clear" w:color="auto" w:fill="FFFFFF"/>
            <w:tcMar>
              <w:top w:w="10" w:type="dxa"/>
              <w:left w:w="40" w:type="dxa"/>
              <w:bottom w:w="10" w:type="dxa"/>
              <w:right w:w="40" w:type="dxa"/>
            </w:tcMar>
            <w:vAlign w:val="center"/>
          </w:tcPr>
          <w:p>
            <w:pPr>
              <w:pStyle w:val="14"/>
              <w:rPr>
                <w:rFonts w:cs="宋体"/>
                <w:sz w:val="21"/>
                <w:szCs w:val="15"/>
              </w:rPr>
            </w:pPr>
          </w:p>
        </w:tc>
        <w:tc>
          <w:tcPr>
            <w:tcW w:w="533" w:type="dxa"/>
            <w:tcBorders>
              <w:top w:val="single" w:color="auto" w:sz="4" w:space="0"/>
              <w:left w:val="single" w:color="auto" w:sz="4" w:space="0"/>
              <w:bottom w:val="single" w:color="auto" w:sz="4" w:space="0"/>
              <w:right w:val="single" w:color="auto" w:sz="4" w:space="0"/>
            </w:tcBorders>
            <w:shd w:val="clear" w:color="auto" w:fill="FFFFFF"/>
            <w:tcMar>
              <w:top w:w="10" w:type="dxa"/>
              <w:left w:w="40" w:type="dxa"/>
              <w:bottom w:w="10" w:type="dxa"/>
              <w:right w:w="40" w:type="dxa"/>
            </w:tcMar>
            <w:vAlign w:val="center"/>
          </w:tcPr>
          <w:p>
            <w:pPr>
              <w:pStyle w:val="14"/>
              <w:rPr>
                <w:rFonts w:cs="宋体"/>
                <w:sz w:val="21"/>
                <w:szCs w:val="15"/>
              </w:rPr>
            </w:pPr>
          </w:p>
        </w:tc>
        <w:tc>
          <w:tcPr>
            <w:tcW w:w="970" w:type="dxa"/>
            <w:tcBorders>
              <w:top w:val="single" w:color="auto" w:sz="4" w:space="0"/>
              <w:left w:val="single" w:color="auto" w:sz="4" w:space="0"/>
              <w:bottom w:val="single" w:color="auto" w:sz="4" w:space="0"/>
              <w:right w:val="single" w:color="auto" w:sz="4" w:space="0"/>
            </w:tcBorders>
            <w:shd w:val="clear" w:color="auto" w:fill="FFFFFF"/>
            <w:tcMar>
              <w:top w:w="10" w:type="dxa"/>
              <w:left w:w="40" w:type="dxa"/>
              <w:bottom w:w="10" w:type="dxa"/>
              <w:right w:w="40" w:type="dxa"/>
            </w:tcMar>
            <w:vAlign w:val="center"/>
          </w:tcPr>
          <w:p>
            <w:pPr>
              <w:pStyle w:val="14"/>
              <w:rPr>
                <w:rFonts w:cs="宋体"/>
                <w:sz w:val="21"/>
                <w:szCs w:val="15"/>
              </w:rPr>
            </w:pPr>
          </w:p>
        </w:tc>
        <w:tc>
          <w:tcPr>
            <w:tcW w:w="1641" w:type="dxa"/>
            <w:tcBorders>
              <w:top w:val="single" w:color="auto" w:sz="4" w:space="0"/>
              <w:left w:val="single" w:color="auto" w:sz="4" w:space="0"/>
              <w:bottom w:val="single" w:color="auto" w:sz="4" w:space="0"/>
              <w:right w:val="single" w:color="auto" w:sz="4" w:space="0"/>
            </w:tcBorders>
            <w:shd w:val="clear" w:color="auto" w:fill="FFFFFF"/>
            <w:tcMar>
              <w:top w:w="10" w:type="dxa"/>
              <w:left w:w="40" w:type="dxa"/>
              <w:bottom w:w="10" w:type="dxa"/>
              <w:right w:w="40" w:type="dxa"/>
            </w:tcMar>
            <w:vAlign w:val="center"/>
          </w:tcPr>
          <w:p>
            <w:pPr>
              <w:pStyle w:val="14"/>
              <w:rPr>
                <w:rFonts w:cs="宋体"/>
                <w:sz w:val="21"/>
                <w:szCs w:val="15"/>
              </w:rPr>
            </w:pPr>
          </w:p>
        </w:tc>
      </w:tr>
      <w:tr>
        <w:tblPrEx>
          <w:tblCellMar>
            <w:top w:w="0" w:type="dxa"/>
            <w:left w:w="0" w:type="dxa"/>
            <w:bottom w:w="0" w:type="dxa"/>
            <w:right w:w="0" w:type="dxa"/>
          </w:tblCellMar>
        </w:tblPrEx>
        <w:trPr>
          <w:trHeight w:val="1920" w:hRule="atLeast"/>
          <w:tblCellSpacing w:w="0" w:type="dxa"/>
        </w:trPr>
        <w:tc>
          <w:tcPr>
            <w:tcW w:w="422" w:type="dxa"/>
            <w:tcBorders>
              <w:top w:val="single" w:color="auto" w:sz="4" w:space="0"/>
              <w:left w:val="single" w:color="auto" w:sz="4" w:space="0"/>
              <w:bottom w:val="single" w:color="auto" w:sz="4" w:space="0"/>
              <w:right w:val="single" w:color="auto" w:sz="4" w:space="0"/>
            </w:tcBorders>
            <w:shd w:val="clear" w:color="auto" w:fill="ABC6CA"/>
            <w:tcMar>
              <w:top w:w="10" w:type="dxa"/>
              <w:left w:w="40" w:type="dxa"/>
              <w:bottom w:w="10" w:type="dxa"/>
              <w:right w:w="40" w:type="dxa"/>
            </w:tcMar>
            <w:vAlign w:val="center"/>
          </w:tcPr>
          <w:p>
            <w:pPr>
              <w:pStyle w:val="14"/>
              <w:rPr>
                <w:rFonts w:cs="宋体"/>
                <w:sz w:val="21"/>
                <w:szCs w:val="15"/>
              </w:rPr>
            </w:pPr>
            <w:r>
              <w:rPr>
                <w:rFonts w:hint="eastAsia" w:cs="宋体"/>
                <w:sz w:val="21"/>
                <w:szCs w:val="15"/>
              </w:rPr>
              <w:t>办公区</w:t>
            </w:r>
          </w:p>
        </w:tc>
        <w:tc>
          <w:tcPr>
            <w:tcW w:w="1332" w:type="dxa"/>
            <w:tcBorders>
              <w:top w:val="single" w:color="auto" w:sz="4" w:space="0"/>
              <w:left w:val="single" w:color="auto" w:sz="4" w:space="0"/>
              <w:bottom w:val="single" w:color="auto" w:sz="4" w:space="0"/>
              <w:right w:val="single" w:color="auto" w:sz="4" w:space="0"/>
            </w:tcBorders>
            <w:shd w:val="clear" w:color="auto" w:fill="E0EAEB"/>
            <w:tcMar>
              <w:top w:w="10" w:type="dxa"/>
              <w:left w:w="40" w:type="dxa"/>
              <w:bottom w:w="10" w:type="dxa"/>
              <w:right w:w="40" w:type="dxa"/>
            </w:tcMar>
            <w:vAlign w:val="center"/>
          </w:tcPr>
          <w:p>
            <w:pPr>
              <w:pStyle w:val="14"/>
              <w:spacing w:beforeAutospacing="0" w:afterAutospacing="0"/>
              <w:rPr>
                <w:rFonts w:cs="宋体"/>
                <w:sz w:val="21"/>
                <w:szCs w:val="15"/>
              </w:rPr>
            </w:pPr>
            <w:r>
              <w:rPr>
                <w:rFonts w:hint="eastAsia" w:cs="宋体"/>
                <w:sz w:val="21"/>
                <w:szCs w:val="15"/>
              </w:rPr>
              <w:t>1.LED全彩拼接屏幕</w:t>
            </w:r>
          </w:p>
          <w:p>
            <w:pPr>
              <w:pStyle w:val="14"/>
              <w:spacing w:beforeAutospacing="0" w:afterAutospacing="0"/>
              <w:rPr>
                <w:rFonts w:cs="宋体"/>
                <w:sz w:val="21"/>
                <w:szCs w:val="15"/>
              </w:rPr>
            </w:pPr>
            <w:r>
              <w:rPr>
                <w:rFonts w:hint="eastAsia" w:cs="宋体"/>
                <w:sz w:val="21"/>
                <w:szCs w:val="15"/>
              </w:rPr>
              <w:t>2.会议桌及配套座椅（最大满足150人同时会议）</w:t>
            </w:r>
          </w:p>
          <w:p>
            <w:pPr>
              <w:pStyle w:val="14"/>
              <w:spacing w:beforeAutospacing="0" w:afterAutospacing="0"/>
              <w:rPr>
                <w:rFonts w:cs="宋体"/>
                <w:sz w:val="21"/>
                <w:szCs w:val="15"/>
              </w:rPr>
            </w:pPr>
            <w:r>
              <w:rPr>
                <w:rFonts w:hint="eastAsia" w:cs="宋体"/>
                <w:sz w:val="21"/>
                <w:szCs w:val="15"/>
              </w:rPr>
              <w:t>3.配置会议功放系统及扩音系统</w:t>
            </w:r>
          </w:p>
          <w:p>
            <w:pPr>
              <w:pStyle w:val="14"/>
              <w:spacing w:beforeAutospacing="0" w:afterAutospacing="0"/>
              <w:rPr>
                <w:rFonts w:cs="宋体"/>
                <w:sz w:val="21"/>
                <w:szCs w:val="15"/>
              </w:rPr>
            </w:pPr>
            <w:r>
              <w:rPr>
                <w:rFonts w:hint="eastAsia" w:cs="宋体"/>
                <w:sz w:val="21"/>
                <w:szCs w:val="15"/>
              </w:rPr>
              <w:t>4.配置会议电脑</w:t>
            </w:r>
          </w:p>
        </w:tc>
        <w:tc>
          <w:tcPr>
            <w:tcW w:w="560" w:type="dxa"/>
            <w:tcBorders>
              <w:top w:val="single" w:color="auto" w:sz="4" w:space="0"/>
              <w:left w:val="single" w:color="auto" w:sz="4" w:space="0"/>
              <w:bottom w:val="single" w:color="auto" w:sz="4" w:space="0"/>
              <w:right w:val="single" w:color="auto" w:sz="4" w:space="0"/>
            </w:tcBorders>
            <w:shd w:val="clear" w:color="auto" w:fill="E0EAEB"/>
            <w:tcMar>
              <w:top w:w="10" w:type="dxa"/>
              <w:left w:w="40" w:type="dxa"/>
              <w:bottom w:w="10" w:type="dxa"/>
              <w:right w:w="40" w:type="dxa"/>
            </w:tcMar>
            <w:vAlign w:val="center"/>
          </w:tcPr>
          <w:p>
            <w:pPr>
              <w:pStyle w:val="14"/>
              <w:rPr>
                <w:rFonts w:cs="宋体"/>
                <w:sz w:val="21"/>
                <w:szCs w:val="15"/>
              </w:rPr>
            </w:pPr>
            <w:r>
              <w:rPr>
                <w:rFonts w:hint="eastAsia" w:cs="宋体"/>
                <w:sz w:val="21"/>
                <w:szCs w:val="15"/>
              </w:rPr>
              <w:t>1间</w:t>
            </w:r>
          </w:p>
        </w:tc>
        <w:tc>
          <w:tcPr>
            <w:tcW w:w="3189" w:type="dxa"/>
            <w:tcBorders>
              <w:top w:val="single" w:color="auto" w:sz="4" w:space="0"/>
              <w:left w:val="single" w:color="auto" w:sz="4" w:space="0"/>
              <w:bottom w:val="single" w:color="auto" w:sz="4" w:space="0"/>
              <w:right w:val="single" w:color="auto" w:sz="4" w:space="0"/>
            </w:tcBorders>
            <w:shd w:val="clear" w:color="auto" w:fill="E0EAEB"/>
            <w:tcMar>
              <w:top w:w="10" w:type="dxa"/>
              <w:left w:w="40" w:type="dxa"/>
              <w:bottom w:w="10" w:type="dxa"/>
              <w:right w:w="40" w:type="dxa"/>
            </w:tcMar>
            <w:vAlign w:val="center"/>
          </w:tcPr>
          <w:p>
            <w:pPr>
              <w:pStyle w:val="14"/>
              <w:spacing w:beforeAutospacing="0" w:afterAutospacing="0"/>
              <w:rPr>
                <w:rFonts w:cs="宋体"/>
                <w:sz w:val="21"/>
                <w:szCs w:val="15"/>
              </w:rPr>
            </w:pPr>
            <w:r>
              <w:rPr>
                <w:rFonts w:hint="eastAsia" w:cs="宋体"/>
                <w:sz w:val="21"/>
                <w:szCs w:val="15"/>
              </w:rPr>
              <w:t>1.墙面配置LED全彩拼接屏幕 </w:t>
            </w:r>
          </w:p>
          <w:p>
            <w:pPr>
              <w:pStyle w:val="14"/>
              <w:spacing w:beforeAutospacing="0" w:afterAutospacing="0"/>
              <w:rPr>
                <w:rFonts w:cs="宋体"/>
                <w:sz w:val="21"/>
                <w:szCs w:val="15"/>
              </w:rPr>
            </w:pPr>
            <w:r>
              <w:rPr>
                <w:rFonts w:hint="eastAsia" w:cs="宋体"/>
                <w:sz w:val="21"/>
                <w:szCs w:val="15"/>
              </w:rPr>
              <w:t>2.配置带座席显示的会议桌</w:t>
            </w:r>
          </w:p>
          <w:p>
            <w:pPr>
              <w:pStyle w:val="14"/>
              <w:spacing w:beforeAutospacing="0" w:afterAutospacing="0"/>
              <w:rPr>
                <w:rFonts w:cs="宋体"/>
                <w:sz w:val="21"/>
                <w:szCs w:val="15"/>
              </w:rPr>
            </w:pPr>
            <w:r>
              <w:rPr>
                <w:rFonts w:hint="eastAsia" w:cs="宋体"/>
                <w:sz w:val="21"/>
                <w:szCs w:val="15"/>
              </w:rPr>
              <w:t>及配套座椅（满足30人会议） </w:t>
            </w:r>
          </w:p>
          <w:p>
            <w:pPr>
              <w:pStyle w:val="14"/>
              <w:spacing w:beforeAutospacing="0" w:afterAutospacing="0"/>
              <w:rPr>
                <w:rFonts w:cs="宋体"/>
                <w:sz w:val="21"/>
                <w:szCs w:val="15"/>
              </w:rPr>
            </w:pPr>
            <w:r>
              <w:rPr>
                <w:rFonts w:hint="eastAsia" w:cs="宋体"/>
                <w:sz w:val="21"/>
                <w:szCs w:val="15"/>
              </w:rPr>
              <w:t>3.配置音视频会议系统（含广播功放）</w:t>
            </w:r>
          </w:p>
          <w:p>
            <w:pPr>
              <w:pStyle w:val="14"/>
              <w:spacing w:beforeAutospacing="0" w:afterAutospacing="0"/>
              <w:rPr>
                <w:rFonts w:cs="宋体"/>
                <w:sz w:val="21"/>
                <w:szCs w:val="15"/>
              </w:rPr>
            </w:pPr>
            <w:r>
              <w:rPr>
                <w:rFonts w:hint="eastAsia" w:cs="宋体"/>
                <w:sz w:val="21"/>
                <w:szCs w:val="15"/>
              </w:rPr>
              <w:t>4.配置视频监控系统（与各场馆视频监控连接）</w:t>
            </w:r>
          </w:p>
          <w:p>
            <w:pPr>
              <w:pStyle w:val="14"/>
              <w:spacing w:beforeAutospacing="0" w:afterAutospacing="0"/>
              <w:rPr>
                <w:rFonts w:cs="宋体"/>
                <w:sz w:val="21"/>
                <w:szCs w:val="15"/>
              </w:rPr>
            </w:pPr>
            <w:r>
              <w:rPr>
                <w:rFonts w:hint="eastAsia" w:cs="宋体"/>
                <w:sz w:val="21"/>
                <w:szCs w:val="15"/>
              </w:rPr>
              <w:t>5.配置会议电脑（支持最新版Revit、SketchUp及CAD等软件流程运行。</w:t>
            </w:r>
          </w:p>
          <w:p>
            <w:pPr>
              <w:pStyle w:val="14"/>
              <w:spacing w:beforeAutospacing="0" w:afterAutospacing="0"/>
              <w:rPr>
                <w:rFonts w:cs="宋体"/>
                <w:sz w:val="21"/>
                <w:szCs w:val="15"/>
              </w:rPr>
            </w:pPr>
            <w:r>
              <w:rPr>
                <w:rFonts w:hint="eastAsia" w:cs="宋体"/>
                <w:sz w:val="21"/>
                <w:szCs w:val="15"/>
              </w:rPr>
              <w:t>6.BIM+ 智慧工地数据展示中心。</w:t>
            </w:r>
          </w:p>
        </w:tc>
        <w:tc>
          <w:tcPr>
            <w:tcW w:w="444" w:type="dxa"/>
            <w:tcBorders>
              <w:top w:val="single" w:color="auto" w:sz="4" w:space="0"/>
              <w:left w:val="single" w:color="auto" w:sz="4" w:space="0"/>
              <w:bottom w:val="single" w:color="auto" w:sz="4" w:space="0"/>
              <w:right w:val="single" w:color="auto" w:sz="4" w:space="0"/>
            </w:tcBorders>
            <w:shd w:val="clear" w:color="auto" w:fill="E0EAEB"/>
            <w:tcMar>
              <w:top w:w="10" w:type="dxa"/>
              <w:left w:w="40" w:type="dxa"/>
              <w:bottom w:w="10" w:type="dxa"/>
              <w:right w:w="40" w:type="dxa"/>
            </w:tcMar>
            <w:vAlign w:val="center"/>
          </w:tcPr>
          <w:p>
            <w:pPr>
              <w:pStyle w:val="14"/>
              <w:rPr>
                <w:rFonts w:cs="宋体"/>
                <w:sz w:val="21"/>
                <w:szCs w:val="15"/>
              </w:rPr>
            </w:pPr>
            <w:r>
              <w:rPr>
                <w:rFonts w:hint="eastAsia" w:cs="宋体"/>
                <w:sz w:val="21"/>
                <w:szCs w:val="15"/>
              </w:rPr>
              <w:t>1间</w:t>
            </w:r>
          </w:p>
        </w:tc>
        <w:tc>
          <w:tcPr>
            <w:tcW w:w="529" w:type="dxa"/>
            <w:tcBorders>
              <w:top w:val="single" w:color="auto" w:sz="4" w:space="0"/>
              <w:left w:val="single" w:color="auto" w:sz="4" w:space="0"/>
              <w:bottom w:val="single" w:color="auto" w:sz="4" w:space="0"/>
              <w:right w:val="single" w:color="auto" w:sz="4" w:space="0"/>
            </w:tcBorders>
            <w:shd w:val="clear" w:color="auto" w:fill="E0EAEB"/>
            <w:tcMar>
              <w:top w:w="10" w:type="dxa"/>
              <w:left w:w="40" w:type="dxa"/>
              <w:bottom w:w="10" w:type="dxa"/>
              <w:right w:w="40" w:type="dxa"/>
            </w:tcMar>
            <w:vAlign w:val="center"/>
          </w:tcPr>
          <w:p>
            <w:pPr>
              <w:pStyle w:val="14"/>
              <w:rPr>
                <w:rFonts w:cs="宋体"/>
                <w:sz w:val="21"/>
                <w:szCs w:val="15"/>
              </w:rPr>
            </w:pPr>
            <w:r>
              <w:rPr>
                <w:rFonts w:hint="eastAsia" w:cs="宋体"/>
                <w:sz w:val="21"/>
                <w:szCs w:val="15"/>
              </w:rPr>
              <w:t>配置满足图纸存放要求的置物架</w:t>
            </w:r>
          </w:p>
        </w:tc>
        <w:tc>
          <w:tcPr>
            <w:tcW w:w="533" w:type="dxa"/>
            <w:tcBorders>
              <w:top w:val="single" w:color="auto" w:sz="4" w:space="0"/>
              <w:left w:val="single" w:color="auto" w:sz="4" w:space="0"/>
              <w:bottom w:val="single" w:color="auto" w:sz="4" w:space="0"/>
              <w:right w:val="single" w:color="auto" w:sz="4" w:space="0"/>
            </w:tcBorders>
            <w:shd w:val="clear" w:color="auto" w:fill="E0EAEB"/>
            <w:tcMar>
              <w:top w:w="10" w:type="dxa"/>
              <w:left w:w="40" w:type="dxa"/>
              <w:bottom w:w="10" w:type="dxa"/>
              <w:right w:w="40" w:type="dxa"/>
            </w:tcMar>
            <w:vAlign w:val="center"/>
          </w:tcPr>
          <w:p>
            <w:pPr>
              <w:pStyle w:val="14"/>
              <w:rPr>
                <w:rFonts w:cs="宋体"/>
                <w:sz w:val="21"/>
                <w:szCs w:val="15"/>
              </w:rPr>
            </w:pPr>
            <w:r>
              <w:rPr>
                <w:rFonts w:hint="eastAsia" w:cs="宋体"/>
                <w:sz w:val="21"/>
                <w:szCs w:val="15"/>
              </w:rPr>
              <w:t>设置样板展示架</w:t>
            </w:r>
          </w:p>
        </w:tc>
        <w:tc>
          <w:tcPr>
            <w:tcW w:w="970" w:type="dxa"/>
            <w:tcBorders>
              <w:top w:val="single" w:color="auto" w:sz="4" w:space="0"/>
              <w:left w:val="single" w:color="auto" w:sz="4" w:space="0"/>
              <w:bottom w:val="single" w:color="auto" w:sz="4" w:space="0"/>
              <w:right w:val="single" w:color="auto" w:sz="4" w:space="0"/>
            </w:tcBorders>
            <w:shd w:val="clear" w:color="auto" w:fill="E0EAEB"/>
            <w:tcMar>
              <w:top w:w="10" w:type="dxa"/>
              <w:left w:w="40" w:type="dxa"/>
              <w:bottom w:w="10" w:type="dxa"/>
              <w:right w:w="40" w:type="dxa"/>
            </w:tcMar>
            <w:vAlign w:val="center"/>
          </w:tcPr>
          <w:p>
            <w:pPr>
              <w:pStyle w:val="14"/>
              <w:rPr>
                <w:rFonts w:cs="宋体"/>
                <w:sz w:val="21"/>
                <w:szCs w:val="15"/>
              </w:rPr>
            </w:pPr>
            <w:r>
              <w:rPr>
                <w:rFonts w:hint="eastAsia" w:cs="宋体"/>
                <w:sz w:val="21"/>
                <w:szCs w:val="15"/>
              </w:rPr>
              <w:t>1.取得卫生许可</w:t>
            </w:r>
          </w:p>
          <w:p>
            <w:pPr>
              <w:pStyle w:val="14"/>
              <w:rPr>
                <w:rFonts w:cs="宋体"/>
                <w:sz w:val="21"/>
                <w:szCs w:val="15"/>
              </w:rPr>
            </w:pPr>
            <w:r>
              <w:rPr>
                <w:rFonts w:hint="eastAsia" w:cs="宋体"/>
                <w:sz w:val="21"/>
                <w:szCs w:val="15"/>
              </w:rPr>
              <w:t>2.设置独立隔油池</w:t>
            </w:r>
          </w:p>
          <w:p>
            <w:pPr>
              <w:pStyle w:val="14"/>
              <w:rPr>
                <w:rFonts w:cs="宋体"/>
                <w:sz w:val="21"/>
                <w:szCs w:val="15"/>
              </w:rPr>
            </w:pPr>
            <w:r>
              <w:rPr>
                <w:rFonts w:hint="eastAsia" w:cs="宋体"/>
                <w:sz w:val="21"/>
                <w:szCs w:val="15"/>
              </w:rPr>
              <w:t>3.设置明厨亮灶监控</w:t>
            </w:r>
          </w:p>
        </w:tc>
        <w:tc>
          <w:tcPr>
            <w:tcW w:w="1641" w:type="dxa"/>
            <w:tcBorders>
              <w:top w:val="single" w:color="auto" w:sz="4" w:space="0"/>
              <w:left w:val="single" w:color="auto" w:sz="4" w:space="0"/>
              <w:bottom w:val="single" w:color="auto" w:sz="4" w:space="0"/>
              <w:right w:val="single" w:color="auto" w:sz="4" w:space="0"/>
            </w:tcBorders>
            <w:shd w:val="clear" w:color="auto" w:fill="E0EAEB"/>
            <w:tcMar>
              <w:top w:w="10" w:type="dxa"/>
              <w:left w:w="40" w:type="dxa"/>
              <w:bottom w:w="10" w:type="dxa"/>
              <w:right w:w="40" w:type="dxa"/>
            </w:tcMar>
            <w:vAlign w:val="center"/>
          </w:tcPr>
          <w:p>
            <w:pPr>
              <w:pStyle w:val="14"/>
              <w:rPr>
                <w:rFonts w:cs="宋体"/>
                <w:sz w:val="21"/>
                <w:szCs w:val="15"/>
              </w:rPr>
            </w:pPr>
            <w:r>
              <w:rPr>
                <w:rFonts w:hint="eastAsia" w:cs="宋体"/>
                <w:sz w:val="21"/>
                <w:szCs w:val="15"/>
              </w:rPr>
              <w:t>1.卫生间使用整体成品打包箱；</w:t>
            </w:r>
          </w:p>
          <w:p>
            <w:pPr>
              <w:pStyle w:val="14"/>
              <w:rPr>
                <w:rFonts w:cs="宋体"/>
                <w:sz w:val="21"/>
                <w:szCs w:val="15"/>
              </w:rPr>
            </w:pPr>
            <w:r>
              <w:rPr>
                <w:rFonts w:hint="eastAsia" w:cs="宋体"/>
                <w:sz w:val="21"/>
                <w:szCs w:val="15"/>
              </w:rPr>
              <w:t xml:space="preserve">2.配置热水系统（空气源热泵）； </w:t>
            </w:r>
          </w:p>
          <w:p>
            <w:pPr>
              <w:pStyle w:val="14"/>
              <w:rPr>
                <w:rFonts w:cs="宋体"/>
                <w:sz w:val="21"/>
                <w:szCs w:val="15"/>
              </w:rPr>
            </w:pPr>
            <w:r>
              <w:rPr>
                <w:rFonts w:hint="eastAsia" w:cs="宋体"/>
                <w:sz w:val="21"/>
                <w:szCs w:val="15"/>
              </w:rPr>
              <w:t>3.设置独立化粪池（或与体育馆新建化粪池永临结合使用）。</w:t>
            </w:r>
          </w:p>
        </w:tc>
      </w:tr>
    </w:tbl>
    <w:p>
      <w:pPr>
        <w:spacing w:line="360" w:lineRule="auto"/>
        <w:rPr>
          <w:rFonts w:ascii="宋体" w:hAnsi="宋体"/>
          <w:sz w:val="24"/>
          <w:szCs w:val="24"/>
        </w:rPr>
      </w:pPr>
    </w:p>
    <w:p>
      <w:pPr>
        <w:spacing w:line="360" w:lineRule="auto"/>
        <w:rPr>
          <w:rFonts w:ascii="宋体" w:hAnsi="宋体"/>
          <w:b/>
          <w:bCs/>
          <w:sz w:val="24"/>
          <w:szCs w:val="24"/>
        </w:rPr>
      </w:pPr>
      <w:r>
        <w:rPr>
          <w:rFonts w:hint="eastAsia" w:ascii="宋体" w:hAnsi="宋体"/>
          <w:b/>
          <w:bCs/>
          <w:sz w:val="24"/>
          <w:szCs w:val="24"/>
        </w:rPr>
        <w:t>（1）管理人员办公区设置要求：</w:t>
      </w:r>
    </w:p>
    <w:p>
      <w:pPr>
        <w:spacing w:line="360" w:lineRule="auto"/>
        <w:ind w:firstLine="480" w:firstLineChars="200"/>
        <w:rPr>
          <w:rFonts w:ascii="宋体" w:hAnsi="宋体"/>
          <w:sz w:val="24"/>
          <w:szCs w:val="24"/>
        </w:rPr>
      </w:pPr>
      <w:r>
        <w:rPr>
          <w:rFonts w:hint="eastAsia" w:ascii="宋体" w:hAnsi="宋体"/>
          <w:sz w:val="24"/>
          <w:szCs w:val="24"/>
        </w:rPr>
        <w:t>1）</w:t>
      </w:r>
      <w:r>
        <w:rPr>
          <w:rFonts w:ascii="宋体" w:hAnsi="宋体"/>
          <w:sz w:val="24"/>
          <w:szCs w:val="24"/>
        </w:rPr>
        <w:t>办公区临建设施应统一规划，并编制临建方案，经监理、发包人审批后实施</w:t>
      </w:r>
      <w:r>
        <w:rPr>
          <w:rFonts w:hint="eastAsia" w:ascii="宋体" w:hAnsi="宋体"/>
          <w:sz w:val="24"/>
          <w:szCs w:val="24"/>
        </w:rPr>
        <w:t>。建筑面积共3400平方米，共两层，可容纳300人办公；配备发包人、监理办公楼、150人大会议室、作战指挥中心、施工单位办公区、内部停车场、旗杆、图牌(或宣传栏)、绿化带等布置。具体见相关实施图纸。</w:t>
      </w:r>
    </w:p>
    <w:p>
      <w:pPr>
        <w:spacing w:line="360" w:lineRule="auto"/>
      </w:pPr>
      <w:r>
        <w:rPr>
          <w:rFonts w:hint="eastAsia"/>
        </w:rPr>
        <w:drawing>
          <wp:inline distT="0" distB="0" distL="114300" distR="114300">
            <wp:extent cx="5268595" cy="1722755"/>
            <wp:effectExtent l="0" t="0" r="4445" b="14605"/>
            <wp:docPr id="46" name="图片 18" descr="ec7191af09655992406b2df3c7e40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8" descr="ec7191af09655992406b2df3c7e40a8"/>
                    <pic:cNvPicPr>
                      <a:picLocks noChangeAspect="1"/>
                    </pic:cNvPicPr>
                  </pic:nvPicPr>
                  <pic:blipFill>
                    <a:blip r:embed="rId13"/>
                    <a:stretch>
                      <a:fillRect/>
                    </a:stretch>
                  </pic:blipFill>
                  <pic:spPr>
                    <a:xfrm>
                      <a:off x="0" y="0"/>
                      <a:ext cx="5268595" cy="1722755"/>
                    </a:xfrm>
                    <a:prstGeom prst="rect">
                      <a:avLst/>
                    </a:prstGeom>
                    <a:noFill/>
                    <a:ln>
                      <a:noFill/>
                    </a:ln>
                  </pic:spPr>
                </pic:pic>
              </a:graphicData>
            </a:graphic>
          </wp:inline>
        </w:drawing>
      </w:r>
    </w:p>
    <w:p>
      <w:pPr>
        <w:spacing w:line="360" w:lineRule="auto"/>
        <w:jc w:val="center"/>
      </w:pPr>
      <w:r>
        <w:rPr>
          <w:rFonts w:hint="eastAsia" w:ascii="宋体" w:hAnsi="宋体"/>
          <w:b/>
          <w:bCs/>
          <w:szCs w:val="21"/>
        </w:rPr>
        <w:t>办公区平面布置图</w:t>
      </w:r>
    </w:p>
    <w:p>
      <w:pPr>
        <w:spacing w:line="360" w:lineRule="auto"/>
        <w:ind w:firstLine="480" w:firstLineChars="200"/>
        <w:rPr>
          <w:rFonts w:ascii="宋体" w:hAnsi="宋体"/>
          <w:sz w:val="24"/>
          <w:szCs w:val="24"/>
        </w:rPr>
      </w:pPr>
      <w:r>
        <w:rPr>
          <w:rFonts w:hint="eastAsia" w:ascii="宋体" w:hAnsi="宋体"/>
          <w:sz w:val="24"/>
          <w:szCs w:val="24"/>
        </w:rPr>
        <w:t>2）办公区统一使用装配式打包箱，卫生间亦使用装配式打包箱，做到安拆便利，节省板房搭设时间；每个装配式打包箱内部尺寸规格为5880mm (长)， 2840 mm (宽)，2500 mm (高)。</w:t>
      </w:r>
    </w:p>
    <w:p>
      <w:pPr>
        <w:spacing w:line="360" w:lineRule="auto"/>
        <w:jc w:val="center"/>
      </w:pPr>
      <w:r>
        <w:drawing>
          <wp:inline distT="0" distB="0" distL="114300" distR="114300">
            <wp:extent cx="2376805" cy="1573530"/>
            <wp:effectExtent l="0" t="0" r="635" b="11430"/>
            <wp:docPr id="3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9"/>
                    <pic:cNvPicPr>
                      <a:picLocks noChangeAspect="1"/>
                    </pic:cNvPicPr>
                  </pic:nvPicPr>
                  <pic:blipFill>
                    <a:blip r:embed="rId14"/>
                    <a:stretch>
                      <a:fillRect/>
                    </a:stretch>
                  </pic:blipFill>
                  <pic:spPr>
                    <a:xfrm>
                      <a:off x="0" y="0"/>
                      <a:ext cx="2376805" cy="1573530"/>
                    </a:xfrm>
                    <a:prstGeom prst="rect">
                      <a:avLst/>
                    </a:prstGeom>
                    <a:noFill/>
                    <a:ln>
                      <a:noFill/>
                    </a:ln>
                  </pic:spPr>
                </pic:pic>
              </a:graphicData>
            </a:graphic>
          </wp:inline>
        </w:drawing>
      </w:r>
      <w:r>
        <w:rPr>
          <w:rFonts w:hint="eastAsia"/>
        </w:rPr>
        <w:t xml:space="preserve">   </w:t>
      </w:r>
      <w:r>
        <w:drawing>
          <wp:inline distT="0" distB="0" distL="114300" distR="114300">
            <wp:extent cx="2407920" cy="1800225"/>
            <wp:effectExtent l="0" t="0" r="0" b="13335"/>
            <wp:docPr id="1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0"/>
                    <pic:cNvPicPr>
                      <a:picLocks noChangeAspect="1"/>
                    </pic:cNvPicPr>
                  </pic:nvPicPr>
                  <pic:blipFill>
                    <a:blip r:embed="rId15"/>
                    <a:stretch>
                      <a:fillRect/>
                    </a:stretch>
                  </pic:blipFill>
                  <pic:spPr>
                    <a:xfrm>
                      <a:off x="0" y="0"/>
                      <a:ext cx="2407920" cy="1800225"/>
                    </a:xfrm>
                    <a:prstGeom prst="rect">
                      <a:avLst/>
                    </a:prstGeom>
                    <a:noFill/>
                    <a:ln>
                      <a:noFill/>
                    </a:ln>
                  </pic:spPr>
                </pic:pic>
              </a:graphicData>
            </a:graphic>
          </wp:inline>
        </w:drawing>
      </w:r>
    </w:p>
    <w:p>
      <w:pPr>
        <w:spacing w:line="360" w:lineRule="auto"/>
        <w:ind w:firstLine="1054" w:firstLineChars="500"/>
      </w:pPr>
      <w:r>
        <w:rPr>
          <w:rFonts w:hint="eastAsia" w:ascii="宋体" w:hAnsi="宋体"/>
          <w:b/>
          <w:bCs/>
          <w:szCs w:val="21"/>
        </w:rPr>
        <w:t>办公区装配式打包箱图                    装配式打包箱卫生间图</w:t>
      </w:r>
    </w:p>
    <w:p>
      <w:pPr>
        <w:spacing w:line="360" w:lineRule="auto"/>
        <w:ind w:firstLine="480" w:firstLineChars="200"/>
        <w:rPr>
          <w:rFonts w:ascii="宋体" w:hAnsi="宋体"/>
          <w:sz w:val="24"/>
          <w:szCs w:val="24"/>
        </w:rPr>
      </w:pPr>
      <w:r>
        <w:rPr>
          <w:rFonts w:hint="eastAsia" w:ascii="宋体" w:hAnsi="宋体"/>
          <w:sz w:val="24"/>
          <w:szCs w:val="24"/>
        </w:rPr>
        <w:t>3）管理人员办公区与生活区采用条形基础，基础选用C25混凝土，地基承载力标准按100KPa考虑设计。</w:t>
      </w:r>
    </w:p>
    <w:p>
      <w:pPr>
        <w:spacing w:line="360" w:lineRule="auto"/>
        <w:jc w:val="center"/>
      </w:pPr>
      <w:r>
        <w:drawing>
          <wp:inline distT="0" distB="0" distL="114300" distR="114300">
            <wp:extent cx="3771900" cy="1731645"/>
            <wp:effectExtent l="0" t="0" r="7620" b="5715"/>
            <wp:docPr id="3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1"/>
                    <pic:cNvPicPr>
                      <a:picLocks noChangeAspect="1"/>
                    </pic:cNvPicPr>
                  </pic:nvPicPr>
                  <pic:blipFill>
                    <a:blip r:embed="rId16"/>
                    <a:stretch>
                      <a:fillRect/>
                    </a:stretch>
                  </pic:blipFill>
                  <pic:spPr>
                    <a:xfrm>
                      <a:off x="0" y="0"/>
                      <a:ext cx="3771900" cy="1731645"/>
                    </a:xfrm>
                    <a:prstGeom prst="rect">
                      <a:avLst/>
                    </a:prstGeom>
                    <a:noFill/>
                    <a:ln>
                      <a:noFill/>
                    </a:ln>
                  </pic:spPr>
                </pic:pic>
              </a:graphicData>
            </a:graphic>
          </wp:inline>
        </w:drawing>
      </w:r>
    </w:p>
    <w:p>
      <w:pPr>
        <w:spacing w:line="360" w:lineRule="auto"/>
        <w:jc w:val="center"/>
      </w:pPr>
      <w:r>
        <w:rPr>
          <w:rFonts w:ascii="宋体" w:hAnsi="宋体"/>
          <w:b/>
          <w:bCs/>
          <w:szCs w:val="21"/>
        </w:rPr>
        <w:t>条形基础截面做法</w:t>
      </w:r>
    </w:p>
    <w:p>
      <w:pPr>
        <w:spacing w:line="360" w:lineRule="auto"/>
        <w:ind w:firstLine="480" w:firstLineChars="200"/>
        <w:rPr>
          <w:rFonts w:ascii="宋体" w:hAnsi="宋体"/>
          <w:sz w:val="24"/>
          <w:szCs w:val="24"/>
        </w:rPr>
      </w:pPr>
      <w:r>
        <w:rPr>
          <w:rFonts w:hint="eastAsia" w:ascii="宋体" w:hAnsi="宋体"/>
          <w:sz w:val="24"/>
          <w:szCs w:val="24"/>
        </w:rPr>
        <w:t>4</w:t>
      </w:r>
      <w:r>
        <w:rPr>
          <w:rFonts w:ascii="宋体" w:hAnsi="宋体"/>
          <w:sz w:val="24"/>
          <w:szCs w:val="24"/>
        </w:rPr>
        <w:t>）办公区总体布局应合理，并满足采光通风要求；场内排水系统应完善</w:t>
      </w:r>
      <w:r>
        <w:rPr>
          <w:rFonts w:hint="eastAsia" w:ascii="宋体" w:hAnsi="宋体"/>
          <w:sz w:val="24"/>
          <w:szCs w:val="24"/>
        </w:rPr>
        <w:t>，沿围挡边及每栋板房沿着走廊设置一道砖砌排水沟。300宽、300高，100mm厚C15素混凝土打底，两侧抹10mm厚1：2.5水泥砂浆,0.3%-0.5%找坡</w:t>
      </w:r>
      <w:r>
        <w:rPr>
          <w:rFonts w:ascii="宋体" w:hAnsi="宋体"/>
          <w:sz w:val="24"/>
          <w:szCs w:val="24"/>
        </w:rPr>
        <w:t>。</w:t>
      </w:r>
    </w:p>
    <w:p>
      <w:pPr>
        <w:spacing w:line="360" w:lineRule="auto"/>
        <w:jc w:val="center"/>
        <w:rPr>
          <w:rFonts w:ascii="宋体" w:hAnsi="宋体"/>
          <w:sz w:val="24"/>
          <w:szCs w:val="24"/>
        </w:rPr>
      </w:pPr>
      <w:r>
        <w:drawing>
          <wp:anchor distT="0" distB="0" distL="114300" distR="114300" simplePos="0" relativeHeight="251659264" behindDoc="0" locked="0" layoutInCell="1" allowOverlap="1">
            <wp:simplePos x="0" y="0"/>
            <wp:positionH relativeFrom="margin">
              <wp:align>center</wp:align>
            </wp:positionH>
            <wp:positionV relativeFrom="paragraph">
              <wp:posOffset>269875</wp:posOffset>
            </wp:positionV>
            <wp:extent cx="3193415" cy="1821815"/>
            <wp:effectExtent l="0" t="0" r="6985" b="0"/>
            <wp:wrapTopAndBottom/>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17"/>
                    <a:srcRect b="23293"/>
                    <a:stretch>
                      <a:fillRect/>
                    </a:stretch>
                  </pic:blipFill>
                  <pic:spPr>
                    <a:xfrm>
                      <a:off x="0" y="0"/>
                      <a:ext cx="3193415" cy="1821815"/>
                    </a:xfrm>
                    <a:prstGeom prst="rect">
                      <a:avLst/>
                    </a:prstGeom>
                    <a:noFill/>
                    <a:ln>
                      <a:noFill/>
                    </a:ln>
                  </pic:spPr>
                </pic:pic>
              </a:graphicData>
            </a:graphic>
          </wp:anchor>
        </w:drawing>
      </w:r>
      <w:r>
        <w:rPr>
          <w:rFonts w:hint="eastAsia" w:ascii="宋体" w:hAnsi="宋体"/>
          <w:b/>
          <w:bCs/>
          <w:szCs w:val="21"/>
        </w:rPr>
        <w:t>排水沟</w:t>
      </w:r>
      <w:r>
        <w:rPr>
          <w:rFonts w:ascii="宋体" w:hAnsi="宋体"/>
          <w:b/>
          <w:bCs/>
          <w:szCs w:val="21"/>
        </w:rPr>
        <w:t>截面做法</w:t>
      </w:r>
    </w:p>
    <w:p>
      <w:pPr>
        <w:spacing w:line="360" w:lineRule="auto"/>
        <w:ind w:firstLine="480" w:firstLineChars="200"/>
        <w:rPr>
          <w:rFonts w:ascii="宋体" w:hAnsi="宋体"/>
          <w:sz w:val="24"/>
          <w:szCs w:val="24"/>
        </w:rPr>
      </w:pPr>
      <w:r>
        <w:rPr>
          <w:rFonts w:hint="eastAsia" w:ascii="宋体" w:hAnsi="宋体"/>
          <w:sz w:val="24"/>
          <w:szCs w:val="24"/>
        </w:rPr>
        <w:t>5</w:t>
      </w:r>
      <w:r>
        <w:rPr>
          <w:rFonts w:ascii="宋体" w:hAnsi="宋体"/>
          <w:sz w:val="24"/>
          <w:szCs w:val="24"/>
        </w:rPr>
        <w:t>）办公区消防通道应硬底化且布置需满足消防要求，其它区域应进行绿化或铺设植草砖（透水砖）、彩砖等。</w:t>
      </w:r>
    </w:p>
    <w:p>
      <w:pPr>
        <w:spacing w:line="360" w:lineRule="auto"/>
      </w:pPr>
      <w:r>
        <w:drawing>
          <wp:inline distT="0" distB="0" distL="114300" distR="114300">
            <wp:extent cx="2390775" cy="1800225"/>
            <wp:effectExtent l="0" t="0" r="1905" b="13335"/>
            <wp:docPr id="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2"/>
                    <pic:cNvPicPr>
                      <a:picLocks noChangeAspect="1"/>
                    </pic:cNvPicPr>
                  </pic:nvPicPr>
                  <pic:blipFill>
                    <a:blip r:embed="rId18"/>
                    <a:stretch>
                      <a:fillRect/>
                    </a:stretch>
                  </pic:blipFill>
                  <pic:spPr>
                    <a:xfrm>
                      <a:off x="0" y="0"/>
                      <a:ext cx="2390775" cy="1800225"/>
                    </a:xfrm>
                    <a:prstGeom prst="rect">
                      <a:avLst/>
                    </a:prstGeom>
                    <a:noFill/>
                    <a:ln>
                      <a:noFill/>
                    </a:ln>
                  </pic:spPr>
                </pic:pic>
              </a:graphicData>
            </a:graphic>
          </wp:inline>
        </w:drawing>
      </w:r>
      <w:r>
        <w:rPr>
          <w:rFonts w:hint="eastAsia"/>
        </w:rPr>
        <w:t xml:space="preserve">  </w:t>
      </w:r>
      <w:r>
        <w:drawing>
          <wp:inline distT="0" distB="0" distL="114300" distR="114300">
            <wp:extent cx="2698115" cy="1800225"/>
            <wp:effectExtent l="0" t="0" r="14605" b="13335"/>
            <wp:docPr id="4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3"/>
                    <pic:cNvPicPr>
                      <a:picLocks noChangeAspect="1"/>
                    </pic:cNvPicPr>
                  </pic:nvPicPr>
                  <pic:blipFill>
                    <a:blip r:embed="rId19"/>
                    <a:stretch>
                      <a:fillRect/>
                    </a:stretch>
                  </pic:blipFill>
                  <pic:spPr>
                    <a:xfrm>
                      <a:off x="0" y="0"/>
                      <a:ext cx="2698115" cy="1800225"/>
                    </a:xfrm>
                    <a:prstGeom prst="rect">
                      <a:avLst/>
                    </a:prstGeom>
                    <a:noFill/>
                    <a:ln>
                      <a:noFill/>
                    </a:ln>
                  </pic:spPr>
                </pic:pic>
              </a:graphicData>
            </a:graphic>
          </wp:inline>
        </w:drawing>
      </w:r>
    </w:p>
    <w:p>
      <w:pPr>
        <w:spacing w:line="360" w:lineRule="auto"/>
        <w:ind w:firstLine="843" w:firstLineChars="400"/>
      </w:pPr>
      <w:r>
        <w:rPr>
          <w:rFonts w:hint="eastAsia" w:ascii="宋体" w:hAnsi="宋体"/>
          <w:b/>
          <w:bCs/>
          <w:szCs w:val="21"/>
        </w:rPr>
        <w:t>板房绿化示例                                 透水砖示例</w:t>
      </w:r>
    </w:p>
    <w:p>
      <w:pPr>
        <w:spacing w:line="360" w:lineRule="auto"/>
        <w:rPr>
          <w:rFonts w:ascii="宋体" w:hAnsi="宋体"/>
          <w:b/>
          <w:bCs/>
          <w:sz w:val="24"/>
          <w:szCs w:val="24"/>
        </w:rPr>
      </w:pPr>
      <w:r>
        <w:rPr>
          <w:rFonts w:hint="eastAsia" w:ascii="宋体" w:hAnsi="宋体"/>
          <w:b/>
          <w:bCs/>
          <w:sz w:val="24"/>
          <w:szCs w:val="24"/>
        </w:rPr>
        <w:t>（2）生活区设置要求：</w:t>
      </w:r>
    </w:p>
    <w:p>
      <w:pPr>
        <w:spacing w:line="360" w:lineRule="auto"/>
        <w:ind w:firstLine="480" w:firstLineChars="200"/>
        <w:rPr>
          <w:rFonts w:ascii="宋体" w:hAnsi="宋体"/>
          <w:sz w:val="24"/>
          <w:szCs w:val="24"/>
        </w:rPr>
      </w:pPr>
      <w:r>
        <w:rPr>
          <w:rFonts w:ascii="宋体" w:hAnsi="宋体"/>
          <w:sz w:val="24"/>
          <w:szCs w:val="24"/>
        </w:rPr>
        <w:t>1）生活区应统筹安排，合理布局，</w:t>
      </w:r>
      <w:r>
        <w:rPr>
          <w:rFonts w:hint="eastAsia" w:ascii="宋体" w:hAnsi="宋体"/>
          <w:sz w:val="24"/>
          <w:szCs w:val="24"/>
        </w:rPr>
        <w:t>管理人员生活区建筑面积共3800平方米，共两层，可容纳至少300人食宿；专业分包及工人生活区共15000平方米，共三层，可容纳至少4000人食宿；配备员工食堂、厨房、食库、精品餐厅2间、盥洗室、洗衣房、晾衣棚、单人宿舍、双人宿舍、四人宿舍、篮球场、隔油池、化粪池等。</w:t>
      </w:r>
    </w:p>
    <w:p>
      <w:pPr>
        <w:spacing w:line="360" w:lineRule="auto"/>
      </w:pPr>
      <w:r>
        <w:drawing>
          <wp:inline distT="0" distB="0" distL="114300" distR="114300">
            <wp:extent cx="5271135" cy="3489960"/>
            <wp:effectExtent l="0" t="0" r="1905" b="0"/>
            <wp:docPr id="4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4"/>
                    <pic:cNvPicPr>
                      <a:picLocks noChangeAspect="1"/>
                    </pic:cNvPicPr>
                  </pic:nvPicPr>
                  <pic:blipFill>
                    <a:blip r:embed="rId20"/>
                    <a:stretch>
                      <a:fillRect/>
                    </a:stretch>
                  </pic:blipFill>
                  <pic:spPr>
                    <a:xfrm>
                      <a:off x="0" y="0"/>
                      <a:ext cx="5271135" cy="3489960"/>
                    </a:xfrm>
                    <a:prstGeom prst="rect">
                      <a:avLst/>
                    </a:prstGeom>
                    <a:noFill/>
                    <a:ln>
                      <a:noFill/>
                    </a:ln>
                  </pic:spPr>
                </pic:pic>
              </a:graphicData>
            </a:graphic>
          </wp:inline>
        </w:drawing>
      </w:r>
    </w:p>
    <w:p>
      <w:pPr>
        <w:spacing w:line="360" w:lineRule="auto"/>
        <w:jc w:val="center"/>
        <w:rPr>
          <w:rFonts w:ascii="宋体" w:hAnsi="宋体"/>
          <w:b/>
          <w:bCs/>
          <w:szCs w:val="21"/>
        </w:rPr>
      </w:pPr>
      <w:r>
        <w:rPr>
          <w:rFonts w:hint="eastAsia" w:ascii="宋体" w:hAnsi="宋体"/>
          <w:b/>
          <w:bCs/>
          <w:szCs w:val="21"/>
        </w:rPr>
        <w:t>食堂及餐厅平面布置图</w:t>
      </w:r>
    </w:p>
    <w:p>
      <w:pPr>
        <w:spacing w:line="360" w:lineRule="auto"/>
      </w:pPr>
      <w:r>
        <w:drawing>
          <wp:inline distT="0" distB="0" distL="114300" distR="114300">
            <wp:extent cx="5267960" cy="1395095"/>
            <wp:effectExtent l="0" t="0" r="5080" b="6985"/>
            <wp:docPr id="3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5"/>
                    <pic:cNvPicPr>
                      <a:picLocks noChangeAspect="1"/>
                    </pic:cNvPicPr>
                  </pic:nvPicPr>
                  <pic:blipFill>
                    <a:blip r:embed="rId21"/>
                    <a:stretch>
                      <a:fillRect/>
                    </a:stretch>
                  </pic:blipFill>
                  <pic:spPr>
                    <a:xfrm>
                      <a:off x="0" y="0"/>
                      <a:ext cx="5267960" cy="1395095"/>
                    </a:xfrm>
                    <a:prstGeom prst="rect">
                      <a:avLst/>
                    </a:prstGeom>
                    <a:noFill/>
                    <a:ln>
                      <a:noFill/>
                    </a:ln>
                  </pic:spPr>
                </pic:pic>
              </a:graphicData>
            </a:graphic>
          </wp:inline>
        </w:drawing>
      </w:r>
    </w:p>
    <w:p>
      <w:pPr>
        <w:spacing w:line="360" w:lineRule="auto"/>
        <w:jc w:val="center"/>
      </w:pPr>
      <w:r>
        <w:rPr>
          <w:rFonts w:hint="eastAsia"/>
        </w:rPr>
        <w:t>管理人员生活区平面图</w:t>
      </w:r>
    </w:p>
    <w:p>
      <w:pPr>
        <w:spacing w:line="360" w:lineRule="auto"/>
      </w:pPr>
      <w:r>
        <w:drawing>
          <wp:inline distT="0" distB="0" distL="114300" distR="114300">
            <wp:extent cx="5271135" cy="1718310"/>
            <wp:effectExtent l="0" t="0" r="1905" b="3810"/>
            <wp:docPr id="1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6"/>
                    <pic:cNvPicPr>
                      <a:picLocks noChangeAspect="1"/>
                    </pic:cNvPicPr>
                  </pic:nvPicPr>
                  <pic:blipFill>
                    <a:blip r:embed="rId22"/>
                    <a:stretch>
                      <a:fillRect/>
                    </a:stretch>
                  </pic:blipFill>
                  <pic:spPr>
                    <a:xfrm>
                      <a:off x="0" y="0"/>
                      <a:ext cx="5271135" cy="1718310"/>
                    </a:xfrm>
                    <a:prstGeom prst="rect">
                      <a:avLst/>
                    </a:prstGeom>
                    <a:noFill/>
                    <a:ln>
                      <a:noFill/>
                    </a:ln>
                  </pic:spPr>
                </pic:pic>
              </a:graphicData>
            </a:graphic>
          </wp:inline>
        </w:drawing>
      </w:r>
    </w:p>
    <w:p>
      <w:pPr>
        <w:spacing w:line="360" w:lineRule="auto"/>
        <w:jc w:val="center"/>
      </w:pPr>
      <w:r>
        <w:rPr>
          <w:rFonts w:hint="eastAsia"/>
        </w:rPr>
        <w:t>专业分包及工人生活区平面图</w:t>
      </w:r>
    </w:p>
    <w:p>
      <w:pPr>
        <w:spacing w:line="360" w:lineRule="auto"/>
        <w:ind w:firstLine="480" w:firstLineChars="200"/>
        <w:rPr>
          <w:rFonts w:ascii="宋体" w:hAnsi="宋体"/>
          <w:sz w:val="24"/>
          <w:szCs w:val="24"/>
        </w:rPr>
      </w:pPr>
      <w:r>
        <w:rPr>
          <w:rFonts w:hint="eastAsia" w:ascii="宋体" w:hAnsi="宋体"/>
          <w:sz w:val="24"/>
          <w:szCs w:val="24"/>
        </w:rPr>
        <w:t>2）生活区统一使用装配式打包箱，做到安拆便利，节省板房搭设时间；每个装配式打包箱内部尺寸规格为5880mm (长)， 2840 mm (宽)，2500 mm (高)。</w:t>
      </w:r>
    </w:p>
    <w:p>
      <w:pPr>
        <w:spacing w:line="360" w:lineRule="auto"/>
        <w:jc w:val="center"/>
      </w:pPr>
      <w:r>
        <w:drawing>
          <wp:inline distT="0" distB="0" distL="114300" distR="114300">
            <wp:extent cx="2855595" cy="1866265"/>
            <wp:effectExtent l="0" t="0" r="9525" b="8255"/>
            <wp:docPr id="3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7"/>
                    <pic:cNvPicPr>
                      <a:picLocks noChangeAspect="1"/>
                    </pic:cNvPicPr>
                  </pic:nvPicPr>
                  <pic:blipFill>
                    <a:blip r:embed="rId23"/>
                    <a:stretch>
                      <a:fillRect/>
                    </a:stretch>
                  </pic:blipFill>
                  <pic:spPr>
                    <a:xfrm>
                      <a:off x="0" y="0"/>
                      <a:ext cx="2855595" cy="1866265"/>
                    </a:xfrm>
                    <a:prstGeom prst="rect">
                      <a:avLst/>
                    </a:prstGeom>
                    <a:noFill/>
                    <a:ln>
                      <a:noFill/>
                    </a:ln>
                  </pic:spPr>
                </pic:pic>
              </a:graphicData>
            </a:graphic>
          </wp:inline>
        </w:drawing>
      </w:r>
    </w:p>
    <w:p>
      <w:pPr>
        <w:spacing w:line="360" w:lineRule="auto"/>
        <w:jc w:val="center"/>
      </w:pPr>
      <w:r>
        <w:rPr>
          <w:rFonts w:hint="eastAsia" w:ascii="宋体" w:hAnsi="宋体"/>
          <w:b/>
          <w:bCs/>
          <w:szCs w:val="21"/>
        </w:rPr>
        <w:t>生活区装配式打包箱图</w:t>
      </w:r>
    </w:p>
    <w:p>
      <w:pPr>
        <w:spacing w:line="360" w:lineRule="auto"/>
        <w:ind w:firstLine="480" w:firstLineChars="200"/>
        <w:rPr>
          <w:rFonts w:ascii="宋体" w:hAnsi="宋体"/>
          <w:sz w:val="24"/>
          <w:szCs w:val="24"/>
        </w:rPr>
      </w:pPr>
      <w:r>
        <w:rPr>
          <w:rFonts w:hint="eastAsia" w:ascii="宋体" w:hAnsi="宋体"/>
          <w:sz w:val="24"/>
          <w:szCs w:val="24"/>
        </w:rPr>
        <w:t>3）生活区应</w:t>
      </w:r>
      <w:r>
        <w:rPr>
          <w:rFonts w:ascii="宋体" w:hAnsi="宋体"/>
          <w:sz w:val="24"/>
          <w:szCs w:val="24"/>
        </w:rPr>
        <w:t xml:space="preserve">满足安全、消防、卫生防疫、 环境保护、防汛、防洪等要求。整体规划应因地制宜，节约用地。 </w:t>
      </w:r>
    </w:p>
    <w:p>
      <w:pPr>
        <w:spacing w:line="360" w:lineRule="auto"/>
        <w:ind w:firstLine="480" w:firstLineChars="200"/>
        <w:rPr>
          <w:rFonts w:ascii="宋体" w:hAnsi="宋体"/>
          <w:sz w:val="24"/>
          <w:szCs w:val="24"/>
        </w:rPr>
      </w:pPr>
      <w:r>
        <w:rPr>
          <w:rFonts w:hint="eastAsia" w:ascii="宋体" w:hAnsi="宋体"/>
          <w:sz w:val="24"/>
          <w:szCs w:val="24"/>
        </w:rPr>
        <w:t>4</w:t>
      </w:r>
      <w:r>
        <w:rPr>
          <w:rFonts w:ascii="宋体" w:hAnsi="宋体"/>
          <w:sz w:val="24"/>
          <w:szCs w:val="24"/>
        </w:rPr>
        <w:t xml:space="preserve">）生活区与施工作业区、办公区应划分清晰。 </w:t>
      </w:r>
    </w:p>
    <w:p>
      <w:pPr>
        <w:spacing w:line="360" w:lineRule="auto"/>
        <w:ind w:firstLine="480" w:firstLineChars="200"/>
        <w:rPr>
          <w:rFonts w:ascii="宋体" w:hAnsi="宋体"/>
          <w:sz w:val="24"/>
          <w:szCs w:val="24"/>
        </w:rPr>
      </w:pPr>
      <w:r>
        <w:rPr>
          <w:rFonts w:hint="eastAsia" w:ascii="宋体" w:hAnsi="宋体"/>
          <w:sz w:val="24"/>
          <w:szCs w:val="24"/>
        </w:rPr>
        <w:t>5</w:t>
      </w:r>
      <w:r>
        <w:rPr>
          <w:rFonts w:ascii="宋体" w:hAnsi="宋体"/>
          <w:sz w:val="24"/>
          <w:szCs w:val="24"/>
        </w:rPr>
        <w:t xml:space="preserve">）生活区所有临时板房板材厚度及刚度应满足要求；临时板房在设计中应考虑防台风。 </w:t>
      </w:r>
    </w:p>
    <w:p>
      <w:pPr>
        <w:spacing w:line="360" w:lineRule="auto"/>
        <w:ind w:firstLine="480" w:firstLineChars="200"/>
        <w:rPr>
          <w:rFonts w:ascii="宋体" w:hAnsi="宋体"/>
          <w:sz w:val="24"/>
          <w:szCs w:val="24"/>
        </w:rPr>
      </w:pPr>
      <w:r>
        <w:rPr>
          <w:rFonts w:hint="eastAsia" w:ascii="宋体" w:hAnsi="宋体"/>
          <w:sz w:val="24"/>
          <w:szCs w:val="24"/>
        </w:rPr>
        <w:t>6</w:t>
      </w:r>
      <w:r>
        <w:rPr>
          <w:rFonts w:ascii="宋体" w:hAnsi="宋体"/>
          <w:sz w:val="24"/>
          <w:szCs w:val="24"/>
        </w:rPr>
        <w:t xml:space="preserve">）生活区板房栋与栋之间防火间距不小于3m，消防通道及水源、灭火器材满足要求。 </w:t>
      </w:r>
    </w:p>
    <w:p>
      <w:pPr>
        <w:spacing w:line="360" w:lineRule="auto"/>
        <w:ind w:firstLine="480" w:firstLineChars="200"/>
        <w:rPr>
          <w:rFonts w:ascii="宋体" w:hAnsi="宋体"/>
          <w:sz w:val="24"/>
          <w:szCs w:val="24"/>
        </w:rPr>
      </w:pPr>
      <w:r>
        <w:rPr>
          <w:rFonts w:hint="eastAsia" w:ascii="宋体" w:hAnsi="宋体"/>
          <w:sz w:val="24"/>
          <w:szCs w:val="24"/>
        </w:rPr>
        <w:t>7</w:t>
      </w:r>
      <w:r>
        <w:rPr>
          <w:rFonts w:ascii="宋体" w:hAnsi="宋体"/>
          <w:sz w:val="24"/>
          <w:szCs w:val="24"/>
        </w:rPr>
        <w:t xml:space="preserve">）生活区室外可适当进行绿化或铺设植草砖（透水砖）、彩砖等，非绿化区域和道路应进行硬化，不得有裸露土体。 </w:t>
      </w:r>
    </w:p>
    <w:p>
      <w:pPr>
        <w:ind w:firstLine="480" w:firstLineChars="200"/>
        <w:rPr>
          <w:rFonts w:ascii="宋体" w:hAnsi="宋体"/>
          <w:sz w:val="24"/>
          <w:szCs w:val="24"/>
        </w:rPr>
      </w:pPr>
      <w:r>
        <w:rPr>
          <w:rFonts w:hint="eastAsia" w:ascii="宋体" w:hAnsi="宋体"/>
          <w:sz w:val="24"/>
          <w:szCs w:val="24"/>
        </w:rPr>
        <w:t>8</w:t>
      </w:r>
      <w:r>
        <w:rPr>
          <w:rFonts w:ascii="宋体" w:hAnsi="宋体"/>
          <w:sz w:val="24"/>
          <w:szCs w:val="24"/>
        </w:rPr>
        <w:t>）生活区消防通道应硬底化且布置需满足消防要求。</w:t>
      </w:r>
    </w:p>
    <w:p>
      <w:pPr>
        <w:rPr>
          <w:rFonts w:ascii="宋体" w:hAnsi="宋体"/>
          <w:sz w:val="24"/>
          <w:szCs w:val="24"/>
        </w:rPr>
      </w:pPr>
      <w:r>
        <w:rPr>
          <w:rFonts w:hint="eastAsia" w:ascii="宋体" w:hAnsi="宋体"/>
          <w:b/>
          <w:bCs/>
          <w:sz w:val="24"/>
          <w:szCs w:val="24"/>
        </w:rPr>
        <w:t>（3）大会议室设置要求：</w:t>
      </w:r>
    </w:p>
    <w:p>
      <w:pPr>
        <w:ind w:firstLine="480" w:firstLineChars="200"/>
        <w:rPr>
          <w:rFonts w:ascii="宋体" w:hAnsi="宋体"/>
          <w:sz w:val="24"/>
          <w:szCs w:val="24"/>
        </w:rPr>
      </w:pPr>
      <w:r>
        <w:rPr>
          <w:rFonts w:hint="eastAsia" w:ascii="宋体" w:hAnsi="宋体"/>
          <w:sz w:val="24"/>
          <w:szCs w:val="24"/>
        </w:rPr>
        <w:t>大会议室的建筑面积约600平方米，共两层，可容纳150人参会。配备下列设施设备：</w:t>
      </w:r>
    </w:p>
    <w:tbl>
      <w:tblPr>
        <w:tblStyle w:val="16"/>
        <w:tblW w:w="0" w:type="auto"/>
        <w:jc w:val="center"/>
        <w:tblCellSpacing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58"/>
        <w:gridCol w:w="5159"/>
        <w:gridCol w:w="1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blCellSpacing w:w="0" w:type="dxa"/>
          <w:jc w:val="center"/>
        </w:trPr>
        <w:tc>
          <w:tcPr>
            <w:tcW w:w="958" w:type="dxa"/>
            <w:tcMar>
              <w:top w:w="72" w:type="dxa"/>
              <w:left w:w="144" w:type="dxa"/>
              <w:bottom w:w="72" w:type="dxa"/>
              <w:right w:w="144" w:type="dxa"/>
            </w:tcMar>
          </w:tcPr>
          <w:p>
            <w:pPr>
              <w:pStyle w:val="14"/>
              <w:jc w:val="center"/>
              <w:rPr>
                <w:rFonts w:cs="宋体"/>
                <w:sz w:val="21"/>
                <w:szCs w:val="21"/>
              </w:rPr>
            </w:pPr>
            <w:r>
              <w:rPr>
                <w:rFonts w:hint="eastAsia" w:cs="宋体"/>
                <w:b/>
                <w:bCs/>
                <w:sz w:val="21"/>
                <w:szCs w:val="21"/>
              </w:rPr>
              <w:t>序号</w:t>
            </w:r>
          </w:p>
        </w:tc>
        <w:tc>
          <w:tcPr>
            <w:tcW w:w="5159" w:type="dxa"/>
            <w:tcMar>
              <w:top w:w="72" w:type="dxa"/>
              <w:left w:w="144" w:type="dxa"/>
              <w:bottom w:w="72" w:type="dxa"/>
              <w:right w:w="144" w:type="dxa"/>
            </w:tcMar>
          </w:tcPr>
          <w:p>
            <w:pPr>
              <w:pStyle w:val="14"/>
              <w:jc w:val="center"/>
              <w:rPr>
                <w:rFonts w:cs="宋体"/>
                <w:sz w:val="21"/>
                <w:szCs w:val="21"/>
              </w:rPr>
            </w:pPr>
            <w:r>
              <w:rPr>
                <w:rFonts w:hint="eastAsia" w:cs="宋体"/>
                <w:b/>
                <w:bCs/>
                <w:sz w:val="21"/>
                <w:szCs w:val="21"/>
              </w:rPr>
              <w:t>设施设备名称</w:t>
            </w:r>
          </w:p>
        </w:tc>
        <w:tc>
          <w:tcPr>
            <w:tcW w:w="1101" w:type="dxa"/>
            <w:tcMar>
              <w:top w:w="72" w:type="dxa"/>
              <w:left w:w="144" w:type="dxa"/>
              <w:bottom w:w="72" w:type="dxa"/>
              <w:right w:w="144" w:type="dxa"/>
            </w:tcMar>
          </w:tcPr>
          <w:p>
            <w:pPr>
              <w:pStyle w:val="14"/>
              <w:jc w:val="center"/>
              <w:rPr>
                <w:rFonts w:cs="宋体"/>
                <w:sz w:val="21"/>
                <w:szCs w:val="21"/>
              </w:rPr>
            </w:pPr>
            <w:r>
              <w:rPr>
                <w:rFonts w:hint="eastAsia" w:cs="宋体"/>
                <w:b/>
                <w:bCs/>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jc w:val="center"/>
        </w:trPr>
        <w:tc>
          <w:tcPr>
            <w:tcW w:w="958"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1</w:t>
            </w:r>
          </w:p>
        </w:tc>
        <w:tc>
          <w:tcPr>
            <w:tcW w:w="5159"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台式会议电脑（型号：酷睿i7以上）</w:t>
            </w:r>
          </w:p>
        </w:tc>
        <w:tc>
          <w:tcPr>
            <w:tcW w:w="1101"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jc w:val="center"/>
        </w:trPr>
        <w:tc>
          <w:tcPr>
            <w:tcW w:w="958"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2</w:t>
            </w:r>
          </w:p>
        </w:tc>
        <w:tc>
          <w:tcPr>
            <w:tcW w:w="5159"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LED全彩拼接屏幕(宽6m）</w:t>
            </w:r>
          </w:p>
        </w:tc>
        <w:tc>
          <w:tcPr>
            <w:tcW w:w="1101"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jc w:val="center"/>
        </w:trPr>
        <w:tc>
          <w:tcPr>
            <w:tcW w:w="958"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3</w:t>
            </w:r>
          </w:p>
        </w:tc>
        <w:tc>
          <w:tcPr>
            <w:tcW w:w="5159"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会议功放系统及扩音系统</w:t>
            </w:r>
          </w:p>
        </w:tc>
        <w:tc>
          <w:tcPr>
            <w:tcW w:w="1101"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jc w:val="center"/>
        </w:trPr>
        <w:tc>
          <w:tcPr>
            <w:tcW w:w="958"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4</w:t>
            </w:r>
          </w:p>
        </w:tc>
        <w:tc>
          <w:tcPr>
            <w:tcW w:w="5159"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65寸电视</w:t>
            </w:r>
          </w:p>
        </w:tc>
        <w:tc>
          <w:tcPr>
            <w:tcW w:w="1101"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4台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jc w:val="center"/>
        </w:trPr>
        <w:tc>
          <w:tcPr>
            <w:tcW w:w="958"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5</w:t>
            </w:r>
          </w:p>
        </w:tc>
        <w:tc>
          <w:tcPr>
            <w:tcW w:w="5159"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LED滚动显示屏</w:t>
            </w:r>
          </w:p>
        </w:tc>
        <w:tc>
          <w:tcPr>
            <w:tcW w:w="1101"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jc w:val="center"/>
        </w:trPr>
        <w:tc>
          <w:tcPr>
            <w:tcW w:w="958"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6</w:t>
            </w:r>
          </w:p>
        </w:tc>
        <w:tc>
          <w:tcPr>
            <w:tcW w:w="5159"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会议桌、椅</w:t>
            </w:r>
          </w:p>
        </w:tc>
        <w:tc>
          <w:tcPr>
            <w:tcW w:w="1101"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若干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jc w:val="center"/>
        </w:trPr>
        <w:tc>
          <w:tcPr>
            <w:tcW w:w="958"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7</w:t>
            </w:r>
          </w:p>
        </w:tc>
        <w:tc>
          <w:tcPr>
            <w:tcW w:w="5159"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绿植盆栽</w:t>
            </w:r>
          </w:p>
        </w:tc>
        <w:tc>
          <w:tcPr>
            <w:tcW w:w="1101" w:type="dxa"/>
            <w:tcMar>
              <w:top w:w="72" w:type="dxa"/>
              <w:left w:w="144" w:type="dxa"/>
              <w:bottom w:w="72" w:type="dxa"/>
              <w:right w:w="144" w:type="dxa"/>
            </w:tcMar>
          </w:tcPr>
          <w:p>
            <w:pPr>
              <w:pStyle w:val="14"/>
              <w:jc w:val="center"/>
              <w:rPr>
                <w:rFonts w:cs="宋体"/>
                <w:sz w:val="21"/>
                <w:szCs w:val="21"/>
              </w:rPr>
            </w:pPr>
            <w:r>
              <w:rPr>
                <w:rFonts w:hint="eastAsia" w:cs="宋体"/>
                <w:sz w:val="21"/>
                <w:szCs w:val="21"/>
              </w:rPr>
              <w:t>若干</w:t>
            </w:r>
          </w:p>
        </w:tc>
      </w:tr>
    </w:tbl>
    <w:p>
      <w:r>
        <w:drawing>
          <wp:inline distT="0" distB="0" distL="114300" distR="114300">
            <wp:extent cx="5335270" cy="2160270"/>
            <wp:effectExtent l="52705" t="138430" r="67945" b="139700"/>
            <wp:docPr id="43" name="图片 28" descr="大会议室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8" descr="大会议室_00"/>
                    <pic:cNvPicPr>
                      <a:picLocks noChangeAspect="1"/>
                    </pic:cNvPicPr>
                  </pic:nvPicPr>
                  <pic:blipFill>
                    <a:blip r:embed="rId24"/>
                    <a:srcRect l="1028" t="21381" b="21954"/>
                    <a:stretch>
                      <a:fillRect/>
                    </a:stretch>
                  </pic:blipFill>
                  <pic:spPr>
                    <a:xfrm rot="180000">
                      <a:off x="0" y="0"/>
                      <a:ext cx="5335270" cy="2160270"/>
                    </a:xfrm>
                    <a:prstGeom prst="rect">
                      <a:avLst/>
                    </a:prstGeom>
                    <a:noFill/>
                    <a:ln>
                      <a:noFill/>
                    </a:ln>
                  </pic:spPr>
                </pic:pic>
              </a:graphicData>
            </a:graphic>
          </wp:inline>
        </w:drawing>
      </w:r>
    </w:p>
    <w:p>
      <w:pPr>
        <w:jc w:val="center"/>
      </w:pPr>
      <w:r>
        <w:rPr>
          <w:rFonts w:hint="eastAsia" w:ascii="宋体" w:hAnsi="宋体"/>
          <w:b/>
          <w:bCs/>
          <w:szCs w:val="21"/>
        </w:rPr>
        <w:t>大会议室平面布置图</w:t>
      </w:r>
    </w:p>
    <w:p>
      <w:pPr>
        <w:ind w:firstLine="480" w:firstLineChars="200"/>
        <w:jc w:val="center"/>
        <w:rPr>
          <w:rFonts w:hint="eastAsia" w:ascii="宋体" w:hAnsi="宋体" w:eastAsia="宋体"/>
          <w:sz w:val="24"/>
          <w:szCs w:val="24"/>
          <w:lang w:eastAsia="zh-CN"/>
        </w:rPr>
      </w:pPr>
      <w:r>
        <w:rPr>
          <w:rFonts w:hint="eastAsia" w:ascii="宋体" w:hAnsi="宋体" w:eastAsia="宋体"/>
          <w:sz w:val="24"/>
          <w:szCs w:val="24"/>
          <w:lang w:eastAsia="zh-CN"/>
        </w:rPr>
        <w:drawing>
          <wp:inline distT="0" distB="0" distL="114300" distR="114300">
            <wp:extent cx="3431540" cy="2576195"/>
            <wp:effectExtent l="0" t="0" r="12700" b="14605"/>
            <wp:docPr id="60" name="图片 60"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WPS图片(1)"/>
                    <pic:cNvPicPr>
                      <a:picLocks noChangeAspect="1"/>
                    </pic:cNvPicPr>
                  </pic:nvPicPr>
                  <pic:blipFill>
                    <a:blip r:embed="rId25"/>
                    <a:stretch>
                      <a:fillRect/>
                    </a:stretch>
                  </pic:blipFill>
                  <pic:spPr>
                    <a:xfrm>
                      <a:off x="0" y="0"/>
                      <a:ext cx="3431540" cy="2576195"/>
                    </a:xfrm>
                    <a:prstGeom prst="rect">
                      <a:avLst/>
                    </a:prstGeom>
                  </pic:spPr>
                </pic:pic>
              </a:graphicData>
            </a:graphic>
          </wp:inline>
        </w:drawing>
      </w:r>
    </w:p>
    <w:p>
      <w:pPr>
        <w:jc w:val="center"/>
      </w:pPr>
      <w:r>
        <w:rPr>
          <w:rFonts w:hint="eastAsia" w:ascii="宋体" w:hAnsi="宋体"/>
          <w:b/>
          <w:bCs/>
          <w:szCs w:val="21"/>
        </w:rPr>
        <w:t>大会议室效果图</w:t>
      </w:r>
    </w:p>
    <w:p>
      <w:pPr>
        <w:ind w:firstLine="482" w:firstLineChars="200"/>
        <w:rPr>
          <w:rFonts w:ascii="宋体" w:hAnsi="宋体"/>
          <w:sz w:val="24"/>
          <w:szCs w:val="24"/>
        </w:rPr>
      </w:pPr>
      <w:r>
        <w:rPr>
          <w:rFonts w:hint="eastAsia" w:ascii="宋体" w:hAnsi="宋体"/>
          <w:b/>
          <w:bCs/>
          <w:sz w:val="24"/>
          <w:szCs w:val="24"/>
        </w:rPr>
        <w:t>（4）作战指挥中心设置要求：</w:t>
      </w:r>
    </w:p>
    <w:p>
      <w:pPr>
        <w:ind w:firstLine="480" w:firstLineChars="200"/>
        <w:rPr>
          <w:rFonts w:ascii="宋体" w:hAnsi="宋体"/>
          <w:sz w:val="24"/>
          <w:szCs w:val="24"/>
        </w:rPr>
      </w:pPr>
      <w:r>
        <w:rPr>
          <w:rFonts w:hint="eastAsia" w:ascii="宋体" w:hAnsi="宋体"/>
          <w:sz w:val="24"/>
          <w:szCs w:val="24"/>
        </w:rPr>
        <w:t>作战指挥中心建筑面积约170平方米，共一层，可容纳30人参会。配备下列设施设备：</w:t>
      </w:r>
    </w:p>
    <w:tbl>
      <w:tblPr>
        <w:tblStyle w:val="16"/>
        <w:tblW w:w="0" w:type="auto"/>
        <w:jc w:val="center"/>
        <w:tblCellSpacing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46"/>
        <w:gridCol w:w="1555"/>
        <w:gridCol w:w="2564"/>
        <w:gridCol w:w="808"/>
        <w:gridCol w:w="7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tcMar>
              <w:top w:w="10" w:type="dxa"/>
              <w:left w:w="10" w:type="dxa"/>
              <w:right w:w="10" w:type="dxa"/>
            </w:tcMar>
            <w:vAlign w:val="center"/>
          </w:tcPr>
          <w:p>
            <w:pPr>
              <w:pStyle w:val="14"/>
              <w:jc w:val="center"/>
              <w:rPr>
                <w:rFonts w:cs="宋体"/>
              </w:rPr>
            </w:pPr>
            <w:r>
              <w:rPr>
                <w:rFonts w:hint="eastAsia" w:cs="宋体"/>
                <w:b/>
                <w:bCs/>
                <w:sz w:val="20"/>
                <w:szCs w:val="20"/>
              </w:rPr>
              <w:t>序号</w:t>
            </w:r>
          </w:p>
        </w:tc>
        <w:tc>
          <w:tcPr>
            <w:tcW w:w="1555" w:type="dxa"/>
            <w:tcMar>
              <w:top w:w="10" w:type="dxa"/>
              <w:left w:w="10" w:type="dxa"/>
              <w:right w:w="10" w:type="dxa"/>
            </w:tcMar>
            <w:vAlign w:val="center"/>
          </w:tcPr>
          <w:p>
            <w:pPr>
              <w:pStyle w:val="14"/>
              <w:jc w:val="center"/>
              <w:rPr>
                <w:rFonts w:cs="宋体"/>
              </w:rPr>
            </w:pPr>
            <w:r>
              <w:rPr>
                <w:rFonts w:hint="eastAsia" w:cs="宋体"/>
                <w:b/>
                <w:bCs/>
                <w:sz w:val="20"/>
                <w:szCs w:val="20"/>
              </w:rPr>
              <w:t>模块</w:t>
            </w:r>
          </w:p>
        </w:tc>
        <w:tc>
          <w:tcPr>
            <w:tcW w:w="2564" w:type="dxa"/>
            <w:tcMar>
              <w:top w:w="10" w:type="dxa"/>
              <w:left w:w="10" w:type="dxa"/>
              <w:right w:w="10" w:type="dxa"/>
            </w:tcMar>
            <w:vAlign w:val="center"/>
          </w:tcPr>
          <w:p>
            <w:pPr>
              <w:pStyle w:val="14"/>
              <w:jc w:val="center"/>
              <w:rPr>
                <w:rFonts w:cs="宋体"/>
              </w:rPr>
            </w:pPr>
            <w:r>
              <w:rPr>
                <w:rFonts w:hint="eastAsia" w:cs="宋体"/>
                <w:b/>
                <w:bCs/>
                <w:sz w:val="20"/>
                <w:szCs w:val="20"/>
              </w:rPr>
              <w:t>设施设备名称</w:t>
            </w:r>
          </w:p>
        </w:tc>
        <w:tc>
          <w:tcPr>
            <w:tcW w:w="808" w:type="dxa"/>
            <w:tcMar>
              <w:top w:w="10" w:type="dxa"/>
              <w:left w:w="10" w:type="dxa"/>
              <w:right w:w="10" w:type="dxa"/>
            </w:tcMar>
            <w:vAlign w:val="center"/>
          </w:tcPr>
          <w:p>
            <w:pPr>
              <w:pStyle w:val="14"/>
              <w:jc w:val="center"/>
              <w:rPr>
                <w:rFonts w:cs="宋体"/>
              </w:rPr>
            </w:pPr>
            <w:r>
              <w:rPr>
                <w:rFonts w:hint="eastAsia" w:cs="宋体"/>
                <w:b/>
                <w:bCs/>
                <w:sz w:val="20"/>
                <w:szCs w:val="20"/>
              </w:rPr>
              <w:t>单位</w:t>
            </w:r>
          </w:p>
        </w:tc>
        <w:tc>
          <w:tcPr>
            <w:tcW w:w="747" w:type="dxa"/>
            <w:tcMar>
              <w:top w:w="10" w:type="dxa"/>
              <w:left w:w="10" w:type="dxa"/>
              <w:right w:w="10" w:type="dxa"/>
            </w:tcMar>
            <w:vAlign w:val="center"/>
          </w:tcPr>
          <w:p>
            <w:pPr>
              <w:pStyle w:val="14"/>
              <w:jc w:val="center"/>
              <w:rPr>
                <w:rFonts w:cs="宋体"/>
              </w:rPr>
            </w:pPr>
            <w:r>
              <w:rPr>
                <w:rFonts w:hint="eastAsia" w:cs="宋体"/>
                <w:b/>
                <w:bCs/>
                <w:sz w:val="20"/>
                <w:szCs w:val="20"/>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restart"/>
            <w:tcMar>
              <w:top w:w="10" w:type="dxa"/>
              <w:left w:w="10" w:type="dxa"/>
              <w:right w:w="10" w:type="dxa"/>
            </w:tcMar>
            <w:vAlign w:val="center"/>
          </w:tcPr>
          <w:p>
            <w:pPr>
              <w:pStyle w:val="14"/>
              <w:rPr>
                <w:rFonts w:cs="宋体"/>
              </w:rPr>
            </w:pPr>
            <w:r>
              <w:rPr>
                <w:rFonts w:hint="eastAsia" w:cs="宋体"/>
                <w:sz w:val="20"/>
                <w:szCs w:val="20"/>
              </w:rPr>
              <w:t>1</w:t>
            </w:r>
          </w:p>
        </w:tc>
        <w:tc>
          <w:tcPr>
            <w:tcW w:w="1555" w:type="dxa"/>
            <w:vMerge w:val="restart"/>
            <w:tcMar>
              <w:top w:w="10" w:type="dxa"/>
              <w:left w:w="10" w:type="dxa"/>
              <w:right w:w="10" w:type="dxa"/>
            </w:tcMar>
            <w:vAlign w:val="center"/>
          </w:tcPr>
          <w:p>
            <w:pPr>
              <w:pStyle w:val="14"/>
              <w:rPr>
                <w:rFonts w:cs="宋体"/>
              </w:rPr>
            </w:pPr>
            <w:r>
              <w:rPr>
                <w:rFonts w:hint="eastAsia" w:cs="宋体"/>
                <w:sz w:val="20"/>
                <w:szCs w:val="20"/>
              </w:rPr>
              <w:t>工程作战指挥系统</w:t>
            </w:r>
          </w:p>
        </w:tc>
        <w:tc>
          <w:tcPr>
            <w:tcW w:w="2564" w:type="dxa"/>
            <w:tcMar>
              <w:top w:w="10" w:type="dxa"/>
              <w:left w:w="10" w:type="dxa"/>
              <w:right w:w="10" w:type="dxa"/>
            </w:tcMar>
            <w:vAlign w:val="center"/>
          </w:tcPr>
          <w:p>
            <w:pPr>
              <w:pStyle w:val="14"/>
              <w:rPr>
                <w:rFonts w:cs="宋体"/>
              </w:rPr>
            </w:pPr>
            <w:r>
              <w:rPr>
                <w:rFonts w:hint="eastAsia" w:cs="宋体"/>
                <w:sz w:val="20"/>
                <w:szCs w:val="20"/>
              </w:rPr>
              <w:t>55寸拼接屏</w:t>
            </w:r>
          </w:p>
        </w:tc>
        <w:tc>
          <w:tcPr>
            <w:tcW w:w="808" w:type="dxa"/>
            <w:tcMar>
              <w:top w:w="10" w:type="dxa"/>
              <w:left w:w="10" w:type="dxa"/>
              <w:right w:w="10" w:type="dxa"/>
            </w:tcMar>
            <w:vAlign w:val="center"/>
          </w:tcPr>
          <w:p>
            <w:pPr>
              <w:pStyle w:val="14"/>
              <w:rPr>
                <w:rFonts w:cs="宋体"/>
              </w:rPr>
            </w:pPr>
            <w:r>
              <w:rPr>
                <w:rFonts w:hint="eastAsia" w:cs="宋体"/>
                <w:sz w:val="20"/>
                <w:szCs w:val="20"/>
              </w:rPr>
              <w:t>块</w:t>
            </w:r>
          </w:p>
        </w:tc>
        <w:tc>
          <w:tcPr>
            <w:tcW w:w="747" w:type="dxa"/>
            <w:tcMar>
              <w:top w:w="10" w:type="dxa"/>
              <w:left w:w="10" w:type="dxa"/>
              <w:right w:w="10" w:type="dxa"/>
            </w:tcMar>
            <w:vAlign w:val="center"/>
          </w:tcPr>
          <w:p>
            <w:pPr>
              <w:pStyle w:val="14"/>
              <w:rPr>
                <w:rFonts w:cs="宋体"/>
              </w:rPr>
            </w:pPr>
            <w:r>
              <w:rPr>
                <w:rFonts w:hint="eastAsia" w:cs="宋体"/>
                <w:sz w:val="20"/>
                <w:szCs w:val="20"/>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continue"/>
            <w:tcMar>
              <w:top w:w="10" w:type="dxa"/>
              <w:left w:w="10" w:type="dxa"/>
              <w:right w:w="10" w:type="dxa"/>
            </w:tcMar>
            <w:vAlign w:val="center"/>
          </w:tcPr>
          <w:p>
            <w:pPr>
              <w:rPr>
                <w:rFonts w:ascii="宋体" w:hAnsi="宋体" w:cs="宋体"/>
                <w:sz w:val="24"/>
                <w:szCs w:val="24"/>
              </w:rPr>
            </w:pPr>
          </w:p>
        </w:tc>
        <w:tc>
          <w:tcPr>
            <w:tcW w:w="1555" w:type="dxa"/>
            <w:vMerge w:val="continue"/>
            <w:tcMar>
              <w:top w:w="10" w:type="dxa"/>
              <w:left w:w="10" w:type="dxa"/>
              <w:right w:w="10" w:type="dxa"/>
            </w:tcMar>
            <w:vAlign w:val="center"/>
          </w:tcPr>
          <w:p>
            <w:pPr>
              <w:rPr>
                <w:rFonts w:ascii="宋体" w:hAnsi="宋体" w:cs="宋体"/>
                <w:sz w:val="24"/>
                <w:szCs w:val="24"/>
              </w:rPr>
            </w:pPr>
          </w:p>
        </w:tc>
        <w:tc>
          <w:tcPr>
            <w:tcW w:w="2564" w:type="dxa"/>
            <w:tcMar>
              <w:top w:w="10" w:type="dxa"/>
              <w:left w:w="10" w:type="dxa"/>
              <w:right w:w="10" w:type="dxa"/>
            </w:tcMar>
            <w:vAlign w:val="center"/>
          </w:tcPr>
          <w:p>
            <w:pPr>
              <w:pStyle w:val="14"/>
              <w:rPr>
                <w:rFonts w:cs="宋体"/>
              </w:rPr>
            </w:pPr>
            <w:r>
              <w:rPr>
                <w:rFonts w:hint="eastAsia" w:cs="宋体"/>
                <w:sz w:val="20"/>
                <w:szCs w:val="20"/>
              </w:rPr>
              <w:t>图形处理器</w:t>
            </w:r>
          </w:p>
        </w:tc>
        <w:tc>
          <w:tcPr>
            <w:tcW w:w="808" w:type="dxa"/>
            <w:tcMar>
              <w:top w:w="10" w:type="dxa"/>
              <w:left w:w="10" w:type="dxa"/>
              <w:right w:w="10" w:type="dxa"/>
            </w:tcMar>
            <w:vAlign w:val="center"/>
          </w:tcPr>
          <w:p>
            <w:pPr>
              <w:pStyle w:val="14"/>
              <w:rPr>
                <w:rFonts w:cs="宋体"/>
              </w:rPr>
            </w:pPr>
            <w:r>
              <w:rPr>
                <w:rFonts w:hint="eastAsia" w:cs="宋体"/>
                <w:sz w:val="20"/>
                <w:szCs w:val="20"/>
              </w:rPr>
              <w:t>台</w:t>
            </w:r>
          </w:p>
        </w:tc>
        <w:tc>
          <w:tcPr>
            <w:tcW w:w="747" w:type="dxa"/>
            <w:tcMar>
              <w:top w:w="10" w:type="dxa"/>
              <w:left w:w="10" w:type="dxa"/>
              <w:right w:w="10" w:type="dxa"/>
            </w:tcMar>
            <w:vAlign w:val="center"/>
          </w:tcPr>
          <w:p>
            <w:pPr>
              <w:pStyle w:val="14"/>
              <w:rPr>
                <w:rFonts w:cs="宋体"/>
              </w:rPr>
            </w:pPr>
            <w:r>
              <w:rPr>
                <w:rFonts w:hint="eastAsia" w:cs="宋体"/>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continue"/>
            <w:tcMar>
              <w:top w:w="10" w:type="dxa"/>
              <w:left w:w="10" w:type="dxa"/>
              <w:right w:w="10" w:type="dxa"/>
            </w:tcMar>
            <w:vAlign w:val="center"/>
          </w:tcPr>
          <w:p>
            <w:pPr>
              <w:rPr>
                <w:rFonts w:ascii="宋体" w:hAnsi="宋体" w:cs="宋体"/>
                <w:sz w:val="24"/>
                <w:szCs w:val="24"/>
              </w:rPr>
            </w:pPr>
          </w:p>
        </w:tc>
        <w:tc>
          <w:tcPr>
            <w:tcW w:w="1555" w:type="dxa"/>
            <w:vMerge w:val="continue"/>
            <w:tcMar>
              <w:top w:w="10" w:type="dxa"/>
              <w:left w:w="10" w:type="dxa"/>
              <w:right w:w="10" w:type="dxa"/>
            </w:tcMar>
            <w:vAlign w:val="center"/>
          </w:tcPr>
          <w:p>
            <w:pPr>
              <w:rPr>
                <w:rFonts w:ascii="宋体" w:hAnsi="宋体" w:cs="宋体"/>
                <w:sz w:val="24"/>
                <w:szCs w:val="24"/>
              </w:rPr>
            </w:pPr>
          </w:p>
        </w:tc>
        <w:tc>
          <w:tcPr>
            <w:tcW w:w="2564" w:type="dxa"/>
            <w:tcMar>
              <w:top w:w="10" w:type="dxa"/>
              <w:left w:w="10" w:type="dxa"/>
              <w:right w:w="10" w:type="dxa"/>
            </w:tcMar>
            <w:vAlign w:val="center"/>
          </w:tcPr>
          <w:p>
            <w:pPr>
              <w:pStyle w:val="14"/>
              <w:rPr>
                <w:rFonts w:cs="宋体"/>
              </w:rPr>
            </w:pPr>
            <w:r>
              <w:rPr>
                <w:rFonts w:hint="eastAsia" w:cs="宋体"/>
                <w:sz w:val="20"/>
                <w:szCs w:val="20"/>
              </w:rPr>
              <w:t>多媒体播控系统</w:t>
            </w:r>
          </w:p>
        </w:tc>
        <w:tc>
          <w:tcPr>
            <w:tcW w:w="808" w:type="dxa"/>
            <w:tcMar>
              <w:top w:w="10" w:type="dxa"/>
              <w:left w:w="10" w:type="dxa"/>
              <w:right w:w="10" w:type="dxa"/>
            </w:tcMar>
            <w:vAlign w:val="center"/>
          </w:tcPr>
          <w:p>
            <w:pPr>
              <w:pStyle w:val="14"/>
              <w:rPr>
                <w:rFonts w:cs="宋体"/>
              </w:rPr>
            </w:pPr>
            <w:r>
              <w:rPr>
                <w:rFonts w:hint="eastAsia" w:cs="宋体"/>
                <w:sz w:val="20"/>
                <w:szCs w:val="20"/>
              </w:rPr>
              <w:t>通道</w:t>
            </w:r>
          </w:p>
        </w:tc>
        <w:tc>
          <w:tcPr>
            <w:tcW w:w="747" w:type="dxa"/>
            <w:tcMar>
              <w:top w:w="10" w:type="dxa"/>
              <w:left w:w="10" w:type="dxa"/>
              <w:right w:w="10" w:type="dxa"/>
            </w:tcMar>
            <w:vAlign w:val="center"/>
          </w:tcPr>
          <w:p>
            <w:pPr>
              <w:pStyle w:val="14"/>
              <w:rPr>
                <w:rFonts w:cs="宋体"/>
              </w:rPr>
            </w:pPr>
            <w:r>
              <w:rPr>
                <w:rFonts w:hint="eastAsia" w:cs="宋体"/>
                <w:sz w:val="20"/>
                <w:szCs w:val="20"/>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continue"/>
            <w:tcMar>
              <w:top w:w="10" w:type="dxa"/>
              <w:left w:w="10" w:type="dxa"/>
              <w:right w:w="10" w:type="dxa"/>
            </w:tcMar>
            <w:vAlign w:val="center"/>
          </w:tcPr>
          <w:p>
            <w:pPr>
              <w:rPr>
                <w:rFonts w:ascii="宋体" w:hAnsi="宋体" w:cs="宋体"/>
                <w:sz w:val="24"/>
                <w:szCs w:val="24"/>
              </w:rPr>
            </w:pPr>
          </w:p>
        </w:tc>
        <w:tc>
          <w:tcPr>
            <w:tcW w:w="1555" w:type="dxa"/>
            <w:vMerge w:val="continue"/>
            <w:tcMar>
              <w:top w:w="10" w:type="dxa"/>
              <w:left w:w="10" w:type="dxa"/>
              <w:right w:w="10" w:type="dxa"/>
            </w:tcMar>
            <w:vAlign w:val="center"/>
          </w:tcPr>
          <w:p>
            <w:pPr>
              <w:rPr>
                <w:rFonts w:ascii="宋体" w:hAnsi="宋体" w:cs="宋体"/>
                <w:sz w:val="24"/>
                <w:szCs w:val="24"/>
              </w:rPr>
            </w:pPr>
          </w:p>
        </w:tc>
        <w:tc>
          <w:tcPr>
            <w:tcW w:w="2564" w:type="dxa"/>
            <w:tcMar>
              <w:top w:w="10" w:type="dxa"/>
              <w:left w:w="10" w:type="dxa"/>
              <w:right w:w="10" w:type="dxa"/>
            </w:tcMar>
            <w:vAlign w:val="center"/>
          </w:tcPr>
          <w:p>
            <w:pPr>
              <w:pStyle w:val="14"/>
              <w:rPr>
                <w:rFonts w:cs="宋体"/>
              </w:rPr>
            </w:pPr>
            <w:r>
              <w:rPr>
                <w:rFonts w:hint="eastAsia" w:cs="宋体"/>
                <w:sz w:val="20"/>
                <w:szCs w:val="20"/>
              </w:rPr>
              <w:t>音响</w:t>
            </w:r>
          </w:p>
        </w:tc>
        <w:tc>
          <w:tcPr>
            <w:tcW w:w="808" w:type="dxa"/>
            <w:tcMar>
              <w:top w:w="10" w:type="dxa"/>
              <w:left w:w="10" w:type="dxa"/>
              <w:right w:w="10" w:type="dxa"/>
            </w:tcMar>
            <w:vAlign w:val="center"/>
          </w:tcPr>
          <w:p>
            <w:pPr>
              <w:pStyle w:val="14"/>
              <w:rPr>
                <w:rFonts w:cs="宋体"/>
              </w:rPr>
            </w:pPr>
            <w:r>
              <w:rPr>
                <w:rFonts w:hint="eastAsia" w:cs="宋体"/>
                <w:sz w:val="20"/>
                <w:szCs w:val="20"/>
              </w:rPr>
              <w:t>台</w:t>
            </w:r>
          </w:p>
        </w:tc>
        <w:tc>
          <w:tcPr>
            <w:tcW w:w="747" w:type="dxa"/>
            <w:tcMar>
              <w:top w:w="10" w:type="dxa"/>
              <w:left w:w="10" w:type="dxa"/>
              <w:right w:w="10" w:type="dxa"/>
            </w:tcMar>
            <w:vAlign w:val="center"/>
          </w:tcPr>
          <w:p>
            <w:pPr>
              <w:pStyle w:val="14"/>
              <w:rPr>
                <w:rFonts w:cs="宋体"/>
              </w:rPr>
            </w:pPr>
            <w:r>
              <w:rPr>
                <w:rFonts w:hint="eastAsia" w:cs="宋体"/>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continue"/>
            <w:tcMar>
              <w:top w:w="10" w:type="dxa"/>
              <w:left w:w="10" w:type="dxa"/>
              <w:right w:w="10" w:type="dxa"/>
            </w:tcMar>
            <w:vAlign w:val="center"/>
          </w:tcPr>
          <w:p>
            <w:pPr>
              <w:rPr>
                <w:rFonts w:ascii="宋体" w:hAnsi="宋体" w:cs="宋体"/>
                <w:sz w:val="24"/>
                <w:szCs w:val="24"/>
              </w:rPr>
            </w:pPr>
          </w:p>
        </w:tc>
        <w:tc>
          <w:tcPr>
            <w:tcW w:w="1555" w:type="dxa"/>
            <w:vMerge w:val="continue"/>
            <w:tcMar>
              <w:top w:w="10" w:type="dxa"/>
              <w:left w:w="10" w:type="dxa"/>
              <w:right w:w="10" w:type="dxa"/>
            </w:tcMar>
            <w:vAlign w:val="center"/>
          </w:tcPr>
          <w:p>
            <w:pPr>
              <w:rPr>
                <w:rFonts w:ascii="宋体" w:hAnsi="宋体" w:cs="宋体"/>
                <w:sz w:val="24"/>
                <w:szCs w:val="24"/>
              </w:rPr>
            </w:pPr>
          </w:p>
        </w:tc>
        <w:tc>
          <w:tcPr>
            <w:tcW w:w="2564" w:type="dxa"/>
            <w:tcMar>
              <w:top w:w="10" w:type="dxa"/>
              <w:left w:w="10" w:type="dxa"/>
              <w:right w:w="10" w:type="dxa"/>
            </w:tcMar>
            <w:vAlign w:val="center"/>
          </w:tcPr>
          <w:p>
            <w:pPr>
              <w:pStyle w:val="14"/>
              <w:rPr>
                <w:rFonts w:cs="宋体"/>
              </w:rPr>
            </w:pPr>
            <w:r>
              <w:rPr>
                <w:rFonts w:hint="eastAsia" w:cs="宋体"/>
                <w:sz w:val="20"/>
                <w:szCs w:val="20"/>
              </w:rPr>
              <w:t>功放</w:t>
            </w:r>
          </w:p>
        </w:tc>
        <w:tc>
          <w:tcPr>
            <w:tcW w:w="808" w:type="dxa"/>
            <w:tcMar>
              <w:top w:w="10" w:type="dxa"/>
              <w:left w:w="10" w:type="dxa"/>
              <w:right w:w="10" w:type="dxa"/>
            </w:tcMar>
            <w:vAlign w:val="center"/>
          </w:tcPr>
          <w:p>
            <w:pPr>
              <w:pStyle w:val="14"/>
              <w:rPr>
                <w:rFonts w:cs="宋体"/>
              </w:rPr>
            </w:pPr>
            <w:r>
              <w:rPr>
                <w:rFonts w:hint="eastAsia" w:cs="宋体"/>
                <w:sz w:val="20"/>
                <w:szCs w:val="20"/>
              </w:rPr>
              <w:t>台</w:t>
            </w:r>
          </w:p>
        </w:tc>
        <w:tc>
          <w:tcPr>
            <w:tcW w:w="747" w:type="dxa"/>
            <w:tcMar>
              <w:top w:w="10" w:type="dxa"/>
              <w:left w:w="10" w:type="dxa"/>
              <w:right w:w="10" w:type="dxa"/>
            </w:tcMar>
            <w:vAlign w:val="center"/>
          </w:tcPr>
          <w:p>
            <w:pPr>
              <w:pStyle w:val="14"/>
              <w:rPr>
                <w:rFonts w:cs="宋体"/>
              </w:rPr>
            </w:pPr>
            <w:r>
              <w:rPr>
                <w:rFonts w:hint="eastAsia" w:cs="宋体"/>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continue"/>
            <w:tcMar>
              <w:top w:w="10" w:type="dxa"/>
              <w:left w:w="10" w:type="dxa"/>
              <w:right w:w="10" w:type="dxa"/>
            </w:tcMar>
            <w:vAlign w:val="center"/>
          </w:tcPr>
          <w:p>
            <w:pPr>
              <w:rPr>
                <w:rFonts w:ascii="宋体" w:hAnsi="宋体" w:cs="宋体"/>
                <w:sz w:val="24"/>
                <w:szCs w:val="24"/>
              </w:rPr>
            </w:pPr>
          </w:p>
        </w:tc>
        <w:tc>
          <w:tcPr>
            <w:tcW w:w="1555" w:type="dxa"/>
            <w:vMerge w:val="continue"/>
            <w:tcMar>
              <w:top w:w="10" w:type="dxa"/>
              <w:left w:w="10" w:type="dxa"/>
              <w:right w:w="10" w:type="dxa"/>
            </w:tcMar>
            <w:vAlign w:val="center"/>
          </w:tcPr>
          <w:p>
            <w:pPr>
              <w:rPr>
                <w:rFonts w:ascii="宋体" w:hAnsi="宋体" w:cs="宋体"/>
                <w:sz w:val="24"/>
                <w:szCs w:val="24"/>
              </w:rPr>
            </w:pPr>
          </w:p>
        </w:tc>
        <w:tc>
          <w:tcPr>
            <w:tcW w:w="2564" w:type="dxa"/>
            <w:tcMar>
              <w:top w:w="10" w:type="dxa"/>
              <w:left w:w="10" w:type="dxa"/>
              <w:right w:w="10" w:type="dxa"/>
            </w:tcMar>
            <w:vAlign w:val="center"/>
          </w:tcPr>
          <w:p>
            <w:pPr>
              <w:pStyle w:val="14"/>
              <w:rPr>
                <w:rFonts w:cs="宋体"/>
              </w:rPr>
            </w:pPr>
            <w:r>
              <w:rPr>
                <w:rFonts w:hint="eastAsia" w:cs="宋体"/>
                <w:sz w:val="20"/>
                <w:szCs w:val="20"/>
              </w:rPr>
              <w:t>调音台</w:t>
            </w:r>
          </w:p>
        </w:tc>
        <w:tc>
          <w:tcPr>
            <w:tcW w:w="808" w:type="dxa"/>
            <w:tcMar>
              <w:top w:w="10" w:type="dxa"/>
              <w:left w:w="10" w:type="dxa"/>
              <w:right w:w="10" w:type="dxa"/>
            </w:tcMar>
            <w:vAlign w:val="center"/>
          </w:tcPr>
          <w:p>
            <w:pPr>
              <w:pStyle w:val="14"/>
              <w:rPr>
                <w:rFonts w:cs="宋体"/>
              </w:rPr>
            </w:pPr>
            <w:r>
              <w:rPr>
                <w:rFonts w:hint="eastAsia" w:cs="宋体"/>
                <w:sz w:val="20"/>
                <w:szCs w:val="20"/>
              </w:rPr>
              <w:t>台</w:t>
            </w:r>
          </w:p>
        </w:tc>
        <w:tc>
          <w:tcPr>
            <w:tcW w:w="747" w:type="dxa"/>
            <w:tcMar>
              <w:top w:w="10" w:type="dxa"/>
              <w:left w:w="10" w:type="dxa"/>
              <w:right w:w="10" w:type="dxa"/>
            </w:tcMar>
            <w:vAlign w:val="center"/>
          </w:tcPr>
          <w:p>
            <w:pPr>
              <w:pStyle w:val="14"/>
              <w:rPr>
                <w:rFonts w:cs="宋体"/>
              </w:rPr>
            </w:pPr>
            <w:r>
              <w:rPr>
                <w:rFonts w:hint="eastAsia" w:cs="宋体"/>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continue"/>
            <w:tcMar>
              <w:top w:w="10" w:type="dxa"/>
              <w:left w:w="10" w:type="dxa"/>
              <w:right w:w="10" w:type="dxa"/>
            </w:tcMar>
            <w:vAlign w:val="center"/>
          </w:tcPr>
          <w:p>
            <w:pPr>
              <w:rPr>
                <w:rFonts w:ascii="宋体" w:hAnsi="宋体" w:cs="宋体"/>
                <w:sz w:val="24"/>
                <w:szCs w:val="24"/>
              </w:rPr>
            </w:pPr>
          </w:p>
        </w:tc>
        <w:tc>
          <w:tcPr>
            <w:tcW w:w="1555" w:type="dxa"/>
            <w:vMerge w:val="continue"/>
            <w:tcMar>
              <w:top w:w="10" w:type="dxa"/>
              <w:left w:w="10" w:type="dxa"/>
              <w:right w:w="10" w:type="dxa"/>
            </w:tcMar>
            <w:vAlign w:val="center"/>
          </w:tcPr>
          <w:p>
            <w:pPr>
              <w:rPr>
                <w:rFonts w:ascii="宋体" w:hAnsi="宋体" w:cs="宋体"/>
                <w:sz w:val="24"/>
                <w:szCs w:val="24"/>
              </w:rPr>
            </w:pPr>
          </w:p>
        </w:tc>
        <w:tc>
          <w:tcPr>
            <w:tcW w:w="2564" w:type="dxa"/>
            <w:tcMar>
              <w:top w:w="10" w:type="dxa"/>
              <w:left w:w="10" w:type="dxa"/>
              <w:right w:w="10" w:type="dxa"/>
            </w:tcMar>
            <w:vAlign w:val="center"/>
          </w:tcPr>
          <w:p>
            <w:pPr>
              <w:pStyle w:val="14"/>
              <w:rPr>
                <w:rFonts w:cs="宋体"/>
              </w:rPr>
            </w:pPr>
            <w:r>
              <w:rPr>
                <w:rFonts w:hint="eastAsia" w:cs="宋体"/>
                <w:sz w:val="20"/>
                <w:szCs w:val="20"/>
              </w:rPr>
              <w:t>一拖四无线会议话筒</w:t>
            </w:r>
          </w:p>
        </w:tc>
        <w:tc>
          <w:tcPr>
            <w:tcW w:w="808" w:type="dxa"/>
            <w:tcMar>
              <w:top w:w="10" w:type="dxa"/>
              <w:left w:w="10" w:type="dxa"/>
              <w:right w:w="10" w:type="dxa"/>
            </w:tcMar>
            <w:vAlign w:val="center"/>
          </w:tcPr>
          <w:p>
            <w:pPr>
              <w:pStyle w:val="14"/>
              <w:rPr>
                <w:rFonts w:cs="宋体"/>
              </w:rPr>
            </w:pPr>
            <w:r>
              <w:rPr>
                <w:rFonts w:hint="eastAsia" w:cs="宋体"/>
                <w:sz w:val="20"/>
                <w:szCs w:val="20"/>
              </w:rPr>
              <w:t>套</w:t>
            </w:r>
          </w:p>
        </w:tc>
        <w:tc>
          <w:tcPr>
            <w:tcW w:w="747" w:type="dxa"/>
            <w:tcMar>
              <w:top w:w="10" w:type="dxa"/>
              <w:left w:w="10" w:type="dxa"/>
              <w:right w:w="10" w:type="dxa"/>
            </w:tcMar>
            <w:vAlign w:val="center"/>
          </w:tcPr>
          <w:p>
            <w:pPr>
              <w:pStyle w:val="14"/>
              <w:rPr>
                <w:rFonts w:cs="宋体"/>
              </w:rPr>
            </w:pPr>
            <w:r>
              <w:rPr>
                <w:rFonts w:hint="eastAsia" w:cs="宋体"/>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restart"/>
            <w:tcMar>
              <w:top w:w="10" w:type="dxa"/>
              <w:left w:w="10" w:type="dxa"/>
              <w:right w:w="10" w:type="dxa"/>
            </w:tcMar>
            <w:vAlign w:val="center"/>
          </w:tcPr>
          <w:p>
            <w:pPr>
              <w:pStyle w:val="14"/>
              <w:rPr>
                <w:rFonts w:cs="宋体"/>
              </w:rPr>
            </w:pPr>
            <w:r>
              <w:rPr>
                <w:rFonts w:hint="eastAsia" w:cs="宋体"/>
                <w:sz w:val="20"/>
                <w:szCs w:val="20"/>
              </w:rPr>
              <w:t>2</w:t>
            </w:r>
          </w:p>
        </w:tc>
        <w:tc>
          <w:tcPr>
            <w:tcW w:w="1555" w:type="dxa"/>
            <w:vMerge w:val="restart"/>
            <w:tcMar>
              <w:top w:w="10" w:type="dxa"/>
              <w:left w:w="10" w:type="dxa"/>
              <w:right w:w="10" w:type="dxa"/>
            </w:tcMar>
            <w:vAlign w:val="center"/>
          </w:tcPr>
          <w:p>
            <w:pPr>
              <w:pStyle w:val="14"/>
              <w:rPr>
                <w:rFonts w:cs="宋体"/>
              </w:rPr>
            </w:pPr>
            <w:r>
              <w:rPr>
                <w:rFonts w:hint="eastAsia" w:cs="宋体"/>
                <w:sz w:val="20"/>
                <w:szCs w:val="20"/>
              </w:rPr>
              <w:t>虚拟样板展示</w:t>
            </w:r>
          </w:p>
        </w:tc>
        <w:tc>
          <w:tcPr>
            <w:tcW w:w="2564" w:type="dxa"/>
            <w:tcMar>
              <w:top w:w="10" w:type="dxa"/>
              <w:left w:w="10" w:type="dxa"/>
              <w:right w:w="10" w:type="dxa"/>
            </w:tcMar>
            <w:vAlign w:val="center"/>
          </w:tcPr>
          <w:p>
            <w:pPr>
              <w:pStyle w:val="14"/>
              <w:rPr>
                <w:rFonts w:cs="宋体"/>
              </w:rPr>
            </w:pPr>
            <w:r>
              <w:rPr>
                <w:rFonts w:hint="eastAsia" w:cs="宋体"/>
                <w:sz w:val="20"/>
                <w:szCs w:val="20"/>
              </w:rPr>
              <w:t>75寸液晶屏</w:t>
            </w:r>
          </w:p>
        </w:tc>
        <w:tc>
          <w:tcPr>
            <w:tcW w:w="808" w:type="dxa"/>
            <w:tcMar>
              <w:top w:w="10" w:type="dxa"/>
              <w:left w:w="10" w:type="dxa"/>
              <w:right w:w="10" w:type="dxa"/>
            </w:tcMar>
            <w:vAlign w:val="center"/>
          </w:tcPr>
          <w:p>
            <w:pPr>
              <w:pStyle w:val="14"/>
              <w:rPr>
                <w:rFonts w:cs="宋体"/>
              </w:rPr>
            </w:pPr>
            <w:r>
              <w:rPr>
                <w:rFonts w:hint="eastAsia" w:cs="宋体"/>
                <w:sz w:val="20"/>
                <w:szCs w:val="20"/>
              </w:rPr>
              <w:t>台</w:t>
            </w:r>
          </w:p>
        </w:tc>
        <w:tc>
          <w:tcPr>
            <w:tcW w:w="747" w:type="dxa"/>
            <w:tcMar>
              <w:top w:w="10" w:type="dxa"/>
              <w:left w:w="10" w:type="dxa"/>
              <w:right w:w="10" w:type="dxa"/>
            </w:tcMar>
            <w:vAlign w:val="center"/>
          </w:tcPr>
          <w:p>
            <w:pPr>
              <w:pStyle w:val="14"/>
              <w:rPr>
                <w:rFonts w:cs="宋体"/>
              </w:rPr>
            </w:pPr>
            <w:r>
              <w:rPr>
                <w:rFonts w:hint="eastAsia" w:cs="宋体"/>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continue"/>
            <w:tcMar>
              <w:top w:w="10" w:type="dxa"/>
              <w:left w:w="10" w:type="dxa"/>
              <w:right w:w="10" w:type="dxa"/>
            </w:tcMar>
            <w:vAlign w:val="center"/>
          </w:tcPr>
          <w:p>
            <w:pPr>
              <w:rPr>
                <w:rFonts w:ascii="宋体" w:hAnsi="宋体" w:cs="宋体"/>
                <w:sz w:val="24"/>
                <w:szCs w:val="24"/>
              </w:rPr>
            </w:pPr>
          </w:p>
        </w:tc>
        <w:tc>
          <w:tcPr>
            <w:tcW w:w="1555" w:type="dxa"/>
            <w:vMerge w:val="continue"/>
            <w:tcMar>
              <w:top w:w="10" w:type="dxa"/>
              <w:left w:w="10" w:type="dxa"/>
              <w:right w:w="10" w:type="dxa"/>
            </w:tcMar>
            <w:vAlign w:val="center"/>
          </w:tcPr>
          <w:p>
            <w:pPr>
              <w:rPr>
                <w:rFonts w:ascii="宋体" w:hAnsi="宋体" w:cs="宋体"/>
                <w:sz w:val="24"/>
                <w:szCs w:val="24"/>
              </w:rPr>
            </w:pPr>
          </w:p>
        </w:tc>
        <w:tc>
          <w:tcPr>
            <w:tcW w:w="2564" w:type="dxa"/>
            <w:tcMar>
              <w:top w:w="10" w:type="dxa"/>
              <w:left w:w="10" w:type="dxa"/>
              <w:right w:w="10" w:type="dxa"/>
            </w:tcMar>
            <w:vAlign w:val="center"/>
          </w:tcPr>
          <w:p>
            <w:pPr>
              <w:pStyle w:val="14"/>
              <w:rPr>
                <w:rFonts w:cs="宋体"/>
              </w:rPr>
            </w:pPr>
            <w:r>
              <w:rPr>
                <w:rFonts w:hint="eastAsia" w:cs="宋体"/>
                <w:sz w:val="20"/>
                <w:szCs w:val="20"/>
              </w:rPr>
              <w:t>空灵讲台</w:t>
            </w:r>
          </w:p>
        </w:tc>
        <w:tc>
          <w:tcPr>
            <w:tcW w:w="808" w:type="dxa"/>
            <w:tcMar>
              <w:top w:w="10" w:type="dxa"/>
              <w:left w:w="10" w:type="dxa"/>
              <w:right w:w="10" w:type="dxa"/>
            </w:tcMar>
            <w:vAlign w:val="center"/>
          </w:tcPr>
          <w:p>
            <w:pPr>
              <w:pStyle w:val="14"/>
              <w:rPr>
                <w:rFonts w:cs="宋体"/>
              </w:rPr>
            </w:pPr>
            <w:r>
              <w:rPr>
                <w:rFonts w:hint="eastAsia" w:cs="宋体"/>
                <w:sz w:val="20"/>
                <w:szCs w:val="20"/>
              </w:rPr>
              <w:t>台</w:t>
            </w:r>
          </w:p>
        </w:tc>
        <w:tc>
          <w:tcPr>
            <w:tcW w:w="747" w:type="dxa"/>
            <w:tcMar>
              <w:top w:w="10" w:type="dxa"/>
              <w:left w:w="10" w:type="dxa"/>
              <w:right w:w="10" w:type="dxa"/>
            </w:tcMar>
            <w:vAlign w:val="center"/>
          </w:tcPr>
          <w:p>
            <w:pPr>
              <w:pStyle w:val="14"/>
              <w:rPr>
                <w:rFonts w:cs="宋体"/>
              </w:rPr>
            </w:pPr>
            <w:r>
              <w:rPr>
                <w:rFonts w:hint="eastAsia" w:cs="宋体"/>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continue"/>
            <w:tcMar>
              <w:top w:w="10" w:type="dxa"/>
              <w:left w:w="10" w:type="dxa"/>
              <w:right w:w="10" w:type="dxa"/>
            </w:tcMar>
            <w:vAlign w:val="center"/>
          </w:tcPr>
          <w:p>
            <w:pPr>
              <w:rPr>
                <w:rFonts w:ascii="宋体" w:hAnsi="宋体" w:cs="宋体"/>
                <w:sz w:val="24"/>
                <w:szCs w:val="24"/>
              </w:rPr>
            </w:pPr>
          </w:p>
        </w:tc>
        <w:tc>
          <w:tcPr>
            <w:tcW w:w="1555" w:type="dxa"/>
            <w:vMerge w:val="continue"/>
            <w:tcMar>
              <w:top w:w="10" w:type="dxa"/>
              <w:left w:w="10" w:type="dxa"/>
              <w:right w:w="10" w:type="dxa"/>
            </w:tcMar>
            <w:vAlign w:val="center"/>
          </w:tcPr>
          <w:p>
            <w:pPr>
              <w:rPr>
                <w:rFonts w:ascii="宋体" w:hAnsi="宋体" w:cs="宋体"/>
                <w:sz w:val="24"/>
                <w:szCs w:val="24"/>
              </w:rPr>
            </w:pPr>
          </w:p>
        </w:tc>
        <w:tc>
          <w:tcPr>
            <w:tcW w:w="2564" w:type="dxa"/>
            <w:tcMar>
              <w:top w:w="10" w:type="dxa"/>
              <w:left w:w="10" w:type="dxa"/>
              <w:right w:w="10" w:type="dxa"/>
            </w:tcMar>
            <w:vAlign w:val="center"/>
          </w:tcPr>
          <w:p>
            <w:pPr>
              <w:pStyle w:val="14"/>
              <w:rPr>
                <w:rFonts w:cs="宋体"/>
              </w:rPr>
            </w:pPr>
            <w:r>
              <w:rPr>
                <w:rFonts w:hint="eastAsia" w:cs="宋体"/>
                <w:sz w:val="20"/>
                <w:szCs w:val="20"/>
              </w:rPr>
              <w:t>互动软件</w:t>
            </w:r>
          </w:p>
        </w:tc>
        <w:tc>
          <w:tcPr>
            <w:tcW w:w="808" w:type="dxa"/>
            <w:tcMar>
              <w:top w:w="10" w:type="dxa"/>
              <w:left w:w="10" w:type="dxa"/>
              <w:right w:w="10" w:type="dxa"/>
            </w:tcMar>
            <w:vAlign w:val="center"/>
          </w:tcPr>
          <w:p>
            <w:pPr>
              <w:pStyle w:val="14"/>
              <w:rPr>
                <w:rFonts w:cs="宋体"/>
              </w:rPr>
            </w:pPr>
            <w:r>
              <w:rPr>
                <w:rFonts w:hint="eastAsia" w:cs="宋体"/>
                <w:sz w:val="20"/>
                <w:szCs w:val="20"/>
              </w:rPr>
              <w:t>套</w:t>
            </w:r>
          </w:p>
        </w:tc>
        <w:tc>
          <w:tcPr>
            <w:tcW w:w="747" w:type="dxa"/>
            <w:tcMar>
              <w:top w:w="10" w:type="dxa"/>
              <w:left w:w="10" w:type="dxa"/>
              <w:right w:w="10" w:type="dxa"/>
            </w:tcMar>
            <w:vAlign w:val="center"/>
          </w:tcPr>
          <w:p>
            <w:pPr>
              <w:pStyle w:val="14"/>
              <w:rPr>
                <w:rFonts w:cs="宋体"/>
              </w:rPr>
            </w:pPr>
            <w:r>
              <w:rPr>
                <w:rFonts w:hint="eastAsia" w:cs="宋体"/>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blCellSpacing w:w="0" w:type="dxa"/>
          <w:jc w:val="center"/>
        </w:trPr>
        <w:tc>
          <w:tcPr>
            <w:tcW w:w="646" w:type="dxa"/>
            <w:vMerge w:val="continue"/>
            <w:tcMar>
              <w:top w:w="10" w:type="dxa"/>
              <w:left w:w="10" w:type="dxa"/>
              <w:right w:w="10" w:type="dxa"/>
            </w:tcMar>
            <w:vAlign w:val="center"/>
          </w:tcPr>
          <w:p>
            <w:pPr>
              <w:rPr>
                <w:rFonts w:ascii="宋体" w:hAnsi="宋体" w:cs="宋体"/>
                <w:sz w:val="24"/>
                <w:szCs w:val="24"/>
              </w:rPr>
            </w:pPr>
          </w:p>
        </w:tc>
        <w:tc>
          <w:tcPr>
            <w:tcW w:w="1555" w:type="dxa"/>
            <w:vMerge w:val="continue"/>
            <w:tcMar>
              <w:top w:w="10" w:type="dxa"/>
              <w:left w:w="10" w:type="dxa"/>
              <w:right w:w="10" w:type="dxa"/>
            </w:tcMar>
            <w:vAlign w:val="center"/>
          </w:tcPr>
          <w:p>
            <w:pPr>
              <w:rPr>
                <w:rFonts w:ascii="宋体" w:hAnsi="宋体" w:cs="宋体"/>
                <w:sz w:val="24"/>
                <w:szCs w:val="24"/>
              </w:rPr>
            </w:pPr>
          </w:p>
        </w:tc>
        <w:tc>
          <w:tcPr>
            <w:tcW w:w="2564" w:type="dxa"/>
            <w:tcMar>
              <w:top w:w="10" w:type="dxa"/>
              <w:left w:w="10" w:type="dxa"/>
              <w:right w:w="10" w:type="dxa"/>
            </w:tcMar>
            <w:vAlign w:val="center"/>
          </w:tcPr>
          <w:p>
            <w:pPr>
              <w:pStyle w:val="14"/>
              <w:rPr>
                <w:rFonts w:cs="宋体"/>
              </w:rPr>
            </w:pPr>
            <w:r>
              <w:rPr>
                <w:rFonts w:hint="eastAsia" w:cs="宋体"/>
                <w:sz w:val="20"/>
                <w:szCs w:val="20"/>
              </w:rPr>
              <w:t>音响</w:t>
            </w:r>
          </w:p>
        </w:tc>
        <w:tc>
          <w:tcPr>
            <w:tcW w:w="808" w:type="dxa"/>
            <w:tcMar>
              <w:top w:w="10" w:type="dxa"/>
              <w:left w:w="10" w:type="dxa"/>
              <w:right w:w="10" w:type="dxa"/>
            </w:tcMar>
            <w:vAlign w:val="center"/>
          </w:tcPr>
          <w:p>
            <w:pPr>
              <w:pStyle w:val="14"/>
              <w:rPr>
                <w:rFonts w:cs="宋体"/>
              </w:rPr>
            </w:pPr>
            <w:r>
              <w:rPr>
                <w:rFonts w:hint="eastAsia" w:cs="宋体"/>
                <w:sz w:val="20"/>
                <w:szCs w:val="20"/>
              </w:rPr>
              <w:t>台</w:t>
            </w:r>
          </w:p>
        </w:tc>
        <w:tc>
          <w:tcPr>
            <w:tcW w:w="747" w:type="dxa"/>
            <w:tcMar>
              <w:top w:w="10" w:type="dxa"/>
              <w:left w:w="10" w:type="dxa"/>
              <w:right w:w="10" w:type="dxa"/>
            </w:tcMar>
            <w:vAlign w:val="center"/>
          </w:tcPr>
          <w:p>
            <w:pPr>
              <w:pStyle w:val="14"/>
              <w:rPr>
                <w:rFonts w:cs="宋体"/>
              </w:rPr>
            </w:pPr>
            <w:r>
              <w:rPr>
                <w:rFonts w:hint="eastAsia" w:cs="宋体"/>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continue"/>
            <w:tcMar>
              <w:top w:w="10" w:type="dxa"/>
              <w:left w:w="10" w:type="dxa"/>
              <w:right w:w="10" w:type="dxa"/>
            </w:tcMar>
            <w:vAlign w:val="center"/>
          </w:tcPr>
          <w:p>
            <w:pPr>
              <w:rPr>
                <w:rFonts w:ascii="宋体" w:hAnsi="宋体" w:cs="宋体"/>
                <w:sz w:val="24"/>
                <w:szCs w:val="24"/>
              </w:rPr>
            </w:pPr>
          </w:p>
        </w:tc>
        <w:tc>
          <w:tcPr>
            <w:tcW w:w="1555" w:type="dxa"/>
            <w:vMerge w:val="continue"/>
            <w:tcMar>
              <w:top w:w="10" w:type="dxa"/>
              <w:left w:w="10" w:type="dxa"/>
              <w:right w:w="10" w:type="dxa"/>
            </w:tcMar>
            <w:vAlign w:val="center"/>
          </w:tcPr>
          <w:p>
            <w:pPr>
              <w:rPr>
                <w:rFonts w:ascii="宋体" w:hAnsi="宋体" w:cs="宋体"/>
                <w:sz w:val="24"/>
                <w:szCs w:val="24"/>
              </w:rPr>
            </w:pPr>
          </w:p>
        </w:tc>
        <w:tc>
          <w:tcPr>
            <w:tcW w:w="2564" w:type="dxa"/>
            <w:tcMar>
              <w:top w:w="10" w:type="dxa"/>
              <w:left w:w="10" w:type="dxa"/>
              <w:right w:w="10" w:type="dxa"/>
            </w:tcMar>
            <w:vAlign w:val="center"/>
          </w:tcPr>
          <w:p>
            <w:pPr>
              <w:pStyle w:val="14"/>
              <w:rPr>
                <w:rFonts w:cs="宋体"/>
              </w:rPr>
            </w:pPr>
            <w:r>
              <w:rPr>
                <w:rFonts w:hint="eastAsia" w:cs="宋体"/>
                <w:sz w:val="20"/>
                <w:szCs w:val="20"/>
              </w:rPr>
              <w:t>功放</w:t>
            </w:r>
          </w:p>
        </w:tc>
        <w:tc>
          <w:tcPr>
            <w:tcW w:w="808" w:type="dxa"/>
            <w:tcMar>
              <w:top w:w="10" w:type="dxa"/>
              <w:left w:w="10" w:type="dxa"/>
              <w:right w:w="10" w:type="dxa"/>
            </w:tcMar>
            <w:vAlign w:val="center"/>
          </w:tcPr>
          <w:p>
            <w:pPr>
              <w:pStyle w:val="14"/>
              <w:rPr>
                <w:rFonts w:cs="宋体"/>
              </w:rPr>
            </w:pPr>
            <w:r>
              <w:rPr>
                <w:rFonts w:hint="eastAsia" w:cs="宋体"/>
                <w:sz w:val="20"/>
                <w:szCs w:val="20"/>
              </w:rPr>
              <w:t>台</w:t>
            </w:r>
          </w:p>
        </w:tc>
        <w:tc>
          <w:tcPr>
            <w:tcW w:w="747" w:type="dxa"/>
            <w:tcMar>
              <w:top w:w="10" w:type="dxa"/>
              <w:left w:w="10" w:type="dxa"/>
              <w:right w:w="10" w:type="dxa"/>
            </w:tcMar>
            <w:vAlign w:val="center"/>
          </w:tcPr>
          <w:p>
            <w:pPr>
              <w:pStyle w:val="14"/>
              <w:rPr>
                <w:rFonts w:cs="宋体"/>
              </w:rPr>
            </w:pPr>
            <w:r>
              <w:rPr>
                <w:rFonts w:hint="eastAsia" w:cs="宋体"/>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restart"/>
            <w:tcMar>
              <w:top w:w="10" w:type="dxa"/>
              <w:left w:w="10" w:type="dxa"/>
              <w:right w:w="10" w:type="dxa"/>
            </w:tcMar>
            <w:vAlign w:val="center"/>
          </w:tcPr>
          <w:p>
            <w:pPr>
              <w:pStyle w:val="14"/>
              <w:rPr>
                <w:rFonts w:cs="宋体"/>
              </w:rPr>
            </w:pPr>
            <w:r>
              <w:rPr>
                <w:rFonts w:hint="eastAsia" w:cs="宋体"/>
                <w:sz w:val="20"/>
                <w:szCs w:val="20"/>
              </w:rPr>
              <w:t>3</w:t>
            </w:r>
          </w:p>
        </w:tc>
        <w:tc>
          <w:tcPr>
            <w:tcW w:w="1555" w:type="dxa"/>
            <w:vMerge w:val="restart"/>
            <w:tcMar>
              <w:top w:w="10" w:type="dxa"/>
              <w:left w:w="10" w:type="dxa"/>
              <w:right w:w="10" w:type="dxa"/>
            </w:tcMar>
            <w:vAlign w:val="center"/>
          </w:tcPr>
          <w:p>
            <w:pPr>
              <w:pStyle w:val="14"/>
              <w:rPr>
                <w:rFonts w:cs="宋体"/>
              </w:rPr>
            </w:pPr>
            <w:r>
              <w:rPr>
                <w:rFonts w:hint="eastAsia" w:cs="宋体"/>
                <w:sz w:val="20"/>
                <w:szCs w:val="20"/>
              </w:rPr>
              <w:t>绿色施工（互动投影墙）</w:t>
            </w:r>
          </w:p>
        </w:tc>
        <w:tc>
          <w:tcPr>
            <w:tcW w:w="2564" w:type="dxa"/>
            <w:tcMar>
              <w:top w:w="10" w:type="dxa"/>
              <w:left w:w="10" w:type="dxa"/>
              <w:right w:w="10" w:type="dxa"/>
            </w:tcMar>
            <w:vAlign w:val="center"/>
          </w:tcPr>
          <w:p>
            <w:pPr>
              <w:pStyle w:val="14"/>
              <w:rPr>
                <w:rFonts w:cs="宋体"/>
              </w:rPr>
            </w:pPr>
            <w:r>
              <w:rPr>
                <w:rFonts w:hint="eastAsia" w:cs="宋体"/>
                <w:sz w:val="20"/>
                <w:szCs w:val="20"/>
              </w:rPr>
              <w:t>投影机</w:t>
            </w:r>
          </w:p>
        </w:tc>
        <w:tc>
          <w:tcPr>
            <w:tcW w:w="808" w:type="dxa"/>
            <w:tcMar>
              <w:top w:w="10" w:type="dxa"/>
              <w:left w:w="10" w:type="dxa"/>
              <w:right w:w="10" w:type="dxa"/>
            </w:tcMar>
            <w:vAlign w:val="center"/>
          </w:tcPr>
          <w:p>
            <w:pPr>
              <w:pStyle w:val="14"/>
              <w:rPr>
                <w:rFonts w:cs="宋体"/>
              </w:rPr>
            </w:pPr>
            <w:r>
              <w:rPr>
                <w:rFonts w:hint="eastAsia" w:cs="宋体"/>
                <w:sz w:val="20"/>
                <w:szCs w:val="20"/>
              </w:rPr>
              <w:t>台</w:t>
            </w:r>
          </w:p>
        </w:tc>
        <w:tc>
          <w:tcPr>
            <w:tcW w:w="747" w:type="dxa"/>
            <w:tcMar>
              <w:top w:w="10" w:type="dxa"/>
              <w:left w:w="10" w:type="dxa"/>
              <w:right w:w="10" w:type="dxa"/>
            </w:tcMar>
            <w:vAlign w:val="center"/>
          </w:tcPr>
          <w:p>
            <w:pPr>
              <w:pStyle w:val="14"/>
              <w:rPr>
                <w:rFonts w:cs="宋体"/>
              </w:rPr>
            </w:pPr>
            <w:r>
              <w:rPr>
                <w:rFonts w:hint="eastAsia" w:cs="宋体"/>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continue"/>
            <w:tcMar>
              <w:top w:w="10" w:type="dxa"/>
              <w:left w:w="10" w:type="dxa"/>
              <w:right w:w="10" w:type="dxa"/>
            </w:tcMar>
            <w:vAlign w:val="center"/>
          </w:tcPr>
          <w:p>
            <w:pPr>
              <w:rPr>
                <w:rFonts w:ascii="宋体" w:hAnsi="宋体" w:cs="宋体"/>
                <w:sz w:val="24"/>
                <w:szCs w:val="24"/>
              </w:rPr>
            </w:pPr>
          </w:p>
        </w:tc>
        <w:tc>
          <w:tcPr>
            <w:tcW w:w="1555" w:type="dxa"/>
            <w:vMerge w:val="continue"/>
            <w:tcMar>
              <w:top w:w="10" w:type="dxa"/>
              <w:left w:w="10" w:type="dxa"/>
              <w:right w:w="10" w:type="dxa"/>
            </w:tcMar>
            <w:vAlign w:val="center"/>
          </w:tcPr>
          <w:p>
            <w:pPr>
              <w:rPr>
                <w:rFonts w:ascii="宋体" w:hAnsi="宋体" w:cs="宋体"/>
                <w:sz w:val="24"/>
                <w:szCs w:val="24"/>
              </w:rPr>
            </w:pPr>
          </w:p>
        </w:tc>
        <w:tc>
          <w:tcPr>
            <w:tcW w:w="2564" w:type="dxa"/>
            <w:tcMar>
              <w:top w:w="10" w:type="dxa"/>
              <w:left w:w="10" w:type="dxa"/>
              <w:right w:w="10" w:type="dxa"/>
            </w:tcMar>
            <w:vAlign w:val="center"/>
          </w:tcPr>
          <w:p>
            <w:pPr>
              <w:pStyle w:val="14"/>
              <w:rPr>
                <w:rFonts w:cs="宋体"/>
              </w:rPr>
            </w:pPr>
            <w:r>
              <w:rPr>
                <w:rFonts w:hint="eastAsia" w:cs="宋体"/>
                <w:sz w:val="20"/>
                <w:szCs w:val="20"/>
              </w:rPr>
              <w:t>图形处理器</w:t>
            </w:r>
          </w:p>
        </w:tc>
        <w:tc>
          <w:tcPr>
            <w:tcW w:w="808" w:type="dxa"/>
            <w:tcMar>
              <w:top w:w="10" w:type="dxa"/>
              <w:left w:w="10" w:type="dxa"/>
              <w:right w:w="10" w:type="dxa"/>
            </w:tcMar>
            <w:vAlign w:val="center"/>
          </w:tcPr>
          <w:p>
            <w:pPr>
              <w:pStyle w:val="14"/>
              <w:rPr>
                <w:rFonts w:cs="宋体"/>
              </w:rPr>
            </w:pPr>
            <w:r>
              <w:rPr>
                <w:rFonts w:hint="eastAsia" w:cs="宋体"/>
                <w:sz w:val="20"/>
                <w:szCs w:val="20"/>
              </w:rPr>
              <w:t>台</w:t>
            </w:r>
          </w:p>
        </w:tc>
        <w:tc>
          <w:tcPr>
            <w:tcW w:w="747" w:type="dxa"/>
            <w:tcMar>
              <w:top w:w="10" w:type="dxa"/>
              <w:left w:w="10" w:type="dxa"/>
              <w:right w:w="10" w:type="dxa"/>
            </w:tcMar>
            <w:vAlign w:val="center"/>
          </w:tcPr>
          <w:p>
            <w:pPr>
              <w:pStyle w:val="14"/>
              <w:rPr>
                <w:rFonts w:cs="宋体"/>
              </w:rPr>
            </w:pPr>
            <w:r>
              <w:rPr>
                <w:rFonts w:hint="eastAsia" w:cs="宋体"/>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continue"/>
            <w:tcMar>
              <w:top w:w="10" w:type="dxa"/>
              <w:left w:w="10" w:type="dxa"/>
              <w:right w:w="10" w:type="dxa"/>
            </w:tcMar>
            <w:vAlign w:val="center"/>
          </w:tcPr>
          <w:p>
            <w:pPr>
              <w:rPr>
                <w:rFonts w:ascii="宋体" w:hAnsi="宋体" w:cs="宋体"/>
                <w:sz w:val="24"/>
                <w:szCs w:val="24"/>
              </w:rPr>
            </w:pPr>
          </w:p>
        </w:tc>
        <w:tc>
          <w:tcPr>
            <w:tcW w:w="1555" w:type="dxa"/>
            <w:vMerge w:val="continue"/>
            <w:tcMar>
              <w:top w:w="10" w:type="dxa"/>
              <w:left w:w="10" w:type="dxa"/>
              <w:right w:w="10" w:type="dxa"/>
            </w:tcMar>
            <w:vAlign w:val="center"/>
          </w:tcPr>
          <w:p>
            <w:pPr>
              <w:rPr>
                <w:rFonts w:ascii="宋体" w:hAnsi="宋体" w:cs="宋体"/>
                <w:sz w:val="24"/>
                <w:szCs w:val="24"/>
              </w:rPr>
            </w:pPr>
          </w:p>
        </w:tc>
        <w:tc>
          <w:tcPr>
            <w:tcW w:w="2564" w:type="dxa"/>
            <w:tcMar>
              <w:top w:w="10" w:type="dxa"/>
              <w:left w:w="10" w:type="dxa"/>
              <w:right w:w="10" w:type="dxa"/>
            </w:tcMar>
            <w:vAlign w:val="center"/>
          </w:tcPr>
          <w:p>
            <w:pPr>
              <w:pStyle w:val="14"/>
              <w:rPr>
                <w:rFonts w:cs="宋体"/>
              </w:rPr>
            </w:pPr>
            <w:r>
              <w:rPr>
                <w:rFonts w:hint="eastAsia" w:cs="宋体"/>
                <w:sz w:val="20"/>
                <w:szCs w:val="20"/>
              </w:rPr>
              <w:t>互动系统</w:t>
            </w:r>
          </w:p>
        </w:tc>
        <w:tc>
          <w:tcPr>
            <w:tcW w:w="808" w:type="dxa"/>
            <w:tcMar>
              <w:top w:w="10" w:type="dxa"/>
              <w:left w:w="10" w:type="dxa"/>
              <w:right w:w="10" w:type="dxa"/>
            </w:tcMar>
            <w:vAlign w:val="center"/>
          </w:tcPr>
          <w:p>
            <w:pPr>
              <w:pStyle w:val="14"/>
              <w:rPr>
                <w:rFonts w:cs="宋体"/>
              </w:rPr>
            </w:pPr>
            <w:r>
              <w:rPr>
                <w:rFonts w:hint="eastAsia" w:cs="宋体"/>
                <w:sz w:val="20"/>
                <w:szCs w:val="20"/>
              </w:rPr>
              <w:t>套</w:t>
            </w:r>
          </w:p>
        </w:tc>
        <w:tc>
          <w:tcPr>
            <w:tcW w:w="747" w:type="dxa"/>
            <w:tcMar>
              <w:top w:w="10" w:type="dxa"/>
              <w:left w:w="10" w:type="dxa"/>
              <w:right w:w="10" w:type="dxa"/>
            </w:tcMar>
            <w:vAlign w:val="center"/>
          </w:tcPr>
          <w:p>
            <w:pPr>
              <w:pStyle w:val="14"/>
              <w:rPr>
                <w:rFonts w:cs="宋体"/>
              </w:rPr>
            </w:pPr>
            <w:r>
              <w:rPr>
                <w:rFonts w:hint="eastAsia" w:cs="宋体"/>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continue"/>
            <w:tcMar>
              <w:top w:w="10" w:type="dxa"/>
              <w:left w:w="10" w:type="dxa"/>
              <w:right w:w="10" w:type="dxa"/>
            </w:tcMar>
            <w:vAlign w:val="center"/>
          </w:tcPr>
          <w:p>
            <w:pPr>
              <w:rPr>
                <w:rFonts w:ascii="宋体" w:hAnsi="宋体" w:cs="宋体"/>
                <w:sz w:val="24"/>
                <w:szCs w:val="24"/>
              </w:rPr>
            </w:pPr>
          </w:p>
        </w:tc>
        <w:tc>
          <w:tcPr>
            <w:tcW w:w="1555" w:type="dxa"/>
            <w:vMerge w:val="continue"/>
            <w:tcMar>
              <w:top w:w="10" w:type="dxa"/>
              <w:left w:w="10" w:type="dxa"/>
              <w:right w:w="10" w:type="dxa"/>
            </w:tcMar>
            <w:vAlign w:val="center"/>
          </w:tcPr>
          <w:p>
            <w:pPr>
              <w:rPr>
                <w:rFonts w:ascii="宋体" w:hAnsi="宋体" w:cs="宋体"/>
                <w:sz w:val="24"/>
                <w:szCs w:val="24"/>
              </w:rPr>
            </w:pPr>
          </w:p>
        </w:tc>
        <w:tc>
          <w:tcPr>
            <w:tcW w:w="2564" w:type="dxa"/>
            <w:tcMar>
              <w:top w:w="10" w:type="dxa"/>
              <w:left w:w="10" w:type="dxa"/>
              <w:right w:w="10" w:type="dxa"/>
            </w:tcMar>
            <w:vAlign w:val="center"/>
          </w:tcPr>
          <w:p>
            <w:pPr>
              <w:pStyle w:val="14"/>
              <w:rPr>
                <w:rFonts w:cs="宋体"/>
              </w:rPr>
            </w:pPr>
            <w:r>
              <w:rPr>
                <w:rFonts w:hint="eastAsia" w:cs="宋体"/>
                <w:sz w:val="20"/>
                <w:szCs w:val="20"/>
              </w:rPr>
              <w:t>传输器</w:t>
            </w:r>
          </w:p>
        </w:tc>
        <w:tc>
          <w:tcPr>
            <w:tcW w:w="808" w:type="dxa"/>
            <w:tcMar>
              <w:top w:w="10" w:type="dxa"/>
              <w:left w:w="10" w:type="dxa"/>
              <w:right w:w="10" w:type="dxa"/>
            </w:tcMar>
            <w:vAlign w:val="center"/>
          </w:tcPr>
          <w:p>
            <w:pPr>
              <w:pStyle w:val="14"/>
              <w:rPr>
                <w:rFonts w:cs="宋体"/>
              </w:rPr>
            </w:pPr>
            <w:r>
              <w:rPr>
                <w:rFonts w:hint="eastAsia" w:cs="宋体"/>
                <w:sz w:val="20"/>
                <w:szCs w:val="20"/>
              </w:rPr>
              <w:t>台</w:t>
            </w:r>
          </w:p>
        </w:tc>
        <w:tc>
          <w:tcPr>
            <w:tcW w:w="747" w:type="dxa"/>
            <w:tcMar>
              <w:top w:w="10" w:type="dxa"/>
              <w:left w:w="10" w:type="dxa"/>
              <w:right w:w="10" w:type="dxa"/>
            </w:tcMar>
            <w:vAlign w:val="center"/>
          </w:tcPr>
          <w:p>
            <w:pPr>
              <w:pStyle w:val="14"/>
              <w:rPr>
                <w:rFonts w:cs="宋体"/>
              </w:rPr>
            </w:pPr>
            <w:r>
              <w:rPr>
                <w:rFonts w:hint="eastAsia" w:cs="宋体"/>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continue"/>
            <w:tcMar>
              <w:top w:w="10" w:type="dxa"/>
              <w:left w:w="10" w:type="dxa"/>
              <w:right w:w="10" w:type="dxa"/>
            </w:tcMar>
            <w:vAlign w:val="center"/>
          </w:tcPr>
          <w:p>
            <w:pPr>
              <w:rPr>
                <w:rFonts w:ascii="宋体" w:hAnsi="宋体" w:cs="宋体"/>
                <w:sz w:val="24"/>
                <w:szCs w:val="24"/>
              </w:rPr>
            </w:pPr>
          </w:p>
        </w:tc>
        <w:tc>
          <w:tcPr>
            <w:tcW w:w="1555" w:type="dxa"/>
            <w:vMerge w:val="continue"/>
            <w:tcMar>
              <w:top w:w="10" w:type="dxa"/>
              <w:left w:w="10" w:type="dxa"/>
              <w:right w:w="10" w:type="dxa"/>
            </w:tcMar>
            <w:vAlign w:val="center"/>
          </w:tcPr>
          <w:p>
            <w:pPr>
              <w:rPr>
                <w:rFonts w:ascii="宋体" w:hAnsi="宋体" w:cs="宋体"/>
                <w:sz w:val="24"/>
                <w:szCs w:val="24"/>
              </w:rPr>
            </w:pPr>
          </w:p>
        </w:tc>
        <w:tc>
          <w:tcPr>
            <w:tcW w:w="2564" w:type="dxa"/>
            <w:tcMar>
              <w:top w:w="10" w:type="dxa"/>
              <w:left w:w="10" w:type="dxa"/>
              <w:right w:w="10" w:type="dxa"/>
            </w:tcMar>
            <w:vAlign w:val="center"/>
          </w:tcPr>
          <w:p>
            <w:pPr>
              <w:pStyle w:val="14"/>
              <w:rPr>
                <w:rFonts w:cs="宋体"/>
              </w:rPr>
            </w:pPr>
            <w:r>
              <w:rPr>
                <w:rFonts w:hint="eastAsia" w:cs="宋体"/>
                <w:sz w:val="20"/>
                <w:szCs w:val="20"/>
              </w:rPr>
              <w:t>音响</w:t>
            </w:r>
          </w:p>
        </w:tc>
        <w:tc>
          <w:tcPr>
            <w:tcW w:w="808" w:type="dxa"/>
            <w:tcMar>
              <w:top w:w="10" w:type="dxa"/>
              <w:left w:w="10" w:type="dxa"/>
              <w:right w:w="10" w:type="dxa"/>
            </w:tcMar>
            <w:vAlign w:val="center"/>
          </w:tcPr>
          <w:p>
            <w:pPr>
              <w:pStyle w:val="14"/>
              <w:rPr>
                <w:rFonts w:cs="宋体"/>
              </w:rPr>
            </w:pPr>
            <w:r>
              <w:rPr>
                <w:rFonts w:hint="eastAsia" w:cs="宋体"/>
                <w:sz w:val="20"/>
                <w:szCs w:val="20"/>
              </w:rPr>
              <w:t>台</w:t>
            </w:r>
          </w:p>
        </w:tc>
        <w:tc>
          <w:tcPr>
            <w:tcW w:w="747" w:type="dxa"/>
            <w:tcMar>
              <w:top w:w="10" w:type="dxa"/>
              <w:left w:w="10" w:type="dxa"/>
              <w:right w:w="10" w:type="dxa"/>
            </w:tcMar>
            <w:vAlign w:val="center"/>
          </w:tcPr>
          <w:p>
            <w:pPr>
              <w:pStyle w:val="14"/>
              <w:rPr>
                <w:rFonts w:cs="宋体"/>
              </w:rPr>
            </w:pPr>
            <w:r>
              <w:rPr>
                <w:rFonts w:hint="eastAsia" w:cs="宋体"/>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vMerge w:val="continue"/>
            <w:tcMar>
              <w:top w:w="10" w:type="dxa"/>
              <w:left w:w="10" w:type="dxa"/>
              <w:right w:w="10" w:type="dxa"/>
            </w:tcMar>
            <w:vAlign w:val="center"/>
          </w:tcPr>
          <w:p>
            <w:pPr>
              <w:rPr>
                <w:rFonts w:ascii="宋体" w:hAnsi="宋体" w:cs="宋体"/>
                <w:sz w:val="24"/>
                <w:szCs w:val="24"/>
              </w:rPr>
            </w:pPr>
          </w:p>
        </w:tc>
        <w:tc>
          <w:tcPr>
            <w:tcW w:w="1555" w:type="dxa"/>
            <w:vMerge w:val="continue"/>
            <w:tcMar>
              <w:top w:w="10" w:type="dxa"/>
              <w:left w:w="10" w:type="dxa"/>
              <w:right w:w="10" w:type="dxa"/>
            </w:tcMar>
            <w:vAlign w:val="center"/>
          </w:tcPr>
          <w:p>
            <w:pPr>
              <w:rPr>
                <w:rFonts w:ascii="宋体" w:hAnsi="宋体" w:cs="宋体"/>
                <w:sz w:val="24"/>
                <w:szCs w:val="24"/>
              </w:rPr>
            </w:pPr>
          </w:p>
        </w:tc>
        <w:tc>
          <w:tcPr>
            <w:tcW w:w="2564" w:type="dxa"/>
            <w:tcMar>
              <w:top w:w="10" w:type="dxa"/>
              <w:left w:w="10" w:type="dxa"/>
              <w:right w:w="10" w:type="dxa"/>
            </w:tcMar>
            <w:vAlign w:val="center"/>
          </w:tcPr>
          <w:p>
            <w:pPr>
              <w:pStyle w:val="14"/>
              <w:rPr>
                <w:rFonts w:cs="宋体"/>
              </w:rPr>
            </w:pPr>
            <w:r>
              <w:rPr>
                <w:rFonts w:hint="eastAsia" w:cs="宋体"/>
                <w:sz w:val="20"/>
                <w:szCs w:val="20"/>
              </w:rPr>
              <w:t>功放</w:t>
            </w:r>
          </w:p>
        </w:tc>
        <w:tc>
          <w:tcPr>
            <w:tcW w:w="808" w:type="dxa"/>
            <w:tcMar>
              <w:top w:w="10" w:type="dxa"/>
              <w:left w:w="10" w:type="dxa"/>
              <w:right w:w="10" w:type="dxa"/>
            </w:tcMar>
            <w:vAlign w:val="center"/>
          </w:tcPr>
          <w:p>
            <w:pPr>
              <w:pStyle w:val="14"/>
              <w:rPr>
                <w:rFonts w:cs="宋体"/>
              </w:rPr>
            </w:pPr>
            <w:r>
              <w:rPr>
                <w:rFonts w:hint="eastAsia" w:cs="宋体"/>
                <w:sz w:val="20"/>
                <w:szCs w:val="20"/>
              </w:rPr>
              <w:t>台</w:t>
            </w:r>
          </w:p>
        </w:tc>
        <w:tc>
          <w:tcPr>
            <w:tcW w:w="747" w:type="dxa"/>
            <w:tcMar>
              <w:top w:w="10" w:type="dxa"/>
              <w:left w:w="10" w:type="dxa"/>
              <w:right w:w="10" w:type="dxa"/>
            </w:tcMar>
            <w:vAlign w:val="center"/>
          </w:tcPr>
          <w:p>
            <w:pPr>
              <w:pStyle w:val="14"/>
              <w:rPr>
                <w:rFonts w:cs="宋体"/>
              </w:rPr>
            </w:pPr>
            <w:r>
              <w:rPr>
                <w:rFonts w:hint="eastAsia" w:cs="宋体"/>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0" w:hRule="atLeast"/>
          <w:tblCellSpacing w:w="0" w:type="dxa"/>
          <w:jc w:val="center"/>
        </w:trPr>
        <w:tc>
          <w:tcPr>
            <w:tcW w:w="646" w:type="dxa"/>
            <w:tcMar>
              <w:top w:w="10" w:type="dxa"/>
              <w:left w:w="10" w:type="dxa"/>
              <w:right w:w="10" w:type="dxa"/>
            </w:tcMar>
            <w:vAlign w:val="center"/>
          </w:tcPr>
          <w:p>
            <w:pPr>
              <w:pStyle w:val="14"/>
              <w:rPr>
                <w:rFonts w:cs="宋体"/>
              </w:rPr>
            </w:pPr>
            <w:r>
              <w:rPr>
                <w:rFonts w:hint="eastAsia" w:cs="宋体"/>
                <w:sz w:val="20"/>
                <w:szCs w:val="20"/>
              </w:rPr>
              <w:t>4</w:t>
            </w:r>
          </w:p>
        </w:tc>
        <w:tc>
          <w:tcPr>
            <w:tcW w:w="1555" w:type="dxa"/>
            <w:tcMar>
              <w:top w:w="10" w:type="dxa"/>
              <w:left w:w="10" w:type="dxa"/>
              <w:right w:w="10" w:type="dxa"/>
            </w:tcMar>
            <w:vAlign w:val="center"/>
          </w:tcPr>
          <w:p>
            <w:pPr>
              <w:pStyle w:val="14"/>
              <w:rPr>
                <w:rFonts w:cs="宋体"/>
              </w:rPr>
            </w:pPr>
            <w:r>
              <w:rPr>
                <w:rFonts w:hint="eastAsia" w:cs="宋体"/>
                <w:sz w:val="20"/>
                <w:szCs w:val="20"/>
              </w:rPr>
              <w:t> BIM+ 智慧工地数据展示中心</w:t>
            </w:r>
          </w:p>
        </w:tc>
        <w:tc>
          <w:tcPr>
            <w:tcW w:w="2564" w:type="dxa"/>
            <w:tcMar>
              <w:top w:w="10" w:type="dxa"/>
              <w:left w:w="10" w:type="dxa"/>
              <w:right w:w="10" w:type="dxa"/>
            </w:tcMar>
            <w:vAlign w:val="center"/>
          </w:tcPr>
          <w:p>
            <w:pPr>
              <w:pStyle w:val="14"/>
              <w:rPr>
                <w:rFonts w:cs="宋体"/>
              </w:rPr>
            </w:pPr>
            <w:r>
              <w:rPr>
                <w:rFonts w:hint="eastAsia" w:cs="宋体"/>
                <w:sz w:val="20"/>
                <w:szCs w:val="20"/>
              </w:rPr>
              <w:t>整合现场IOT及业务应用数据统一展示</w:t>
            </w:r>
          </w:p>
        </w:tc>
        <w:tc>
          <w:tcPr>
            <w:tcW w:w="808" w:type="dxa"/>
            <w:tcMar>
              <w:top w:w="10" w:type="dxa"/>
              <w:left w:w="10" w:type="dxa"/>
              <w:right w:w="10" w:type="dxa"/>
            </w:tcMar>
            <w:vAlign w:val="center"/>
          </w:tcPr>
          <w:p>
            <w:pPr>
              <w:pStyle w:val="14"/>
              <w:rPr>
                <w:rFonts w:cs="宋体"/>
              </w:rPr>
            </w:pPr>
            <w:r>
              <w:rPr>
                <w:rFonts w:hint="eastAsia" w:cs="宋体"/>
                <w:sz w:val="20"/>
                <w:szCs w:val="20"/>
              </w:rPr>
              <w:t>项</w:t>
            </w:r>
          </w:p>
        </w:tc>
        <w:tc>
          <w:tcPr>
            <w:tcW w:w="747" w:type="dxa"/>
            <w:tcMar>
              <w:top w:w="10" w:type="dxa"/>
              <w:left w:w="10" w:type="dxa"/>
              <w:right w:w="10" w:type="dxa"/>
            </w:tcMar>
            <w:vAlign w:val="center"/>
          </w:tcPr>
          <w:p>
            <w:pPr>
              <w:pStyle w:val="14"/>
              <w:rPr>
                <w:rFonts w:cs="宋体"/>
              </w:rPr>
            </w:pPr>
            <w:r>
              <w:rPr>
                <w:rFonts w:hint="eastAsia" w:cs="宋体"/>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0" w:hRule="atLeast"/>
          <w:tblCellSpacing w:w="0" w:type="dxa"/>
          <w:jc w:val="center"/>
        </w:trPr>
        <w:tc>
          <w:tcPr>
            <w:tcW w:w="646" w:type="dxa"/>
            <w:tcMar>
              <w:top w:w="10" w:type="dxa"/>
              <w:left w:w="10" w:type="dxa"/>
              <w:right w:w="10" w:type="dxa"/>
            </w:tcMar>
            <w:vAlign w:val="center"/>
          </w:tcPr>
          <w:p>
            <w:pPr>
              <w:pStyle w:val="14"/>
              <w:rPr>
                <w:rFonts w:cs="宋体"/>
              </w:rPr>
            </w:pPr>
            <w:r>
              <w:rPr>
                <w:rFonts w:hint="eastAsia" w:cs="宋体"/>
                <w:sz w:val="20"/>
                <w:szCs w:val="20"/>
              </w:rPr>
              <w:t>5</w:t>
            </w:r>
          </w:p>
        </w:tc>
        <w:tc>
          <w:tcPr>
            <w:tcW w:w="1555" w:type="dxa"/>
            <w:tcMar>
              <w:top w:w="10" w:type="dxa"/>
              <w:left w:w="10" w:type="dxa"/>
              <w:right w:w="10" w:type="dxa"/>
            </w:tcMar>
            <w:vAlign w:val="center"/>
          </w:tcPr>
          <w:p>
            <w:pPr>
              <w:pStyle w:val="14"/>
              <w:rPr>
                <w:rFonts w:cs="宋体"/>
              </w:rPr>
            </w:pPr>
            <w:r>
              <w:rPr>
                <w:rFonts w:hint="eastAsia" w:cs="宋体"/>
                <w:sz w:val="20"/>
                <w:szCs w:val="20"/>
              </w:rPr>
              <w:t>BIM 建模</w:t>
            </w:r>
          </w:p>
        </w:tc>
        <w:tc>
          <w:tcPr>
            <w:tcW w:w="2564" w:type="dxa"/>
            <w:tcMar>
              <w:top w:w="10" w:type="dxa"/>
              <w:left w:w="10" w:type="dxa"/>
              <w:right w:w="10" w:type="dxa"/>
            </w:tcMar>
            <w:vAlign w:val="center"/>
          </w:tcPr>
          <w:p>
            <w:pPr>
              <w:pStyle w:val="14"/>
              <w:rPr>
                <w:rFonts w:cs="宋体"/>
              </w:rPr>
            </w:pPr>
            <w:r>
              <w:rPr>
                <w:rFonts w:hint="eastAsia" w:cs="宋体"/>
                <w:sz w:val="20"/>
                <w:szCs w:val="20"/>
              </w:rPr>
              <w:t>项目BIM 3D模型制作</w:t>
            </w:r>
          </w:p>
        </w:tc>
        <w:tc>
          <w:tcPr>
            <w:tcW w:w="808" w:type="dxa"/>
            <w:tcMar>
              <w:top w:w="10" w:type="dxa"/>
              <w:left w:w="10" w:type="dxa"/>
              <w:right w:w="10" w:type="dxa"/>
            </w:tcMar>
            <w:vAlign w:val="center"/>
          </w:tcPr>
          <w:p>
            <w:pPr>
              <w:pStyle w:val="14"/>
              <w:rPr>
                <w:rFonts w:cs="宋体"/>
              </w:rPr>
            </w:pPr>
            <w:r>
              <w:rPr>
                <w:rFonts w:hint="eastAsia" w:cs="宋体"/>
                <w:sz w:val="20"/>
                <w:szCs w:val="20"/>
              </w:rPr>
              <w:t>项</w:t>
            </w:r>
          </w:p>
        </w:tc>
        <w:tc>
          <w:tcPr>
            <w:tcW w:w="747" w:type="dxa"/>
            <w:tcMar>
              <w:top w:w="10" w:type="dxa"/>
              <w:left w:w="10" w:type="dxa"/>
              <w:right w:w="10" w:type="dxa"/>
            </w:tcMar>
            <w:vAlign w:val="center"/>
          </w:tcPr>
          <w:p>
            <w:pPr>
              <w:pStyle w:val="14"/>
              <w:rPr>
                <w:rFonts w:cs="宋体"/>
              </w:rPr>
            </w:pPr>
            <w:r>
              <w:rPr>
                <w:rFonts w:hint="eastAsia" w:cs="宋体"/>
                <w:sz w:val="20"/>
                <w:szCs w:val="20"/>
              </w:rPr>
              <w:t>1</w:t>
            </w:r>
          </w:p>
        </w:tc>
      </w:tr>
    </w:tbl>
    <w:p>
      <w:r>
        <w:rPr>
          <w:rFonts w:hint="eastAsia"/>
        </w:rPr>
        <w:t xml:space="preserve">  </w:t>
      </w:r>
      <w:r>
        <w:drawing>
          <wp:inline distT="0" distB="0" distL="114300" distR="114300">
            <wp:extent cx="1441450" cy="2879725"/>
            <wp:effectExtent l="0" t="0" r="6350" b="635"/>
            <wp:docPr id="44" name="图片 30" descr="作战指挥中心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0" descr="作战指挥中心_00"/>
                    <pic:cNvPicPr>
                      <a:picLocks noChangeAspect="1"/>
                    </pic:cNvPicPr>
                  </pic:nvPicPr>
                  <pic:blipFill>
                    <a:blip r:embed="rId26"/>
                    <a:srcRect l="36130" r="31821" b="9491"/>
                    <a:stretch>
                      <a:fillRect/>
                    </a:stretch>
                  </pic:blipFill>
                  <pic:spPr>
                    <a:xfrm>
                      <a:off x="0" y="0"/>
                      <a:ext cx="1441450" cy="2879725"/>
                    </a:xfrm>
                    <a:prstGeom prst="rect">
                      <a:avLst/>
                    </a:prstGeom>
                    <a:noFill/>
                    <a:ln>
                      <a:noFill/>
                    </a:ln>
                  </pic:spPr>
                </pic:pic>
              </a:graphicData>
            </a:graphic>
          </wp:inline>
        </w:drawing>
      </w:r>
      <w:r>
        <w:rPr>
          <w:rFonts w:hint="eastAsia"/>
        </w:rPr>
        <w:t xml:space="preserve">       </w:t>
      </w:r>
      <w:r>
        <w:drawing>
          <wp:inline distT="0" distB="0" distL="114300" distR="114300">
            <wp:extent cx="2984500" cy="1990090"/>
            <wp:effectExtent l="0" t="0" r="2540" b="6350"/>
            <wp:docPr id="47" name="图片 31" descr="D:/HuaweiMoveData/Users/Fuyuanying/Desktop/8ba0d98d2f37ac5992b17a96e37cdb5.jpg8ba0d98d2f37ac5992b17a96e37cd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1" descr="D:/HuaweiMoveData/Users/Fuyuanying/Desktop/8ba0d98d2f37ac5992b17a96e37cdb5.jpg8ba0d98d2f37ac5992b17a96e37cdb5"/>
                    <pic:cNvPicPr>
                      <a:picLocks noChangeAspect="1"/>
                    </pic:cNvPicPr>
                  </pic:nvPicPr>
                  <pic:blipFill>
                    <a:blip r:embed="rId27"/>
                    <a:srcRect l="16" r="16"/>
                    <a:stretch>
                      <a:fillRect/>
                    </a:stretch>
                  </pic:blipFill>
                  <pic:spPr>
                    <a:xfrm>
                      <a:off x="0" y="0"/>
                      <a:ext cx="2984500" cy="1990090"/>
                    </a:xfrm>
                    <a:prstGeom prst="rect">
                      <a:avLst/>
                    </a:prstGeom>
                    <a:noFill/>
                    <a:ln>
                      <a:noFill/>
                    </a:ln>
                  </pic:spPr>
                </pic:pic>
              </a:graphicData>
            </a:graphic>
          </wp:inline>
        </w:drawing>
      </w:r>
    </w:p>
    <w:p>
      <w:pPr>
        <w:rPr>
          <w:rFonts w:ascii="宋体" w:hAnsi="宋体"/>
          <w:b/>
          <w:bCs/>
          <w:szCs w:val="21"/>
        </w:rPr>
      </w:pPr>
      <w:r>
        <w:rPr>
          <w:rFonts w:hint="eastAsia" w:ascii="宋体" w:hAnsi="宋体"/>
          <w:b/>
          <w:bCs/>
          <w:szCs w:val="21"/>
        </w:rPr>
        <w:t>作战指挥中心平面布置图                         作战指挥中心效果图</w:t>
      </w:r>
    </w:p>
    <w:p>
      <w:pPr>
        <w:rPr>
          <w:rFonts w:ascii="宋体" w:hAnsi="宋体"/>
          <w:b/>
          <w:bCs/>
          <w:szCs w:val="21"/>
        </w:rPr>
      </w:pPr>
      <w:r>
        <w:rPr>
          <w:rFonts w:hint="eastAsia" w:ascii="宋体" w:hAnsi="宋体"/>
          <w:b/>
          <w:bCs/>
          <w:sz w:val="24"/>
          <w:szCs w:val="24"/>
        </w:rPr>
        <w:t>（5）</w:t>
      </w:r>
      <w:r>
        <w:rPr>
          <w:rFonts w:ascii="宋体" w:hAnsi="宋体" w:cs="宋体"/>
        </w:rPr>
        <w:t>发包人</w:t>
      </w:r>
      <w:r>
        <w:rPr>
          <w:rFonts w:hint="eastAsia" w:ascii="宋体" w:hAnsi="宋体"/>
          <w:b/>
          <w:bCs/>
          <w:sz w:val="24"/>
          <w:szCs w:val="24"/>
        </w:rPr>
        <w:t>监理办公楼设置要求：</w:t>
      </w:r>
    </w:p>
    <w:p>
      <w:pPr>
        <w:spacing w:line="360" w:lineRule="auto"/>
        <w:ind w:firstLine="480" w:firstLineChars="200"/>
        <w:rPr>
          <w:rFonts w:ascii="宋体" w:hAnsi="宋体"/>
          <w:sz w:val="24"/>
          <w:szCs w:val="24"/>
        </w:rPr>
      </w:pPr>
      <w:r>
        <w:rPr>
          <w:rFonts w:ascii="宋体" w:hAnsi="宋体"/>
          <w:sz w:val="24"/>
          <w:szCs w:val="24"/>
        </w:rPr>
        <w:t>建筑面积共840平方米，共两层，可容纳60人办公。其中</w:t>
      </w:r>
      <w:r>
        <w:rPr>
          <w:rFonts w:ascii="宋体" w:hAnsi="宋体" w:cs="宋体"/>
        </w:rPr>
        <w:t>发包人</w:t>
      </w:r>
      <w:r>
        <w:rPr>
          <w:rFonts w:ascii="宋体" w:hAnsi="宋体"/>
          <w:sz w:val="24"/>
          <w:szCs w:val="24"/>
        </w:rPr>
        <w:t>办公室13间，监理办公室12间，设计及咨询办公室5间。配备下列设施设备：</w:t>
      </w:r>
    </w:p>
    <w:tbl>
      <w:tblPr>
        <w:tblStyle w:val="16"/>
        <w:tblW w:w="0" w:type="auto"/>
        <w:tblCellSpacing w:w="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40"/>
        <w:gridCol w:w="4600"/>
        <w:gridCol w:w="2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trPr>
        <w:tc>
          <w:tcPr>
            <w:tcW w:w="1140" w:type="dxa"/>
            <w:tcMar>
              <w:top w:w="72" w:type="dxa"/>
              <w:left w:w="144" w:type="dxa"/>
              <w:bottom w:w="72" w:type="dxa"/>
              <w:right w:w="144" w:type="dxa"/>
            </w:tcMar>
          </w:tcPr>
          <w:p>
            <w:pPr>
              <w:pStyle w:val="14"/>
              <w:rPr>
                <w:rFonts w:cs="宋体"/>
                <w:sz w:val="21"/>
                <w:szCs w:val="21"/>
              </w:rPr>
            </w:pPr>
            <w:r>
              <w:rPr>
                <w:rFonts w:hint="eastAsia" w:cs="宋体"/>
                <w:b/>
                <w:bCs/>
                <w:sz w:val="21"/>
                <w:szCs w:val="21"/>
              </w:rPr>
              <w:t>序号</w:t>
            </w:r>
          </w:p>
        </w:tc>
        <w:tc>
          <w:tcPr>
            <w:tcW w:w="4600" w:type="dxa"/>
            <w:tcMar>
              <w:top w:w="72" w:type="dxa"/>
              <w:left w:w="144" w:type="dxa"/>
              <w:bottom w:w="72" w:type="dxa"/>
              <w:right w:w="144" w:type="dxa"/>
            </w:tcMar>
          </w:tcPr>
          <w:p>
            <w:pPr>
              <w:pStyle w:val="14"/>
              <w:rPr>
                <w:rFonts w:cs="宋体"/>
                <w:sz w:val="21"/>
                <w:szCs w:val="21"/>
              </w:rPr>
            </w:pPr>
            <w:r>
              <w:rPr>
                <w:rFonts w:hint="eastAsia" w:cs="宋体"/>
                <w:b/>
                <w:bCs/>
                <w:sz w:val="21"/>
                <w:szCs w:val="21"/>
              </w:rPr>
              <w:t>设施设备名称</w:t>
            </w:r>
          </w:p>
        </w:tc>
        <w:tc>
          <w:tcPr>
            <w:tcW w:w="2871" w:type="dxa"/>
            <w:tcMar>
              <w:top w:w="72" w:type="dxa"/>
              <w:left w:w="144" w:type="dxa"/>
              <w:bottom w:w="72" w:type="dxa"/>
              <w:right w:w="144" w:type="dxa"/>
            </w:tcMar>
          </w:tcPr>
          <w:p>
            <w:pPr>
              <w:pStyle w:val="14"/>
              <w:rPr>
                <w:rFonts w:cs="宋体"/>
                <w:sz w:val="21"/>
                <w:szCs w:val="21"/>
              </w:rPr>
            </w:pPr>
            <w:r>
              <w:rPr>
                <w:rFonts w:hint="eastAsia" w:cs="宋体"/>
                <w:b/>
                <w:bCs/>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trPr>
        <w:tc>
          <w:tcPr>
            <w:tcW w:w="1140" w:type="dxa"/>
            <w:tcBorders>
              <w:top w:val="single" w:color="auto" w:sz="4" w:space="0"/>
              <w:left w:val="nil"/>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1</w:t>
            </w:r>
          </w:p>
        </w:tc>
        <w:tc>
          <w:tcPr>
            <w:tcW w:w="4600" w:type="dxa"/>
            <w:tcBorders>
              <w:top w:val="single" w:color="auto" w:sz="4" w:space="0"/>
              <w:left w:val="single" w:color="auto" w:sz="4" w:space="0"/>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立式彩色打印机（型号：惠普HP m72625dn）</w:t>
            </w:r>
          </w:p>
        </w:tc>
        <w:tc>
          <w:tcPr>
            <w:tcW w:w="2871" w:type="dxa"/>
            <w:tcBorders>
              <w:top w:val="single" w:color="auto" w:sz="4" w:space="0"/>
              <w:left w:val="single" w:color="auto" w:sz="4" w:space="0"/>
              <w:bottom w:val="single" w:color="auto" w:sz="4" w:space="0"/>
              <w:right w:val="nil"/>
            </w:tcBorders>
            <w:tcMar>
              <w:top w:w="72" w:type="dxa"/>
              <w:left w:w="144" w:type="dxa"/>
              <w:bottom w:w="72" w:type="dxa"/>
              <w:right w:w="144" w:type="dxa"/>
            </w:tcMar>
          </w:tcPr>
          <w:p>
            <w:pPr>
              <w:pStyle w:val="14"/>
              <w:rPr>
                <w:rFonts w:cs="宋体"/>
                <w:sz w:val="21"/>
                <w:szCs w:val="21"/>
              </w:rPr>
            </w:pPr>
            <w:r>
              <w:rPr>
                <w:rFonts w:hint="eastAsia" w:cs="宋体"/>
                <w:sz w:val="21"/>
                <w:szCs w:val="21"/>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trPr>
        <w:tc>
          <w:tcPr>
            <w:tcW w:w="1140" w:type="dxa"/>
            <w:tcBorders>
              <w:top w:val="single" w:color="auto" w:sz="4" w:space="0"/>
              <w:left w:val="nil"/>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2</w:t>
            </w:r>
          </w:p>
        </w:tc>
        <w:tc>
          <w:tcPr>
            <w:tcW w:w="4600" w:type="dxa"/>
            <w:tcBorders>
              <w:top w:val="single" w:color="auto" w:sz="4" w:space="0"/>
              <w:left w:val="single" w:color="auto" w:sz="4" w:space="0"/>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台式电脑（型号：酷睿i3以上）</w:t>
            </w:r>
          </w:p>
        </w:tc>
        <w:tc>
          <w:tcPr>
            <w:tcW w:w="2871" w:type="dxa"/>
            <w:tcBorders>
              <w:top w:val="single" w:color="auto" w:sz="4" w:space="0"/>
              <w:left w:val="single" w:color="auto" w:sz="4" w:space="0"/>
              <w:bottom w:val="single" w:color="auto" w:sz="4" w:space="0"/>
              <w:right w:val="nil"/>
            </w:tcBorders>
            <w:tcMar>
              <w:top w:w="72" w:type="dxa"/>
              <w:left w:w="144" w:type="dxa"/>
              <w:bottom w:w="72" w:type="dxa"/>
              <w:right w:w="144" w:type="dxa"/>
            </w:tcMar>
          </w:tcPr>
          <w:p>
            <w:pPr>
              <w:pStyle w:val="14"/>
              <w:rPr>
                <w:rFonts w:cs="宋体"/>
                <w:sz w:val="21"/>
                <w:szCs w:val="21"/>
              </w:rPr>
            </w:pPr>
            <w:r>
              <w:rPr>
                <w:rFonts w:hint="eastAsia" w:cs="宋体"/>
                <w:sz w:val="21"/>
                <w:szCs w:val="21"/>
              </w:rPr>
              <w:t>20台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trPr>
        <w:tc>
          <w:tcPr>
            <w:tcW w:w="1140" w:type="dxa"/>
            <w:tcBorders>
              <w:top w:val="single" w:color="auto" w:sz="4" w:space="0"/>
              <w:left w:val="nil"/>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3</w:t>
            </w:r>
          </w:p>
        </w:tc>
        <w:tc>
          <w:tcPr>
            <w:tcW w:w="4600" w:type="dxa"/>
            <w:tcBorders>
              <w:top w:val="single" w:color="auto" w:sz="4" w:space="0"/>
              <w:left w:val="single" w:color="auto" w:sz="4" w:space="0"/>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无人机（型号：大疆 DJI Mavic 3）</w:t>
            </w:r>
          </w:p>
        </w:tc>
        <w:tc>
          <w:tcPr>
            <w:tcW w:w="2871" w:type="dxa"/>
            <w:tcBorders>
              <w:top w:val="single" w:color="auto" w:sz="4" w:space="0"/>
              <w:left w:val="single" w:color="auto" w:sz="4" w:space="0"/>
              <w:bottom w:val="single" w:color="auto" w:sz="4" w:space="0"/>
              <w:right w:val="nil"/>
            </w:tcBorders>
            <w:tcMar>
              <w:top w:w="72" w:type="dxa"/>
              <w:left w:w="144" w:type="dxa"/>
              <w:bottom w:w="72" w:type="dxa"/>
              <w:right w:w="144" w:type="dxa"/>
            </w:tcMar>
          </w:tcPr>
          <w:p>
            <w:pPr>
              <w:pStyle w:val="14"/>
              <w:rPr>
                <w:rFonts w:cs="宋体"/>
                <w:sz w:val="21"/>
                <w:szCs w:val="21"/>
              </w:rPr>
            </w:pPr>
            <w:r>
              <w:rPr>
                <w:rFonts w:hint="eastAsia" w:cs="宋体"/>
                <w:sz w:val="21"/>
                <w:szCs w:val="21"/>
              </w:rPr>
              <w:t>1台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trPr>
        <w:tc>
          <w:tcPr>
            <w:tcW w:w="1140" w:type="dxa"/>
            <w:tcBorders>
              <w:top w:val="single" w:color="auto" w:sz="4" w:space="0"/>
              <w:left w:val="nil"/>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4</w:t>
            </w:r>
          </w:p>
        </w:tc>
        <w:tc>
          <w:tcPr>
            <w:tcW w:w="4600" w:type="dxa"/>
            <w:tcBorders>
              <w:top w:val="single" w:color="auto" w:sz="4" w:space="0"/>
              <w:left w:val="single" w:color="auto" w:sz="4" w:space="0"/>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茶几、沙发</w:t>
            </w:r>
          </w:p>
        </w:tc>
        <w:tc>
          <w:tcPr>
            <w:tcW w:w="2871" w:type="dxa"/>
            <w:tcBorders>
              <w:top w:val="single" w:color="auto" w:sz="4" w:space="0"/>
              <w:left w:val="single" w:color="auto" w:sz="4" w:space="0"/>
              <w:bottom w:val="single" w:color="auto" w:sz="4" w:space="0"/>
              <w:right w:val="nil"/>
            </w:tcBorders>
            <w:tcMar>
              <w:top w:w="72" w:type="dxa"/>
              <w:left w:w="144" w:type="dxa"/>
              <w:bottom w:w="72" w:type="dxa"/>
              <w:right w:w="144" w:type="dxa"/>
            </w:tcMar>
          </w:tcPr>
          <w:p>
            <w:pPr>
              <w:pStyle w:val="14"/>
              <w:rPr>
                <w:rFonts w:cs="宋体"/>
                <w:sz w:val="21"/>
                <w:szCs w:val="21"/>
              </w:rPr>
            </w:pPr>
            <w:r>
              <w:rPr>
                <w:rFonts w:hint="eastAsia" w:cs="宋体"/>
                <w:sz w:val="21"/>
                <w:szCs w:val="21"/>
              </w:rPr>
              <w:t>7套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trPr>
        <w:tc>
          <w:tcPr>
            <w:tcW w:w="1140" w:type="dxa"/>
            <w:tcBorders>
              <w:top w:val="single" w:color="auto" w:sz="4" w:space="0"/>
              <w:left w:val="nil"/>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5</w:t>
            </w:r>
          </w:p>
        </w:tc>
        <w:tc>
          <w:tcPr>
            <w:tcW w:w="4600" w:type="dxa"/>
            <w:tcBorders>
              <w:top w:val="single" w:color="auto" w:sz="4" w:space="0"/>
              <w:left w:val="single" w:color="auto" w:sz="4" w:space="0"/>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会议室投影仪</w:t>
            </w:r>
          </w:p>
        </w:tc>
        <w:tc>
          <w:tcPr>
            <w:tcW w:w="2871" w:type="dxa"/>
            <w:tcBorders>
              <w:top w:val="single" w:color="auto" w:sz="4" w:space="0"/>
              <w:left w:val="single" w:color="auto" w:sz="4" w:space="0"/>
              <w:bottom w:val="single" w:color="auto" w:sz="4" w:space="0"/>
              <w:right w:val="nil"/>
            </w:tcBorders>
            <w:tcMar>
              <w:top w:w="72" w:type="dxa"/>
              <w:left w:w="144" w:type="dxa"/>
              <w:bottom w:w="72" w:type="dxa"/>
              <w:right w:w="144" w:type="dxa"/>
            </w:tcMar>
          </w:tcPr>
          <w:p>
            <w:pPr>
              <w:pStyle w:val="14"/>
              <w:rPr>
                <w:rFonts w:cs="宋体"/>
                <w:sz w:val="21"/>
                <w:szCs w:val="21"/>
              </w:rPr>
            </w:pPr>
            <w:r>
              <w:rPr>
                <w:rFonts w:hint="eastAsia" w:cs="宋体"/>
                <w:sz w:val="21"/>
                <w:szCs w:val="21"/>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trPr>
        <w:tc>
          <w:tcPr>
            <w:tcW w:w="1140" w:type="dxa"/>
            <w:tcBorders>
              <w:top w:val="single" w:color="auto" w:sz="4" w:space="0"/>
              <w:left w:val="nil"/>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6</w:t>
            </w:r>
          </w:p>
        </w:tc>
        <w:tc>
          <w:tcPr>
            <w:tcW w:w="4600" w:type="dxa"/>
            <w:tcBorders>
              <w:top w:val="single" w:color="auto" w:sz="4" w:space="0"/>
              <w:left w:val="single" w:color="auto" w:sz="4" w:space="0"/>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会议功放系统及扩音系统</w:t>
            </w:r>
          </w:p>
        </w:tc>
        <w:tc>
          <w:tcPr>
            <w:tcW w:w="2871" w:type="dxa"/>
            <w:tcBorders>
              <w:top w:val="single" w:color="auto" w:sz="4" w:space="0"/>
              <w:left w:val="single" w:color="auto" w:sz="4" w:space="0"/>
              <w:bottom w:val="single" w:color="auto" w:sz="4" w:space="0"/>
              <w:right w:val="nil"/>
            </w:tcBorders>
            <w:tcMar>
              <w:top w:w="72" w:type="dxa"/>
              <w:left w:w="144" w:type="dxa"/>
              <w:bottom w:w="72" w:type="dxa"/>
              <w:right w:w="144" w:type="dxa"/>
            </w:tcMar>
          </w:tcPr>
          <w:p>
            <w:pPr>
              <w:pStyle w:val="14"/>
              <w:rPr>
                <w:rFonts w:cs="宋体"/>
                <w:sz w:val="21"/>
                <w:szCs w:val="21"/>
              </w:rPr>
            </w:pPr>
            <w:r>
              <w:rPr>
                <w:rFonts w:hint="eastAsia" w:cs="宋体"/>
                <w:sz w:val="21"/>
                <w:szCs w:val="21"/>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trPr>
        <w:tc>
          <w:tcPr>
            <w:tcW w:w="1140" w:type="dxa"/>
            <w:tcBorders>
              <w:top w:val="single" w:color="auto" w:sz="4" w:space="0"/>
              <w:left w:val="nil"/>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7</w:t>
            </w:r>
          </w:p>
        </w:tc>
        <w:tc>
          <w:tcPr>
            <w:tcW w:w="4600" w:type="dxa"/>
            <w:tcBorders>
              <w:top w:val="single" w:color="auto" w:sz="4" w:space="0"/>
              <w:left w:val="single" w:color="auto" w:sz="4" w:space="0"/>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饮水机</w:t>
            </w:r>
          </w:p>
        </w:tc>
        <w:tc>
          <w:tcPr>
            <w:tcW w:w="2871" w:type="dxa"/>
            <w:tcBorders>
              <w:top w:val="single" w:color="auto" w:sz="4" w:space="0"/>
              <w:left w:val="single" w:color="auto" w:sz="4" w:space="0"/>
              <w:bottom w:val="single" w:color="auto" w:sz="4" w:space="0"/>
              <w:right w:val="nil"/>
            </w:tcBorders>
            <w:tcMar>
              <w:top w:w="72" w:type="dxa"/>
              <w:left w:w="144" w:type="dxa"/>
              <w:bottom w:w="72" w:type="dxa"/>
              <w:right w:w="144" w:type="dxa"/>
            </w:tcMar>
          </w:tcPr>
          <w:p>
            <w:pPr>
              <w:pStyle w:val="14"/>
              <w:rPr>
                <w:rFonts w:cs="宋体"/>
                <w:sz w:val="21"/>
                <w:szCs w:val="21"/>
              </w:rPr>
            </w:pPr>
            <w:r>
              <w:rPr>
                <w:rFonts w:hint="eastAsia" w:cs="宋体"/>
                <w:sz w:val="21"/>
                <w:szCs w:val="21"/>
              </w:rPr>
              <w:t>20台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trPr>
        <w:tc>
          <w:tcPr>
            <w:tcW w:w="1140" w:type="dxa"/>
            <w:tcBorders>
              <w:top w:val="single" w:color="auto" w:sz="4" w:space="0"/>
              <w:left w:val="nil"/>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8</w:t>
            </w:r>
          </w:p>
        </w:tc>
        <w:tc>
          <w:tcPr>
            <w:tcW w:w="4600" w:type="dxa"/>
            <w:tcBorders>
              <w:top w:val="single" w:color="auto" w:sz="4" w:space="0"/>
              <w:left w:val="single" w:color="auto" w:sz="4" w:space="0"/>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办公桌、椅</w:t>
            </w:r>
          </w:p>
        </w:tc>
        <w:tc>
          <w:tcPr>
            <w:tcW w:w="2871" w:type="dxa"/>
            <w:tcBorders>
              <w:top w:val="single" w:color="auto" w:sz="4" w:space="0"/>
              <w:left w:val="single" w:color="auto" w:sz="4" w:space="0"/>
              <w:bottom w:val="single" w:color="auto" w:sz="4" w:space="0"/>
              <w:right w:val="nil"/>
            </w:tcBorders>
            <w:tcMar>
              <w:top w:w="72" w:type="dxa"/>
              <w:left w:w="144" w:type="dxa"/>
              <w:bottom w:w="72" w:type="dxa"/>
              <w:right w:w="144" w:type="dxa"/>
            </w:tcMar>
          </w:tcPr>
          <w:p>
            <w:pPr>
              <w:pStyle w:val="14"/>
              <w:rPr>
                <w:rFonts w:cs="宋体"/>
                <w:sz w:val="21"/>
                <w:szCs w:val="21"/>
              </w:rPr>
            </w:pPr>
            <w:r>
              <w:rPr>
                <w:rFonts w:hint="eastAsia" w:cs="宋体"/>
                <w:sz w:val="21"/>
                <w:szCs w:val="21"/>
              </w:rPr>
              <w:t>若干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CellSpacing w:w="0" w:type="dxa"/>
        </w:trPr>
        <w:tc>
          <w:tcPr>
            <w:tcW w:w="1140" w:type="dxa"/>
            <w:tcBorders>
              <w:top w:val="single" w:color="auto" w:sz="4" w:space="0"/>
              <w:left w:val="nil"/>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9</w:t>
            </w:r>
          </w:p>
        </w:tc>
        <w:tc>
          <w:tcPr>
            <w:tcW w:w="4600" w:type="dxa"/>
            <w:tcBorders>
              <w:top w:val="single" w:color="auto" w:sz="4" w:space="0"/>
              <w:left w:val="single" w:color="auto" w:sz="4" w:space="0"/>
              <w:bottom w:val="single" w:color="auto" w:sz="4" w:space="0"/>
              <w:right w:val="single" w:color="auto" w:sz="4" w:space="0"/>
            </w:tcBorders>
            <w:tcMar>
              <w:top w:w="72" w:type="dxa"/>
              <w:left w:w="144" w:type="dxa"/>
              <w:bottom w:w="72" w:type="dxa"/>
              <w:right w:w="144" w:type="dxa"/>
            </w:tcMar>
          </w:tcPr>
          <w:p>
            <w:pPr>
              <w:pStyle w:val="14"/>
              <w:rPr>
                <w:rFonts w:cs="宋体"/>
                <w:sz w:val="21"/>
                <w:szCs w:val="21"/>
              </w:rPr>
            </w:pPr>
            <w:r>
              <w:rPr>
                <w:rFonts w:hint="eastAsia" w:cs="宋体"/>
                <w:sz w:val="21"/>
                <w:szCs w:val="21"/>
              </w:rPr>
              <w:t>绿植盆栽</w:t>
            </w:r>
          </w:p>
        </w:tc>
        <w:tc>
          <w:tcPr>
            <w:tcW w:w="2871" w:type="dxa"/>
            <w:tcBorders>
              <w:top w:val="single" w:color="auto" w:sz="4" w:space="0"/>
              <w:left w:val="single" w:color="auto" w:sz="4" w:space="0"/>
              <w:bottom w:val="single" w:color="auto" w:sz="4" w:space="0"/>
              <w:right w:val="nil"/>
            </w:tcBorders>
            <w:tcMar>
              <w:top w:w="72" w:type="dxa"/>
              <w:left w:w="144" w:type="dxa"/>
              <w:bottom w:w="72" w:type="dxa"/>
              <w:right w:w="144" w:type="dxa"/>
            </w:tcMar>
          </w:tcPr>
          <w:p>
            <w:pPr>
              <w:pStyle w:val="14"/>
              <w:rPr>
                <w:rFonts w:cs="宋体"/>
                <w:sz w:val="21"/>
                <w:szCs w:val="21"/>
              </w:rPr>
            </w:pPr>
            <w:r>
              <w:rPr>
                <w:rFonts w:hint="eastAsia" w:cs="宋体"/>
                <w:sz w:val="21"/>
                <w:szCs w:val="21"/>
              </w:rPr>
              <w:t>若干</w:t>
            </w:r>
          </w:p>
        </w:tc>
      </w:tr>
    </w:tbl>
    <w:p>
      <w:pPr>
        <w:spacing w:line="360" w:lineRule="auto"/>
        <w:jc w:val="center"/>
      </w:pPr>
    </w:p>
    <w:p>
      <w:pPr>
        <w:spacing w:line="360" w:lineRule="auto"/>
        <w:jc w:val="center"/>
      </w:pPr>
      <w:r>
        <w:drawing>
          <wp:inline distT="0" distB="0" distL="114300" distR="114300">
            <wp:extent cx="3707130" cy="3420110"/>
            <wp:effectExtent l="0" t="0" r="11430" b="8890"/>
            <wp:docPr id="2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2"/>
                    <pic:cNvPicPr>
                      <a:picLocks noChangeAspect="1"/>
                    </pic:cNvPicPr>
                  </pic:nvPicPr>
                  <pic:blipFill>
                    <a:blip r:embed="rId28"/>
                    <a:stretch>
                      <a:fillRect/>
                    </a:stretch>
                  </pic:blipFill>
                  <pic:spPr>
                    <a:xfrm>
                      <a:off x="0" y="0"/>
                      <a:ext cx="3707130" cy="3420110"/>
                    </a:xfrm>
                    <a:prstGeom prst="rect">
                      <a:avLst/>
                    </a:prstGeom>
                    <a:noFill/>
                    <a:ln>
                      <a:noFill/>
                    </a:ln>
                  </pic:spPr>
                </pic:pic>
              </a:graphicData>
            </a:graphic>
          </wp:inline>
        </w:drawing>
      </w:r>
    </w:p>
    <w:p>
      <w:pPr>
        <w:spacing w:line="360" w:lineRule="auto"/>
        <w:jc w:val="center"/>
        <w:rPr>
          <w:b/>
          <w:bCs/>
        </w:rPr>
      </w:pPr>
      <w:r>
        <w:rPr>
          <w:rFonts w:hint="eastAsia"/>
          <w:b/>
          <w:bCs/>
        </w:rPr>
        <w:t>发包人办公室首层平面布置图</w:t>
      </w:r>
    </w:p>
    <w:p>
      <w:pPr>
        <w:spacing w:line="360" w:lineRule="auto"/>
        <w:jc w:val="center"/>
      </w:pPr>
      <w:r>
        <w:drawing>
          <wp:inline distT="0" distB="0" distL="114300" distR="114300">
            <wp:extent cx="3853180" cy="3071495"/>
            <wp:effectExtent l="0" t="0" r="2540" b="6985"/>
            <wp:docPr id="2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3"/>
                    <pic:cNvPicPr>
                      <a:picLocks noChangeAspect="1"/>
                    </pic:cNvPicPr>
                  </pic:nvPicPr>
                  <pic:blipFill>
                    <a:blip r:embed="rId29"/>
                    <a:stretch>
                      <a:fillRect/>
                    </a:stretch>
                  </pic:blipFill>
                  <pic:spPr>
                    <a:xfrm>
                      <a:off x="0" y="0"/>
                      <a:ext cx="3853180" cy="3071495"/>
                    </a:xfrm>
                    <a:prstGeom prst="rect">
                      <a:avLst/>
                    </a:prstGeom>
                    <a:noFill/>
                    <a:ln>
                      <a:noFill/>
                    </a:ln>
                  </pic:spPr>
                </pic:pic>
              </a:graphicData>
            </a:graphic>
          </wp:inline>
        </w:drawing>
      </w:r>
    </w:p>
    <w:p>
      <w:pPr>
        <w:spacing w:line="360" w:lineRule="auto"/>
        <w:jc w:val="center"/>
        <w:rPr>
          <w:b/>
          <w:bCs/>
        </w:rPr>
      </w:pPr>
      <w:r>
        <w:rPr>
          <w:rFonts w:hint="eastAsia"/>
          <w:b/>
          <w:bCs/>
        </w:rPr>
        <w:t>发包人办公室二层平面布置图</w:t>
      </w:r>
    </w:p>
    <w:p>
      <w:pPr>
        <w:spacing w:line="360" w:lineRule="auto"/>
        <w:jc w:val="center"/>
        <w:rPr>
          <w:b/>
          <w:bCs/>
        </w:rPr>
      </w:pPr>
    </w:p>
    <w:p>
      <w:pPr>
        <w:spacing w:line="360" w:lineRule="auto"/>
        <w:jc w:val="center"/>
      </w:pPr>
      <w:r>
        <w:drawing>
          <wp:inline distT="0" distB="0" distL="114300" distR="114300">
            <wp:extent cx="5266690" cy="1471930"/>
            <wp:effectExtent l="0" t="0" r="6350" b="6350"/>
            <wp:docPr id="4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4"/>
                    <pic:cNvPicPr>
                      <a:picLocks noChangeAspect="1"/>
                    </pic:cNvPicPr>
                  </pic:nvPicPr>
                  <pic:blipFill>
                    <a:blip r:embed="rId30"/>
                    <a:stretch>
                      <a:fillRect/>
                    </a:stretch>
                  </pic:blipFill>
                  <pic:spPr>
                    <a:xfrm>
                      <a:off x="0" y="0"/>
                      <a:ext cx="5266690" cy="1471930"/>
                    </a:xfrm>
                    <a:prstGeom prst="rect">
                      <a:avLst/>
                    </a:prstGeom>
                    <a:noFill/>
                    <a:ln>
                      <a:noFill/>
                    </a:ln>
                  </pic:spPr>
                </pic:pic>
              </a:graphicData>
            </a:graphic>
          </wp:inline>
        </w:drawing>
      </w:r>
    </w:p>
    <w:p>
      <w:pPr>
        <w:spacing w:line="360" w:lineRule="auto"/>
        <w:jc w:val="center"/>
        <w:rPr>
          <w:rFonts w:ascii="宋体" w:hAnsi="宋体"/>
          <w:b/>
          <w:bCs/>
          <w:szCs w:val="21"/>
        </w:rPr>
      </w:pPr>
      <w:r>
        <w:rPr>
          <w:rFonts w:hint="eastAsia" w:ascii="宋体" w:hAnsi="宋体"/>
          <w:b/>
          <w:bCs/>
          <w:szCs w:val="21"/>
        </w:rPr>
        <w:t>监理、设计、咨询办公室首层平面布置图</w:t>
      </w:r>
    </w:p>
    <w:p>
      <w:pPr>
        <w:spacing w:line="360" w:lineRule="auto"/>
        <w:jc w:val="center"/>
      </w:pPr>
      <w:r>
        <w:drawing>
          <wp:inline distT="0" distB="0" distL="114300" distR="114300">
            <wp:extent cx="5271135" cy="1348105"/>
            <wp:effectExtent l="0" t="0" r="1905" b="8255"/>
            <wp:docPr id="2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5"/>
                    <pic:cNvPicPr>
                      <a:picLocks noChangeAspect="1"/>
                    </pic:cNvPicPr>
                  </pic:nvPicPr>
                  <pic:blipFill>
                    <a:blip r:embed="rId31"/>
                    <a:stretch>
                      <a:fillRect/>
                    </a:stretch>
                  </pic:blipFill>
                  <pic:spPr>
                    <a:xfrm>
                      <a:off x="0" y="0"/>
                      <a:ext cx="5271135" cy="1348105"/>
                    </a:xfrm>
                    <a:prstGeom prst="rect">
                      <a:avLst/>
                    </a:prstGeom>
                    <a:noFill/>
                    <a:ln>
                      <a:noFill/>
                    </a:ln>
                  </pic:spPr>
                </pic:pic>
              </a:graphicData>
            </a:graphic>
          </wp:inline>
        </w:drawing>
      </w:r>
    </w:p>
    <w:p>
      <w:pPr>
        <w:spacing w:line="360" w:lineRule="auto"/>
        <w:jc w:val="center"/>
      </w:pPr>
      <w:r>
        <w:rPr>
          <w:rFonts w:hint="eastAsia" w:ascii="宋体" w:hAnsi="宋体"/>
          <w:b/>
          <w:bCs/>
          <w:szCs w:val="21"/>
        </w:rPr>
        <w:t>监理、设计、咨询办公室二层平面布置图</w:t>
      </w:r>
    </w:p>
    <w:p>
      <w:pPr>
        <w:pStyle w:val="8"/>
        <w:adjustRightInd w:val="0"/>
        <w:snapToGrid w:val="0"/>
        <w:spacing w:line="360" w:lineRule="auto"/>
        <w:ind w:firstLine="118"/>
        <w:rPr>
          <w:b/>
          <w:bCs/>
        </w:rPr>
      </w:pPr>
      <w:r>
        <w:rPr>
          <w:rFonts w:hint="eastAsia"/>
          <w:b/>
          <w:bCs/>
        </w:rPr>
        <w:t>2、临时围蔽要求</w:t>
      </w:r>
    </w:p>
    <w:p>
      <w:pPr>
        <w:spacing w:line="360" w:lineRule="auto"/>
        <w:rPr>
          <w:rFonts w:ascii="宋体" w:hAnsi="宋体"/>
          <w:sz w:val="24"/>
          <w:szCs w:val="24"/>
        </w:rPr>
      </w:pPr>
      <w:r>
        <w:rPr>
          <w:rFonts w:hint="eastAsia" w:ascii="宋体" w:hAnsi="宋体"/>
          <w:sz w:val="24"/>
          <w:szCs w:val="24"/>
        </w:rPr>
        <w:t>（1）围蔽选型要求（一级围蔽）</w:t>
      </w:r>
    </w:p>
    <w:p>
      <w:pPr>
        <w:spacing w:line="360" w:lineRule="auto"/>
        <w:ind w:firstLine="480" w:firstLineChars="200"/>
        <w:rPr>
          <w:rFonts w:ascii="宋体" w:hAnsi="宋体"/>
          <w:sz w:val="24"/>
          <w:szCs w:val="24"/>
        </w:rPr>
      </w:pPr>
      <w:r>
        <w:rPr>
          <w:rFonts w:hint="eastAsia" w:ascii="宋体" w:hAnsi="宋体"/>
          <w:sz w:val="24"/>
          <w:szCs w:val="24"/>
        </w:rPr>
        <w:t>奥体中心北临广深高速公路，南临广深铁路、广园快速路，西临是大观南路和环城高速公路，广州地铁4号线与21号线直达奥体中心，交通便利，处于重要路段，故重要路段要采取仿真绿植围蔽，其他围蔽采用装配式临时活动式围蔽。均按照《广州市建设工程绿色施工围蔽指导图集（V2.0版）》执行。</w:t>
      </w:r>
    </w:p>
    <w:p>
      <w:pPr>
        <w:spacing w:line="360" w:lineRule="auto"/>
      </w:pPr>
      <w:r>
        <w:drawing>
          <wp:inline distT="0" distB="0" distL="114300" distR="114300">
            <wp:extent cx="4998085" cy="2964815"/>
            <wp:effectExtent l="0" t="0" r="635" b="6985"/>
            <wp:docPr id="4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6"/>
                    <pic:cNvPicPr>
                      <a:picLocks noChangeAspect="1"/>
                    </pic:cNvPicPr>
                  </pic:nvPicPr>
                  <pic:blipFill>
                    <a:blip r:embed="rId32"/>
                    <a:stretch>
                      <a:fillRect/>
                    </a:stretch>
                  </pic:blipFill>
                  <pic:spPr>
                    <a:xfrm>
                      <a:off x="0" y="0"/>
                      <a:ext cx="5030505" cy="2983757"/>
                    </a:xfrm>
                    <a:prstGeom prst="rect">
                      <a:avLst/>
                    </a:prstGeom>
                    <a:noFill/>
                    <a:ln>
                      <a:noFill/>
                    </a:ln>
                  </pic:spPr>
                </pic:pic>
              </a:graphicData>
            </a:graphic>
          </wp:inline>
        </w:drawing>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①仿真绿植围蔽要求：</w:t>
      </w:r>
    </w:p>
    <w:p>
      <w:pPr>
        <w:adjustRightInd w:val="0"/>
        <w:snapToGrid w:val="0"/>
        <w:spacing w:line="360" w:lineRule="auto"/>
        <w:ind w:firstLine="612" w:firstLineChars="255"/>
        <w:rPr>
          <w:rFonts w:ascii="宋体" w:hAnsi="宋体" w:cs="宋体"/>
          <w:sz w:val="24"/>
          <w:szCs w:val="24"/>
        </w:rPr>
      </w:pPr>
      <w:r>
        <w:rPr>
          <w:rFonts w:hint="eastAsia" w:ascii="宋体" w:hAnsi="宋体" w:cs="宋体"/>
          <w:sz w:val="24"/>
          <w:szCs w:val="24"/>
        </w:rPr>
        <w:t>按照《广州市建设工程绿色施工围蔽指导图集（V2.0版）》执行。采用轻钢结构框架，面板采用预制成品钢板扣件。钢板扣件厚度不小于2mm，表面颜色均为#1272浅灰色烤瓷漆面，采用角码与螺栓固定。主立柱采用壁厚不小于5mm的250*150mm方钢管，外刷#1264深灰色；隐藏立柱采用壁厚5mm,100*150mm方钢管，立柱标准间距为3m，柱高按照图纸。预制C25混凝土基础高度不低于50cm，基础安装时。围墙高不小于2.5m。每6.0m设置照明灯具，电压低于36V。围蔽顶焊接U型卡或其他固定件铺设给水管及水雾喷头，喷头向着工地内，间距不大于1.5m。需做防雷设计。仿真草成品面层，玻璃胶、螺丝固定于钢板，污损后必须及时更换。</w:t>
      </w:r>
    </w:p>
    <w:p>
      <w:pPr>
        <w:jc w:val="center"/>
      </w:pPr>
      <w:r>
        <w:drawing>
          <wp:inline distT="0" distB="0" distL="114300" distR="114300">
            <wp:extent cx="4285615" cy="2314575"/>
            <wp:effectExtent l="0" t="0" r="12065" b="1905"/>
            <wp:docPr id="2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7"/>
                    <pic:cNvPicPr>
                      <a:picLocks noChangeAspect="1"/>
                    </pic:cNvPicPr>
                  </pic:nvPicPr>
                  <pic:blipFill>
                    <a:blip r:embed="rId33"/>
                    <a:stretch>
                      <a:fillRect/>
                    </a:stretch>
                  </pic:blipFill>
                  <pic:spPr>
                    <a:xfrm>
                      <a:off x="0" y="0"/>
                      <a:ext cx="4285615" cy="2314575"/>
                    </a:xfrm>
                    <a:prstGeom prst="rect">
                      <a:avLst/>
                    </a:prstGeom>
                    <a:noFill/>
                    <a:ln>
                      <a:noFill/>
                    </a:ln>
                  </pic:spPr>
                </pic:pic>
              </a:graphicData>
            </a:graphic>
          </wp:inline>
        </w:drawing>
      </w:r>
    </w:p>
    <w:p>
      <w:pPr>
        <w:jc w:val="center"/>
      </w:pPr>
      <w:r>
        <w:rPr>
          <w:rFonts w:hint="eastAsia" w:ascii="宋体" w:hAnsi="宋体"/>
          <w:b/>
          <w:bCs/>
          <w:szCs w:val="21"/>
        </w:rPr>
        <w:t>图：《广州市建设工程绿色施工围蔽图集（V2.0版）》仿真绿植围蔽样式</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②普通钢制围蔽要求：</w:t>
      </w:r>
    </w:p>
    <w:p>
      <w:pPr>
        <w:adjustRightInd w:val="0"/>
        <w:snapToGrid w:val="0"/>
        <w:spacing w:line="360" w:lineRule="auto"/>
        <w:ind w:firstLine="612" w:firstLineChars="255"/>
        <w:rPr>
          <w:rFonts w:ascii="宋体" w:hAnsi="宋体" w:cs="宋体"/>
          <w:sz w:val="24"/>
          <w:szCs w:val="24"/>
        </w:rPr>
      </w:pPr>
      <w:r>
        <w:rPr>
          <w:rFonts w:hint="eastAsia" w:ascii="宋体" w:hAnsi="宋体" w:cs="宋体"/>
          <w:sz w:val="24"/>
          <w:szCs w:val="24"/>
        </w:rPr>
        <w:t>按照《广州市建设工程绿色施工围蔽指导图集（V2.0版）》执行。采用轻钢结构框架，面板采用预制成品钢板扣件。钢板扣件厚度不小于2mm，表面颜色均为#1272浅灰色烤瓷漆面，采用角码与螺栓固定。主立柱采用壁厚不小于5mm的250*150mm方钢管，外刷#1264深灰色；隐藏立柱采用壁厚5mm,100*150mm方钢管，立柱标准间距为3m，柱高按照图纸。预制C25混凝土基础高度不低于50cm，基础安装时。围墙高不小于2.5m。每6.0m设置照明灯具，电压低于36V。围蔽顶焊接U型卡或其他固定件铺设给水管及水雾喷头，喷头向着工地内，间距不大于1.5m。需做防雷设计。</w:t>
      </w:r>
    </w:p>
    <w:p>
      <w:pPr>
        <w:jc w:val="center"/>
      </w:pPr>
      <w:r>
        <w:drawing>
          <wp:inline distT="0" distB="0" distL="114300" distR="114300">
            <wp:extent cx="5049520" cy="2573655"/>
            <wp:effectExtent l="0" t="0" r="10160" b="1905"/>
            <wp:docPr id="2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8"/>
                    <pic:cNvPicPr>
                      <a:picLocks noChangeAspect="1"/>
                    </pic:cNvPicPr>
                  </pic:nvPicPr>
                  <pic:blipFill>
                    <a:blip r:embed="rId34"/>
                    <a:srcRect t="15924" b="3897"/>
                    <a:stretch>
                      <a:fillRect/>
                    </a:stretch>
                  </pic:blipFill>
                  <pic:spPr>
                    <a:xfrm>
                      <a:off x="0" y="0"/>
                      <a:ext cx="5049520" cy="2573655"/>
                    </a:xfrm>
                    <a:prstGeom prst="rect">
                      <a:avLst/>
                    </a:prstGeom>
                    <a:noFill/>
                    <a:ln>
                      <a:noFill/>
                    </a:ln>
                  </pic:spPr>
                </pic:pic>
              </a:graphicData>
            </a:graphic>
          </wp:inline>
        </w:drawing>
      </w:r>
    </w:p>
    <w:p>
      <w:pPr>
        <w:jc w:val="center"/>
        <w:rPr>
          <w:rFonts w:ascii="宋体" w:hAnsi="宋体"/>
          <w:b/>
          <w:bCs/>
          <w:szCs w:val="21"/>
        </w:rPr>
      </w:pPr>
      <w:r>
        <w:rPr>
          <w:rFonts w:hint="eastAsia" w:ascii="宋体" w:hAnsi="宋体"/>
          <w:b/>
          <w:bCs/>
          <w:szCs w:val="21"/>
        </w:rPr>
        <w:t>图：《广州市建设工程绿色施工围蔽图集（V2.0版）》装配式临时活动式围蔽样式</w:t>
      </w:r>
    </w:p>
    <w:p>
      <w:pPr>
        <w:adjustRightInd w:val="0"/>
        <w:snapToGrid w:val="0"/>
        <w:spacing w:line="360" w:lineRule="auto"/>
        <w:rPr>
          <w:rFonts w:ascii="宋体" w:hAnsi="宋体" w:cs="宋体"/>
          <w:sz w:val="24"/>
          <w:szCs w:val="24"/>
        </w:rPr>
      </w:pPr>
      <w:r>
        <w:rPr>
          <w:rFonts w:hint="eastAsia" w:ascii="宋体" w:hAnsi="宋体" w:cs="宋体"/>
          <w:sz w:val="24"/>
          <w:szCs w:val="24"/>
        </w:rPr>
        <w:t>（2）场内二级围蔽选型要求</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本项目在一级围蔽（外围围蔽）内，总承包单位按《总平面布置方案》的要求，设置材料堆放区、加工区、及临时仓库等区域，上述区域属于二级范围。</w:t>
      </w:r>
    </w:p>
    <w:p>
      <w:pPr>
        <w:adjustRightInd w:val="0"/>
        <w:snapToGrid w:val="0"/>
        <w:spacing w:line="360" w:lineRule="auto"/>
        <w:rPr>
          <w:rFonts w:ascii="宋体" w:hAnsi="宋体" w:cs="宋体"/>
          <w:sz w:val="24"/>
          <w:szCs w:val="24"/>
        </w:rPr>
      </w:pPr>
      <w:r>
        <w:rPr>
          <w:rFonts w:hint="eastAsia" w:ascii="宋体" w:hAnsi="宋体" w:cs="宋体"/>
          <w:sz w:val="24"/>
          <w:szCs w:val="24"/>
        </w:rPr>
        <w:t xml:space="preserve">    二级围蔽要求采用普通装配式围敝。构造要求：面板采用0.5mm厚镀锌铁皮，骨架用40*40*2 角钢焊接而成。立柱采用150*150*5mm钢柱，间距为3m，抗风柱基础预埋340*340*10mm的钢板，用膨胀螺丝连接抗风柱预置钢板（320*320*10mm）。围蔽高不小于 2.5m。</w:t>
      </w:r>
    </w:p>
    <w:p>
      <w:pPr>
        <w:adjustRightInd w:val="0"/>
        <w:snapToGrid w:val="0"/>
        <w:spacing w:line="360" w:lineRule="auto"/>
        <w:ind w:firstLine="480"/>
        <w:rPr>
          <w:rFonts w:ascii="宋体" w:hAnsi="宋体" w:cs="宋体"/>
          <w:sz w:val="24"/>
          <w:szCs w:val="24"/>
        </w:rPr>
      </w:pPr>
      <w:r>
        <w:rPr>
          <w:rFonts w:hint="eastAsia" w:ascii="宋体" w:hAnsi="宋体" w:cs="宋体"/>
          <w:sz w:val="24"/>
          <w:szCs w:val="24"/>
        </w:rPr>
        <w:t>若围蔽设置于户外，则需每6.0m设置照明灯具，电压低于36V并做防雷设计。</w:t>
      </w:r>
    </w:p>
    <w:p>
      <w:pPr>
        <w:adjustRightInd w:val="0"/>
        <w:snapToGrid w:val="0"/>
        <w:spacing w:line="360" w:lineRule="auto"/>
        <w:jc w:val="center"/>
        <w:rPr>
          <w:rFonts w:ascii="宋体" w:hAnsi="宋体" w:cs="宋体"/>
          <w:sz w:val="24"/>
          <w:szCs w:val="24"/>
        </w:rPr>
      </w:pPr>
      <w:r>
        <w:drawing>
          <wp:inline distT="0" distB="0" distL="114300" distR="114300">
            <wp:extent cx="3946525" cy="2883535"/>
            <wp:effectExtent l="0" t="0" r="635" b="12065"/>
            <wp:docPr id="3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9"/>
                    <pic:cNvPicPr>
                      <a:picLocks noChangeAspect="1"/>
                    </pic:cNvPicPr>
                  </pic:nvPicPr>
                  <pic:blipFill>
                    <a:blip r:embed="rId35"/>
                    <a:stretch>
                      <a:fillRect/>
                    </a:stretch>
                  </pic:blipFill>
                  <pic:spPr>
                    <a:xfrm>
                      <a:off x="0" y="0"/>
                      <a:ext cx="3946525" cy="2883535"/>
                    </a:xfrm>
                    <a:prstGeom prst="rect">
                      <a:avLst/>
                    </a:prstGeom>
                    <a:noFill/>
                    <a:ln>
                      <a:noFill/>
                    </a:ln>
                  </pic:spPr>
                </pic:pic>
              </a:graphicData>
            </a:graphic>
          </wp:inline>
        </w:drawing>
      </w:r>
    </w:p>
    <w:p>
      <w:pPr>
        <w:adjustRightInd w:val="0"/>
        <w:snapToGrid w:val="0"/>
        <w:spacing w:line="360" w:lineRule="auto"/>
        <w:jc w:val="center"/>
        <w:rPr>
          <w:rFonts w:ascii="宋体" w:hAnsi="宋体" w:cs="宋体"/>
          <w:sz w:val="24"/>
          <w:szCs w:val="24"/>
        </w:rPr>
      </w:pPr>
      <w:r>
        <w:rPr>
          <w:rFonts w:hint="eastAsia" w:ascii="宋体" w:hAnsi="宋体"/>
          <w:b/>
          <w:bCs/>
          <w:szCs w:val="21"/>
        </w:rPr>
        <w:t>图：场内二级围蔽效果</w:t>
      </w:r>
    </w:p>
    <w:p>
      <w:pPr>
        <w:adjustRightInd w:val="0"/>
        <w:snapToGrid w:val="0"/>
        <w:spacing w:line="360" w:lineRule="auto"/>
        <w:rPr>
          <w:rFonts w:ascii="宋体" w:hAnsi="宋体" w:cs="宋体"/>
          <w:sz w:val="24"/>
          <w:szCs w:val="24"/>
        </w:rPr>
      </w:pPr>
      <w:r>
        <w:rPr>
          <w:rFonts w:hint="eastAsia" w:ascii="宋体" w:hAnsi="宋体" w:cs="宋体"/>
          <w:sz w:val="24"/>
          <w:szCs w:val="24"/>
        </w:rPr>
        <w:t>（3）场内三级围蔽选型要求</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本项目在进行高空作业、焊接作业、起重吊装作业等对周边环境会造成安全隐患的，均要求采取临时围蔽（三级围蔽）</w:t>
      </w:r>
    </w:p>
    <w:p>
      <w:pPr>
        <w:adjustRightInd w:val="0"/>
        <w:snapToGrid w:val="0"/>
        <w:spacing w:line="360" w:lineRule="auto"/>
        <w:rPr>
          <w:rFonts w:ascii="宋体" w:hAnsi="宋体" w:cs="宋体"/>
          <w:sz w:val="24"/>
          <w:szCs w:val="24"/>
        </w:rPr>
      </w:pPr>
      <w:r>
        <w:rPr>
          <w:rFonts w:hint="eastAsia" w:ascii="宋体" w:hAnsi="宋体" w:cs="宋体"/>
          <w:sz w:val="24"/>
          <w:szCs w:val="24"/>
        </w:rPr>
        <w:t xml:space="preserve">    临时围蔽可采取水马、铁马类型对作业区域进行封闭，起到阻隔外部人员进入的作用。</w:t>
      </w:r>
    </w:p>
    <w:p>
      <w:pPr>
        <w:adjustRightInd w:val="0"/>
        <w:snapToGrid w:val="0"/>
        <w:spacing w:line="360" w:lineRule="auto"/>
        <w:rPr>
          <w:rFonts w:ascii="宋体" w:hAnsi="宋体" w:cs="宋体"/>
          <w:sz w:val="24"/>
          <w:szCs w:val="24"/>
        </w:rPr>
      </w:pPr>
      <w:r>
        <w:rPr>
          <w:rFonts w:hint="eastAsia" w:ascii="宋体" w:hAnsi="宋体" w:cs="宋体"/>
          <w:sz w:val="24"/>
          <w:szCs w:val="24"/>
        </w:rPr>
        <w:t xml:space="preserve">    围蔽规格按右图：</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临时围蔽材料需与措施费申请挂钩，施工单位应将围蔽材料进场情况在每月安全措施费使用计划及使用情况中予以体现，由监理单位审核确认。</w:t>
      </w:r>
    </w:p>
    <w:p>
      <w:pPr>
        <w:adjustRightInd w:val="0"/>
        <w:snapToGrid w:val="0"/>
        <w:spacing w:line="360" w:lineRule="auto"/>
        <w:rPr>
          <w:rFonts w:ascii="宋体" w:hAnsi="宋体" w:cs="宋体"/>
          <w:sz w:val="24"/>
          <w:szCs w:val="24"/>
        </w:rPr>
      </w:pPr>
      <w:r>
        <w:drawing>
          <wp:inline distT="0" distB="0" distL="114300" distR="114300">
            <wp:extent cx="5612130" cy="4018915"/>
            <wp:effectExtent l="0" t="0" r="11430" b="4445"/>
            <wp:docPr id="3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0"/>
                    <pic:cNvPicPr>
                      <a:picLocks noChangeAspect="1"/>
                    </pic:cNvPicPr>
                  </pic:nvPicPr>
                  <pic:blipFill>
                    <a:blip r:embed="rId36"/>
                    <a:stretch>
                      <a:fillRect/>
                    </a:stretch>
                  </pic:blipFill>
                  <pic:spPr>
                    <a:xfrm>
                      <a:off x="0" y="0"/>
                      <a:ext cx="5612130" cy="4018915"/>
                    </a:xfrm>
                    <a:prstGeom prst="rect">
                      <a:avLst/>
                    </a:prstGeom>
                    <a:noFill/>
                    <a:ln>
                      <a:noFill/>
                    </a:ln>
                  </pic:spPr>
                </pic:pic>
              </a:graphicData>
            </a:graphic>
          </wp:inline>
        </w:drawing>
      </w:r>
    </w:p>
    <w:p>
      <w:pPr>
        <w:adjustRightInd w:val="0"/>
        <w:snapToGrid w:val="0"/>
        <w:spacing w:line="360" w:lineRule="auto"/>
        <w:jc w:val="center"/>
        <w:rPr>
          <w:rFonts w:ascii="宋体" w:hAnsi="宋体" w:cs="宋体"/>
          <w:sz w:val="24"/>
          <w:szCs w:val="24"/>
        </w:rPr>
      </w:pPr>
      <w:r>
        <w:rPr>
          <w:rFonts w:hint="eastAsia" w:ascii="宋体" w:hAnsi="宋体"/>
          <w:b/>
          <w:bCs/>
          <w:szCs w:val="21"/>
        </w:rPr>
        <w:t>图：场内三级围蔽要求</w:t>
      </w:r>
    </w:p>
    <w:p>
      <w:pPr>
        <w:pStyle w:val="8"/>
        <w:adjustRightInd w:val="0"/>
        <w:snapToGrid w:val="0"/>
        <w:spacing w:line="360" w:lineRule="auto"/>
        <w:ind w:firstLine="118"/>
        <w:rPr>
          <w:b/>
          <w:bCs/>
        </w:rPr>
      </w:pPr>
      <w:r>
        <w:rPr>
          <w:rFonts w:hint="eastAsia"/>
          <w:b/>
          <w:bCs/>
        </w:rPr>
        <w:t>3、项目大门要求</w:t>
      </w:r>
    </w:p>
    <w:p>
      <w:pPr>
        <w:spacing w:line="360" w:lineRule="auto"/>
        <w:ind w:firstLine="480" w:firstLineChars="200"/>
        <w:rPr>
          <w:sz w:val="24"/>
        </w:rPr>
      </w:pPr>
      <w:r>
        <w:rPr>
          <w:rFonts w:hint="eastAsia"/>
          <w:sz w:val="24"/>
        </w:rPr>
        <w:t>项目大门应按照《广州市建设工程绿色施工围蔽指导图集（V2.0版）》执行，</w:t>
      </w:r>
      <w:r>
        <w:rPr>
          <w:sz w:val="24"/>
        </w:rPr>
        <w:t>施工区主次出入口大门应与围挡及施工用房等其他设施风格相匹配。施工区主出入口大门应设置门卫岗亭、实名制管理闸机（带体温检测仪）、门卫岗亭</w:t>
      </w:r>
      <w:r>
        <w:rPr>
          <w:rFonts w:hint="eastAsia"/>
          <w:sz w:val="24"/>
        </w:rPr>
        <w:t>、</w:t>
      </w:r>
      <w:r>
        <w:rPr>
          <w:sz w:val="24"/>
        </w:rPr>
        <w:t>嘉宾通道及安全教育室</w:t>
      </w:r>
      <w:r>
        <w:rPr>
          <w:rFonts w:hint="eastAsia"/>
          <w:sz w:val="24"/>
        </w:rPr>
        <w:t>、</w:t>
      </w:r>
      <w:r>
        <w:rPr>
          <w:sz w:val="24"/>
        </w:rPr>
        <w:t>电子信息公示牌、电子监控等配套设施</w:t>
      </w:r>
      <w:r>
        <w:rPr>
          <w:rFonts w:hint="eastAsia"/>
          <w:sz w:val="24"/>
        </w:rPr>
        <w:t>；</w:t>
      </w:r>
      <w:r>
        <w:rPr>
          <w:sz w:val="24"/>
        </w:rPr>
        <w:t>施工区次出入口根据具体需要进行设置，并应符合实名制管理的要求</w:t>
      </w:r>
      <w:r>
        <w:rPr>
          <w:rFonts w:hint="eastAsia"/>
          <w:sz w:val="24"/>
        </w:rPr>
        <w:t>；</w:t>
      </w:r>
      <w:r>
        <w:rPr>
          <w:sz w:val="24"/>
        </w:rPr>
        <w:t>大门外侧设置</w:t>
      </w:r>
      <w:r>
        <w:rPr>
          <w:rFonts w:hint="eastAsia"/>
          <w:sz w:val="24"/>
        </w:rPr>
        <w:t>八</w:t>
      </w:r>
      <w:r>
        <w:rPr>
          <w:sz w:val="24"/>
        </w:rPr>
        <w:t>牌</w:t>
      </w:r>
      <w:r>
        <w:rPr>
          <w:rFonts w:hint="eastAsia"/>
          <w:sz w:val="24"/>
        </w:rPr>
        <w:t>二</w:t>
      </w:r>
      <w:r>
        <w:rPr>
          <w:sz w:val="24"/>
        </w:rPr>
        <w:t>图。</w:t>
      </w:r>
    </w:p>
    <w:p>
      <w:r>
        <w:drawing>
          <wp:inline distT="0" distB="0" distL="114300" distR="114300">
            <wp:extent cx="5331460" cy="2255520"/>
            <wp:effectExtent l="0" t="0" r="2540" b="0"/>
            <wp:docPr id="2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1"/>
                    <pic:cNvPicPr>
                      <a:picLocks noChangeAspect="1"/>
                    </pic:cNvPicPr>
                  </pic:nvPicPr>
                  <pic:blipFill>
                    <a:blip r:embed="rId37"/>
                    <a:stretch>
                      <a:fillRect/>
                    </a:stretch>
                  </pic:blipFill>
                  <pic:spPr>
                    <a:xfrm>
                      <a:off x="0" y="0"/>
                      <a:ext cx="5331460" cy="2255520"/>
                    </a:xfrm>
                    <a:prstGeom prst="rect">
                      <a:avLst/>
                    </a:prstGeom>
                    <a:noFill/>
                    <a:ln>
                      <a:noFill/>
                    </a:ln>
                  </pic:spPr>
                </pic:pic>
              </a:graphicData>
            </a:graphic>
          </wp:inline>
        </w:drawing>
      </w:r>
    </w:p>
    <w:p>
      <w:r>
        <w:drawing>
          <wp:inline distT="0" distB="0" distL="114300" distR="114300">
            <wp:extent cx="5359400" cy="2052320"/>
            <wp:effectExtent l="0" t="0" r="5080" b="5080"/>
            <wp:docPr id="3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2"/>
                    <pic:cNvPicPr>
                      <a:picLocks noChangeAspect="1"/>
                    </pic:cNvPicPr>
                  </pic:nvPicPr>
                  <pic:blipFill>
                    <a:blip r:embed="rId38"/>
                    <a:stretch>
                      <a:fillRect/>
                    </a:stretch>
                  </pic:blipFill>
                  <pic:spPr>
                    <a:xfrm>
                      <a:off x="0" y="0"/>
                      <a:ext cx="5359400" cy="2052320"/>
                    </a:xfrm>
                    <a:prstGeom prst="rect">
                      <a:avLst/>
                    </a:prstGeom>
                    <a:noFill/>
                    <a:ln>
                      <a:noFill/>
                    </a:ln>
                  </pic:spPr>
                </pic:pic>
              </a:graphicData>
            </a:graphic>
          </wp:inline>
        </w:drawing>
      </w:r>
    </w:p>
    <w:p>
      <w:pPr>
        <w:pStyle w:val="8"/>
        <w:adjustRightInd w:val="0"/>
        <w:snapToGrid w:val="0"/>
        <w:spacing w:line="360" w:lineRule="auto"/>
        <w:ind w:firstLine="118"/>
        <w:rPr>
          <w:b/>
          <w:bCs/>
        </w:rPr>
      </w:pPr>
      <w:r>
        <w:rPr>
          <w:rFonts w:hint="eastAsia"/>
          <w:b/>
          <w:bCs/>
        </w:rPr>
        <w:t>4、洗车槽要求</w:t>
      </w:r>
    </w:p>
    <w:p>
      <w:pPr>
        <w:adjustRightInd w:val="0"/>
        <w:snapToGrid w:val="0"/>
        <w:spacing w:line="360" w:lineRule="auto"/>
        <w:ind w:firstLine="480" w:firstLineChars="200"/>
        <w:rPr>
          <w:sz w:val="24"/>
        </w:rPr>
      </w:pPr>
      <w:r>
        <w:rPr>
          <w:rFonts w:hint="eastAsia"/>
          <w:sz w:val="24"/>
        </w:rPr>
        <w:t>为满足《广州市建设工程绿色施工围蔽指导图集》要求，可选用自动喷淋冲洗设施。工地内车辆出入口应当设置用混凝土挠捣的由宽30厘米、深40厘米沟槽围成宽3米、长5米的矩形洗车场地和沉淀池、高压冲洗水枪，驶出工地的机动车辆必须在工地出入口洗车场内冲洗干净方可上路行驶。</w:t>
      </w:r>
    </w:p>
    <w:p>
      <w:r>
        <w:drawing>
          <wp:inline distT="0" distB="0" distL="114300" distR="114300">
            <wp:extent cx="5319395" cy="3599815"/>
            <wp:effectExtent l="0" t="0" r="14605" b="12065"/>
            <wp:docPr id="3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3"/>
                    <pic:cNvPicPr>
                      <a:picLocks noChangeAspect="1"/>
                    </pic:cNvPicPr>
                  </pic:nvPicPr>
                  <pic:blipFill>
                    <a:blip r:embed="rId39"/>
                    <a:stretch>
                      <a:fillRect/>
                    </a:stretch>
                  </pic:blipFill>
                  <pic:spPr>
                    <a:xfrm>
                      <a:off x="0" y="0"/>
                      <a:ext cx="5319395" cy="3599815"/>
                    </a:xfrm>
                    <a:prstGeom prst="rect">
                      <a:avLst/>
                    </a:prstGeom>
                    <a:noFill/>
                    <a:ln>
                      <a:noFill/>
                    </a:ln>
                  </pic:spPr>
                </pic:pic>
              </a:graphicData>
            </a:graphic>
          </wp:inline>
        </w:drawing>
      </w:r>
    </w:p>
    <w:p/>
    <w:p>
      <w:pPr>
        <w:pStyle w:val="8"/>
        <w:adjustRightInd w:val="0"/>
        <w:snapToGrid w:val="0"/>
        <w:spacing w:line="360" w:lineRule="auto"/>
        <w:ind w:firstLine="118"/>
        <w:rPr>
          <w:b/>
          <w:bCs/>
        </w:rPr>
      </w:pPr>
      <w:r>
        <w:rPr>
          <w:rFonts w:hint="eastAsia"/>
          <w:b/>
          <w:bCs/>
        </w:rPr>
        <w:t>5、临水临电</w:t>
      </w:r>
      <w:r>
        <w:rPr>
          <w:b/>
          <w:bCs/>
        </w:rPr>
        <w:t>临路</w:t>
      </w:r>
      <w:r>
        <w:rPr>
          <w:rFonts w:hint="eastAsia"/>
          <w:b/>
          <w:bCs/>
        </w:rPr>
        <w:t>接通要求</w:t>
      </w:r>
    </w:p>
    <w:p>
      <w:pPr>
        <w:adjustRightInd w:val="0"/>
        <w:snapToGrid w:val="0"/>
        <w:spacing w:line="360" w:lineRule="auto"/>
        <w:ind w:firstLine="480" w:firstLineChars="200"/>
        <w:rPr>
          <w:rFonts w:ascii="Calibri" w:hAnsi="Calibri"/>
          <w:sz w:val="24"/>
        </w:rPr>
      </w:pPr>
      <w:r>
        <w:rPr>
          <w:rFonts w:hint="eastAsia" w:ascii="Calibri" w:hAnsi="Calibri"/>
          <w:sz w:val="24"/>
        </w:rPr>
        <w:t>本项目属于升级改造工程，现有建筑已存在永水永电</w:t>
      </w:r>
      <w:r>
        <w:rPr>
          <w:rFonts w:ascii="Calibri" w:hAnsi="Calibri"/>
          <w:sz w:val="24"/>
        </w:rPr>
        <w:t>永路</w:t>
      </w:r>
      <w:r>
        <w:rPr>
          <w:rFonts w:hint="eastAsia" w:ascii="Calibri" w:hAnsi="Calibri"/>
          <w:sz w:val="24"/>
        </w:rPr>
        <w:t>，在确保广东奥体中心各场馆用电用水</w:t>
      </w:r>
      <w:r>
        <w:rPr>
          <w:rFonts w:ascii="Calibri" w:hAnsi="Calibri"/>
          <w:sz w:val="24"/>
        </w:rPr>
        <w:t>车流</w:t>
      </w:r>
      <w:r>
        <w:rPr>
          <w:rFonts w:hint="eastAsia" w:ascii="Calibri" w:hAnsi="Calibri"/>
          <w:sz w:val="24"/>
        </w:rPr>
        <w:t>容量负荷满足要求的情况下，需要场馆使用方提供临水临电</w:t>
      </w:r>
      <w:r>
        <w:rPr>
          <w:rFonts w:ascii="Calibri" w:hAnsi="Calibri"/>
          <w:sz w:val="24"/>
        </w:rPr>
        <w:t>临路</w:t>
      </w:r>
      <w:r>
        <w:rPr>
          <w:rFonts w:hint="eastAsia" w:ascii="Calibri" w:hAnsi="Calibri"/>
          <w:sz w:val="24"/>
        </w:rPr>
        <w:t>接通</w:t>
      </w:r>
      <w:r>
        <w:rPr>
          <w:rFonts w:ascii="Calibri" w:hAnsi="Calibri"/>
          <w:sz w:val="24"/>
        </w:rPr>
        <w:t>。临水临电接驳和临时路口的开设的主体责任为施工单位，施工单位自行负责接驳办理及开口手续，费用含在工程量清单措施费综合单价中，不另增加工期和工程造价</w:t>
      </w:r>
      <w:r>
        <w:rPr>
          <w:rFonts w:hint="eastAsia" w:ascii="Calibri" w:hAnsi="Calibri"/>
          <w:sz w:val="24"/>
        </w:rPr>
        <w:t>。</w:t>
      </w:r>
    </w:p>
    <w:p>
      <w:pPr>
        <w:adjustRightInd w:val="0"/>
        <w:snapToGrid w:val="0"/>
        <w:spacing w:line="360" w:lineRule="auto"/>
        <w:ind w:firstLine="240" w:firstLineChars="100"/>
        <w:rPr>
          <w:rFonts w:ascii="Calibri" w:hAnsi="Calibri"/>
          <w:sz w:val="24"/>
        </w:rPr>
      </w:pPr>
      <w:r>
        <w:rPr>
          <w:rFonts w:hint="eastAsia" w:ascii="Calibri" w:hAnsi="Calibri"/>
          <w:sz w:val="24"/>
        </w:rPr>
        <w:t>（1）临水、临电接驳概况</w:t>
      </w:r>
    </w:p>
    <w:p>
      <w:pPr>
        <w:adjustRightInd w:val="0"/>
        <w:snapToGrid w:val="0"/>
        <w:spacing w:line="360" w:lineRule="auto"/>
        <w:ind w:firstLine="420" w:firstLineChars="200"/>
        <w:rPr>
          <w:rFonts w:ascii="Calibri" w:hAnsi="Calibri"/>
          <w:sz w:val="24"/>
        </w:rPr>
      </w:pPr>
      <w:r>
        <w:drawing>
          <wp:inline distT="0" distB="0" distL="114300" distR="114300">
            <wp:extent cx="4695190" cy="2933065"/>
            <wp:effectExtent l="0" t="0" r="13970" b="8255"/>
            <wp:docPr id="2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4"/>
                    <pic:cNvPicPr>
                      <a:picLocks noChangeAspect="1"/>
                    </pic:cNvPicPr>
                  </pic:nvPicPr>
                  <pic:blipFill>
                    <a:blip r:embed="rId40"/>
                    <a:stretch>
                      <a:fillRect/>
                    </a:stretch>
                  </pic:blipFill>
                  <pic:spPr>
                    <a:xfrm>
                      <a:off x="0" y="0"/>
                      <a:ext cx="4695190" cy="2933065"/>
                    </a:xfrm>
                    <a:prstGeom prst="rect">
                      <a:avLst/>
                    </a:prstGeom>
                    <a:noFill/>
                    <a:ln>
                      <a:noFill/>
                    </a:ln>
                  </pic:spPr>
                </pic:pic>
              </a:graphicData>
            </a:graphic>
          </wp:inline>
        </w:drawing>
      </w:r>
    </w:p>
    <w:p>
      <w:pPr>
        <w:adjustRightInd w:val="0"/>
        <w:snapToGrid w:val="0"/>
        <w:spacing w:line="360" w:lineRule="auto"/>
        <w:ind w:firstLine="480" w:firstLineChars="200"/>
        <w:rPr>
          <w:rFonts w:ascii="Calibri" w:hAnsi="Calibri"/>
          <w:sz w:val="24"/>
        </w:rPr>
      </w:pPr>
      <w:r>
        <w:rPr>
          <w:rFonts w:ascii="Calibri" w:hAnsi="Calibri"/>
          <w:sz w:val="24"/>
        </w:rPr>
        <w:t>经前期摸查，现场总水表2个，分别位于东南侧（表后主管径DN300）,西南侧（表后主管径DN400）,可满足临建及施工用水需求。</w:t>
      </w:r>
    </w:p>
    <w:p>
      <w:pPr>
        <w:adjustRightInd w:val="0"/>
        <w:snapToGrid w:val="0"/>
        <w:spacing w:line="360" w:lineRule="auto"/>
        <w:ind w:firstLine="480"/>
        <w:rPr>
          <w:rFonts w:ascii="Calibri" w:hAnsi="Calibri"/>
          <w:sz w:val="24"/>
        </w:rPr>
      </w:pPr>
      <w:r>
        <w:rPr>
          <w:rFonts w:hint="eastAsia" w:ascii="Calibri" w:hAnsi="Calibri"/>
          <w:sz w:val="24"/>
        </w:rPr>
        <w:t>体育场首层共设置6个变电所，副场设有2个变电所，其中奥体公共用电变电所1个，游泳馆负一层设有1个变电所，可满足项目建设临电需求。</w:t>
      </w:r>
    </w:p>
    <w:tbl>
      <w:tblPr>
        <w:tblStyle w:val="16"/>
        <w:tblW w:w="0" w:type="auto"/>
        <w:jc w:val="center"/>
        <w:tblCellSpacing w:w="0" w:type="dxa"/>
        <w:tblLayout w:type="fixed"/>
        <w:tblCellMar>
          <w:top w:w="0" w:type="dxa"/>
          <w:left w:w="0" w:type="dxa"/>
          <w:bottom w:w="0" w:type="dxa"/>
          <w:right w:w="0" w:type="dxa"/>
        </w:tblCellMar>
      </w:tblPr>
      <w:tblGrid>
        <w:gridCol w:w="668"/>
        <w:gridCol w:w="1748"/>
        <w:gridCol w:w="2452"/>
      </w:tblGrid>
      <w:tr>
        <w:tblPrEx>
          <w:tblCellMar>
            <w:top w:w="0" w:type="dxa"/>
            <w:left w:w="0" w:type="dxa"/>
            <w:bottom w:w="0" w:type="dxa"/>
            <w:right w:w="0" w:type="dxa"/>
          </w:tblCellMar>
        </w:tblPrEx>
        <w:trPr>
          <w:trHeight w:val="420" w:hRule="atLeast"/>
          <w:tblCellSpacing w:w="0" w:type="dxa"/>
          <w:jc w:val="center"/>
        </w:trPr>
        <w:tc>
          <w:tcPr>
            <w:tcW w:w="668" w:type="dxa"/>
            <w:tcBorders>
              <w:top w:val="single" w:color="FFFFFF" w:sz="4" w:space="0"/>
              <w:left w:val="single" w:color="FFFFFF" w:sz="4" w:space="0"/>
              <w:bottom w:val="single" w:color="FFFFFF" w:sz="12" w:space="0"/>
              <w:right w:val="single" w:color="FFFFFF" w:sz="4" w:space="0"/>
            </w:tcBorders>
            <w:shd w:val="clear" w:color="auto" w:fill="4472C4"/>
            <w:tcMar>
              <w:top w:w="72" w:type="dxa"/>
              <w:left w:w="144" w:type="dxa"/>
              <w:bottom w:w="72" w:type="dxa"/>
              <w:right w:w="144" w:type="dxa"/>
            </w:tcMar>
            <w:vAlign w:val="center"/>
          </w:tcPr>
          <w:p>
            <w:pPr>
              <w:pStyle w:val="14"/>
              <w:jc w:val="center"/>
              <w:rPr>
                <w:sz w:val="18"/>
                <w:szCs w:val="18"/>
              </w:rPr>
            </w:pPr>
            <w:r>
              <w:rPr>
                <w:rFonts w:ascii="微软雅黑" w:hAnsi="微软雅黑" w:eastAsia="微软雅黑" w:cs="微软雅黑"/>
                <w:b/>
                <w:bCs/>
                <w:sz w:val="18"/>
                <w:szCs w:val="18"/>
              </w:rPr>
              <w:t>序号</w:t>
            </w:r>
          </w:p>
        </w:tc>
        <w:tc>
          <w:tcPr>
            <w:tcW w:w="1748" w:type="dxa"/>
            <w:tcBorders>
              <w:top w:val="single" w:color="FFFFFF" w:sz="4" w:space="0"/>
              <w:left w:val="single" w:color="FFFFFF" w:sz="4" w:space="0"/>
              <w:bottom w:val="single" w:color="FFFFFF" w:sz="12" w:space="0"/>
              <w:right w:val="single" w:color="FFFFFF" w:sz="4" w:space="0"/>
            </w:tcBorders>
            <w:shd w:val="clear" w:color="auto" w:fill="4472C4"/>
            <w:tcMar>
              <w:top w:w="72" w:type="dxa"/>
              <w:left w:w="144" w:type="dxa"/>
              <w:bottom w:w="72" w:type="dxa"/>
              <w:right w:w="144" w:type="dxa"/>
            </w:tcMar>
            <w:vAlign w:val="center"/>
          </w:tcPr>
          <w:p>
            <w:pPr>
              <w:pStyle w:val="14"/>
              <w:jc w:val="center"/>
              <w:rPr>
                <w:sz w:val="18"/>
                <w:szCs w:val="18"/>
              </w:rPr>
            </w:pPr>
            <w:r>
              <w:rPr>
                <w:rFonts w:hint="eastAsia" w:ascii="微软雅黑" w:hAnsi="微软雅黑" w:eastAsia="微软雅黑" w:cs="微软雅黑"/>
                <w:b/>
                <w:bCs/>
                <w:sz w:val="18"/>
                <w:szCs w:val="18"/>
              </w:rPr>
              <w:t>变电所</w:t>
            </w:r>
          </w:p>
        </w:tc>
        <w:tc>
          <w:tcPr>
            <w:tcW w:w="2452" w:type="dxa"/>
            <w:tcBorders>
              <w:top w:val="single" w:color="FFFFFF" w:sz="4" w:space="0"/>
              <w:left w:val="single" w:color="FFFFFF" w:sz="4" w:space="0"/>
              <w:bottom w:val="single" w:color="FFFFFF" w:sz="12" w:space="0"/>
              <w:right w:val="single" w:color="FFFFFF" w:sz="4" w:space="0"/>
            </w:tcBorders>
            <w:shd w:val="clear" w:color="auto" w:fill="4472C4"/>
            <w:tcMar>
              <w:top w:w="72" w:type="dxa"/>
              <w:left w:w="144" w:type="dxa"/>
              <w:bottom w:w="72" w:type="dxa"/>
              <w:right w:w="144" w:type="dxa"/>
            </w:tcMar>
            <w:vAlign w:val="center"/>
          </w:tcPr>
          <w:p>
            <w:pPr>
              <w:pStyle w:val="14"/>
              <w:jc w:val="center"/>
              <w:rPr>
                <w:sz w:val="18"/>
                <w:szCs w:val="18"/>
              </w:rPr>
            </w:pPr>
            <w:r>
              <w:rPr>
                <w:rFonts w:hint="eastAsia" w:ascii="微软雅黑" w:hAnsi="微软雅黑" w:eastAsia="微软雅黑" w:cs="微软雅黑"/>
                <w:b/>
                <w:bCs/>
                <w:sz w:val="18"/>
                <w:szCs w:val="18"/>
              </w:rPr>
              <w:t>容量</w:t>
            </w:r>
          </w:p>
        </w:tc>
      </w:tr>
      <w:tr>
        <w:tblPrEx>
          <w:tblCellMar>
            <w:top w:w="0" w:type="dxa"/>
            <w:left w:w="0" w:type="dxa"/>
            <w:bottom w:w="0" w:type="dxa"/>
            <w:right w:w="0" w:type="dxa"/>
          </w:tblCellMar>
        </w:tblPrEx>
        <w:trPr>
          <w:trHeight w:val="420" w:hRule="atLeast"/>
          <w:tblCellSpacing w:w="0" w:type="dxa"/>
          <w:jc w:val="center"/>
        </w:trPr>
        <w:tc>
          <w:tcPr>
            <w:tcW w:w="668" w:type="dxa"/>
            <w:tcBorders>
              <w:top w:val="single" w:color="FFFFFF" w:sz="4" w:space="0"/>
              <w:left w:val="single" w:color="FFFFFF" w:sz="4" w:space="0"/>
              <w:bottom w:val="single" w:color="FFFFFF" w:sz="12" w:space="0"/>
              <w:right w:val="single" w:color="FFFFFF" w:sz="4" w:space="0"/>
            </w:tcBorders>
            <w:shd w:val="clear" w:color="auto" w:fill="CFD5EA"/>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1</w:t>
            </w:r>
          </w:p>
        </w:tc>
        <w:tc>
          <w:tcPr>
            <w:tcW w:w="1748" w:type="dxa"/>
            <w:tcBorders>
              <w:top w:val="single" w:color="FFFFFF" w:sz="4" w:space="0"/>
              <w:left w:val="single" w:color="FFFFFF" w:sz="4" w:space="0"/>
              <w:bottom w:val="single" w:color="FFFFFF" w:sz="12" w:space="0"/>
              <w:right w:val="single" w:color="FFFFFF" w:sz="4" w:space="0"/>
            </w:tcBorders>
            <w:shd w:val="clear" w:color="auto" w:fill="CFD5EA"/>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东南1#变电所</w:t>
            </w:r>
          </w:p>
        </w:tc>
        <w:tc>
          <w:tcPr>
            <w:tcW w:w="2452" w:type="dxa"/>
            <w:tcBorders>
              <w:top w:val="single" w:color="FFFFFF" w:sz="4" w:space="0"/>
              <w:left w:val="single" w:color="FFFFFF" w:sz="4" w:space="0"/>
              <w:bottom w:val="single" w:color="FFFFFF" w:sz="12" w:space="0"/>
              <w:right w:val="single" w:color="FFFFFF" w:sz="4" w:space="0"/>
            </w:tcBorders>
            <w:shd w:val="clear" w:color="auto" w:fill="CFD5EA"/>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3x800KVA</w:t>
            </w:r>
          </w:p>
        </w:tc>
      </w:tr>
      <w:tr>
        <w:tblPrEx>
          <w:tblCellMar>
            <w:top w:w="0" w:type="dxa"/>
            <w:left w:w="0" w:type="dxa"/>
            <w:bottom w:w="0" w:type="dxa"/>
            <w:right w:w="0" w:type="dxa"/>
          </w:tblCellMar>
        </w:tblPrEx>
        <w:trPr>
          <w:trHeight w:val="420" w:hRule="atLeast"/>
          <w:tblCellSpacing w:w="0" w:type="dxa"/>
          <w:jc w:val="center"/>
        </w:trPr>
        <w:tc>
          <w:tcPr>
            <w:tcW w:w="668" w:type="dxa"/>
            <w:tcBorders>
              <w:top w:val="single" w:color="FFFFFF" w:sz="4" w:space="0"/>
              <w:left w:val="single" w:color="FFFFFF" w:sz="4" w:space="0"/>
              <w:bottom w:val="single" w:color="FFFFFF" w:sz="12" w:space="0"/>
              <w:right w:val="single" w:color="FFFFFF" w:sz="4" w:space="0"/>
            </w:tcBorders>
            <w:shd w:val="clear" w:color="auto" w:fill="E9EBF5"/>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2</w:t>
            </w:r>
          </w:p>
        </w:tc>
        <w:tc>
          <w:tcPr>
            <w:tcW w:w="1748" w:type="dxa"/>
            <w:tcBorders>
              <w:top w:val="single" w:color="FFFFFF" w:sz="4" w:space="0"/>
              <w:left w:val="single" w:color="FFFFFF" w:sz="4" w:space="0"/>
              <w:bottom w:val="single" w:color="FFFFFF" w:sz="12" w:space="0"/>
              <w:right w:val="single" w:color="FFFFFF" w:sz="4" w:space="0"/>
            </w:tcBorders>
            <w:shd w:val="clear" w:color="auto" w:fill="E9EBF5"/>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东北2#变电所</w:t>
            </w:r>
          </w:p>
        </w:tc>
        <w:tc>
          <w:tcPr>
            <w:tcW w:w="2452" w:type="dxa"/>
            <w:tcBorders>
              <w:top w:val="single" w:color="FFFFFF" w:sz="4" w:space="0"/>
              <w:left w:val="single" w:color="FFFFFF" w:sz="4" w:space="0"/>
              <w:bottom w:val="single" w:color="FFFFFF" w:sz="12" w:space="0"/>
              <w:right w:val="single" w:color="FFFFFF" w:sz="4" w:space="0"/>
            </w:tcBorders>
            <w:shd w:val="clear" w:color="auto" w:fill="E9EBF5"/>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3x800KVA</w:t>
            </w:r>
          </w:p>
        </w:tc>
      </w:tr>
      <w:tr>
        <w:tblPrEx>
          <w:tblCellMar>
            <w:top w:w="0" w:type="dxa"/>
            <w:left w:w="0" w:type="dxa"/>
            <w:bottom w:w="0" w:type="dxa"/>
            <w:right w:w="0" w:type="dxa"/>
          </w:tblCellMar>
        </w:tblPrEx>
        <w:trPr>
          <w:trHeight w:val="420" w:hRule="atLeast"/>
          <w:tblCellSpacing w:w="0" w:type="dxa"/>
          <w:jc w:val="center"/>
        </w:trPr>
        <w:tc>
          <w:tcPr>
            <w:tcW w:w="668" w:type="dxa"/>
            <w:tcBorders>
              <w:top w:val="single" w:color="FFFFFF" w:sz="4" w:space="0"/>
              <w:left w:val="single" w:color="FFFFFF" w:sz="4" w:space="0"/>
              <w:bottom w:val="single" w:color="FFFFFF" w:sz="12" w:space="0"/>
              <w:right w:val="single" w:color="FFFFFF" w:sz="4" w:space="0"/>
            </w:tcBorders>
            <w:shd w:val="clear" w:color="auto" w:fill="CFD5EA"/>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3</w:t>
            </w:r>
          </w:p>
        </w:tc>
        <w:tc>
          <w:tcPr>
            <w:tcW w:w="1748" w:type="dxa"/>
            <w:tcBorders>
              <w:top w:val="single" w:color="FFFFFF" w:sz="4" w:space="0"/>
              <w:left w:val="single" w:color="FFFFFF" w:sz="4" w:space="0"/>
              <w:bottom w:val="single" w:color="FFFFFF" w:sz="12" w:space="0"/>
              <w:right w:val="single" w:color="FFFFFF" w:sz="4" w:space="0"/>
            </w:tcBorders>
            <w:shd w:val="clear" w:color="auto" w:fill="CFD5EA"/>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西北3#变电所</w:t>
            </w:r>
          </w:p>
        </w:tc>
        <w:tc>
          <w:tcPr>
            <w:tcW w:w="2452" w:type="dxa"/>
            <w:tcBorders>
              <w:top w:val="single" w:color="FFFFFF" w:sz="4" w:space="0"/>
              <w:left w:val="single" w:color="FFFFFF" w:sz="4" w:space="0"/>
              <w:bottom w:val="single" w:color="FFFFFF" w:sz="12" w:space="0"/>
              <w:right w:val="single" w:color="FFFFFF" w:sz="4" w:space="0"/>
            </w:tcBorders>
            <w:shd w:val="clear" w:color="auto" w:fill="CFD5EA"/>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3x800KVA</w:t>
            </w:r>
          </w:p>
        </w:tc>
      </w:tr>
      <w:tr>
        <w:tblPrEx>
          <w:tblCellMar>
            <w:top w:w="0" w:type="dxa"/>
            <w:left w:w="0" w:type="dxa"/>
            <w:bottom w:w="0" w:type="dxa"/>
            <w:right w:w="0" w:type="dxa"/>
          </w:tblCellMar>
        </w:tblPrEx>
        <w:trPr>
          <w:trHeight w:val="420" w:hRule="atLeast"/>
          <w:tblCellSpacing w:w="0" w:type="dxa"/>
          <w:jc w:val="center"/>
        </w:trPr>
        <w:tc>
          <w:tcPr>
            <w:tcW w:w="668" w:type="dxa"/>
            <w:tcBorders>
              <w:top w:val="single" w:color="FFFFFF" w:sz="4" w:space="0"/>
              <w:left w:val="single" w:color="FFFFFF" w:sz="4" w:space="0"/>
              <w:bottom w:val="single" w:color="FFFFFF" w:sz="12" w:space="0"/>
              <w:right w:val="single" w:color="FFFFFF" w:sz="4" w:space="0"/>
            </w:tcBorders>
            <w:shd w:val="clear" w:color="auto" w:fill="E9EBF5"/>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4</w:t>
            </w:r>
          </w:p>
        </w:tc>
        <w:tc>
          <w:tcPr>
            <w:tcW w:w="1748" w:type="dxa"/>
            <w:tcBorders>
              <w:top w:val="single" w:color="FFFFFF" w:sz="4" w:space="0"/>
              <w:left w:val="single" w:color="FFFFFF" w:sz="4" w:space="0"/>
              <w:bottom w:val="single" w:color="FFFFFF" w:sz="12" w:space="0"/>
              <w:right w:val="single" w:color="FFFFFF" w:sz="4" w:space="0"/>
            </w:tcBorders>
            <w:shd w:val="clear" w:color="auto" w:fill="E9EBF5"/>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西南4#变电所</w:t>
            </w:r>
          </w:p>
        </w:tc>
        <w:tc>
          <w:tcPr>
            <w:tcW w:w="2452" w:type="dxa"/>
            <w:tcBorders>
              <w:top w:val="single" w:color="FFFFFF" w:sz="4" w:space="0"/>
              <w:left w:val="single" w:color="FFFFFF" w:sz="4" w:space="0"/>
              <w:bottom w:val="single" w:color="FFFFFF" w:sz="12" w:space="0"/>
              <w:right w:val="single" w:color="FFFFFF" w:sz="4" w:space="0"/>
            </w:tcBorders>
            <w:shd w:val="clear" w:color="auto" w:fill="E9EBF5"/>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3×800KVA</w:t>
            </w:r>
          </w:p>
        </w:tc>
      </w:tr>
      <w:tr>
        <w:tblPrEx>
          <w:tblCellMar>
            <w:top w:w="0" w:type="dxa"/>
            <w:left w:w="0" w:type="dxa"/>
            <w:bottom w:w="0" w:type="dxa"/>
            <w:right w:w="0" w:type="dxa"/>
          </w:tblCellMar>
        </w:tblPrEx>
        <w:trPr>
          <w:trHeight w:val="420" w:hRule="atLeast"/>
          <w:tblCellSpacing w:w="0" w:type="dxa"/>
          <w:jc w:val="center"/>
        </w:trPr>
        <w:tc>
          <w:tcPr>
            <w:tcW w:w="668" w:type="dxa"/>
            <w:tcBorders>
              <w:top w:val="single" w:color="FFFFFF" w:sz="4" w:space="0"/>
              <w:left w:val="single" w:color="FFFFFF" w:sz="4" w:space="0"/>
              <w:bottom w:val="single" w:color="FFFFFF" w:sz="12" w:space="0"/>
              <w:right w:val="single" w:color="FFFFFF" w:sz="4" w:space="0"/>
            </w:tcBorders>
            <w:shd w:val="clear" w:color="auto" w:fill="CFD5EA"/>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5</w:t>
            </w:r>
          </w:p>
        </w:tc>
        <w:tc>
          <w:tcPr>
            <w:tcW w:w="1748" w:type="dxa"/>
            <w:tcBorders>
              <w:top w:val="single" w:color="FFFFFF" w:sz="4" w:space="0"/>
              <w:left w:val="single" w:color="FFFFFF" w:sz="4" w:space="0"/>
              <w:bottom w:val="single" w:color="FFFFFF" w:sz="12" w:space="0"/>
              <w:right w:val="single" w:color="FFFFFF" w:sz="4" w:space="0"/>
            </w:tcBorders>
            <w:shd w:val="clear" w:color="auto" w:fill="CFD5EA"/>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东北5#变电所</w:t>
            </w:r>
          </w:p>
        </w:tc>
        <w:tc>
          <w:tcPr>
            <w:tcW w:w="2452" w:type="dxa"/>
            <w:tcBorders>
              <w:top w:val="single" w:color="FFFFFF" w:sz="4" w:space="0"/>
              <w:left w:val="single" w:color="FFFFFF" w:sz="4" w:space="0"/>
              <w:bottom w:val="single" w:color="FFFFFF" w:sz="12" w:space="0"/>
              <w:right w:val="single" w:color="FFFFFF" w:sz="4" w:space="0"/>
            </w:tcBorders>
            <w:shd w:val="clear" w:color="auto" w:fill="CFD5EA"/>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3×800KVA</w:t>
            </w:r>
          </w:p>
        </w:tc>
      </w:tr>
      <w:tr>
        <w:tblPrEx>
          <w:tblCellMar>
            <w:top w:w="0" w:type="dxa"/>
            <w:left w:w="0" w:type="dxa"/>
            <w:bottom w:w="0" w:type="dxa"/>
            <w:right w:w="0" w:type="dxa"/>
          </w:tblCellMar>
        </w:tblPrEx>
        <w:trPr>
          <w:trHeight w:val="420" w:hRule="atLeast"/>
          <w:tblCellSpacing w:w="0" w:type="dxa"/>
          <w:jc w:val="center"/>
        </w:trPr>
        <w:tc>
          <w:tcPr>
            <w:tcW w:w="668" w:type="dxa"/>
            <w:tcBorders>
              <w:top w:val="single" w:color="FFFFFF" w:sz="4" w:space="0"/>
              <w:left w:val="single" w:color="FFFFFF" w:sz="4" w:space="0"/>
              <w:bottom w:val="single" w:color="FFFFFF" w:sz="12" w:space="0"/>
              <w:right w:val="single" w:color="FFFFFF" w:sz="4" w:space="0"/>
            </w:tcBorders>
            <w:shd w:val="clear" w:color="auto" w:fill="E9EBF5"/>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6</w:t>
            </w:r>
          </w:p>
        </w:tc>
        <w:tc>
          <w:tcPr>
            <w:tcW w:w="1748" w:type="dxa"/>
            <w:tcBorders>
              <w:top w:val="single" w:color="FFFFFF" w:sz="4" w:space="0"/>
              <w:left w:val="single" w:color="FFFFFF" w:sz="4" w:space="0"/>
              <w:bottom w:val="single" w:color="FFFFFF" w:sz="12" w:space="0"/>
              <w:right w:val="single" w:color="FFFFFF" w:sz="4" w:space="0"/>
            </w:tcBorders>
            <w:shd w:val="clear" w:color="auto" w:fill="E9EBF5"/>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东南6#变电所</w:t>
            </w:r>
          </w:p>
        </w:tc>
        <w:tc>
          <w:tcPr>
            <w:tcW w:w="2452" w:type="dxa"/>
            <w:tcBorders>
              <w:top w:val="single" w:color="FFFFFF" w:sz="4" w:space="0"/>
              <w:left w:val="single" w:color="FFFFFF" w:sz="4" w:space="0"/>
              <w:bottom w:val="single" w:color="FFFFFF" w:sz="12" w:space="0"/>
              <w:right w:val="single" w:color="FFFFFF" w:sz="4" w:space="0"/>
            </w:tcBorders>
            <w:shd w:val="clear" w:color="auto" w:fill="E9EBF5"/>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3x1000KVA</w:t>
            </w:r>
          </w:p>
        </w:tc>
      </w:tr>
      <w:tr>
        <w:tblPrEx>
          <w:tblCellMar>
            <w:top w:w="0" w:type="dxa"/>
            <w:left w:w="0" w:type="dxa"/>
            <w:bottom w:w="0" w:type="dxa"/>
            <w:right w:w="0" w:type="dxa"/>
          </w:tblCellMar>
        </w:tblPrEx>
        <w:trPr>
          <w:trHeight w:val="420" w:hRule="atLeast"/>
          <w:tblCellSpacing w:w="0" w:type="dxa"/>
          <w:jc w:val="center"/>
        </w:trPr>
        <w:tc>
          <w:tcPr>
            <w:tcW w:w="668" w:type="dxa"/>
            <w:tcBorders>
              <w:top w:val="single" w:color="FFFFFF" w:sz="4" w:space="0"/>
              <w:left w:val="single" w:color="FFFFFF" w:sz="4" w:space="0"/>
              <w:bottom w:val="single" w:color="FFFFFF" w:sz="12" w:space="0"/>
              <w:right w:val="single" w:color="FFFFFF" w:sz="4" w:space="0"/>
            </w:tcBorders>
            <w:shd w:val="clear" w:color="auto" w:fill="CFD5EA"/>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7</w:t>
            </w:r>
          </w:p>
        </w:tc>
        <w:tc>
          <w:tcPr>
            <w:tcW w:w="1748" w:type="dxa"/>
            <w:tcBorders>
              <w:top w:val="single" w:color="FFFFFF" w:sz="4" w:space="0"/>
              <w:left w:val="single" w:color="FFFFFF" w:sz="4" w:space="0"/>
              <w:bottom w:val="single" w:color="FFFFFF" w:sz="12" w:space="0"/>
              <w:right w:val="single" w:color="FFFFFF" w:sz="4" w:space="0"/>
            </w:tcBorders>
            <w:shd w:val="clear" w:color="auto" w:fill="CFD5EA"/>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公共用电变电所</w:t>
            </w:r>
          </w:p>
        </w:tc>
        <w:tc>
          <w:tcPr>
            <w:tcW w:w="2452" w:type="dxa"/>
            <w:tcBorders>
              <w:top w:val="single" w:color="FFFFFF" w:sz="4" w:space="0"/>
              <w:left w:val="single" w:color="FFFFFF" w:sz="4" w:space="0"/>
              <w:bottom w:val="single" w:color="FFFFFF" w:sz="12" w:space="0"/>
              <w:right w:val="single" w:color="FFFFFF" w:sz="4" w:space="0"/>
            </w:tcBorders>
            <w:shd w:val="clear" w:color="auto" w:fill="CFD5EA"/>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2x1000KVA</w:t>
            </w:r>
          </w:p>
        </w:tc>
      </w:tr>
      <w:tr>
        <w:tblPrEx>
          <w:tblCellMar>
            <w:top w:w="0" w:type="dxa"/>
            <w:left w:w="0" w:type="dxa"/>
            <w:bottom w:w="0" w:type="dxa"/>
            <w:right w:w="0" w:type="dxa"/>
          </w:tblCellMar>
        </w:tblPrEx>
        <w:trPr>
          <w:trHeight w:val="420" w:hRule="atLeast"/>
          <w:tblCellSpacing w:w="0" w:type="dxa"/>
          <w:jc w:val="center"/>
        </w:trPr>
        <w:tc>
          <w:tcPr>
            <w:tcW w:w="668" w:type="dxa"/>
            <w:tcBorders>
              <w:top w:val="single" w:color="FFFFFF" w:sz="4" w:space="0"/>
              <w:left w:val="single" w:color="FFFFFF" w:sz="4" w:space="0"/>
              <w:bottom w:val="single" w:color="FFFFFF" w:sz="12" w:space="0"/>
              <w:right w:val="single" w:color="FFFFFF" w:sz="4" w:space="0"/>
            </w:tcBorders>
            <w:shd w:val="clear" w:color="auto" w:fill="E9EBF5"/>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8</w:t>
            </w:r>
          </w:p>
        </w:tc>
        <w:tc>
          <w:tcPr>
            <w:tcW w:w="1748" w:type="dxa"/>
            <w:tcBorders>
              <w:top w:val="single" w:color="FFFFFF" w:sz="4" w:space="0"/>
              <w:left w:val="single" w:color="FFFFFF" w:sz="4" w:space="0"/>
              <w:bottom w:val="single" w:color="FFFFFF" w:sz="12" w:space="0"/>
              <w:right w:val="single" w:color="FFFFFF" w:sz="4" w:space="0"/>
            </w:tcBorders>
            <w:shd w:val="clear" w:color="auto" w:fill="E9EBF5"/>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游泳馆负一变电所</w:t>
            </w:r>
          </w:p>
        </w:tc>
        <w:tc>
          <w:tcPr>
            <w:tcW w:w="2452" w:type="dxa"/>
            <w:tcBorders>
              <w:top w:val="single" w:color="FFFFFF" w:sz="4" w:space="0"/>
              <w:left w:val="single" w:color="FFFFFF" w:sz="4" w:space="0"/>
              <w:bottom w:val="single" w:color="FFFFFF" w:sz="12" w:space="0"/>
              <w:right w:val="single" w:color="FFFFFF" w:sz="4" w:space="0"/>
            </w:tcBorders>
            <w:shd w:val="clear" w:color="auto" w:fill="E9EBF5"/>
            <w:tcMar>
              <w:top w:w="72" w:type="dxa"/>
              <w:left w:w="144" w:type="dxa"/>
              <w:bottom w:w="72" w:type="dxa"/>
              <w:right w:w="144" w:type="dxa"/>
            </w:tcMar>
            <w:vAlign w:val="center"/>
          </w:tcPr>
          <w:p>
            <w:pPr>
              <w:pStyle w:val="14"/>
              <w:rPr>
                <w:sz w:val="18"/>
                <w:szCs w:val="18"/>
              </w:rPr>
            </w:pPr>
            <w:r>
              <w:rPr>
                <w:rFonts w:hint="eastAsia" w:ascii="微软雅黑" w:hAnsi="微软雅黑" w:eastAsia="微软雅黑" w:cs="微软雅黑"/>
                <w:sz w:val="18"/>
                <w:szCs w:val="18"/>
              </w:rPr>
              <w:t>2x1000KVA、2x1250KVA</w:t>
            </w:r>
          </w:p>
        </w:tc>
      </w:tr>
    </w:tbl>
    <w:p>
      <w:pPr>
        <w:adjustRightInd w:val="0"/>
        <w:snapToGrid w:val="0"/>
        <w:spacing w:line="360" w:lineRule="auto"/>
        <w:rPr>
          <w:rFonts w:ascii="Calibri" w:hAnsi="Calibri"/>
          <w:sz w:val="24"/>
        </w:rPr>
      </w:pPr>
    </w:p>
    <w:p>
      <w:pPr>
        <w:adjustRightInd w:val="0"/>
        <w:snapToGrid w:val="0"/>
        <w:spacing w:line="360" w:lineRule="auto"/>
        <w:rPr>
          <w:rFonts w:ascii="Calibri" w:hAnsi="Calibri"/>
          <w:sz w:val="24"/>
        </w:rPr>
      </w:pPr>
      <w:r>
        <w:rPr>
          <w:rFonts w:hint="eastAsia" w:ascii="Calibri" w:hAnsi="Calibri"/>
          <w:sz w:val="24"/>
        </w:rPr>
        <w:t>（2）临时用水要求</w:t>
      </w:r>
    </w:p>
    <w:p>
      <w:pPr>
        <w:adjustRightInd w:val="0"/>
        <w:snapToGrid w:val="0"/>
        <w:spacing w:line="360" w:lineRule="auto"/>
        <w:ind w:firstLine="480" w:firstLineChars="200"/>
        <w:rPr>
          <w:rFonts w:ascii="Calibri" w:hAnsi="Calibri"/>
          <w:sz w:val="24"/>
        </w:rPr>
      </w:pPr>
      <w:r>
        <w:rPr>
          <w:rFonts w:ascii="Calibri" w:hAnsi="Calibri"/>
          <w:sz w:val="24"/>
        </w:rPr>
        <w:t>办公区、生活区直接从现场西南角DN400临水接驳点阀后接出，采用DN100主管，沿围挡明敷敷设，分别引至各生活区，供各区域生活用水，其余施工区域保留原进水主管，由施工区域内就近接出（施工前统一申报为施工用水）。</w:t>
      </w:r>
    </w:p>
    <w:p>
      <w:pPr>
        <w:adjustRightInd w:val="0"/>
        <w:snapToGrid w:val="0"/>
        <w:spacing w:line="360" w:lineRule="auto"/>
        <w:rPr>
          <w:rFonts w:ascii="Calibri" w:hAnsi="Calibri"/>
          <w:sz w:val="24"/>
        </w:rPr>
      </w:pPr>
      <w:r>
        <w:drawing>
          <wp:inline distT="0" distB="0" distL="114300" distR="114300">
            <wp:extent cx="5270500" cy="1908175"/>
            <wp:effectExtent l="0" t="0" r="2540" b="12065"/>
            <wp:docPr id="68"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5"/>
                    <pic:cNvPicPr>
                      <a:picLocks noChangeAspect="1"/>
                    </pic:cNvPicPr>
                  </pic:nvPicPr>
                  <pic:blipFill>
                    <a:blip r:embed="rId41"/>
                    <a:stretch>
                      <a:fillRect/>
                    </a:stretch>
                  </pic:blipFill>
                  <pic:spPr>
                    <a:xfrm>
                      <a:off x="0" y="0"/>
                      <a:ext cx="5270500" cy="1908175"/>
                    </a:xfrm>
                    <a:prstGeom prst="rect">
                      <a:avLst/>
                    </a:prstGeom>
                    <a:noFill/>
                    <a:ln>
                      <a:noFill/>
                    </a:ln>
                  </pic:spPr>
                </pic:pic>
              </a:graphicData>
            </a:graphic>
          </wp:inline>
        </w:drawing>
      </w:r>
    </w:p>
    <w:p>
      <w:pPr>
        <w:adjustRightInd w:val="0"/>
        <w:snapToGrid w:val="0"/>
        <w:spacing w:line="360" w:lineRule="auto"/>
        <w:rPr>
          <w:rFonts w:ascii="Calibri" w:hAnsi="Calibri"/>
          <w:sz w:val="24"/>
        </w:rPr>
      </w:pPr>
      <w:r>
        <w:rPr>
          <w:rFonts w:hint="eastAsia" w:ascii="Calibri" w:hAnsi="Calibri"/>
          <w:sz w:val="24"/>
        </w:rPr>
        <w:t>（3）临时用电要求</w:t>
      </w:r>
    </w:p>
    <w:p>
      <w:pPr>
        <w:adjustRightInd w:val="0"/>
        <w:snapToGrid w:val="0"/>
        <w:spacing w:line="360" w:lineRule="auto"/>
        <w:ind w:firstLine="480" w:firstLineChars="200"/>
        <w:rPr>
          <w:rFonts w:ascii="Calibri" w:hAnsi="Calibri"/>
          <w:sz w:val="24"/>
        </w:rPr>
      </w:pPr>
      <w:r>
        <w:rPr>
          <w:rFonts w:ascii="Calibri" w:hAnsi="Calibri"/>
          <w:sz w:val="24"/>
        </w:rPr>
        <w:t>办公区、生活区采用首层西南4#变电所、东南1#变电所、游泳池负一层变电所进行临电接驳。副场区域现场施工用电主要考虑采用奥体公共用电变电所进行供电。其余区域用电考虑就近接线方式（施工前统一申报转为施工用电）。</w:t>
      </w:r>
    </w:p>
    <w:p>
      <w:pPr>
        <w:adjustRightInd w:val="0"/>
        <w:snapToGrid w:val="0"/>
        <w:spacing w:line="360" w:lineRule="auto"/>
        <w:rPr>
          <w:rFonts w:ascii="Calibri" w:hAnsi="Calibri"/>
          <w:sz w:val="24"/>
        </w:rPr>
      </w:pPr>
      <w:r>
        <w:rPr>
          <w:rFonts w:hint="eastAsia" w:ascii="Calibri" w:hAnsi="Calibri"/>
          <w:sz w:val="24"/>
        </w:rPr>
        <w:t>临设区域按照每间板房安装一台1.5匹空调（1.5kW），2组LED灯管（30W）、插座4个计算，则临建办公板房总用电负荷约为380kW，会议室5P中央空调2台（48kW），外加空气源热泵4台：72kW；办公用电负荷40kW；厨房用电：180kW；大会议室：30kW；充电桩6套：100kW；预留30kW。则用电总负荷考虑为880kW，经计算现场配置800KVA变压器满足用电要求。</w:t>
      </w:r>
    </w:p>
    <w:p>
      <w:pPr>
        <w:adjustRightInd w:val="0"/>
        <w:snapToGrid w:val="0"/>
        <w:spacing w:line="360" w:lineRule="auto"/>
        <w:jc w:val="center"/>
        <w:rPr>
          <w:rFonts w:ascii="宋体" w:hAnsi="宋体"/>
          <w:b/>
          <w:bCs/>
          <w:szCs w:val="21"/>
        </w:rPr>
      </w:pPr>
      <w:r>
        <w:drawing>
          <wp:inline distT="0" distB="0" distL="114300" distR="114300">
            <wp:extent cx="4533900" cy="3779520"/>
            <wp:effectExtent l="0" t="0" r="7620" b="0"/>
            <wp:docPr id="6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6"/>
                    <pic:cNvPicPr>
                      <a:picLocks noChangeAspect="1"/>
                    </pic:cNvPicPr>
                  </pic:nvPicPr>
                  <pic:blipFill>
                    <a:blip r:embed="rId42"/>
                    <a:stretch>
                      <a:fillRect/>
                    </a:stretch>
                  </pic:blipFill>
                  <pic:spPr>
                    <a:xfrm>
                      <a:off x="0" y="0"/>
                      <a:ext cx="4533900" cy="3779520"/>
                    </a:xfrm>
                    <a:prstGeom prst="rect">
                      <a:avLst/>
                    </a:prstGeom>
                    <a:noFill/>
                    <a:ln>
                      <a:noFill/>
                    </a:ln>
                  </pic:spPr>
                </pic:pic>
              </a:graphicData>
            </a:graphic>
          </wp:inline>
        </w:drawing>
      </w:r>
    </w:p>
    <w:p>
      <w:pPr>
        <w:pStyle w:val="8"/>
        <w:adjustRightInd w:val="0"/>
        <w:snapToGrid w:val="0"/>
        <w:spacing w:line="360" w:lineRule="auto"/>
        <w:ind w:firstLine="118"/>
        <w:rPr>
          <w:b/>
          <w:bCs/>
        </w:rPr>
      </w:pPr>
      <w:r>
        <w:rPr>
          <w:rFonts w:hint="eastAsia"/>
          <w:b/>
          <w:bCs/>
        </w:rPr>
        <w:t>6、定点拍摄记录要求</w:t>
      </w:r>
    </w:p>
    <w:p>
      <w:pPr>
        <w:adjustRightInd w:val="0"/>
        <w:snapToGrid w:val="0"/>
        <w:spacing w:line="360" w:lineRule="auto"/>
        <w:ind w:firstLine="480" w:firstLineChars="200"/>
        <w:rPr>
          <w:sz w:val="24"/>
        </w:rPr>
      </w:pPr>
      <w:r>
        <w:rPr>
          <w:rFonts w:hint="eastAsia"/>
          <w:sz w:val="24"/>
        </w:rPr>
        <w:t>由于奥体中心具有浓厚的城市历史印记，因此在改造过程中，对于各大场馆外立面装修及室内体育工艺的实施要求采取动态定点拍摄记录方式，全程记录改造过程，后期制作成全过程建设缩影影片，记录归档。</w:t>
      </w:r>
    </w:p>
    <w:tbl>
      <w:tblPr>
        <w:tblStyle w:val="16"/>
        <w:tblW w:w="0" w:type="auto"/>
        <w:tblCellSpacing w:w="0" w:type="dxa"/>
        <w:tblInd w:w="0" w:type="dxa"/>
        <w:tblLayout w:type="fixed"/>
        <w:tblCellMar>
          <w:top w:w="0" w:type="dxa"/>
          <w:left w:w="0" w:type="dxa"/>
          <w:bottom w:w="0" w:type="dxa"/>
          <w:right w:w="0" w:type="dxa"/>
        </w:tblCellMar>
      </w:tblPr>
      <w:tblGrid>
        <w:gridCol w:w="1051"/>
        <w:gridCol w:w="1761"/>
        <w:gridCol w:w="1350"/>
        <w:gridCol w:w="4377"/>
      </w:tblGrid>
      <w:tr>
        <w:tblPrEx>
          <w:tblCellMar>
            <w:top w:w="0" w:type="dxa"/>
            <w:left w:w="0" w:type="dxa"/>
            <w:bottom w:w="0" w:type="dxa"/>
            <w:right w:w="0" w:type="dxa"/>
          </w:tblCellMar>
        </w:tblPrEx>
        <w:trPr>
          <w:trHeight w:val="580" w:hRule="atLeast"/>
          <w:tblCellSpacing w:w="0" w:type="dxa"/>
        </w:trPr>
        <w:tc>
          <w:tcPr>
            <w:tcW w:w="1051"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拍摄区域</w:t>
            </w:r>
          </w:p>
        </w:tc>
        <w:tc>
          <w:tcPr>
            <w:tcW w:w="1761"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拍摄方式</w:t>
            </w:r>
          </w:p>
        </w:tc>
        <w:tc>
          <w:tcPr>
            <w:tcW w:w="1350"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摄像机要求</w:t>
            </w:r>
          </w:p>
        </w:tc>
        <w:tc>
          <w:tcPr>
            <w:tcW w:w="4377"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主要记录内容</w:t>
            </w:r>
          </w:p>
        </w:tc>
      </w:tr>
      <w:tr>
        <w:tblPrEx>
          <w:tblCellMar>
            <w:top w:w="0" w:type="dxa"/>
            <w:left w:w="0" w:type="dxa"/>
            <w:bottom w:w="0" w:type="dxa"/>
            <w:right w:w="0" w:type="dxa"/>
          </w:tblCellMar>
        </w:tblPrEx>
        <w:trPr>
          <w:trHeight w:val="660" w:hRule="atLeast"/>
          <w:tblCellSpacing w:w="0" w:type="dxa"/>
        </w:trPr>
        <w:tc>
          <w:tcPr>
            <w:tcW w:w="1051"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体育场</w:t>
            </w:r>
          </w:p>
        </w:tc>
        <w:tc>
          <w:tcPr>
            <w:tcW w:w="1761"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内场2个定点</w:t>
            </w:r>
          </w:p>
        </w:tc>
        <w:tc>
          <w:tcPr>
            <w:tcW w:w="1350" w:type="dxa"/>
            <w:vMerge w:val="restart"/>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超广角拍摄、自动上传云端，24小时录制，高清录制。</w:t>
            </w:r>
          </w:p>
        </w:tc>
        <w:tc>
          <w:tcPr>
            <w:tcW w:w="4377"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体育场金属屋面更换、幕墙更换、跑道更换、草坪更换、看台座椅更换等</w:t>
            </w:r>
          </w:p>
        </w:tc>
      </w:tr>
      <w:tr>
        <w:tblPrEx>
          <w:tblCellMar>
            <w:top w:w="0" w:type="dxa"/>
            <w:left w:w="0" w:type="dxa"/>
            <w:bottom w:w="0" w:type="dxa"/>
            <w:right w:w="0" w:type="dxa"/>
          </w:tblCellMar>
        </w:tblPrEx>
        <w:trPr>
          <w:trHeight w:val="640" w:hRule="atLeast"/>
          <w:tblCellSpacing w:w="0" w:type="dxa"/>
        </w:trPr>
        <w:tc>
          <w:tcPr>
            <w:tcW w:w="1051"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游泳馆</w:t>
            </w:r>
          </w:p>
        </w:tc>
        <w:tc>
          <w:tcPr>
            <w:tcW w:w="1761"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内场1个定点</w:t>
            </w:r>
          </w:p>
        </w:tc>
        <w:tc>
          <w:tcPr>
            <w:tcW w:w="1350" w:type="dxa"/>
            <w:vMerge w:val="continue"/>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rPr>
                <w:rFonts w:ascii="宋体" w:hAnsi="宋体" w:cs="宋体"/>
                <w:sz w:val="18"/>
                <w:szCs w:val="18"/>
              </w:rPr>
            </w:pPr>
          </w:p>
        </w:tc>
        <w:tc>
          <w:tcPr>
            <w:tcW w:w="4377"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金属屋面翻新、泳池翻新、看台座椅翻新等</w:t>
            </w:r>
          </w:p>
        </w:tc>
      </w:tr>
      <w:tr>
        <w:tblPrEx>
          <w:tblCellMar>
            <w:top w:w="0" w:type="dxa"/>
            <w:left w:w="0" w:type="dxa"/>
            <w:bottom w:w="0" w:type="dxa"/>
            <w:right w:w="0" w:type="dxa"/>
          </w:tblCellMar>
        </w:tblPrEx>
        <w:trPr>
          <w:trHeight w:val="580" w:hRule="atLeast"/>
          <w:tblCellSpacing w:w="0" w:type="dxa"/>
        </w:trPr>
        <w:tc>
          <w:tcPr>
            <w:tcW w:w="1051"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附属场馆</w:t>
            </w:r>
          </w:p>
        </w:tc>
        <w:tc>
          <w:tcPr>
            <w:tcW w:w="1761"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航拍</w:t>
            </w:r>
          </w:p>
        </w:tc>
        <w:tc>
          <w:tcPr>
            <w:tcW w:w="1350" w:type="dxa"/>
            <w:vMerge w:val="restart"/>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无人机</w:t>
            </w:r>
          </w:p>
        </w:tc>
        <w:tc>
          <w:tcPr>
            <w:tcW w:w="4377"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网球中心、曲棍球场、棒球场外立面翻新及亮化</w:t>
            </w:r>
          </w:p>
        </w:tc>
      </w:tr>
      <w:tr>
        <w:tblPrEx>
          <w:tblCellMar>
            <w:top w:w="0" w:type="dxa"/>
            <w:left w:w="0" w:type="dxa"/>
            <w:bottom w:w="0" w:type="dxa"/>
            <w:right w:w="0" w:type="dxa"/>
          </w:tblCellMar>
        </w:tblPrEx>
        <w:trPr>
          <w:trHeight w:val="580" w:hRule="atLeast"/>
          <w:tblCellSpacing w:w="0" w:type="dxa"/>
        </w:trPr>
        <w:tc>
          <w:tcPr>
            <w:tcW w:w="1051"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室外立面</w:t>
            </w:r>
          </w:p>
        </w:tc>
        <w:tc>
          <w:tcPr>
            <w:tcW w:w="1761"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航拍</w:t>
            </w:r>
          </w:p>
        </w:tc>
        <w:tc>
          <w:tcPr>
            <w:tcW w:w="1350" w:type="dxa"/>
            <w:vMerge w:val="continue"/>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rPr>
                <w:rFonts w:ascii="宋体" w:hAnsi="宋体" w:cs="宋体"/>
                <w:sz w:val="18"/>
                <w:szCs w:val="18"/>
              </w:rPr>
            </w:pPr>
          </w:p>
        </w:tc>
        <w:tc>
          <w:tcPr>
            <w:tcW w:w="4377"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18"/>
                <w:szCs w:val="18"/>
              </w:rPr>
            </w:pPr>
            <w:r>
              <w:rPr>
                <w:rFonts w:hint="eastAsia" w:cs="宋体"/>
                <w:sz w:val="18"/>
                <w:szCs w:val="18"/>
              </w:rPr>
              <w:t>每天不少于1次</w:t>
            </w:r>
          </w:p>
        </w:tc>
      </w:tr>
    </w:tbl>
    <w:p>
      <w:pPr>
        <w:adjustRightInd w:val="0"/>
        <w:snapToGrid w:val="0"/>
        <w:spacing w:line="360" w:lineRule="auto"/>
        <w:rPr>
          <w:sz w:val="24"/>
        </w:rPr>
      </w:pPr>
    </w:p>
    <w:p>
      <w:pPr>
        <w:adjustRightInd w:val="0"/>
        <w:snapToGrid w:val="0"/>
        <w:spacing w:line="360" w:lineRule="auto"/>
      </w:pPr>
      <w:r>
        <w:drawing>
          <wp:inline distT="0" distB="0" distL="114300" distR="114300">
            <wp:extent cx="5441950" cy="1209675"/>
            <wp:effectExtent l="0" t="0" r="13970" b="9525"/>
            <wp:docPr id="6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7"/>
                    <pic:cNvPicPr>
                      <a:picLocks noChangeAspect="1"/>
                    </pic:cNvPicPr>
                  </pic:nvPicPr>
                  <pic:blipFill>
                    <a:blip r:embed="rId43"/>
                    <a:stretch>
                      <a:fillRect/>
                    </a:stretch>
                  </pic:blipFill>
                  <pic:spPr>
                    <a:xfrm>
                      <a:off x="0" y="0"/>
                      <a:ext cx="5441950" cy="1209675"/>
                    </a:xfrm>
                    <a:prstGeom prst="rect">
                      <a:avLst/>
                    </a:prstGeom>
                    <a:noFill/>
                    <a:ln>
                      <a:noFill/>
                    </a:ln>
                  </pic:spPr>
                </pic:pic>
              </a:graphicData>
            </a:graphic>
          </wp:inline>
        </w:drawing>
      </w:r>
    </w:p>
    <w:p>
      <w:pPr>
        <w:adjustRightInd w:val="0"/>
        <w:snapToGrid w:val="0"/>
        <w:spacing w:line="360" w:lineRule="auto"/>
        <w:rPr>
          <w:rFonts w:ascii="宋体" w:hAnsi="宋体"/>
          <w:b/>
          <w:bCs/>
          <w:kern w:val="0"/>
          <w:sz w:val="27"/>
          <w:szCs w:val="27"/>
        </w:rPr>
      </w:pPr>
    </w:p>
    <w:p>
      <w:pPr>
        <w:adjustRightInd w:val="0"/>
        <w:snapToGrid w:val="0"/>
        <w:spacing w:line="360" w:lineRule="auto"/>
        <w:rPr>
          <w:rFonts w:ascii="宋体" w:hAnsi="宋体"/>
          <w:b/>
          <w:bCs/>
          <w:kern w:val="0"/>
          <w:sz w:val="27"/>
          <w:szCs w:val="27"/>
        </w:rPr>
      </w:pPr>
      <w:r>
        <w:rPr>
          <w:rFonts w:hint="eastAsia" w:ascii="宋体" w:hAnsi="宋体"/>
          <w:b/>
          <w:bCs/>
          <w:kern w:val="0"/>
          <w:sz w:val="27"/>
          <w:szCs w:val="27"/>
        </w:rPr>
        <w:t>7、会务要求</w:t>
      </w:r>
    </w:p>
    <w:p>
      <w:pPr>
        <w:adjustRightInd w:val="0"/>
        <w:snapToGrid w:val="0"/>
        <w:spacing w:line="360" w:lineRule="auto"/>
        <w:ind w:firstLine="376" w:firstLineChars="157"/>
        <w:rPr>
          <w:sz w:val="24"/>
        </w:rPr>
      </w:pPr>
      <w:r>
        <w:rPr>
          <w:rFonts w:hint="eastAsia"/>
          <w:sz w:val="24"/>
        </w:rPr>
        <w:t>本项目属于重点项目，各级参观学习、活动多，承包单位需负责在场地内举行的会议、活动等的会务准备、接待工作，并配备不少于2名专业讲解人员，以上所需费用承包单位投标时综合考虑，发包人不在另行支付费用。</w:t>
      </w:r>
    </w:p>
    <w:p>
      <w:pPr>
        <w:pStyle w:val="7"/>
        <w:adjustRightInd w:val="0"/>
        <w:snapToGrid w:val="0"/>
        <w:spacing w:line="360" w:lineRule="auto"/>
        <w:rPr>
          <w:color w:val="auto"/>
          <w:sz w:val="30"/>
          <w:szCs w:val="30"/>
        </w:rPr>
      </w:pPr>
      <w:bookmarkStart w:id="182" w:name="_Toc31367"/>
      <w:bookmarkStart w:id="183" w:name="_Toc159596178"/>
      <w:bookmarkStart w:id="184" w:name="_Toc23434"/>
      <w:bookmarkStart w:id="185" w:name="_Toc21453"/>
      <w:bookmarkStart w:id="186" w:name="_Toc776"/>
      <w:bookmarkStart w:id="187" w:name="_Toc3348"/>
      <w:bookmarkStart w:id="188" w:name="_Toc9508"/>
      <w:r>
        <w:rPr>
          <w:rFonts w:hint="eastAsia"/>
          <w:color w:val="auto"/>
          <w:sz w:val="30"/>
          <w:szCs w:val="30"/>
        </w:rPr>
        <w:t>（二）体育场金属屋面及网膜施工方案策划及</w:t>
      </w:r>
      <w:r>
        <w:rPr>
          <w:color w:val="auto"/>
          <w:sz w:val="30"/>
          <w:szCs w:val="30"/>
        </w:rPr>
        <w:t>管理要求</w:t>
      </w:r>
      <w:bookmarkEnd w:id="182"/>
      <w:bookmarkEnd w:id="183"/>
      <w:bookmarkEnd w:id="184"/>
      <w:bookmarkEnd w:id="185"/>
      <w:bookmarkEnd w:id="186"/>
      <w:bookmarkEnd w:id="187"/>
      <w:bookmarkEnd w:id="188"/>
    </w:p>
    <w:p>
      <w:pPr>
        <w:pStyle w:val="8"/>
        <w:adjustRightInd w:val="0"/>
        <w:snapToGrid w:val="0"/>
        <w:spacing w:line="360" w:lineRule="auto"/>
        <w:ind w:firstLine="118"/>
        <w:rPr>
          <w:b/>
          <w:bCs/>
        </w:rPr>
      </w:pPr>
      <w:r>
        <w:rPr>
          <w:rFonts w:hint="eastAsia"/>
          <w:b/>
          <w:bCs/>
        </w:rPr>
        <w:t>1、体育场金属屋面吊装方案</w:t>
      </w:r>
    </w:p>
    <w:p>
      <w:pPr>
        <w:adjustRightInd w:val="0"/>
        <w:snapToGrid w:val="0"/>
        <w:spacing w:line="360" w:lineRule="auto"/>
        <w:ind w:firstLine="480" w:firstLineChars="200"/>
        <w:rPr>
          <w:sz w:val="24"/>
        </w:rPr>
      </w:pPr>
      <w:r>
        <w:rPr>
          <w:rFonts w:hint="eastAsia"/>
          <w:sz w:val="24"/>
        </w:rPr>
        <w:t>体育场原金属屋面系统直立锁边屋面板需拆除，需保留钢檩条，金属屋面高度在55-72米，可采用“塔吊”方式进行吊装，檐口部分使用100t汽车吊配合拆除吊装。</w:t>
      </w:r>
    </w:p>
    <w:p>
      <w:pPr>
        <w:adjustRightInd w:val="0"/>
        <w:snapToGrid w:val="0"/>
        <w:spacing w:line="360" w:lineRule="auto"/>
        <w:ind w:firstLine="480" w:firstLineChars="200"/>
        <w:rPr>
          <w:sz w:val="24"/>
        </w:rPr>
      </w:pPr>
      <w:r>
        <w:rPr>
          <w:rFonts w:hint="eastAsia"/>
          <w:sz w:val="24"/>
        </w:rPr>
        <w:t>根据实际施工需求及体育场周围工况，塔吊需要避开地下室区域及规划道路系统，且均使用无需附墙的大型塔吊机械，体育场及新建副馆拟设置8台塔吊，分别布置在体育场外围及内场区域（如下图）。经过计算，塔吊基础形式可设置为钢筋混凝土独立承台基础。</w:t>
      </w:r>
    </w:p>
    <w:p>
      <w:pPr>
        <w:adjustRightInd w:val="0"/>
        <w:snapToGrid w:val="0"/>
        <w:spacing w:line="360" w:lineRule="auto"/>
      </w:pPr>
      <w:r>
        <w:drawing>
          <wp:inline distT="0" distB="0" distL="114300" distR="114300">
            <wp:extent cx="5400040" cy="3481705"/>
            <wp:effectExtent l="0" t="0" r="10160" b="8255"/>
            <wp:docPr id="5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8"/>
                    <pic:cNvPicPr>
                      <a:picLocks noChangeAspect="1"/>
                    </pic:cNvPicPr>
                  </pic:nvPicPr>
                  <pic:blipFill>
                    <a:blip r:embed="rId44"/>
                    <a:stretch>
                      <a:fillRect/>
                    </a:stretch>
                  </pic:blipFill>
                  <pic:spPr>
                    <a:xfrm>
                      <a:off x="0" y="0"/>
                      <a:ext cx="5400040" cy="3481705"/>
                    </a:xfrm>
                    <a:prstGeom prst="rect">
                      <a:avLst/>
                    </a:prstGeom>
                    <a:noFill/>
                    <a:ln>
                      <a:noFill/>
                    </a:ln>
                  </pic:spPr>
                </pic:pic>
              </a:graphicData>
            </a:graphic>
          </wp:inline>
        </w:drawing>
      </w:r>
    </w:p>
    <w:p>
      <w:pPr>
        <w:adjustRightInd w:val="0"/>
        <w:snapToGrid w:val="0"/>
        <w:spacing w:line="360" w:lineRule="auto"/>
        <w:jc w:val="center"/>
      </w:pPr>
      <w:r>
        <w:rPr>
          <w:rFonts w:hint="eastAsia"/>
          <w:b/>
          <w:bCs/>
          <w:szCs w:val="20"/>
        </w:rPr>
        <w:t>体育场金属屋面系统安拆塔吊布置图</w:t>
      </w:r>
    </w:p>
    <w:p>
      <w:pPr>
        <w:pStyle w:val="8"/>
        <w:adjustRightInd w:val="0"/>
        <w:snapToGrid w:val="0"/>
        <w:spacing w:line="360" w:lineRule="auto"/>
        <w:ind w:firstLine="118"/>
        <w:rPr>
          <w:b/>
          <w:bCs/>
        </w:rPr>
      </w:pPr>
      <w:r>
        <w:rPr>
          <w:rFonts w:hint="eastAsia"/>
          <w:b/>
          <w:bCs/>
        </w:rPr>
        <w:t>2、体育场金属屋面施工方案</w:t>
      </w:r>
    </w:p>
    <w:p>
      <w:pPr>
        <w:adjustRightInd w:val="0"/>
        <w:snapToGrid w:val="0"/>
        <w:spacing w:line="360" w:lineRule="auto"/>
        <w:ind w:firstLine="480" w:firstLineChars="200"/>
        <w:rPr>
          <w:sz w:val="24"/>
        </w:rPr>
      </w:pPr>
      <w:r>
        <w:rPr>
          <w:rFonts w:hint="eastAsia"/>
          <w:sz w:val="24"/>
        </w:rPr>
        <w:t>（1）体育场原金属屋面下挂金属板采用滑移操作平台形式进行人工拆除，并使用50m以上蜘蛛车辅助拆除，在拆除期间同步进行新的金属屋面设计方案论证、施工图、深化设计、看样定板、抗风压试验等。</w:t>
      </w:r>
    </w:p>
    <w:p>
      <w:pPr>
        <w:adjustRightInd w:val="0"/>
        <w:snapToGrid w:val="0"/>
        <w:spacing w:line="360" w:lineRule="auto"/>
        <w:ind w:firstLine="480" w:firstLineChars="200"/>
        <w:rPr>
          <w:sz w:val="24"/>
        </w:rPr>
      </w:pPr>
      <w:r>
        <w:rPr>
          <w:rFonts w:hint="eastAsia"/>
          <w:sz w:val="24"/>
        </w:rPr>
        <w:t>（2）体育场原金属屋面系统拆除完成后，进行屋面钢结构除锈、基层处理以及防火涂料及面漆施工，分区进行新的金属屋面系统安装，主要施工内容包括檐口下挂金属板安装和中部沿环状桁架安装条状满铺网膜安装，采用50m以上蜘蛛车配合屋檐下设置滑移操作平台形式进行人工安装。</w:t>
      </w:r>
    </w:p>
    <w:p>
      <w:r>
        <w:drawing>
          <wp:inline distT="0" distB="0" distL="114300" distR="114300">
            <wp:extent cx="2543810" cy="3279140"/>
            <wp:effectExtent l="0" t="0" r="1270" b="12700"/>
            <wp:docPr id="57" name="图片 49" descr="9cbcfc0dccaa8f898b225dffc8627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9" descr="9cbcfc0dccaa8f898b225dffc8627f3"/>
                    <pic:cNvPicPr>
                      <a:picLocks noChangeAspect="1"/>
                    </pic:cNvPicPr>
                  </pic:nvPicPr>
                  <pic:blipFill>
                    <a:blip r:embed="rId45"/>
                    <a:stretch>
                      <a:fillRect/>
                    </a:stretch>
                  </pic:blipFill>
                  <pic:spPr>
                    <a:xfrm>
                      <a:off x="0" y="0"/>
                      <a:ext cx="2543810" cy="3279140"/>
                    </a:xfrm>
                    <a:prstGeom prst="rect">
                      <a:avLst/>
                    </a:prstGeom>
                    <a:noFill/>
                    <a:ln>
                      <a:noFill/>
                    </a:ln>
                  </pic:spPr>
                </pic:pic>
              </a:graphicData>
            </a:graphic>
          </wp:inline>
        </w:drawing>
      </w:r>
      <w:r>
        <w:drawing>
          <wp:inline distT="0" distB="0" distL="114300" distR="114300">
            <wp:extent cx="2621280" cy="2999740"/>
            <wp:effectExtent l="0" t="0" r="0" b="2540"/>
            <wp:docPr id="7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0"/>
                    <pic:cNvPicPr>
                      <a:picLocks noChangeAspect="1"/>
                    </pic:cNvPicPr>
                  </pic:nvPicPr>
                  <pic:blipFill>
                    <a:blip r:embed="rId46"/>
                    <a:stretch>
                      <a:fillRect/>
                    </a:stretch>
                  </pic:blipFill>
                  <pic:spPr>
                    <a:xfrm>
                      <a:off x="0" y="0"/>
                      <a:ext cx="2621280" cy="2999740"/>
                    </a:xfrm>
                    <a:prstGeom prst="rect">
                      <a:avLst/>
                    </a:prstGeom>
                    <a:noFill/>
                    <a:ln>
                      <a:noFill/>
                    </a:ln>
                  </pic:spPr>
                </pic:pic>
              </a:graphicData>
            </a:graphic>
          </wp:inline>
        </w:drawing>
      </w:r>
    </w:p>
    <w:p>
      <w:pPr>
        <w:adjustRightInd w:val="0"/>
        <w:snapToGrid w:val="0"/>
        <w:spacing w:line="360" w:lineRule="auto"/>
        <w:ind w:firstLine="422" w:firstLineChars="200"/>
        <w:jc w:val="center"/>
      </w:pPr>
      <w:r>
        <w:rPr>
          <w:rFonts w:hint="eastAsia"/>
          <w:b/>
          <w:bCs/>
          <w:szCs w:val="20"/>
        </w:rPr>
        <w:t>金属屋面系统安拆100t汽车吊及50m蜘蛛车</w:t>
      </w:r>
      <w:r>
        <w:drawing>
          <wp:inline distT="0" distB="0" distL="114300" distR="114300">
            <wp:extent cx="4203700" cy="2634615"/>
            <wp:effectExtent l="0" t="0" r="2540" b="1905"/>
            <wp:docPr id="75" name="图片 51" descr="170098449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1" descr="1700984493991"/>
                    <pic:cNvPicPr>
                      <a:picLocks noChangeAspect="1"/>
                    </pic:cNvPicPr>
                  </pic:nvPicPr>
                  <pic:blipFill>
                    <a:blip r:embed="rId47"/>
                    <a:stretch>
                      <a:fillRect/>
                    </a:stretch>
                  </pic:blipFill>
                  <pic:spPr>
                    <a:xfrm>
                      <a:off x="0" y="0"/>
                      <a:ext cx="4203700" cy="2634615"/>
                    </a:xfrm>
                    <a:prstGeom prst="rect">
                      <a:avLst/>
                    </a:prstGeom>
                    <a:noFill/>
                    <a:ln>
                      <a:noFill/>
                    </a:ln>
                  </pic:spPr>
                </pic:pic>
              </a:graphicData>
            </a:graphic>
          </wp:inline>
        </w:drawing>
      </w:r>
    </w:p>
    <w:p>
      <w:pPr>
        <w:jc w:val="center"/>
        <w:outlineLvl w:val="1"/>
        <w:rPr>
          <w:b/>
          <w:bCs/>
          <w:szCs w:val="20"/>
        </w:rPr>
      </w:pPr>
      <w:bookmarkStart w:id="189" w:name="_Toc2949"/>
      <w:bookmarkStart w:id="190" w:name="_Toc14511"/>
      <w:bookmarkStart w:id="191" w:name="_Toc3889"/>
      <w:bookmarkStart w:id="192" w:name="_Toc159596179"/>
      <w:r>
        <w:rPr>
          <w:rFonts w:hint="eastAsia"/>
          <w:b/>
          <w:bCs/>
          <w:szCs w:val="20"/>
        </w:rPr>
        <w:t>金属屋面系统自制滑移操作平台系统</w:t>
      </w:r>
      <w:bookmarkEnd w:id="189"/>
      <w:bookmarkEnd w:id="190"/>
      <w:bookmarkEnd w:id="191"/>
      <w:bookmarkEnd w:id="192"/>
    </w:p>
    <w:p>
      <w:pPr>
        <w:pStyle w:val="8"/>
        <w:adjustRightInd w:val="0"/>
        <w:snapToGrid w:val="0"/>
        <w:spacing w:line="360" w:lineRule="auto"/>
        <w:ind w:firstLine="118"/>
        <w:rPr>
          <w:b/>
          <w:bCs/>
        </w:rPr>
      </w:pPr>
      <w:r>
        <w:rPr>
          <w:rFonts w:hint="eastAsia"/>
          <w:b/>
          <w:bCs/>
        </w:rPr>
        <w:t>3、体育场罩棚天花网膜施工方案</w:t>
      </w:r>
    </w:p>
    <w:p>
      <w:pPr>
        <w:adjustRightInd w:val="0"/>
        <w:snapToGrid w:val="0"/>
        <w:spacing w:line="360" w:lineRule="auto"/>
        <w:ind w:firstLine="480" w:firstLineChars="200"/>
        <w:rPr>
          <w:sz w:val="24"/>
        </w:rPr>
      </w:pPr>
      <w:r>
        <w:rPr>
          <w:rFonts w:hint="eastAsia"/>
          <w:sz w:val="24"/>
        </w:rPr>
        <w:t>1、体育场罩棚天花主要改造内容包括索构件吊顶檩条和条状满铺</w:t>
      </w:r>
      <w:r>
        <w:rPr>
          <w:rFonts w:hint="eastAsia" w:ascii="宋体" w:hAnsi="宋体"/>
          <w:szCs w:val="21"/>
        </w:rPr>
        <w:t>PTFE</w:t>
      </w:r>
      <w:r>
        <w:rPr>
          <w:rFonts w:hint="eastAsia"/>
          <w:sz w:val="24"/>
        </w:rPr>
        <w:t>网膜安装，计划先在地面将索结构吊顶檩条与条状</w:t>
      </w:r>
      <w:r>
        <w:rPr>
          <w:rFonts w:hint="eastAsia" w:ascii="宋体" w:hAnsi="宋体"/>
          <w:szCs w:val="21"/>
        </w:rPr>
        <w:t>PTFE</w:t>
      </w:r>
      <w:r>
        <w:rPr>
          <w:rFonts w:hint="eastAsia"/>
          <w:sz w:val="24"/>
        </w:rPr>
        <w:t>网膜进行拼装，拼装完成后使用多台5t卷扬机拉结索结构进行提升，提升至钢罩棚与原工字钢进行抱箍。</w:t>
      </w:r>
    </w:p>
    <w:p>
      <w:pPr>
        <w:adjustRightInd w:val="0"/>
        <w:snapToGrid w:val="0"/>
        <w:spacing w:line="360" w:lineRule="auto"/>
        <w:ind w:firstLine="480" w:firstLineChars="200"/>
        <w:rPr>
          <w:sz w:val="24"/>
        </w:rPr>
      </w:pPr>
      <w:r>
        <w:rPr>
          <w:rFonts w:hint="eastAsia"/>
          <w:sz w:val="24"/>
        </w:rPr>
        <w:t>2、索结构和网膜全部提升完成后处于松弛状态，需人工搭乘高空作业车或蜘蛛车在高空对条状网膜间的间隙进行缝补，使得PTFE网膜形成一个整体状态。</w:t>
      </w:r>
    </w:p>
    <w:p>
      <w:pPr>
        <w:adjustRightInd w:val="0"/>
        <w:snapToGrid w:val="0"/>
        <w:spacing w:line="360" w:lineRule="auto"/>
        <w:ind w:firstLine="480" w:firstLineChars="200"/>
        <w:rPr>
          <w:sz w:val="24"/>
        </w:rPr>
      </w:pPr>
      <w:r>
        <w:rPr>
          <w:rFonts w:hint="eastAsia"/>
          <w:sz w:val="24"/>
        </w:rPr>
        <w:t>3、最后，通过索张拉与卷扬机配合将网膜进行张拉，施工张拉对网织物预张力为1.5KN/m，索预张力10KN，使得网膜达到设计标准。</w:t>
      </w:r>
    </w:p>
    <w:p>
      <w:pPr>
        <w:adjustRightInd w:val="0"/>
        <w:snapToGrid w:val="0"/>
        <w:spacing w:line="360" w:lineRule="auto"/>
        <w:ind w:firstLine="480" w:firstLineChars="200"/>
        <w:rPr>
          <w:sz w:val="24"/>
        </w:rPr>
      </w:pPr>
    </w:p>
    <w:p>
      <w:pPr>
        <w:adjustRightInd w:val="0"/>
        <w:snapToGrid w:val="0"/>
        <w:spacing w:line="360" w:lineRule="auto"/>
      </w:pPr>
      <w:r>
        <w:drawing>
          <wp:inline distT="0" distB="0" distL="114300" distR="114300">
            <wp:extent cx="2997200" cy="1553845"/>
            <wp:effectExtent l="0" t="0" r="5080" b="635"/>
            <wp:docPr id="5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2"/>
                    <pic:cNvPicPr>
                      <a:picLocks noChangeAspect="1"/>
                    </pic:cNvPicPr>
                  </pic:nvPicPr>
                  <pic:blipFill>
                    <a:blip r:embed="rId48"/>
                    <a:stretch>
                      <a:fillRect/>
                    </a:stretch>
                  </pic:blipFill>
                  <pic:spPr>
                    <a:xfrm>
                      <a:off x="0" y="0"/>
                      <a:ext cx="2997200" cy="1553845"/>
                    </a:xfrm>
                    <a:prstGeom prst="rect">
                      <a:avLst/>
                    </a:prstGeom>
                    <a:noFill/>
                    <a:ln>
                      <a:noFill/>
                    </a:ln>
                  </pic:spPr>
                </pic:pic>
              </a:graphicData>
            </a:graphic>
          </wp:inline>
        </w:drawing>
      </w:r>
      <w:r>
        <w:rPr>
          <w:rFonts w:hint="eastAsia"/>
        </w:rPr>
        <w:t xml:space="preserve"> </w:t>
      </w:r>
      <w:r>
        <w:drawing>
          <wp:inline distT="0" distB="0" distL="114300" distR="114300">
            <wp:extent cx="2160270" cy="2601595"/>
            <wp:effectExtent l="0" t="0" r="3810" b="4445"/>
            <wp:docPr id="5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3"/>
                    <pic:cNvPicPr>
                      <a:picLocks noChangeAspect="1"/>
                    </pic:cNvPicPr>
                  </pic:nvPicPr>
                  <pic:blipFill>
                    <a:blip r:embed="rId49"/>
                    <a:stretch>
                      <a:fillRect/>
                    </a:stretch>
                  </pic:blipFill>
                  <pic:spPr>
                    <a:xfrm>
                      <a:off x="0" y="0"/>
                      <a:ext cx="2160270" cy="2601595"/>
                    </a:xfrm>
                    <a:prstGeom prst="rect">
                      <a:avLst/>
                    </a:prstGeom>
                    <a:noFill/>
                    <a:ln>
                      <a:noFill/>
                    </a:ln>
                  </pic:spPr>
                </pic:pic>
              </a:graphicData>
            </a:graphic>
          </wp:inline>
        </w:drawing>
      </w:r>
    </w:p>
    <w:p>
      <w:pPr>
        <w:adjustRightInd w:val="0"/>
        <w:snapToGrid w:val="0"/>
        <w:spacing w:line="360" w:lineRule="auto"/>
        <w:jc w:val="center"/>
      </w:pPr>
      <w:r>
        <w:rPr>
          <w:rFonts w:hint="eastAsia"/>
        </w:rPr>
        <w:t>索构件吊顶檩条示意图                    PTFE网膜施工区域</w:t>
      </w:r>
    </w:p>
    <w:p>
      <w:pPr>
        <w:pStyle w:val="7"/>
        <w:adjustRightInd w:val="0"/>
        <w:snapToGrid w:val="0"/>
        <w:spacing w:line="360" w:lineRule="auto"/>
        <w:rPr>
          <w:color w:val="auto"/>
          <w:sz w:val="30"/>
          <w:szCs w:val="30"/>
        </w:rPr>
      </w:pPr>
      <w:bookmarkStart w:id="193" w:name="_Toc15304"/>
      <w:bookmarkStart w:id="194" w:name="_Toc23317"/>
      <w:bookmarkStart w:id="195" w:name="_Toc2629"/>
      <w:bookmarkStart w:id="196" w:name="_Toc11644"/>
      <w:bookmarkStart w:id="197" w:name="_Toc1869"/>
      <w:bookmarkStart w:id="198" w:name="_Toc159596180"/>
      <w:bookmarkStart w:id="199" w:name="_Toc13512"/>
      <w:r>
        <w:rPr>
          <w:rFonts w:hint="eastAsia"/>
          <w:color w:val="auto"/>
          <w:sz w:val="30"/>
          <w:szCs w:val="30"/>
        </w:rPr>
        <w:t>（三）体育场幕墙施工方案策划及</w:t>
      </w:r>
      <w:r>
        <w:rPr>
          <w:color w:val="auto"/>
          <w:sz w:val="30"/>
          <w:szCs w:val="30"/>
        </w:rPr>
        <w:t>管理要求</w:t>
      </w:r>
      <w:bookmarkEnd w:id="193"/>
      <w:bookmarkEnd w:id="194"/>
      <w:bookmarkEnd w:id="195"/>
      <w:bookmarkEnd w:id="196"/>
      <w:bookmarkEnd w:id="197"/>
      <w:bookmarkEnd w:id="198"/>
      <w:bookmarkEnd w:id="199"/>
    </w:p>
    <w:p>
      <w:pPr>
        <w:adjustRightInd w:val="0"/>
        <w:snapToGrid w:val="0"/>
        <w:spacing w:line="360" w:lineRule="auto"/>
        <w:ind w:firstLine="480" w:firstLineChars="200"/>
        <w:rPr>
          <w:sz w:val="24"/>
        </w:rPr>
      </w:pPr>
      <w:r>
        <w:rPr>
          <w:rFonts w:hint="eastAsia"/>
          <w:sz w:val="24"/>
        </w:rPr>
        <w:t>1、体育场幕墙系统改造内容包括（含玻璃幕墙、铝板幕墙等）拆除、外挑檐施工、幕墙安装等，计划先采用“高空作业车+汽车吊+电动吸盘”拆除原幕墙系统，同步进行二层平台结构柱的独立基础施工。</w:t>
      </w:r>
    </w:p>
    <w:p>
      <w:pPr>
        <w:adjustRightInd w:val="0"/>
        <w:snapToGrid w:val="0"/>
        <w:spacing w:line="360" w:lineRule="auto"/>
        <w:ind w:firstLine="480" w:firstLineChars="200"/>
        <w:rPr>
          <w:sz w:val="24"/>
        </w:rPr>
      </w:pPr>
      <w:r>
        <w:rPr>
          <w:rFonts w:hint="eastAsia"/>
          <w:sz w:val="24"/>
        </w:rPr>
        <w:t>2、搭设满堂脚手架进行钢筋混凝土结构柱和二层钢筋混凝土外飘平台施工，再在其上采用“高空作业车+汽车吊+电动吸盘”进行三至五层外挑檐和幕墙安装。</w:t>
      </w:r>
    </w:p>
    <w:p>
      <w:pPr>
        <w:adjustRightInd w:val="0"/>
        <w:snapToGrid w:val="0"/>
        <w:spacing w:line="360" w:lineRule="auto"/>
        <w:ind w:firstLine="480" w:firstLineChars="200"/>
        <w:rPr>
          <w:sz w:val="24"/>
        </w:rPr>
      </w:pPr>
      <w:r>
        <w:rPr>
          <w:rFonts w:hint="eastAsia"/>
          <w:sz w:val="24"/>
        </w:rPr>
        <w:t>3、高空作业过程中，作业人员全程佩戴“五点式”安全带，并严格按“上挂下用”的要求使用安全带。</w:t>
      </w:r>
    </w:p>
    <w:p>
      <w:pPr>
        <w:adjustRightInd w:val="0"/>
        <w:snapToGrid w:val="0"/>
        <w:spacing w:line="360" w:lineRule="auto"/>
        <w:ind w:firstLine="480" w:firstLineChars="200"/>
        <w:rPr>
          <w:sz w:val="24"/>
        </w:rPr>
      </w:pPr>
      <w:r>
        <w:rPr>
          <w:rFonts w:hint="eastAsia"/>
          <w:sz w:val="24"/>
        </w:rPr>
        <w:t>4、幕墙系统安拆需结合金属屋面系统安拆以及室外工程安拆部署，严禁垂直交叉作业，杜绝安全隐患。</w:t>
      </w:r>
    </w:p>
    <w:p>
      <w:pPr>
        <w:adjustRightInd w:val="0"/>
        <w:snapToGrid w:val="0"/>
        <w:spacing w:line="360" w:lineRule="auto"/>
        <w:ind w:firstLine="480" w:firstLineChars="200"/>
        <w:rPr>
          <w:sz w:val="24"/>
        </w:rPr>
      </w:pPr>
      <w:r>
        <w:rPr>
          <w:rFonts w:hint="eastAsia"/>
          <w:sz w:val="24"/>
        </w:rPr>
        <w:t>5、在幕墙拆除期间同步进行新的幕墙体系设计方案论证、施工图、深化设计、看样定板、四性试验等。</w:t>
      </w:r>
    </w:p>
    <w:p>
      <w:r>
        <w:drawing>
          <wp:inline distT="0" distB="0" distL="114300" distR="114300">
            <wp:extent cx="2444750" cy="2041525"/>
            <wp:effectExtent l="0" t="0" r="8890" b="635"/>
            <wp:docPr id="5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4"/>
                    <pic:cNvPicPr>
                      <a:picLocks noChangeAspect="1"/>
                    </pic:cNvPicPr>
                  </pic:nvPicPr>
                  <pic:blipFill>
                    <a:blip r:embed="rId50"/>
                    <a:stretch>
                      <a:fillRect/>
                    </a:stretch>
                  </pic:blipFill>
                  <pic:spPr>
                    <a:xfrm>
                      <a:off x="0" y="0"/>
                      <a:ext cx="2444750" cy="2041525"/>
                    </a:xfrm>
                    <a:prstGeom prst="rect">
                      <a:avLst/>
                    </a:prstGeom>
                    <a:noFill/>
                    <a:ln>
                      <a:noFill/>
                    </a:ln>
                  </pic:spPr>
                </pic:pic>
              </a:graphicData>
            </a:graphic>
          </wp:inline>
        </w:drawing>
      </w:r>
      <w:r>
        <w:drawing>
          <wp:inline distT="0" distB="0" distL="114300" distR="114300">
            <wp:extent cx="2724150" cy="2044065"/>
            <wp:effectExtent l="0" t="0" r="3810" b="13335"/>
            <wp:docPr id="67" name="图片 55" descr="cb7728a8c5fdbe1170c255f88ddf69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5" descr="cb7728a8c5fdbe1170c255f88ddf690e"/>
                    <pic:cNvPicPr>
                      <a:picLocks noChangeAspect="1"/>
                    </pic:cNvPicPr>
                  </pic:nvPicPr>
                  <pic:blipFill>
                    <a:blip r:embed="rId51"/>
                    <a:stretch>
                      <a:fillRect/>
                    </a:stretch>
                  </pic:blipFill>
                  <pic:spPr>
                    <a:xfrm>
                      <a:off x="0" y="0"/>
                      <a:ext cx="2724150" cy="2044065"/>
                    </a:xfrm>
                    <a:prstGeom prst="rect">
                      <a:avLst/>
                    </a:prstGeom>
                    <a:noFill/>
                    <a:ln>
                      <a:noFill/>
                    </a:ln>
                  </pic:spPr>
                </pic:pic>
              </a:graphicData>
            </a:graphic>
          </wp:inline>
        </w:drawing>
      </w:r>
    </w:p>
    <w:p>
      <w:pPr>
        <w:jc w:val="center"/>
        <w:rPr>
          <w:b/>
          <w:bCs/>
        </w:rPr>
      </w:pPr>
      <w:r>
        <w:rPr>
          <w:rFonts w:hint="eastAsia"/>
          <w:b/>
          <w:bCs/>
        </w:rPr>
        <w:t>汽车吊、高空作业车示意图</w:t>
      </w:r>
    </w:p>
    <w:p>
      <w:r>
        <w:drawing>
          <wp:inline distT="0" distB="0" distL="114300" distR="114300">
            <wp:extent cx="1899285" cy="2249805"/>
            <wp:effectExtent l="0" t="0" r="5715" b="571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52"/>
                    <a:stretch>
                      <a:fillRect/>
                    </a:stretch>
                  </pic:blipFill>
                  <pic:spPr>
                    <a:xfrm>
                      <a:off x="0" y="0"/>
                      <a:ext cx="1899285" cy="2249805"/>
                    </a:xfrm>
                    <a:prstGeom prst="rect">
                      <a:avLst/>
                    </a:prstGeom>
                    <a:noFill/>
                    <a:ln>
                      <a:noFill/>
                    </a:ln>
                  </pic:spPr>
                </pic:pic>
              </a:graphicData>
            </a:graphic>
          </wp:inline>
        </w:drawing>
      </w:r>
      <w:r>
        <w:rPr>
          <w:rFonts w:hint="eastAsia"/>
        </w:rPr>
        <w:t xml:space="preserve">     </w:t>
      </w:r>
      <w:r>
        <w:drawing>
          <wp:inline distT="0" distB="0" distL="114300" distR="114300">
            <wp:extent cx="2799080" cy="2235835"/>
            <wp:effectExtent l="0" t="0" r="5080" b="4445"/>
            <wp:docPr id="6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7"/>
                    <pic:cNvPicPr>
                      <a:picLocks noChangeAspect="1"/>
                    </pic:cNvPicPr>
                  </pic:nvPicPr>
                  <pic:blipFill>
                    <a:blip r:embed="rId53"/>
                    <a:stretch>
                      <a:fillRect/>
                    </a:stretch>
                  </pic:blipFill>
                  <pic:spPr>
                    <a:xfrm>
                      <a:off x="0" y="0"/>
                      <a:ext cx="2799080" cy="2235835"/>
                    </a:xfrm>
                    <a:prstGeom prst="rect">
                      <a:avLst/>
                    </a:prstGeom>
                    <a:noFill/>
                    <a:ln>
                      <a:noFill/>
                    </a:ln>
                  </pic:spPr>
                </pic:pic>
              </a:graphicData>
            </a:graphic>
          </wp:inline>
        </w:drawing>
      </w:r>
    </w:p>
    <w:p>
      <w:pPr>
        <w:jc w:val="center"/>
      </w:pPr>
      <w:r>
        <w:rPr>
          <w:rFonts w:hint="eastAsia"/>
          <w:b/>
          <w:bCs/>
        </w:rPr>
        <w:t>电动葫芦、电动吸盘示意图</w:t>
      </w:r>
    </w:p>
    <w:p>
      <w:pPr>
        <w:pStyle w:val="7"/>
        <w:adjustRightInd w:val="0"/>
        <w:snapToGrid w:val="0"/>
        <w:spacing w:line="360" w:lineRule="auto"/>
        <w:rPr>
          <w:color w:val="auto"/>
          <w:sz w:val="30"/>
          <w:szCs w:val="30"/>
        </w:rPr>
      </w:pPr>
      <w:bookmarkStart w:id="200" w:name="_Toc13077"/>
      <w:bookmarkStart w:id="201" w:name="_Toc1717"/>
      <w:bookmarkStart w:id="202" w:name="_Toc2171"/>
      <w:bookmarkStart w:id="203" w:name="_Toc25384"/>
      <w:bookmarkStart w:id="204" w:name="_Toc31703"/>
      <w:bookmarkStart w:id="205" w:name="_Toc14893"/>
      <w:bookmarkStart w:id="206" w:name="_Toc159596181"/>
      <w:r>
        <w:rPr>
          <w:rFonts w:hint="eastAsia"/>
          <w:color w:val="auto"/>
          <w:sz w:val="30"/>
          <w:szCs w:val="30"/>
        </w:rPr>
        <w:t>（四）</w:t>
      </w:r>
      <w:bookmarkEnd w:id="180"/>
      <w:bookmarkEnd w:id="181"/>
      <w:bookmarkEnd w:id="200"/>
      <w:bookmarkEnd w:id="201"/>
      <w:bookmarkEnd w:id="202"/>
      <w:r>
        <w:rPr>
          <w:rFonts w:hint="eastAsia"/>
          <w:color w:val="auto"/>
          <w:sz w:val="30"/>
          <w:szCs w:val="30"/>
        </w:rPr>
        <w:t>重点区域装修要求</w:t>
      </w:r>
      <w:bookmarkEnd w:id="203"/>
      <w:bookmarkEnd w:id="204"/>
      <w:bookmarkEnd w:id="205"/>
      <w:bookmarkEnd w:id="206"/>
    </w:p>
    <w:p>
      <w:pPr>
        <w:pStyle w:val="8"/>
        <w:adjustRightInd w:val="0"/>
        <w:snapToGrid w:val="0"/>
        <w:spacing w:line="360" w:lineRule="auto"/>
        <w:ind w:firstLine="118"/>
        <w:rPr>
          <w:b/>
          <w:bCs/>
        </w:rPr>
      </w:pPr>
      <w:r>
        <w:rPr>
          <w:rFonts w:hint="eastAsia"/>
          <w:b/>
          <w:bCs/>
        </w:rPr>
        <w:t>1、重点区域装修选材及施工要求</w:t>
      </w:r>
    </w:p>
    <w:p>
      <w:pPr>
        <w:adjustRightInd w:val="0"/>
        <w:snapToGrid w:val="0"/>
        <w:spacing w:line="360" w:lineRule="auto"/>
        <w:ind w:firstLine="480" w:firstLineChars="200"/>
        <w:rPr>
          <w:rFonts w:ascii="宋体" w:hAnsi="宋体"/>
          <w:sz w:val="24"/>
        </w:rPr>
      </w:pPr>
      <w:r>
        <w:rPr>
          <w:rFonts w:hint="eastAsia" w:ascii="宋体" w:hAnsi="宋体"/>
          <w:sz w:val="24"/>
        </w:rPr>
        <w:t>（1）重点区域要求</w:t>
      </w:r>
    </w:p>
    <w:p>
      <w:pPr>
        <w:adjustRightInd w:val="0"/>
        <w:snapToGrid w:val="0"/>
        <w:spacing w:line="360" w:lineRule="auto"/>
        <w:ind w:firstLine="720" w:firstLineChars="300"/>
        <w:rPr>
          <w:rFonts w:ascii="宋体" w:hAnsi="宋体"/>
          <w:sz w:val="24"/>
        </w:rPr>
      </w:pPr>
      <w:r>
        <w:rPr>
          <w:rFonts w:hint="eastAsia" w:ascii="宋体" w:hAnsi="宋体"/>
          <w:sz w:val="24"/>
        </w:rPr>
        <w:t>1）本项目重点区域应为主席包厢、贵宾包厢、贵宾会议厅、贵宾室、贵宾休息区等。</w:t>
      </w:r>
    </w:p>
    <w:p>
      <w:pPr>
        <w:adjustRightInd w:val="0"/>
        <w:snapToGrid w:val="0"/>
        <w:spacing w:line="360" w:lineRule="auto"/>
        <w:ind w:firstLine="720" w:firstLineChars="300"/>
        <w:rPr>
          <w:rFonts w:ascii="宋体" w:hAnsi="宋体"/>
          <w:sz w:val="24"/>
        </w:rPr>
      </w:pPr>
      <w:r>
        <w:rPr>
          <w:rFonts w:hint="eastAsia" w:ascii="宋体" w:hAnsi="宋体"/>
          <w:sz w:val="24"/>
        </w:rPr>
        <w:t>2）本项目时间紧，任务重，装修材料挥发时间应控制在较短时间内达到空气检测标准，应从源头开始控制，故必须选用无挥发性或挥发性较小的材料/物品。</w:t>
      </w:r>
    </w:p>
    <w:p>
      <w:pPr>
        <w:adjustRightInd w:val="0"/>
        <w:snapToGrid w:val="0"/>
        <w:spacing w:line="360" w:lineRule="auto"/>
        <w:ind w:firstLine="720" w:firstLineChars="300"/>
        <w:rPr>
          <w:rFonts w:ascii="宋体" w:hAnsi="宋体"/>
          <w:sz w:val="24"/>
        </w:rPr>
      </w:pPr>
      <w:r>
        <w:rPr>
          <w:rFonts w:hint="eastAsia" w:ascii="宋体" w:hAnsi="宋体"/>
          <w:sz w:val="24"/>
        </w:rPr>
        <w:t>3）本项目建设及装修过程中使用的材料/物品的环保指标必须符合相应的国家标准、行业标准、地方标准要求，不得使用国家和本市相关政策及标准中禁止使用及限制范围内禁止使用的材料。</w:t>
      </w:r>
    </w:p>
    <w:p>
      <w:pPr>
        <w:adjustRightInd w:val="0"/>
        <w:snapToGrid w:val="0"/>
        <w:spacing w:line="360" w:lineRule="auto"/>
        <w:ind w:firstLine="480" w:firstLineChars="200"/>
        <w:rPr>
          <w:rFonts w:ascii="宋体" w:hAnsi="宋体"/>
          <w:sz w:val="24"/>
        </w:rPr>
      </w:pPr>
      <w:r>
        <w:rPr>
          <w:rFonts w:hint="eastAsia" w:ascii="宋体" w:hAnsi="宋体"/>
          <w:sz w:val="24"/>
        </w:rPr>
        <w:t>（2）选材要求</w:t>
      </w:r>
    </w:p>
    <w:p>
      <w:pPr>
        <w:adjustRightInd w:val="0"/>
        <w:snapToGrid w:val="0"/>
        <w:spacing w:line="360" w:lineRule="auto"/>
        <w:ind w:firstLine="720" w:firstLineChars="300"/>
        <w:rPr>
          <w:rFonts w:ascii="宋体" w:hAnsi="宋体"/>
          <w:sz w:val="24"/>
        </w:rPr>
      </w:pPr>
      <w:r>
        <w:rPr>
          <w:rFonts w:hint="eastAsia" w:ascii="宋体" w:hAnsi="宋体"/>
          <w:sz w:val="24"/>
        </w:rPr>
        <w:t>1）室内隔墙应使用满足GB/T17795-2019 标准要求的无醛型玻璃棉。</w:t>
      </w:r>
    </w:p>
    <w:p>
      <w:pPr>
        <w:adjustRightInd w:val="0"/>
        <w:snapToGrid w:val="0"/>
        <w:spacing w:line="360" w:lineRule="auto"/>
        <w:ind w:firstLine="720" w:firstLineChars="300"/>
        <w:rPr>
          <w:rFonts w:ascii="宋体" w:hAnsi="宋体"/>
          <w:sz w:val="24"/>
        </w:rPr>
      </w:pPr>
      <w:r>
        <w:rPr>
          <w:rFonts w:hint="eastAsia" w:ascii="宋体" w:hAnsi="宋体"/>
          <w:sz w:val="24"/>
        </w:rPr>
        <w:t>2）暖通系统风管用保温材料应选择玻璃棉制品。</w:t>
      </w:r>
    </w:p>
    <w:p>
      <w:pPr>
        <w:adjustRightInd w:val="0"/>
        <w:snapToGrid w:val="0"/>
        <w:spacing w:line="360" w:lineRule="auto"/>
        <w:ind w:firstLine="720" w:firstLineChars="300"/>
        <w:rPr>
          <w:rFonts w:ascii="宋体" w:hAnsi="宋体"/>
          <w:sz w:val="24"/>
        </w:rPr>
      </w:pPr>
      <w:r>
        <w:rPr>
          <w:rFonts w:hint="eastAsia" w:ascii="宋体" w:hAnsi="宋体"/>
          <w:sz w:val="24"/>
        </w:rPr>
        <w:t>3）家具、木饰面板等各类木制产品生产过程中所用木器涂料均应为水性或辐射固化涂料，所用胶粘剂应为水基型或本体型胶粘剂。</w:t>
      </w:r>
    </w:p>
    <w:p>
      <w:pPr>
        <w:adjustRightInd w:val="0"/>
        <w:snapToGrid w:val="0"/>
        <w:spacing w:line="360" w:lineRule="auto"/>
        <w:ind w:firstLine="720" w:firstLineChars="300"/>
        <w:rPr>
          <w:rFonts w:ascii="宋体" w:hAnsi="宋体"/>
          <w:sz w:val="24"/>
        </w:rPr>
      </w:pPr>
      <w:r>
        <w:rPr>
          <w:rFonts w:hint="eastAsia" w:ascii="宋体" w:hAnsi="宋体"/>
          <w:sz w:val="24"/>
        </w:rPr>
        <w:t>4）沙发和座椅用皮革建议选择非真皮类材料。</w:t>
      </w:r>
    </w:p>
    <w:p>
      <w:pPr>
        <w:adjustRightInd w:val="0"/>
        <w:snapToGrid w:val="0"/>
        <w:spacing w:line="360" w:lineRule="auto"/>
        <w:ind w:firstLine="720" w:firstLineChars="300"/>
        <w:rPr>
          <w:rFonts w:ascii="宋体" w:hAnsi="宋体"/>
          <w:sz w:val="24"/>
        </w:rPr>
      </w:pPr>
      <w:r>
        <w:rPr>
          <w:rFonts w:hint="eastAsia" w:ascii="宋体" w:hAnsi="宋体"/>
          <w:sz w:val="24"/>
        </w:rPr>
        <w:t>5）室内施工中使用的防锈漆均应为水性防锈漆。</w:t>
      </w:r>
    </w:p>
    <w:p>
      <w:pPr>
        <w:adjustRightInd w:val="0"/>
        <w:snapToGrid w:val="0"/>
        <w:spacing w:line="360" w:lineRule="auto"/>
        <w:ind w:firstLine="720" w:firstLineChars="300"/>
        <w:rPr>
          <w:rFonts w:ascii="宋体" w:hAnsi="宋体"/>
          <w:sz w:val="24"/>
        </w:rPr>
      </w:pPr>
      <w:r>
        <w:rPr>
          <w:rFonts w:hint="eastAsia" w:ascii="宋体" w:hAnsi="宋体"/>
          <w:sz w:val="24"/>
        </w:rPr>
        <w:t>6）壁纸和壁布施工时应选用植物淀粉类胶粘剂。</w:t>
      </w:r>
    </w:p>
    <w:p>
      <w:pPr>
        <w:adjustRightInd w:val="0"/>
        <w:snapToGrid w:val="0"/>
        <w:spacing w:line="360" w:lineRule="auto"/>
        <w:ind w:firstLine="720" w:firstLineChars="300"/>
        <w:rPr>
          <w:rFonts w:ascii="宋体" w:hAnsi="宋体"/>
          <w:sz w:val="24"/>
        </w:rPr>
      </w:pPr>
      <w:r>
        <w:rPr>
          <w:rFonts w:hint="eastAsia" w:ascii="宋体" w:hAnsi="宋体"/>
          <w:sz w:val="24"/>
        </w:rPr>
        <w:t>7）装修过程中不得使用溶剂型防水涂料、溶剂型地坪涂料和溶剂型防火涂料。</w:t>
      </w:r>
    </w:p>
    <w:p>
      <w:pPr>
        <w:adjustRightInd w:val="0"/>
        <w:snapToGrid w:val="0"/>
        <w:spacing w:line="360" w:lineRule="auto"/>
        <w:ind w:firstLine="720" w:firstLineChars="300"/>
        <w:rPr>
          <w:rFonts w:ascii="宋体" w:hAnsi="宋体"/>
          <w:sz w:val="24"/>
        </w:rPr>
      </w:pPr>
      <w:r>
        <w:rPr>
          <w:rFonts w:hint="eastAsia" w:ascii="宋体" w:hAnsi="宋体"/>
          <w:sz w:val="24"/>
        </w:rPr>
        <w:t>8）软硬包加工过程中不得使用溶剂型胶粘剂，优先采用无胶工艺施工。</w:t>
      </w:r>
    </w:p>
    <w:p>
      <w:pPr>
        <w:adjustRightInd w:val="0"/>
        <w:snapToGrid w:val="0"/>
        <w:spacing w:line="360" w:lineRule="auto"/>
        <w:ind w:firstLine="720" w:firstLineChars="300"/>
        <w:rPr>
          <w:rFonts w:ascii="宋体" w:hAnsi="宋体"/>
          <w:sz w:val="24"/>
        </w:rPr>
      </w:pPr>
      <w:r>
        <w:rPr>
          <w:rFonts w:hint="eastAsia" w:ascii="宋体" w:hAnsi="宋体"/>
          <w:sz w:val="24"/>
        </w:rPr>
        <w:t>9）地毯生产时不得使用羧基丁苯胶及煤油。</w:t>
      </w:r>
    </w:p>
    <w:p>
      <w:pPr>
        <w:adjustRightInd w:val="0"/>
        <w:snapToGrid w:val="0"/>
        <w:spacing w:line="360" w:lineRule="auto"/>
        <w:ind w:firstLine="480" w:firstLineChars="200"/>
        <w:rPr>
          <w:rFonts w:ascii="宋体" w:hAnsi="宋体"/>
          <w:sz w:val="24"/>
        </w:rPr>
      </w:pPr>
      <w:r>
        <w:rPr>
          <w:rFonts w:hint="eastAsia" w:ascii="宋体" w:hAnsi="宋体"/>
          <w:sz w:val="24"/>
        </w:rPr>
        <w:t>（3）施工要求</w:t>
      </w:r>
    </w:p>
    <w:p>
      <w:pPr>
        <w:adjustRightInd w:val="0"/>
        <w:snapToGrid w:val="0"/>
        <w:spacing w:line="360" w:lineRule="auto"/>
        <w:ind w:firstLine="720" w:firstLineChars="300"/>
        <w:rPr>
          <w:rFonts w:ascii="宋体" w:hAnsi="宋体"/>
          <w:sz w:val="24"/>
        </w:rPr>
      </w:pPr>
      <w:r>
        <w:rPr>
          <w:rFonts w:hint="eastAsia" w:ascii="宋体" w:hAnsi="宋体"/>
          <w:sz w:val="24"/>
        </w:rPr>
        <w:t>1）幕墙、龙骨等各类材料/物品应尽量采用膨胀螺栓与基座固定。</w:t>
      </w:r>
    </w:p>
    <w:p>
      <w:pPr>
        <w:adjustRightInd w:val="0"/>
        <w:snapToGrid w:val="0"/>
        <w:spacing w:line="360" w:lineRule="auto"/>
        <w:ind w:firstLine="720" w:firstLineChars="300"/>
        <w:rPr>
          <w:rFonts w:ascii="宋体" w:hAnsi="宋体"/>
          <w:sz w:val="24"/>
        </w:rPr>
      </w:pPr>
      <w:r>
        <w:rPr>
          <w:rFonts w:hint="eastAsia" w:ascii="宋体" w:hAnsi="宋体"/>
          <w:sz w:val="24"/>
        </w:rPr>
        <w:t>2）墙面饰件、吊顶等材料/物品应尽量采物理、机械固定方式进行固定。</w:t>
      </w:r>
    </w:p>
    <w:p>
      <w:pPr>
        <w:adjustRightInd w:val="0"/>
        <w:snapToGrid w:val="0"/>
        <w:spacing w:line="360" w:lineRule="auto"/>
        <w:ind w:firstLine="720" w:firstLineChars="300"/>
        <w:rPr>
          <w:rFonts w:ascii="宋体" w:hAnsi="宋体"/>
          <w:sz w:val="24"/>
        </w:rPr>
      </w:pPr>
      <w:r>
        <w:rPr>
          <w:rFonts w:hint="eastAsia" w:ascii="宋体" w:hAnsi="宋体"/>
          <w:sz w:val="24"/>
        </w:rPr>
        <w:t>3）室内施工过程中严禁在现场使用汽油、煤油、松香水、天那水(香蕉水)等有毒溶剂或稀释剂。</w:t>
      </w:r>
    </w:p>
    <w:p>
      <w:pPr>
        <w:adjustRightInd w:val="0"/>
        <w:snapToGrid w:val="0"/>
        <w:spacing w:line="360" w:lineRule="auto"/>
        <w:ind w:firstLine="720" w:firstLineChars="300"/>
        <w:rPr>
          <w:rFonts w:ascii="宋体" w:hAnsi="宋体"/>
          <w:sz w:val="24"/>
        </w:rPr>
      </w:pPr>
      <w:r>
        <w:rPr>
          <w:rFonts w:hint="eastAsia" w:ascii="宋体" w:hAnsi="宋体"/>
          <w:sz w:val="24"/>
        </w:rPr>
        <w:t>4）室内施工应尽量减少溶剂型产品的使用，不得不使用溶剂型产品时应尽量先在户外施工，待溶剂挥发后再转移至室内。</w:t>
      </w:r>
    </w:p>
    <w:p>
      <w:pPr>
        <w:adjustRightInd w:val="0"/>
        <w:snapToGrid w:val="0"/>
        <w:spacing w:line="360" w:lineRule="auto"/>
        <w:ind w:firstLine="720" w:firstLineChars="300"/>
        <w:rPr>
          <w:rFonts w:ascii="宋体" w:hAnsi="宋体"/>
          <w:sz w:val="24"/>
        </w:rPr>
      </w:pPr>
      <w:r>
        <w:rPr>
          <w:rFonts w:hint="eastAsia" w:ascii="宋体" w:hAnsi="宋体"/>
          <w:sz w:val="24"/>
        </w:rPr>
        <w:t>5）家具生产厂家应尽量采用金属紧固件组装家具，减少胶粘剂用量。</w:t>
      </w:r>
    </w:p>
    <w:p>
      <w:pPr>
        <w:adjustRightInd w:val="0"/>
        <w:snapToGrid w:val="0"/>
        <w:spacing w:line="360" w:lineRule="auto"/>
        <w:ind w:firstLine="720" w:firstLineChars="300"/>
        <w:rPr>
          <w:rFonts w:ascii="宋体" w:hAnsi="宋体"/>
          <w:sz w:val="24"/>
        </w:rPr>
      </w:pPr>
      <w:r>
        <w:rPr>
          <w:rFonts w:hint="eastAsia" w:ascii="宋体" w:hAnsi="宋体"/>
          <w:sz w:val="24"/>
        </w:rPr>
        <w:t>6）地毯需要在装修完全完工且经过室内保洁后再铺设。</w:t>
      </w:r>
    </w:p>
    <w:p>
      <w:pPr>
        <w:pStyle w:val="8"/>
        <w:adjustRightInd w:val="0"/>
        <w:snapToGrid w:val="0"/>
        <w:spacing w:line="360" w:lineRule="auto"/>
        <w:ind w:firstLine="118"/>
        <w:rPr>
          <w:b/>
          <w:bCs/>
        </w:rPr>
      </w:pPr>
      <w:r>
        <w:rPr>
          <w:rFonts w:hint="eastAsia"/>
          <w:b/>
          <w:bCs/>
        </w:rPr>
        <w:t>2、重点区域装修验收要求</w:t>
      </w:r>
    </w:p>
    <w:p>
      <w:pPr>
        <w:adjustRightInd w:val="0"/>
        <w:snapToGrid w:val="0"/>
        <w:spacing w:line="360" w:lineRule="auto"/>
        <w:ind w:firstLine="240" w:firstLineChars="100"/>
        <w:rPr>
          <w:rFonts w:ascii="宋体" w:hAnsi="宋体"/>
          <w:sz w:val="24"/>
        </w:rPr>
      </w:pPr>
      <w:r>
        <w:rPr>
          <w:rFonts w:hint="eastAsia" w:ascii="宋体" w:hAnsi="宋体"/>
          <w:sz w:val="24"/>
        </w:rPr>
        <w:t>（1）室内环境检测</w:t>
      </w:r>
    </w:p>
    <w:p>
      <w:pPr>
        <w:adjustRightInd w:val="0"/>
        <w:snapToGrid w:val="0"/>
        <w:spacing w:line="360" w:lineRule="auto"/>
        <w:ind w:firstLine="480" w:firstLineChars="200"/>
        <w:rPr>
          <w:rFonts w:ascii="宋体" w:hAnsi="宋体"/>
          <w:sz w:val="24"/>
        </w:rPr>
      </w:pPr>
      <w:r>
        <w:rPr>
          <w:rFonts w:hint="eastAsia" w:ascii="宋体" w:hAnsi="宋体"/>
          <w:sz w:val="24"/>
        </w:rPr>
        <w:t>重点区域最关键的是室内环境标准非常高，建议聘请有重点区域检测经验的单位，对室内环境检测做出具体要求，并在选材和施工期间派驻专家团队协助重点区域装修任务开展。</w:t>
      </w:r>
    </w:p>
    <w:p>
      <w:pPr>
        <w:adjustRightInd w:val="0"/>
        <w:snapToGrid w:val="0"/>
        <w:spacing w:line="360" w:lineRule="auto"/>
        <w:ind w:firstLine="240" w:firstLineChars="100"/>
        <w:rPr>
          <w:rFonts w:ascii="宋体" w:hAnsi="宋体"/>
          <w:sz w:val="24"/>
        </w:rPr>
      </w:pPr>
      <w:r>
        <w:rPr>
          <w:rFonts w:hint="eastAsia" w:ascii="宋体" w:hAnsi="宋体"/>
          <w:sz w:val="24"/>
        </w:rPr>
        <w:t>（2）隐蔽验收要求</w:t>
      </w:r>
    </w:p>
    <w:p>
      <w:pPr>
        <w:adjustRightInd w:val="0"/>
        <w:snapToGrid w:val="0"/>
        <w:spacing w:line="360" w:lineRule="auto"/>
        <w:ind w:firstLine="480" w:firstLineChars="200"/>
        <w:rPr>
          <w:rFonts w:ascii="宋体" w:hAnsi="宋体"/>
          <w:sz w:val="24"/>
        </w:rPr>
      </w:pPr>
      <w:r>
        <w:rPr>
          <w:rFonts w:hint="eastAsia" w:ascii="宋体" w:hAnsi="宋体"/>
          <w:sz w:val="24"/>
        </w:rPr>
        <w:t>验收应严格按照设计图纸和国家现行规范、标准执行，从基层开始逐层进行隐蔽验收，经验收通过后才可进行下道工序施工。同时，可由室内环境检测单位对现场挥发性材料施工进行实时监测，确保空气质量符合标准。</w:t>
      </w:r>
    </w:p>
    <w:p>
      <w:pPr>
        <w:adjustRightInd w:val="0"/>
        <w:snapToGrid w:val="0"/>
        <w:spacing w:line="360" w:lineRule="auto"/>
        <w:ind w:firstLine="240" w:firstLineChars="100"/>
        <w:rPr>
          <w:rFonts w:ascii="宋体" w:hAnsi="宋体"/>
          <w:sz w:val="24"/>
        </w:rPr>
      </w:pPr>
      <w:r>
        <w:rPr>
          <w:rFonts w:hint="eastAsia" w:ascii="宋体" w:hAnsi="宋体"/>
          <w:sz w:val="24"/>
        </w:rPr>
        <w:t>（3）软装家具检测要求</w:t>
      </w:r>
    </w:p>
    <w:p>
      <w:pPr>
        <w:adjustRightInd w:val="0"/>
        <w:snapToGrid w:val="0"/>
        <w:spacing w:line="360" w:lineRule="auto"/>
        <w:ind w:firstLine="480" w:firstLineChars="200"/>
        <w:rPr>
          <w:rFonts w:ascii="宋体" w:hAnsi="宋体"/>
          <w:sz w:val="24"/>
        </w:rPr>
      </w:pPr>
      <w:r>
        <w:rPr>
          <w:rFonts w:hint="eastAsia" w:ascii="宋体" w:hAnsi="宋体"/>
          <w:sz w:val="24"/>
        </w:rPr>
        <w:t>重点区域的软装家具应纳入室内环境检测范围，特别是木质、皮革材料的挥发性检测，应满足最高检测标准。</w:t>
      </w:r>
    </w:p>
    <w:p>
      <w:pPr>
        <w:adjustRightInd w:val="0"/>
        <w:snapToGrid w:val="0"/>
        <w:spacing w:line="360" w:lineRule="auto"/>
        <w:rPr>
          <w:rFonts w:ascii="宋体" w:hAnsi="宋体"/>
          <w:sz w:val="24"/>
        </w:rPr>
      </w:pPr>
      <w:r>
        <w:drawing>
          <wp:inline distT="0" distB="0" distL="114300" distR="114300">
            <wp:extent cx="2439670" cy="1571625"/>
            <wp:effectExtent l="0" t="0" r="13970" b="13335"/>
            <wp:docPr id="7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8"/>
                    <pic:cNvPicPr>
                      <a:picLocks noChangeAspect="1"/>
                    </pic:cNvPicPr>
                  </pic:nvPicPr>
                  <pic:blipFill>
                    <a:blip r:embed="rId54"/>
                    <a:srcRect t="-4033" r="368" b="6137"/>
                    <a:stretch>
                      <a:fillRect/>
                    </a:stretch>
                  </pic:blipFill>
                  <pic:spPr>
                    <a:xfrm>
                      <a:off x="0" y="0"/>
                      <a:ext cx="2439670" cy="1571625"/>
                    </a:xfrm>
                    <a:prstGeom prst="rect">
                      <a:avLst/>
                    </a:prstGeom>
                    <a:noFill/>
                    <a:ln>
                      <a:noFill/>
                    </a:ln>
                  </pic:spPr>
                </pic:pic>
              </a:graphicData>
            </a:graphic>
          </wp:inline>
        </w:drawing>
      </w:r>
      <w:r>
        <w:rPr>
          <w:rFonts w:hint="eastAsia"/>
        </w:rPr>
        <w:t xml:space="preserve"> </w:t>
      </w:r>
      <w:r>
        <w:drawing>
          <wp:inline distT="0" distB="0" distL="114300" distR="114300">
            <wp:extent cx="2568575" cy="1511935"/>
            <wp:effectExtent l="0" t="0" r="6985" b="12065"/>
            <wp:docPr id="6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9"/>
                    <pic:cNvPicPr>
                      <a:picLocks noChangeAspect="1"/>
                    </pic:cNvPicPr>
                  </pic:nvPicPr>
                  <pic:blipFill>
                    <a:blip r:embed="rId55"/>
                    <a:stretch>
                      <a:fillRect/>
                    </a:stretch>
                  </pic:blipFill>
                  <pic:spPr>
                    <a:xfrm>
                      <a:off x="0" y="0"/>
                      <a:ext cx="2568575" cy="1511935"/>
                    </a:xfrm>
                    <a:prstGeom prst="rect">
                      <a:avLst/>
                    </a:prstGeom>
                    <a:noFill/>
                    <a:ln>
                      <a:noFill/>
                    </a:ln>
                  </pic:spPr>
                </pic:pic>
              </a:graphicData>
            </a:graphic>
          </wp:inline>
        </w:drawing>
      </w:r>
    </w:p>
    <w:p>
      <w:pPr>
        <w:adjustRightInd w:val="0"/>
        <w:snapToGrid w:val="0"/>
        <w:spacing w:line="360" w:lineRule="auto"/>
        <w:rPr>
          <w:b/>
          <w:bCs/>
        </w:rPr>
      </w:pPr>
      <w:r>
        <w:rPr>
          <w:rFonts w:hint="eastAsia"/>
        </w:rPr>
        <w:t xml:space="preserve">  </w:t>
      </w:r>
      <w:r>
        <w:drawing>
          <wp:inline distT="0" distB="0" distL="114300" distR="114300">
            <wp:extent cx="2246630" cy="1548130"/>
            <wp:effectExtent l="0" t="0" r="8890" b="6350"/>
            <wp:docPr id="6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0"/>
                    <pic:cNvPicPr>
                      <a:picLocks noChangeAspect="1"/>
                    </pic:cNvPicPr>
                  </pic:nvPicPr>
                  <pic:blipFill>
                    <a:blip r:embed="rId56"/>
                    <a:stretch>
                      <a:fillRect/>
                    </a:stretch>
                  </pic:blipFill>
                  <pic:spPr>
                    <a:xfrm>
                      <a:off x="0" y="0"/>
                      <a:ext cx="2246630" cy="1548130"/>
                    </a:xfrm>
                    <a:prstGeom prst="rect">
                      <a:avLst/>
                    </a:prstGeom>
                    <a:noFill/>
                    <a:ln>
                      <a:noFill/>
                    </a:ln>
                  </pic:spPr>
                </pic:pic>
              </a:graphicData>
            </a:graphic>
          </wp:inline>
        </w:drawing>
      </w:r>
      <w:r>
        <w:rPr>
          <w:rFonts w:hint="eastAsia"/>
        </w:rPr>
        <w:t xml:space="preserve">   </w:t>
      </w:r>
      <w:r>
        <w:drawing>
          <wp:inline distT="0" distB="0" distL="114300" distR="114300">
            <wp:extent cx="2242185" cy="1548130"/>
            <wp:effectExtent l="0" t="0" r="13335" b="6350"/>
            <wp:docPr id="7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1"/>
                    <pic:cNvPicPr>
                      <a:picLocks noChangeAspect="1"/>
                    </pic:cNvPicPr>
                  </pic:nvPicPr>
                  <pic:blipFill>
                    <a:blip r:embed="rId57"/>
                    <a:stretch>
                      <a:fillRect/>
                    </a:stretch>
                  </pic:blipFill>
                  <pic:spPr>
                    <a:xfrm>
                      <a:off x="0" y="0"/>
                      <a:ext cx="2242185" cy="1548130"/>
                    </a:xfrm>
                    <a:prstGeom prst="rect">
                      <a:avLst/>
                    </a:prstGeom>
                    <a:noFill/>
                    <a:ln>
                      <a:noFill/>
                    </a:ln>
                  </pic:spPr>
                </pic:pic>
              </a:graphicData>
            </a:graphic>
          </wp:inline>
        </w:drawing>
      </w:r>
    </w:p>
    <w:p>
      <w:pPr>
        <w:adjustRightInd w:val="0"/>
        <w:snapToGrid w:val="0"/>
        <w:spacing w:line="360" w:lineRule="auto"/>
        <w:jc w:val="center"/>
        <w:rPr>
          <w:rFonts w:ascii="宋体" w:hAnsi="宋体"/>
          <w:sz w:val="24"/>
        </w:rPr>
      </w:pPr>
      <w:r>
        <w:rPr>
          <w:rFonts w:hint="eastAsia"/>
          <w:b/>
          <w:bCs/>
        </w:rPr>
        <w:t>重要区域装修效果图</w:t>
      </w:r>
    </w:p>
    <w:p>
      <w:pPr>
        <w:pStyle w:val="7"/>
        <w:adjustRightInd w:val="0"/>
        <w:snapToGrid w:val="0"/>
        <w:spacing w:line="360" w:lineRule="auto"/>
        <w:rPr>
          <w:color w:val="auto"/>
          <w:sz w:val="30"/>
          <w:szCs w:val="30"/>
        </w:rPr>
      </w:pPr>
      <w:bookmarkStart w:id="207" w:name="_Toc23543"/>
      <w:bookmarkStart w:id="208" w:name="_Toc159596182"/>
      <w:bookmarkStart w:id="209" w:name="_Toc7599"/>
      <w:bookmarkStart w:id="210" w:name="_Toc9543"/>
      <w:r>
        <w:rPr>
          <w:rFonts w:hint="eastAsia"/>
          <w:color w:val="auto"/>
          <w:sz w:val="30"/>
          <w:szCs w:val="30"/>
        </w:rPr>
        <w:t>（五）进度管理要求</w:t>
      </w:r>
      <w:bookmarkEnd w:id="207"/>
      <w:bookmarkEnd w:id="208"/>
      <w:bookmarkEnd w:id="209"/>
      <w:bookmarkEnd w:id="210"/>
    </w:p>
    <w:p>
      <w:pPr>
        <w:adjustRightInd w:val="0"/>
        <w:snapToGrid w:val="0"/>
        <w:spacing w:line="360" w:lineRule="auto"/>
        <w:ind w:firstLine="480" w:firstLineChars="200"/>
        <w:rPr>
          <w:sz w:val="24"/>
        </w:rPr>
      </w:pPr>
      <w:r>
        <w:rPr>
          <w:rFonts w:hint="eastAsia" w:ascii="宋体" w:hAnsi="宋体"/>
          <w:sz w:val="24"/>
        </w:rPr>
        <w:t>1、</w:t>
      </w:r>
      <w:r>
        <w:rPr>
          <w:rFonts w:hint="eastAsia"/>
          <w:sz w:val="24"/>
        </w:rPr>
        <w:t>本项目工期紧迫、任务重，施工工程量大、制约因素多，承包人必须采取合理的施工方案，人员、设备必须及时安排到位，在确保质量及安全的前提下，及时安排各专业工程的开工。</w:t>
      </w:r>
    </w:p>
    <w:p>
      <w:pPr>
        <w:adjustRightInd w:val="0"/>
        <w:snapToGrid w:val="0"/>
        <w:spacing w:line="360" w:lineRule="auto"/>
        <w:ind w:firstLine="480" w:firstLineChars="200"/>
        <w:rPr>
          <w:rFonts w:ascii="宋体" w:hAnsi="宋体"/>
          <w:sz w:val="24"/>
        </w:rPr>
      </w:pPr>
      <w:r>
        <w:rPr>
          <w:rFonts w:hint="eastAsia" w:ascii="宋体" w:hAnsi="宋体"/>
          <w:sz w:val="24"/>
        </w:rPr>
        <w:t>2、发包人根据工程实施情况，有权对本合同工程工期（包括关键节点工期和竣工日期）进行适当调整，承包人必须采取一切有效措施保证合同完工日期不得延误，并不得要求另行增加费用；如不能按经发包人批准或下达的计划完成任务，由承包人按合同的约定承担违约责任。</w:t>
      </w:r>
    </w:p>
    <w:p>
      <w:pPr>
        <w:adjustRightInd w:val="0"/>
        <w:snapToGrid w:val="0"/>
        <w:spacing w:line="360" w:lineRule="auto"/>
        <w:ind w:firstLine="480" w:firstLineChars="200"/>
        <w:rPr>
          <w:rFonts w:ascii="宋体" w:hAnsi="宋体"/>
          <w:sz w:val="24"/>
        </w:rPr>
      </w:pPr>
      <w:r>
        <w:rPr>
          <w:rFonts w:hint="eastAsia" w:ascii="宋体" w:hAnsi="宋体"/>
          <w:sz w:val="24"/>
        </w:rPr>
        <w:t>3、不定期召开指挥长协调会议，及时解决项目实施过程中需要解决的重大事项，如资源投入、组织协调等问题。</w:t>
      </w:r>
    </w:p>
    <w:p>
      <w:pPr>
        <w:adjustRightInd w:val="0"/>
        <w:snapToGrid w:val="0"/>
        <w:spacing w:line="360" w:lineRule="auto"/>
        <w:ind w:firstLine="480" w:firstLineChars="200"/>
        <w:rPr>
          <w:rFonts w:ascii="宋体" w:hAnsi="宋体"/>
          <w:sz w:val="24"/>
        </w:rPr>
      </w:pPr>
      <w:r>
        <w:rPr>
          <w:rFonts w:hint="eastAsia" w:ascii="宋体" w:hAnsi="宋体"/>
          <w:sz w:val="24"/>
        </w:rPr>
        <w:t>4、项目关键节点滞后3天以上，项目指挥长必须驻场协调解决。</w:t>
      </w:r>
    </w:p>
    <w:p>
      <w:pPr>
        <w:adjustRightInd w:val="0"/>
        <w:snapToGrid w:val="0"/>
        <w:spacing w:line="360" w:lineRule="auto"/>
        <w:ind w:firstLine="480" w:firstLineChars="200"/>
        <w:rPr>
          <w:rFonts w:ascii="宋体" w:hAnsi="宋体"/>
          <w:sz w:val="24"/>
        </w:rPr>
      </w:pPr>
      <w:r>
        <w:rPr>
          <w:rFonts w:hint="eastAsia" w:ascii="宋体" w:hAnsi="宋体"/>
          <w:sz w:val="24"/>
        </w:rPr>
        <w:t>5、承包人需运用无人机，每日在同一地点、同一高度、同一方向拍摄项目进度的照片或视频，并制作项目建设旅程视频。</w:t>
      </w:r>
    </w:p>
    <w:p>
      <w:pPr>
        <w:adjustRightInd w:val="0"/>
        <w:snapToGrid w:val="0"/>
        <w:spacing w:line="360" w:lineRule="auto"/>
        <w:ind w:firstLine="480" w:firstLineChars="200"/>
        <w:rPr>
          <w:rFonts w:ascii="宋体" w:hAnsi="宋体"/>
          <w:sz w:val="24"/>
        </w:rPr>
      </w:pPr>
      <w:r>
        <w:rPr>
          <w:rFonts w:hint="eastAsia" w:ascii="宋体" w:hAnsi="宋体"/>
          <w:sz w:val="24"/>
        </w:rPr>
        <w:t>6、</w:t>
      </w:r>
      <w:r>
        <w:rPr>
          <w:rFonts w:ascii="宋体" w:hAnsi="宋体"/>
          <w:sz w:val="24"/>
        </w:rPr>
        <w:t>承包人须</w:t>
      </w:r>
      <w:r>
        <w:rPr>
          <w:rFonts w:hint="eastAsia" w:ascii="宋体" w:hAnsi="宋体"/>
          <w:sz w:val="24"/>
        </w:rPr>
        <w:t>每周</w:t>
      </w:r>
      <w:r>
        <w:rPr>
          <w:rFonts w:ascii="宋体" w:hAnsi="宋体"/>
          <w:sz w:val="24"/>
        </w:rPr>
        <w:t>五</w:t>
      </w:r>
      <w:r>
        <w:rPr>
          <w:rFonts w:hint="eastAsia" w:ascii="宋体" w:hAnsi="宋体"/>
          <w:sz w:val="24"/>
        </w:rPr>
        <w:t>下午</w:t>
      </w:r>
      <w:r>
        <w:rPr>
          <w:rFonts w:ascii="宋体" w:hAnsi="宋体"/>
          <w:sz w:val="24"/>
        </w:rPr>
        <w:t>三点向</w:t>
      </w:r>
      <w:r>
        <w:rPr>
          <w:rFonts w:ascii="宋体" w:hAnsi="宋体" w:cs="宋体"/>
        </w:rPr>
        <w:t>发包人</w:t>
      </w:r>
      <w:r>
        <w:rPr>
          <w:rFonts w:ascii="宋体" w:hAnsi="宋体"/>
          <w:sz w:val="24"/>
        </w:rPr>
        <w:t>递交施工周报，</w:t>
      </w:r>
      <w:r>
        <w:rPr>
          <w:rFonts w:hint="eastAsia" w:ascii="宋体" w:hAnsi="宋体"/>
          <w:sz w:val="24"/>
        </w:rPr>
        <w:t>内容</w:t>
      </w:r>
      <w:r>
        <w:rPr>
          <w:rFonts w:ascii="宋体" w:hAnsi="宋体"/>
          <w:sz w:val="24"/>
        </w:rPr>
        <w:t>包括本周重要事项、上周计划完成情况、</w:t>
      </w:r>
      <w:r>
        <w:rPr>
          <w:rFonts w:hint="eastAsia" w:ascii="宋体" w:hAnsi="宋体"/>
          <w:sz w:val="24"/>
        </w:rPr>
        <w:t>未</w:t>
      </w:r>
      <w:r>
        <w:rPr>
          <w:rFonts w:ascii="宋体" w:hAnsi="宋体"/>
          <w:sz w:val="24"/>
        </w:rPr>
        <w:t>按</w:t>
      </w:r>
      <w:r>
        <w:rPr>
          <w:rFonts w:hint="eastAsia" w:ascii="宋体" w:hAnsi="宋体"/>
          <w:sz w:val="24"/>
        </w:rPr>
        <w:t>上周</w:t>
      </w:r>
      <w:r>
        <w:rPr>
          <w:rFonts w:ascii="宋体" w:hAnsi="宋体"/>
          <w:sz w:val="24"/>
        </w:rPr>
        <w:t>计划</w:t>
      </w:r>
      <w:r>
        <w:rPr>
          <w:rFonts w:hint="eastAsia" w:ascii="宋体" w:hAnsi="宋体"/>
          <w:sz w:val="24"/>
        </w:rPr>
        <w:t>完成</w:t>
      </w:r>
      <w:r>
        <w:rPr>
          <w:rFonts w:ascii="宋体" w:hAnsi="宋体"/>
          <w:sz w:val="24"/>
        </w:rPr>
        <w:t>的原因分析以及拟采取的赶工措施</w:t>
      </w:r>
      <w:r>
        <w:rPr>
          <w:rFonts w:hint="eastAsia" w:ascii="宋体" w:hAnsi="宋体"/>
          <w:sz w:val="24"/>
        </w:rPr>
        <w:t>、下周计划</w:t>
      </w:r>
      <w:r>
        <w:rPr>
          <w:rFonts w:ascii="宋体" w:hAnsi="宋体"/>
          <w:sz w:val="24"/>
        </w:rPr>
        <w:t>、投入的机械设备、</w:t>
      </w:r>
      <w:r>
        <w:rPr>
          <w:rFonts w:hint="eastAsia" w:ascii="宋体" w:hAnsi="宋体"/>
          <w:sz w:val="24"/>
        </w:rPr>
        <w:t>拟</w:t>
      </w:r>
      <w:r>
        <w:rPr>
          <w:rFonts w:ascii="宋体" w:hAnsi="宋体"/>
          <w:sz w:val="24"/>
        </w:rPr>
        <w:t>进场的材料、需要协调解决的事项及建议等。</w:t>
      </w:r>
    </w:p>
    <w:p>
      <w:pPr>
        <w:adjustRightInd w:val="0"/>
        <w:snapToGrid w:val="0"/>
        <w:spacing w:line="360" w:lineRule="auto"/>
        <w:ind w:firstLine="480" w:firstLineChars="200"/>
        <w:rPr>
          <w:rFonts w:ascii="宋体" w:hAnsi="宋体"/>
          <w:sz w:val="24"/>
        </w:rPr>
      </w:pPr>
      <w:r>
        <w:rPr>
          <w:rFonts w:hint="eastAsia" w:ascii="宋体" w:hAnsi="宋体"/>
          <w:sz w:val="24"/>
        </w:rPr>
        <w:t>7、承包人须</w:t>
      </w:r>
      <w:r>
        <w:rPr>
          <w:rFonts w:ascii="宋体" w:hAnsi="宋体"/>
          <w:sz w:val="24"/>
        </w:rPr>
        <w:t>每月</w:t>
      </w:r>
      <w:r>
        <w:rPr>
          <w:rFonts w:hint="eastAsia" w:ascii="宋体" w:hAnsi="宋体"/>
          <w:sz w:val="24"/>
        </w:rPr>
        <w:t>25日下午</w:t>
      </w:r>
      <w:r>
        <w:rPr>
          <w:rFonts w:ascii="宋体" w:hAnsi="宋体"/>
          <w:sz w:val="24"/>
        </w:rPr>
        <w:t>三点</w:t>
      </w:r>
      <w:r>
        <w:rPr>
          <w:rFonts w:hint="eastAsia" w:ascii="宋体" w:hAnsi="宋体"/>
          <w:sz w:val="24"/>
        </w:rPr>
        <w:t>向</w:t>
      </w:r>
      <w:r>
        <w:rPr>
          <w:rFonts w:ascii="宋体" w:hAnsi="宋体" w:cs="宋体"/>
        </w:rPr>
        <w:t>发包人</w:t>
      </w:r>
      <w:r>
        <w:rPr>
          <w:rFonts w:ascii="宋体" w:hAnsi="宋体"/>
          <w:sz w:val="24"/>
        </w:rPr>
        <w:t>递交</w:t>
      </w:r>
      <w:r>
        <w:rPr>
          <w:rFonts w:hint="eastAsia" w:ascii="宋体" w:hAnsi="宋体"/>
          <w:sz w:val="24"/>
        </w:rPr>
        <w:t>月度计划执行总结报告，内容包括上月建设</w:t>
      </w:r>
      <w:r>
        <w:rPr>
          <w:rFonts w:ascii="宋体" w:hAnsi="宋体"/>
          <w:sz w:val="24"/>
        </w:rPr>
        <w:t>计划的</w:t>
      </w:r>
      <w:r>
        <w:rPr>
          <w:rFonts w:hint="eastAsia" w:ascii="宋体" w:hAnsi="宋体"/>
          <w:sz w:val="24"/>
        </w:rPr>
        <w:t>落实</w:t>
      </w:r>
      <w:r>
        <w:rPr>
          <w:rFonts w:ascii="宋体" w:hAnsi="宋体"/>
          <w:sz w:val="24"/>
        </w:rPr>
        <w:t>情况</w:t>
      </w:r>
      <w:r>
        <w:rPr>
          <w:rFonts w:hint="eastAsia" w:ascii="宋体" w:hAnsi="宋体"/>
          <w:sz w:val="24"/>
        </w:rPr>
        <w:t>（数据化）</w:t>
      </w:r>
      <w:r>
        <w:rPr>
          <w:rFonts w:ascii="宋体" w:hAnsi="宋体"/>
          <w:sz w:val="24"/>
        </w:rPr>
        <w:t>，未完成</w:t>
      </w:r>
      <w:r>
        <w:rPr>
          <w:rFonts w:hint="eastAsia" w:ascii="宋体" w:hAnsi="宋体"/>
          <w:sz w:val="24"/>
        </w:rPr>
        <w:t>工序</w:t>
      </w:r>
      <w:r>
        <w:rPr>
          <w:rFonts w:ascii="宋体" w:hAnsi="宋体"/>
          <w:sz w:val="24"/>
        </w:rPr>
        <w:t>的</w:t>
      </w:r>
      <w:r>
        <w:rPr>
          <w:rFonts w:hint="eastAsia" w:ascii="宋体" w:hAnsi="宋体"/>
          <w:sz w:val="24"/>
        </w:rPr>
        <w:t>原因</w:t>
      </w:r>
      <w:r>
        <w:rPr>
          <w:rFonts w:ascii="宋体" w:hAnsi="宋体"/>
          <w:sz w:val="24"/>
        </w:rPr>
        <w:t>分析，本月拟采取</w:t>
      </w:r>
      <w:r>
        <w:rPr>
          <w:rFonts w:hint="eastAsia" w:ascii="宋体" w:hAnsi="宋体"/>
          <w:sz w:val="24"/>
        </w:rPr>
        <w:t>增加</w:t>
      </w:r>
      <w:r>
        <w:rPr>
          <w:rFonts w:ascii="宋体" w:hAnsi="宋体"/>
          <w:sz w:val="24"/>
        </w:rPr>
        <w:t>投入的机械设备、</w:t>
      </w:r>
      <w:r>
        <w:rPr>
          <w:rFonts w:hint="eastAsia" w:ascii="宋体" w:hAnsi="宋体"/>
          <w:sz w:val="24"/>
        </w:rPr>
        <w:t>人员数量的</w:t>
      </w:r>
      <w:r>
        <w:rPr>
          <w:rFonts w:ascii="宋体" w:hAnsi="宋体"/>
          <w:sz w:val="24"/>
        </w:rPr>
        <w:t>纠偏措施，</w:t>
      </w:r>
      <w:r>
        <w:rPr>
          <w:rFonts w:hint="eastAsia" w:ascii="宋体" w:hAnsi="宋体"/>
          <w:sz w:val="24"/>
        </w:rPr>
        <w:t>核对</w:t>
      </w:r>
      <w:r>
        <w:rPr>
          <w:rFonts w:ascii="宋体" w:hAnsi="宋体"/>
          <w:sz w:val="24"/>
        </w:rPr>
        <w:t>总控计划的执行情况</w:t>
      </w:r>
      <w:r>
        <w:rPr>
          <w:rFonts w:hint="eastAsia" w:ascii="宋体" w:hAnsi="宋体"/>
          <w:sz w:val="24"/>
        </w:rPr>
        <w:t>（</w:t>
      </w:r>
      <w:r>
        <w:rPr>
          <w:rFonts w:ascii="宋体" w:hAnsi="宋体"/>
          <w:sz w:val="24"/>
        </w:rPr>
        <w:t>数据化</w:t>
      </w:r>
      <w:r>
        <w:rPr>
          <w:rFonts w:hint="eastAsia" w:ascii="宋体" w:hAnsi="宋体"/>
          <w:sz w:val="24"/>
        </w:rPr>
        <w:t>），下个月施工进度计划。</w:t>
      </w:r>
    </w:p>
    <w:p>
      <w:pPr>
        <w:adjustRightInd w:val="0"/>
        <w:snapToGrid w:val="0"/>
        <w:spacing w:line="360" w:lineRule="auto"/>
        <w:ind w:firstLine="480" w:firstLineChars="200"/>
        <w:rPr>
          <w:rFonts w:ascii="宋体" w:hAnsi="宋体"/>
          <w:sz w:val="24"/>
        </w:rPr>
      </w:pPr>
      <w:r>
        <w:rPr>
          <w:rFonts w:hint="eastAsia" w:ascii="宋体" w:hAnsi="宋体"/>
          <w:sz w:val="24"/>
        </w:rPr>
        <w:t>8、承包人须</w:t>
      </w:r>
      <w:r>
        <w:rPr>
          <w:rFonts w:ascii="宋体" w:hAnsi="宋体"/>
          <w:sz w:val="24"/>
        </w:rPr>
        <w:t>每月</w:t>
      </w:r>
      <w:r>
        <w:rPr>
          <w:rFonts w:hint="eastAsia" w:ascii="宋体" w:hAnsi="宋体"/>
          <w:sz w:val="24"/>
        </w:rPr>
        <w:t>25日下午</w:t>
      </w:r>
      <w:r>
        <w:rPr>
          <w:rFonts w:ascii="宋体" w:hAnsi="宋体"/>
          <w:sz w:val="24"/>
        </w:rPr>
        <w:t>三点</w:t>
      </w:r>
      <w:r>
        <w:rPr>
          <w:rFonts w:hint="eastAsia" w:ascii="宋体" w:hAnsi="宋体"/>
          <w:sz w:val="24"/>
        </w:rPr>
        <w:t>向</w:t>
      </w:r>
      <w:r>
        <w:rPr>
          <w:rFonts w:ascii="宋体" w:hAnsi="宋体" w:cs="宋体"/>
        </w:rPr>
        <w:t>发包人</w:t>
      </w:r>
      <w:r>
        <w:rPr>
          <w:rFonts w:ascii="宋体" w:hAnsi="宋体"/>
          <w:sz w:val="24"/>
        </w:rPr>
        <w:t>递交施工月报，</w:t>
      </w:r>
      <w:r>
        <w:rPr>
          <w:rFonts w:hint="eastAsia" w:ascii="宋体" w:hAnsi="宋体"/>
          <w:sz w:val="24"/>
        </w:rPr>
        <w:t>内容包括</w:t>
      </w:r>
      <w:r>
        <w:rPr>
          <w:rFonts w:ascii="宋体" w:hAnsi="宋体"/>
          <w:sz w:val="24"/>
        </w:rPr>
        <w:t>工程进度数据化、下月</w:t>
      </w:r>
      <w:r>
        <w:rPr>
          <w:rFonts w:hint="eastAsia" w:ascii="宋体" w:hAnsi="宋体"/>
          <w:sz w:val="24"/>
        </w:rPr>
        <w:t>施工</w:t>
      </w:r>
      <w:r>
        <w:rPr>
          <w:rFonts w:ascii="宋体" w:hAnsi="宋体"/>
          <w:sz w:val="24"/>
        </w:rPr>
        <w:t>计划、工程质量及质量管理工作、</w:t>
      </w:r>
      <w:r>
        <w:rPr>
          <w:rFonts w:hint="eastAsia" w:ascii="宋体" w:hAnsi="宋体"/>
          <w:sz w:val="24"/>
        </w:rPr>
        <w:t>投入主要</w:t>
      </w:r>
      <w:r>
        <w:rPr>
          <w:rFonts w:ascii="宋体" w:hAnsi="宋体"/>
          <w:sz w:val="24"/>
        </w:rPr>
        <w:t>施工机械设备</w:t>
      </w:r>
      <w:r>
        <w:rPr>
          <w:rFonts w:hint="eastAsia" w:ascii="宋体" w:hAnsi="宋体"/>
          <w:sz w:val="24"/>
        </w:rPr>
        <w:t>数量</w:t>
      </w:r>
      <w:r>
        <w:rPr>
          <w:rFonts w:ascii="宋体" w:hAnsi="宋体"/>
          <w:sz w:val="24"/>
        </w:rPr>
        <w:t>、</w:t>
      </w:r>
      <w:r>
        <w:rPr>
          <w:rFonts w:hint="eastAsia" w:ascii="宋体" w:hAnsi="宋体"/>
          <w:sz w:val="24"/>
        </w:rPr>
        <w:t>主要</w:t>
      </w:r>
      <w:r>
        <w:rPr>
          <w:rFonts w:ascii="宋体" w:hAnsi="宋体"/>
          <w:sz w:val="24"/>
        </w:rPr>
        <w:t>材料</w:t>
      </w:r>
      <w:r>
        <w:rPr>
          <w:rFonts w:hint="eastAsia" w:ascii="宋体" w:hAnsi="宋体"/>
          <w:sz w:val="24"/>
        </w:rPr>
        <w:t>使用数量</w:t>
      </w:r>
      <w:r>
        <w:rPr>
          <w:rFonts w:ascii="宋体" w:hAnsi="宋体"/>
          <w:sz w:val="24"/>
        </w:rPr>
        <w:t>、计量</w:t>
      </w:r>
      <w:r>
        <w:rPr>
          <w:rFonts w:hint="eastAsia" w:ascii="宋体" w:hAnsi="宋体"/>
          <w:sz w:val="24"/>
        </w:rPr>
        <w:t>支付情况及本月</w:t>
      </w:r>
      <w:r>
        <w:rPr>
          <w:rFonts w:ascii="宋体" w:hAnsi="宋体"/>
          <w:sz w:val="24"/>
        </w:rPr>
        <w:t>施工产值、工程变更、施工安全生产</w:t>
      </w:r>
      <w:r>
        <w:rPr>
          <w:rFonts w:hint="eastAsia" w:ascii="宋体" w:hAnsi="宋体"/>
          <w:sz w:val="24"/>
        </w:rPr>
        <w:t>情况</w:t>
      </w:r>
      <w:r>
        <w:rPr>
          <w:rFonts w:ascii="宋体" w:hAnsi="宋体"/>
          <w:sz w:val="24"/>
        </w:rPr>
        <w:t>、文明施工情况、目前存在</w:t>
      </w:r>
      <w:r>
        <w:rPr>
          <w:rFonts w:hint="eastAsia" w:ascii="宋体" w:hAnsi="宋体"/>
          <w:sz w:val="24"/>
        </w:rPr>
        <w:t>的</w:t>
      </w:r>
      <w:r>
        <w:rPr>
          <w:rFonts w:ascii="宋体" w:hAnsi="宋体"/>
          <w:sz w:val="24"/>
        </w:rPr>
        <w:t>问题</w:t>
      </w:r>
      <w:r>
        <w:rPr>
          <w:rFonts w:hint="eastAsia" w:ascii="宋体" w:hAnsi="宋体"/>
          <w:sz w:val="24"/>
        </w:rPr>
        <w:t>及其</w:t>
      </w:r>
      <w:r>
        <w:rPr>
          <w:rFonts w:ascii="宋体" w:hAnsi="宋体"/>
          <w:sz w:val="24"/>
        </w:rPr>
        <w:t>解决建议、本月大事记、现场施工照片等</w:t>
      </w:r>
      <w:r>
        <w:rPr>
          <w:rFonts w:hint="eastAsia" w:ascii="宋体" w:hAnsi="宋体"/>
          <w:sz w:val="24"/>
        </w:rPr>
        <w:t>方面</w:t>
      </w:r>
      <w:r>
        <w:rPr>
          <w:rFonts w:ascii="宋体" w:hAnsi="宋体"/>
          <w:sz w:val="24"/>
        </w:rPr>
        <w:t>内容</w:t>
      </w:r>
      <w:r>
        <w:rPr>
          <w:rFonts w:hint="eastAsia" w:ascii="宋体" w:hAnsi="宋体"/>
          <w:sz w:val="24"/>
        </w:rPr>
        <w:t>。同时，发包人有权不定期要求承包人提交报告资料等，承包人需无条件按发包人要求提供。</w:t>
      </w:r>
    </w:p>
    <w:p>
      <w:pPr>
        <w:pStyle w:val="7"/>
        <w:adjustRightInd w:val="0"/>
        <w:snapToGrid w:val="0"/>
        <w:spacing w:line="360" w:lineRule="auto"/>
        <w:rPr>
          <w:color w:val="auto"/>
          <w:sz w:val="30"/>
          <w:szCs w:val="30"/>
        </w:rPr>
      </w:pPr>
      <w:bookmarkStart w:id="211" w:name="_Toc16513"/>
      <w:bookmarkStart w:id="212" w:name="_Toc1893"/>
      <w:bookmarkStart w:id="213" w:name="_Toc14371"/>
      <w:bookmarkStart w:id="214" w:name="_Toc55581773"/>
      <w:bookmarkStart w:id="215" w:name="_Toc19191"/>
      <w:bookmarkStart w:id="216" w:name="_Toc9292"/>
      <w:bookmarkStart w:id="217" w:name="_Toc159596183"/>
      <w:bookmarkStart w:id="218" w:name="_Toc56444423"/>
      <w:bookmarkStart w:id="219" w:name="_Toc26722"/>
      <w:r>
        <w:rPr>
          <w:rFonts w:hint="eastAsia"/>
          <w:color w:val="auto"/>
          <w:sz w:val="30"/>
          <w:szCs w:val="30"/>
        </w:rPr>
        <w:t>（六）质量</w:t>
      </w:r>
      <w:r>
        <w:rPr>
          <w:color w:val="auto"/>
          <w:sz w:val="30"/>
          <w:szCs w:val="30"/>
        </w:rPr>
        <w:t>管理</w:t>
      </w:r>
      <w:r>
        <w:rPr>
          <w:rFonts w:hint="eastAsia"/>
          <w:color w:val="auto"/>
          <w:sz w:val="30"/>
          <w:szCs w:val="30"/>
        </w:rPr>
        <w:t>要求</w:t>
      </w:r>
      <w:bookmarkEnd w:id="211"/>
      <w:bookmarkEnd w:id="212"/>
      <w:bookmarkEnd w:id="213"/>
      <w:bookmarkEnd w:id="214"/>
      <w:bookmarkEnd w:id="215"/>
      <w:bookmarkEnd w:id="216"/>
      <w:bookmarkEnd w:id="217"/>
      <w:bookmarkEnd w:id="218"/>
      <w:bookmarkEnd w:id="219"/>
    </w:p>
    <w:p>
      <w:pPr>
        <w:numPr>
          <w:ilvl w:val="0"/>
          <w:numId w:val="4"/>
        </w:numPr>
        <w:adjustRightInd w:val="0"/>
        <w:snapToGrid w:val="0"/>
        <w:spacing w:line="360" w:lineRule="auto"/>
        <w:ind w:firstLine="480" w:firstLineChars="200"/>
        <w:rPr>
          <w:rFonts w:ascii="宋体" w:hAnsi="宋体"/>
          <w:sz w:val="24"/>
          <w:szCs w:val="24"/>
        </w:rPr>
      </w:pPr>
      <w:r>
        <w:rPr>
          <w:rFonts w:hint="eastAsia" w:ascii="宋体" w:hAnsi="宋体"/>
          <w:sz w:val="24"/>
          <w:szCs w:val="24"/>
        </w:rPr>
        <w:t>本项目质量标准及质量目标按发包文件及合同约定执行。</w:t>
      </w:r>
    </w:p>
    <w:p>
      <w:pPr>
        <w:numPr>
          <w:ilvl w:val="0"/>
          <w:numId w:val="4"/>
        </w:numPr>
        <w:adjustRightInd w:val="0"/>
        <w:snapToGrid w:val="0"/>
        <w:spacing w:line="360" w:lineRule="auto"/>
        <w:ind w:firstLine="480" w:firstLineChars="200"/>
        <w:rPr>
          <w:rFonts w:ascii="宋体" w:hAnsi="宋体"/>
          <w:sz w:val="24"/>
          <w:szCs w:val="24"/>
        </w:rPr>
      </w:pPr>
      <w:r>
        <w:rPr>
          <w:rFonts w:hint="eastAsia" w:ascii="宋体" w:hAnsi="宋体"/>
          <w:sz w:val="24"/>
          <w:szCs w:val="24"/>
        </w:rPr>
        <w:t>承包人使用新技术、新材料、新工艺以及目前暂无国家规范标准的施工技术进行施工时，承包人须针对编制专项施工方案并组织专家组论证审核，经审批通过后方可实施。如因釆用新工艺而导致需要釆用的新材料、新设备的，承包人原则上须在项目档次定位的基础上向发包人推荐三家以上可供货的国内或国外厂商名称、以往业绩、产品质量标准、价格资料及样板等，所推荐的三家单位的材料、设备应该在价格水平上处于同一档次。</w:t>
      </w:r>
    </w:p>
    <w:p>
      <w:pPr>
        <w:numPr>
          <w:ilvl w:val="0"/>
          <w:numId w:val="4"/>
        </w:numPr>
        <w:adjustRightInd w:val="0"/>
        <w:snapToGrid w:val="0"/>
        <w:spacing w:line="360" w:lineRule="auto"/>
        <w:ind w:firstLine="480" w:firstLineChars="200"/>
        <w:rPr>
          <w:rFonts w:ascii="宋体" w:hAnsi="宋体"/>
          <w:sz w:val="24"/>
        </w:rPr>
      </w:pPr>
      <w:r>
        <w:rPr>
          <w:rFonts w:hint="eastAsia" w:ascii="宋体" w:hAnsi="宋体"/>
          <w:sz w:val="24"/>
        </w:rPr>
        <w:t>承包人在进场10天内完成施工组织设计、现阶段各质量安全文明施工专项施工方案、工程总体样板引路施工方案以及材料送检方案和计划报监理人、发包人审核，</w:t>
      </w:r>
      <w:r>
        <w:rPr>
          <w:rFonts w:hint="eastAsia" w:ascii="宋体" w:hAnsi="宋体"/>
          <w:sz w:val="24"/>
          <w:szCs w:val="24"/>
        </w:rPr>
        <w:t>承包人必须严格按经审查批准的施工方案和设计图纸施工，不得擅自修改施工方案及设计图纸。</w:t>
      </w:r>
    </w:p>
    <w:p>
      <w:pPr>
        <w:numPr>
          <w:ilvl w:val="0"/>
          <w:numId w:val="4"/>
        </w:numPr>
        <w:adjustRightInd w:val="0"/>
        <w:snapToGrid w:val="0"/>
        <w:spacing w:line="360" w:lineRule="auto"/>
        <w:ind w:firstLine="480" w:firstLineChars="200"/>
        <w:rPr>
          <w:rFonts w:ascii="宋体" w:hAnsi="宋体"/>
          <w:sz w:val="24"/>
          <w:szCs w:val="24"/>
        </w:rPr>
      </w:pPr>
      <w:r>
        <w:rPr>
          <w:rFonts w:hint="eastAsia" w:ascii="宋体" w:hAnsi="宋体"/>
          <w:sz w:val="24"/>
          <w:szCs w:val="24"/>
        </w:rPr>
        <w:t>要求施工单位严格按</w:t>
      </w:r>
      <w:r>
        <w:rPr>
          <w:rFonts w:hint="eastAsia"/>
          <w:sz w:val="24"/>
          <w:szCs w:val="24"/>
        </w:rPr>
        <w:t>广州市重点公共建设项目管理中心有关规定执行</w:t>
      </w:r>
      <w:r>
        <w:rPr>
          <w:rFonts w:hint="eastAsia" w:ascii="宋体" w:hAnsi="宋体"/>
          <w:sz w:val="24"/>
          <w:szCs w:val="24"/>
        </w:rPr>
        <w:t>，建立工序质量样板，在工序样板引路的基础上，实施分部分项工程样板引路制度，</w:t>
      </w:r>
      <w:r>
        <w:rPr>
          <w:rFonts w:ascii="宋体" w:hAnsi="宋体"/>
          <w:sz w:val="24"/>
          <w:szCs w:val="24"/>
        </w:rPr>
        <w:t>经发包人、</w:t>
      </w:r>
      <w:r>
        <w:rPr>
          <w:rFonts w:hint="eastAsia" w:ascii="宋体" w:hAnsi="宋体"/>
          <w:sz w:val="24"/>
          <w:szCs w:val="24"/>
        </w:rPr>
        <w:t>设计</w:t>
      </w:r>
      <w:r>
        <w:rPr>
          <w:rFonts w:ascii="宋体" w:hAnsi="宋体"/>
          <w:sz w:val="24"/>
          <w:szCs w:val="24"/>
        </w:rPr>
        <w:t>单位、监理人现场验收</w:t>
      </w:r>
      <w:r>
        <w:rPr>
          <w:rFonts w:hint="eastAsia" w:ascii="宋体" w:hAnsi="宋体"/>
          <w:sz w:val="24"/>
          <w:szCs w:val="24"/>
        </w:rPr>
        <w:t>样板</w:t>
      </w:r>
      <w:r>
        <w:rPr>
          <w:rFonts w:ascii="宋体" w:hAnsi="宋体"/>
          <w:sz w:val="24"/>
          <w:szCs w:val="24"/>
        </w:rPr>
        <w:t>合格后方可进行大面积施工</w:t>
      </w:r>
      <w:r>
        <w:rPr>
          <w:rFonts w:hint="eastAsia" w:ascii="宋体" w:hAnsi="宋体"/>
          <w:sz w:val="24"/>
          <w:szCs w:val="24"/>
        </w:rPr>
        <w:t>。否则，承包人、监理人有权下达工程暂停令，由此导致的工期延误不得顺延，由承包人自行采用赶工措施消化并承担赶工费用。样板展示区相关</w:t>
      </w:r>
      <w:r>
        <w:rPr>
          <w:rFonts w:ascii="宋体" w:hAnsi="宋体"/>
          <w:sz w:val="24"/>
          <w:szCs w:val="24"/>
        </w:rPr>
        <w:t>费用综合考虑到投标报价中，发包人不再另行支付。</w:t>
      </w:r>
    </w:p>
    <w:p>
      <w:pPr>
        <w:numPr>
          <w:ilvl w:val="0"/>
          <w:numId w:val="4"/>
        </w:numPr>
        <w:adjustRightInd w:val="0"/>
        <w:snapToGrid w:val="0"/>
        <w:spacing w:line="360" w:lineRule="auto"/>
        <w:ind w:firstLine="480" w:firstLineChars="200"/>
        <w:rPr>
          <w:rFonts w:ascii="宋体" w:hAnsi="宋体"/>
          <w:sz w:val="24"/>
          <w:szCs w:val="24"/>
        </w:rPr>
      </w:pPr>
      <w:r>
        <w:rPr>
          <w:rFonts w:hint="eastAsia" w:ascii="宋体" w:hAnsi="宋体"/>
          <w:sz w:val="24"/>
        </w:rPr>
        <w:t>承包人必须建立和健全管理体系，设立质量安全管理专职机构，配备满足规定要求的专职管理人员，特别是质量总监、安全总监必须由专人担任，不得兼职。</w:t>
      </w:r>
    </w:p>
    <w:p>
      <w:pPr>
        <w:numPr>
          <w:ilvl w:val="0"/>
          <w:numId w:val="4"/>
        </w:numPr>
        <w:adjustRightInd w:val="0"/>
        <w:snapToGrid w:val="0"/>
        <w:spacing w:line="360" w:lineRule="auto"/>
        <w:ind w:firstLine="480" w:firstLineChars="200"/>
        <w:rPr>
          <w:rFonts w:ascii="宋体" w:hAnsi="宋体"/>
          <w:sz w:val="24"/>
          <w:szCs w:val="24"/>
        </w:rPr>
      </w:pPr>
      <w:r>
        <w:rPr>
          <w:rFonts w:hint="eastAsia" w:ascii="宋体" w:hAnsi="宋体"/>
          <w:sz w:val="24"/>
        </w:rPr>
        <w:t>要求承包人无条件执行发包人发出的包含但不限于：分包单位资质报审制度、材料设备看样定板制度、预付款进度款审批管理制度、</w:t>
      </w:r>
      <w:r>
        <w:rPr>
          <w:rFonts w:ascii="宋体" w:hAnsi="宋体"/>
          <w:sz w:val="24"/>
        </w:rPr>
        <w:t>设计变更管理办法</w:t>
      </w:r>
      <w:r>
        <w:rPr>
          <w:rFonts w:hint="eastAsia" w:ascii="宋体" w:hAnsi="宋体"/>
          <w:sz w:val="24"/>
        </w:rPr>
        <w:t>、现场签证管理办法、安全及文明施工管理奖惩办法等。</w:t>
      </w:r>
    </w:p>
    <w:p>
      <w:pPr>
        <w:numPr>
          <w:ilvl w:val="0"/>
          <w:numId w:val="4"/>
        </w:numPr>
        <w:adjustRightInd w:val="0"/>
        <w:snapToGrid w:val="0"/>
        <w:spacing w:line="360" w:lineRule="auto"/>
        <w:ind w:firstLine="480" w:firstLineChars="200"/>
        <w:rPr>
          <w:rFonts w:ascii="宋体" w:hAnsi="宋体"/>
          <w:sz w:val="24"/>
          <w:szCs w:val="24"/>
        </w:rPr>
      </w:pPr>
      <w:r>
        <w:rPr>
          <w:rFonts w:hint="eastAsia" w:ascii="宋体" w:hAnsi="宋体"/>
          <w:sz w:val="24"/>
          <w:szCs w:val="24"/>
        </w:rPr>
        <w:t>承包人及其选择的专业承包商所采用的所有材料应符合设计技术参数要求；主要材料应按</w:t>
      </w:r>
      <w:r>
        <w:rPr>
          <w:rFonts w:hint="eastAsia"/>
          <w:sz w:val="24"/>
          <w:szCs w:val="24"/>
        </w:rPr>
        <w:t>广州市重点公共建设项目管理中心有关规定，</w:t>
      </w:r>
      <w:r>
        <w:rPr>
          <w:rFonts w:hint="eastAsia" w:ascii="宋体" w:hAnsi="宋体"/>
          <w:sz w:val="24"/>
          <w:szCs w:val="24"/>
        </w:rPr>
        <w:t>报发包人、监理人审批。凡材料设备质量不符合要求，承包人必须停工和返工，返工费用由承包人承担，工期不予顺延。</w:t>
      </w:r>
    </w:p>
    <w:p>
      <w:pPr>
        <w:numPr>
          <w:ilvl w:val="0"/>
          <w:numId w:val="4"/>
        </w:numPr>
        <w:adjustRightInd w:val="0"/>
        <w:snapToGrid w:val="0"/>
        <w:spacing w:line="360" w:lineRule="auto"/>
        <w:ind w:firstLine="480" w:firstLineChars="200"/>
        <w:rPr>
          <w:rFonts w:ascii="宋体" w:hAnsi="宋体"/>
          <w:sz w:val="24"/>
          <w:szCs w:val="24"/>
        </w:rPr>
      </w:pPr>
      <w:r>
        <w:rPr>
          <w:rFonts w:hint="eastAsia" w:ascii="宋体" w:hAnsi="宋体"/>
          <w:sz w:val="24"/>
        </w:rPr>
        <w:t>要求承包人组织专家对于本项目超过一定规模的危险性较大的分部分项工程，具有技术难度的分部分项工程编制专项施工方案并经论证后方可实施。</w:t>
      </w:r>
    </w:p>
    <w:p>
      <w:pPr>
        <w:numPr>
          <w:ilvl w:val="0"/>
          <w:numId w:val="4"/>
        </w:numPr>
        <w:adjustRightInd w:val="0"/>
        <w:snapToGrid w:val="0"/>
        <w:spacing w:line="360" w:lineRule="auto"/>
        <w:ind w:firstLine="480" w:firstLineChars="200"/>
        <w:rPr>
          <w:rFonts w:ascii="宋体" w:hAnsi="宋体"/>
          <w:sz w:val="24"/>
          <w:szCs w:val="24"/>
        </w:rPr>
      </w:pPr>
      <w:r>
        <w:rPr>
          <w:rFonts w:hint="eastAsia" w:ascii="宋体" w:hAnsi="宋体"/>
          <w:sz w:val="24"/>
        </w:rPr>
        <w:t>施工样板先行须针对大面积施工的工作面和工序先做样板。承包人必须严格按经监理人批准的专项工程施工方案及经参建各方现场确认的施工样板进行施工，否则监理人可以直接下达停工令，造成的工期延误由承包人自行负责。</w:t>
      </w:r>
    </w:p>
    <w:p>
      <w:pPr>
        <w:numPr>
          <w:ilvl w:val="0"/>
          <w:numId w:val="4"/>
        </w:numPr>
        <w:adjustRightInd w:val="0"/>
        <w:snapToGrid w:val="0"/>
        <w:spacing w:line="360" w:lineRule="auto"/>
        <w:ind w:firstLine="480" w:firstLineChars="200"/>
        <w:rPr>
          <w:rFonts w:ascii="宋体" w:hAnsi="宋体"/>
          <w:sz w:val="24"/>
          <w:szCs w:val="24"/>
        </w:rPr>
      </w:pPr>
      <w:r>
        <w:rPr>
          <w:rFonts w:hint="eastAsia" w:ascii="宋体" w:hAnsi="宋体"/>
          <w:sz w:val="24"/>
          <w:szCs w:val="24"/>
        </w:rPr>
        <w:t>承包人必须严格执行有关质量通病治理措施，编制质量通病防治专项方案以及质量通病整改专项施工方案报监理单位审批，经监理单位批准后实施。</w:t>
      </w:r>
    </w:p>
    <w:p>
      <w:pPr>
        <w:numPr>
          <w:ilvl w:val="0"/>
          <w:numId w:val="4"/>
        </w:numPr>
        <w:adjustRightInd w:val="0"/>
        <w:snapToGrid w:val="0"/>
        <w:spacing w:line="360" w:lineRule="auto"/>
        <w:ind w:firstLine="480" w:firstLineChars="200"/>
        <w:rPr>
          <w:rFonts w:ascii="宋体" w:hAnsi="宋体"/>
          <w:sz w:val="24"/>
          <w:szCs w:val="24"/>
        </w:rPr>
      </w:pPr>
      <w:r>
        <w:rPr>
          <w:rFonts w:hint="eastAsia" w:ascii="宋体" w:hAnsi="宋体"/>
          <w:sz w:val="24"/>
          <w:szCs w:val="24"/>
        </w:rPr>
        <w:t>承包人必须编制本项目的成品保护专项方案，充分履行总承包管理职责，各专业分包单位必须服从总承包的管理，承包人负责组织各专业分包单位明确各方成品的保护责任,承包人统筹各专业承包单位制定成品保护检查制度、交叉施工管理制度、交接制度、考核制度、奖罚责任制度等，并组织编制成品保护方案报监理人审批后实施，依照“谁施工谁保护、谁损坏谁赔偿”的原则落实成品保护工作。承包人合同管理范围内的成品保护由承包人负责实施，专业承包管理范围的成品保护由专业承包负责实施。</w:t>
      </w:r>
    </w:p>
    <w:p>
      <w:pPr>
        <w:numPr>
          <w:ilvl w:val="0"/>
          <w:numId w:val="4"/>
        </w:numPr>
        <w:adjustRightInd w:val="0"/>
        <w:snapToGrid w:val="0"/>
        <w:spacing w:line="360" w:lineRule="auto"/>
        <w:ind w:firstLine="480" w:firstLineChars="200"/>
        <w:rPr>
          <w:rFonts w:ascii="宋体" w:hAnsi="宋体"/>
          <w:sz w:val="24"/>
          <w:szCs w:val="24"/>
        </w:rPr>
      </w:pPr>
      <w:r>
        <w:rPr>
          <w:rFonts w:hint="eastAsia" w:ascii="宋体" w:hAnsi="宋体"/>
          <w:sz w:val="24"/>
          <w:szCs w:val="24"/>
        </w:rPr>
        <w:t>承包人进场后必须编制总承包管理方案，切实履行总承包管理职责。</w:t>
      </w:r>
    </w:p>
    <w:p>
      <w:pPr>
        <w:numPr>
          <w:ilvl w:val="0"/>
          <w:numId w:val="4"/>
        </w:numPr>
        <w:adjustRightInd w:val="0"/>
        <w:snapToGrid w:val="0"/>
        <w:spacing w:line="360" w:lineRule="auto"/>
        <w:ind w:firstLine="480" w:firstLineChars="200"/>
        <w:rPr>
          <w:rFonts w:ascii="宋体" w:hAnsi="宋体"/>
          <w:sz w:val="24"/>
          <w:szCs w:val="24"/>
        </w:rPr>
      </w:pPr>
      <w:r>
        <w:rPr>
          <w:rFonts w:hint="eastAsia" w:ascii="宋体" w:hAnsi="宋体"/>
          <w:sz w:val="24"/>
          <w:szCs w:val="24"/>
        </w:rPr>
        <w:t>深化设计管理要求按最新的</w:t>
      </w:r>
      <w:r>
        <w:rPr>
          <w:rFonts w:hint="eastAsia"/>
          <w:sz w:val="24"/>
          <w:szCs w:val="24"/>
        </w:rPr>
        <w:t>广州市重点公共建设项目管理中心有关规定执行</w:t>
      </w:r>
      <w:r>
        <w:rPr>
          <w:rFonts w:hint="eastAsia" w:ascii="宋体" w:hAnsi="宋体"/>
          <w:sz w:val="24"/>
          <w:szCs w:val="24"/>
        </w:rPr>
        <w:t>。</w:t>
      </w:r>
    </w:p>
    <w:p>
      <w:pPr>
        <w:pStyle w:val="7"/>
        <w:adjustRightInd w:val="0"/>
        <w:snapToGrid w:val="0"/>
        <w:spacing w:line="360" w:lineRule="auto"/>
        <w:rPr>
          <w:color w:val="auto"/>
          <w:sz w:val="30"/>
          <w:szCs w:val="30"/>
        </w:rPr>
      </w:pPr>
      <w:bookmarkStart w:id="220" w:name="_Toc7956"/>
      <w:bookmarkStart w:id="221" w:name="_Toc11404"/>
      <w:bookmarkStart w:id="222" w:name="_Toc55581776"/>
      <w:bookmarkStart w:id="223" w:name="_Toc8065"/>
      <w:bookmarkStart w:id="224" w:name="_Toc159596184"/>
      <w:bookmarkStart w:id="225" w:name="_Toc13471"/>
      <w:bookmarkStart w:id="226" w:name="_Toc18779"/>
      <w:bookmarkStart w:id="227" w:name="_Toc56444426"/>
      <w:bookmarkStart w:id="228" w:name="_Toc18062"/>
      <w:r>
        <w:rPr>
          <w:rFonts w:hint="eastAsia"/>
          <w:color w:val="auto"/>
          <w:sz w:val="30"/>
          <w:szCs w:val="30"/>
        </w:rPr>
        <w:t>（七）安全</w:t>
      </w:r>
      <w:r>
        <w:rPr>
          <w:color w:val="auto"/>
          <w:sz w:val="30"/>
          <w:szCs w:val="30"/>
        </w:rPr>
        <w:t>、文明</w:t>
      </w:r>
      <w:r>
        <w:rPr>
          <w:rFonts w:hint="eastAsia"/>
          <w:color w:val="auto"/>
          <w:sz w:val="30"/>
          <w:szCs w:val="30"/>
        </w:rPr>
        <w:t>施工</w:t>
      </w:r>
      <w:r>
        <w:rPr>
          <w:color w:val="auto"/>
          <w:sz w:val="30"/>
          <w:szCs w:val="30"/>
        </w:rPr>
        <w:t>管理要求</w:t>
      </w:r>
      <w:bookmarkEnd w:id="220"/>
      <w:bookmarkEnd w:id="221"/>
      <w:bookmarkEnd w:id="222"/>
      <w:bookmarkEnd w:id="223"/>
      <w:bookmarkEnd w:id="224"/>
      <w:bookmarkEnd w:id="225"/>
      <w:bookmarkEnd w:id="226"/>
      <w:bookmarkEnd w:id="227"/>
      <w:bookmarkEnd w:id="228"/>
    </w:p>
    <w:p>
      <w:pPr>
        <w:numPr>
          <w:ilvl w:val="0"/>
          <w:numId w:val="5"/>
        </w:numPr>
        <w:tabs>
          <w:tab w:val="left" w:pos="900"/>
          <w:tab w:val="clear" w:pos="1478"/>
        </w:tabs>
        <w:adjustRightInd w:val="0"/>
        <w:snapToGrid w:val="0"/>
        <w:spacing w:line="360" w:lineRule="auto"/>
        <w:ind w:firstLine="540"/>
        <w:rPr>
          <w:rFonts w:ascii="宋体" w:hAnsi="宋体"/>
          <w:sz w:val="24"/>
        </w:rPr>
      </w:pPr>
      <w:r>
        <w:rPr>
          <w:rFonts w:hint="eastAsia" w:ascii="宋体" w:hAnsi="宋体"/>
          <w:sz w:val="24"/>
        </w:rPr>
        <w:t>本项目职业健康安全管理目标和环境管理目标按合同约定执行。承包人必须杜绝发生一般事故等级及以上的伤亡事故，且工伤责任事故死亡人数为零。</w:t>
      </w:r>
    </w:p>
    <w:p>
      <w:pPr>
        <w:numPr>
          <w:ilvl w:val="0"/>
          <w:numId w:val="5"/>
        </w:numPr>
        <w:tabs>
          <w:tab w:val="left" w:pos="900"/>
          <w:tab w:val="clear" w:pos="1478"/>
        </w:tabs>
        <w:adjustRightInd w:val="0"/>
        <w:snapToGrid w:val="0"/>
        <w:spacing w:line="360" w:lineRule="auto"/>
        <w:ind w:firstLine="540"/>
        <w:rPr>
          <w:rFonts w:ascii="宋体" w:hAnsi="宋体"/>
          <w:sz w:val="24"/>
        </w:rPr>
      </w:pPr>
      <w:r>
        <w:rPr>
          <w:rFonts w:hint="eastAsia" w:ascii="宋体" w:hAnsi="宋体"/>
          <w:sz w:val="24"/>
          <w:szCs w:val="24"/>
        </w:rPr>
        <w:t>严格执行</w:t>
      </w:r>
      <w:r>
        <w:rPr>
          <w:rFonts w:hint="eastAsia"/>
          <w:sz w:val="24"/>
          <w:szCs w:val="24"/>
        </w:rPr>
        <w:t>广州市重点公共建设项目管理中心有关规定</w:t>
      </w:r>
      <w:r>
        <w:rPr>
          <w:rFonts w:hint="eastAsia" w:ascii="宋体" w:hAnsi="宋体"/>
          <w:sz w:val="24"/>
        </w:rPr>
        <w:t>、</w:t>
      </w:r>
      <w:r>
        <w:rPr>
          <w:rFonts w:hint="eastAsia" w:ascii="宋体" w:hAnsi="宋体" w:cs="宋体"/>
          <w:sz w:val="24"/>
          <w:szCs w:val="24"/>
        </w:rPr>
        <w:t>《广州市提升建设工程安全文明施工管理水平的工作指引》2.0版本、《广州市住房和城乡建设局等9部门关于印发广州市建设工程绿色施工围蔽图集（V2.0版）》；《广州市住房和城乡建设局关于印发广州市房屋建筑工程安全防护指导图集（防高坠篇）的通知》、《广州市住房和城乡建设局关于规范建筑施工立面外防护架标准的通知》、须满足《广州市住房和城乡建设局等8部门关于印发广州市建设工程扬尘防治“6个100%”管理标准图集（V2.0版）的通知》</w:t>
      </w:r>
      <w:r>
        <w:rPr>
          <w:rFonts w:hint="eastAsia" w:ascii="宋体" w:hAnsi="宋体"/>
          <w:sz w:val="24"/>
        </w:rPr>
        <w:t>、《广州市城乡建设委员会关于印发广州市加强建筑工地环保管理工作方案的通知》(穗建质(2014)754号)、《广州市提升建设工程安全文明施工管理水平的工作指引》(穗建质(2017)815号)和市现行管理规定等文件的要求，加强建筑工地文明施工管理，控制施工扬尘、</w:t>
      </w:r>
      <w:r>
        <w:rPr>
          <w:rFonts w:hint="eastAsia" w:ascii="宋体" w:hAnsi="宋体"/>
          <w:sz w:val="24"/>
          <w:szCs w:val="24"/>
        </w:rPr>
        <w:t>噪声污染，推进生态文明建设；确保噪声污染、扬尘污染等环境污染问题零投诉。</w:t>
      </w:r>
    </w:p>
    <w:p>
      <w:pPr>
        <w:numPr>
          <w:ilvl w:val="0"/>
          <w:numId w:val="5"/>
        </w:numPr>
        <w:tabs>
          <w:tab w:val="left" w:pos="900"/>
          <w:tab w:val="clear" w:pos="1478"/>
        </w:tabs>
        <w:adjustRightInd w:val="0"/>
        <w:snapToGrid w:val="0"/>
        <w:spacing w:line="360" w:lineRule="auto"/>
        <w:ind w:firstLine="540"/>
        <w:rPr>
          <w:rFonts w:ascii="宋体" w:hAnsi="宋体"/>
          <w:sz w:val="24"/>
        </w:rPr>
      </w:pPr>
      <w:r>
        <w:rPr>
          <w:rFonts w:hint="eastAsia" w:ascii="宋体" w:hAnsi="宋体"/>
          <w:sz w:val="24"/>
        </w:rPr>
        <w:t>承包人在施工过程中必须严格执行安全文明施工方案，严格按《关于印发《</w:t>
      </w:r>
      <w:r>
        <w:rPr>
          <w:rFonts w:hint="eastAsia" w:ascii="宋体" w:hAnsi="宋体"/>
          <w:sz w:val="24"/>
          <w:szCs w:val="24"/>
        </w:rPr>
        <w:t>建筑工程安全防护、文明施工措施费用及使用管理规定》的通知》（建办[2005]89号）要求做到安全防护、文明施工措</w:t>
      </w:r>
      <w:r>
        <w:rPr>
          <w:rFonts w:hint="eastAsia" w:ascii="宋体" w:hAnsi="宋体"/>
          <w:sz w:val="24"/>
        </w:rPr>
        <w:t>施费专款专用，严禁挪用。每月书面将安全防护、文明施工措施费使用计划提交给发包人、监理单位审批，且每月25日前将上一月安全防护、文明施工措施费使用情况（进场验收证明、发票等单据及现场照片）提交发包人、监理单位核实；否则，发包人可以自行或委托他人实施，所发生的费用从安全防护、文明施工措施费款项中扣除，不足部分从承包人的合同价款中扣除，承包人必须无条件服从。</w:t>
      </w:r>
    </w:p>
    <w:p>
      <w:pPr>
        <w:numPr>
          <w:ilvl w:val="0"/>
          <w:numId w:val="5"/>
        </w:numPr>
        <w:tabs>
          <w:tab w:val="left" w:pos="900"/>
          <w:tab w:val="clear" w:pos="1478"/>
        </w:tabs>
        <w:adjustRightInd w:val="0"/>
        <w:snapToGrid w:val="0"/>
        <w:spacing w:line="360" w:lineRule="auto"/>
        <w:ind w:firstLine="540"/>
        <w:rPr>
          <w:rFonts w:ascii="宋体" w:hAnsi="宋体"/>
          <w:sz w:val="24"/>
        </w:rPr>
      </w:pPr>
      <w:r>
        <w:rPr>
          <w:rFonts w:hint="eastAsia" w:ascii="宋体" w:hAnsi="宋体"/>
          <w:sz w:val="24"/>
        </w:rPr>
        <w:t>针对</w:t>
      </w:r>
      <w:r>
        <w:rPr>
          <w:rFonts w:ascii="宋体" w:hAnsi="宋体"/>
          <w:sz w:val="24"/>
        </w:rPr>
        <w:t>本项目的特点，承包人必须对起重吊装及</w:t>
      </w:r>
      <w:r>
        <w:rPr>
          <w:rFonts w:hint="eastAsia" w:ascii="宋体" w:hAnsi="宋体"/>
          <w:sz w:val="24"/>
        </w:rPr>
        <w:t>安装</w:t>
      </w:r>
      <w:r>
        <w:rPr>
          <w:rFonts w:ascii="宋体" w:hAnsi="宋体"/>
          <w:sz w:val="24"/>
        </w:rPr>
        <w:t>拆卸工程、脚手架工程、拆除工程、</w:t>
      </w:r>
      <w:r>
        <w:rPr>
          <w:rFonts w:hint="eastAsia" w:ascii="宋体" w:hAnsi="宋体"/>
          <w:sz w:val="24"/>
        </w:rPr>
        <w:t>幕墙</w:t>
      </w:r>
      <w:r>
        <w:rPr>
          <w:rFonts w:ascii="宋体" w:hAnsi="宋体"/>
          <w:sz w:val="24"/>
        </w:rPr>
        <w:t>工程、钢结构</w:t>
      </w:r>
      <w:r>
        <w:rPr>
          <w:rFonts w:hint="eastAsia" w:ascii="宋体" w:hAnsi="宋体"/>
          <w:sz w:val="24"/>
        </w:rPr>
        <w:t>工程</w:t>
      </w:r>
      <w:r>
        <w:rPr>
          <w:rFonts w:ascii="宋体" w:hAnsi="宋体"/>
          <w:sz w:val="24"/>
        </w:rPr>
        <w:t>、高支模工程等危险性较大的分部分项工程进行重点管理，编制专项施工方案报监理单位</w:t>
      </w:r>
      <w:r>
        <w:rPr>
          <w:rFonts w:hint="eastAsia" w:ascii="宋体" w:hAnsi="宋体"/>
          <w:sz w:val="24"/>
        </w:rPr>
        <w:t>审核</w:t>
      </w:r>
      <w:r>
        <w:rPr>
          <w:rFonts w:ascii="宋体" w:hAnsi="宋体"/>
          <w:sz w:val="24"/>
        </w:rPr>
        <w:t>，并按规定组织专家组论证审批，按经审批通过的施工方案组织实施。在施工过程中如发现异常情况，必须能有效启动紧急预案，确保人员的安全。</w:t>
      </w:r>
    </w:p>
    <w:p>
      <w:pPr>
        <w:numPr>
          <w:ilvl w:val="0"/>
          <w:numId w:val="5"/>
        </w:numPr>
        <w:tabs>
          <w:tab w:val="left" w:pos="900"/>
          <w:tab w:val="clear" w:pos="1478"/>
        </w:tabs>
        <w:adjustRightInd w:val="0"/>
        <w:snapToGrid w:val="0"/>
        <w:spacing w:line="360" w:lineRule="auto"/>
        <w:ind w:firstLine="540"/>
        <w:rPr>
          <w:rFonts w:ascii="宋体" w:hAnsi="宋体"/>
          <w:sz w:val="24"/>
        </w:rPr>
      </w:pPr>
      <w:r>
        <w:rPr>
          <w:rFonts w:hint="eastAsia" w:ascii="宋体" w:hAnsi="宋体"/>
          <w:sz w:val="24"/>
        </w:rPr>
        <w:t>在工程实施期间，承包人对经发包人移交的施工场地负有全过程、全面的管理责任，必须对施工场地范围内的治安秩序、安全保卫、环境卫生以及周围房屋、市政设施等全面负责，对施工场地范围内的交通道路、用水、用电、场地内的施工协调负责，确保不对周边环境、道路、行人和相邻施工现场造成不利影响，不得干扰周围居民的正常生活。物业安保团队须委托或联合当地派出所认可的保安公司联合组建，与当地派出所形成联防联治联动机制，并兼顾与项目周边单位及外来人员的协调管理工作。</w:t>
      </w:r>
    </w:p>
    <w:p>
      <w:pPr>
        <w:numPr>
          <w:ilvl w:val="0"/>
          <w:numId w:val="5"/>
        </w:numPr>
        <w:tabs>
          <w:tab w:val="left" w:pos="900"/>
          <w:tab w:val="clear" w:pos="1478"/>
        </w:tabs>
        <w:adjustRightInd w:val="0"/>
        <w:snapToGrid w:val="0"/>
        <w:spacing w:line="360" w:lineRule="auto"/>
        <w:ind w:firstLine="540"/>
        <w:rPr>
          <w:rFonts w:ascii="宋体" w:hAnsi="宋体"/>
          <w:sz w:val="24"/>
        </w:rPr>
      </w:pPr>
      <w:r>
        <w:rPr>
          <w:rFonts w:hint="eastAsia" w:ascii="宋体" w:hAnsi="宋体"/>
          <w:sz w:val="24"/>
        </w:rPr>
        <w:t>监理人、发包人或监督部门在安全文明施工检查过程中，如发现施工现场不满足国家、省、市关于安全文明生产的相关规定和发包人对本工程安全文明施工的相关要求，且不按监理人要求在限定时间内整改完毕的：（1）发包人和监理人有权发出停工令直至整改符合要求，停工期间内的所有间接及直接损失全部由承包人承担；（2）发包人可以自行或委托他人实施整改，所发生的费用从安全防护、文明施工措施费款项中扣除，不足部分从承包人的合同价款中扣除。</w:t>
      </w:r>
    </w:p>
    <w:p>
      <w:pPr>
        <w:numPr>
          <w:ilvl w:val="0"/>
          <w:numId w:val="5"/>
        </w:numPr>
        <w:tabs>
          <w:tab w:val="left" w:pos="900"/>
          <w:tab w:val="clear" w:pos="1478"/>
        </w:tabs>
        <w:adjustRightInd w:val="0"/>
        <w:snapToGrid w:val="0"/>
        <w:spacing w:line="360" w:lineRule="auto"/>
        <w:ind w:firstLine="540"/>
        <w:rPr>
          <w:rFonts w:ascii="宋体" w:hAnsi="宋体"/>
          <w:sz w:val="24"/>
        </w:rPr>
      </w:pPr>
      <w:r>
        <w:rPr>
          <w:rFonts w:hint="eastAsia" w:ascii="宋体" w:hAnsi="宋体"/>
          <w:sz w:val="24"/>
        </w:rPr>
        <w:t>要求承包人进场后需对本项目施工过程场地平面布置及分阶段利用方案进行综合考虑。承包人综合考虑临时办公区和生活区临时板房和设施二次搬迁费用。</w:t>
      </w:r>
    </w:p>
    <w:p>
      <w:pPr>
        <w:tabs>
          <w:tab w:val="left" w:pos="900"/>
        </w:tabs>
        <w:adjustRightInd w:val="0"/>
        <w:snapToGrid w:val="0"/>
        <w:spacing w:line="360" w:lineRule="auto"/>
        <w:ind w:firstLine="480" w:firstLineChars="200"/>
        <w:rPr>
          <w:rFonts w:ascii="宋体" w:hAnsi="宋体"/>
          <w:sz w:val="24"/>
        </w:rPr>
      </w:pPr>
      <w:r>
        <w:rPr>
          <w:rFonts w:hint="eastAsia" w:ascii="宋体" w:hAnsi="宋体"/>
          <w:sz w:val="24"/>
        </w:rPr>
        <w:t>10、基于本项目属于省级体育场馆且作为第十五全运会比赛场馆，社会关注度高。要求承包人按《建设项目环境保护管理条例》要求，制定环境管理计划及应急处理预案。做到</w:t>
      </w:r>
      <w:r>
        <w:rPr>
          <w:rFonts w:ascii="宋体" w:hAnsi="宋体"/>
          <w:sz w:val="24"/>
        </w:rPr>
        <w:t>不因施工而影响周边环境。</w:t>
      </w:r>
    </w:p>
    <w:p>
      <w:pPr>
        <w:pStyle w:val="22"/>
        <w:adjustRightInd w:val="0"/>
        <w:snapToGrid w:val="0"/>
        <w:spacing w:line="360" w:lineRule="auto"/>
        <w:ind w:firstLine="480"/>
        <w:rPr>
          <w:rFonts w:ascii="宋体" w:hAnsi="宋体"/>
          <w:sz w:val="24"/>
        </w:rPr>
      </w:pPr>
      <w:r>
        <w:rPr>
          <w:rFonts w:hint="eastAsia" w:ascii="宋体" w:hAnsi="宋体"/>
          <w:sz w:val="24"/>
        </w:rPr>
        <w:t>11、承包人必须加强对项目所有人员以及门卫岗的管理，定期组织疫情防控知识培训学习，尤其登革热、流行性传染病等疫情，如因项目引发疫情，由承包人负责疫情造成的一切损失。</w:t>
      </w:r>
    </w:p>
    <w:p>
      <w:pPr>
        <w:pStyle w:val="22"/>
        <w:adjustRightInd w:val="0"/>
        <w:snapToGrid w:val="0"/>
        <w:spacing w:line="360" w:lineRule="auto"/>
        <w:ind w:firstLine="480"/>
        <w:rPr>
          <w:rFonts w:ascii="宋体" w:hAnsi="宋体"/>
          <w:sz w:val="24"/>
        </w:rPr>
      </w:pPr>
      <w:r>
        <w:rPr>
          <w:rFonts w:hint="eastAsia" w:ascii="宋体" w:hAnsi="宋体"/>
          <w:sz w:val="24"/>
        </w:rPr>
        <w:t>12、承包人必须对施工现场进行围蔽管理，所有进场人员必须经过门卫的检查，通过安防系统检查通过后进入施工现场，所有进出场人员必须有记录备查，必须做到人车分流。</w:t>
      </w:r>
    </w:p>
    <w:p>
      <w:pPr>
        <w:pStyle w:val="22"/>
        <w:adjustRightInd w:val="0"/>
        <w:snapToGrid w:val="0"/>
        <w:spacing w:line="360" w:lineRule="auto"/>
        <w:ind w:firstLine="480"/>
        <w:rPr>
          <w:rFonts w:ascii="宋体" w:hAnsi="宋体"/>
          <w:sz w:val="24"/>
        </w:rPr>
      </w:pPr>
      <w:r>
        <w:rPr>
          <w:rFonts w:hint="eastAsia" w:ascii="宋体" w:hAnsi="宋体"/>
          <w:sz w:val="24"/>
        </w:rPr>
        <w:t>13、承包人应在开工前按《广州市建设领域工人工资支付分账管理实施细则》（穗建规字【2017】10）的规定开立工人工资支付专业账户。如因承包人未按规定开立、使用、变更、撤销工人工资支付专用账户导致本工程施工许可证未能如期办理、拖欠和克扣工人工资造成群体性事件或其他不良行为的，由此引起的相关责任全部由承包人承担。</w:t>
      </w:r>
    </w:p>
    <w:p>
      <w:pPr>
        <w:pStyle w:val="22"/>
        <w:adjustRightInd w:val="0"/>
        <w:snapToGrid w:val="0"/>
        <w:spacing w:line="360" w:lineRule="auto"/>
        <w:ind w:firstLine="480"/>
        <w:rPr>
          <w:rFonts w:ascii="宋体" w:hAnsi="宋体"/>
          <w:sz w:val="24"/>
        </w:rPr>
      </w:pPr>
      <w:r>
        <w:rPr>
          <w:rFonts w:hint="eastAsia" w:ascii="宋体" w:hAnsi="宋体"/>
          <w:sz w:val="24"/>
        </w:rPr>
        <w:t>14、承包人应当按照《广东省房屋建筑和市政基础设施工程用工实名管理暂行办法》（粤建规范【2018】1号）和《广州市住房和城乡建设局关于印发《广州市建筑施工实名管理办法》的通知》（穗建规字【2017】4号）的有关要求，利用信息技术手段，为施工现场人员（即实名管理对象，指建筑项目负责人、现场管理人员和作业工人）建立实名制管理机制，建立健全实名制信息采集、登记、报送、审核和档案管理的有关制度，落实实名管理制度，由此引起的一切责任和后果（包括不限于被纳入企业“黑名单”、按照招标及合同文件规定被发包人拒绝参与其后续工程招标项目投标等）均由承包人自行承担。承包人对实名管理负总责，应当对其专业分包单位和劳务分包单位实施统一管理，监督其用工单位按时足额支付作业工人工资，督促其落实实名管理制度。发包人直接发包的专业承包单位应按照其与承包人签订的附件《施工总承包管理协议书》的约定和承包人的要求开展实名管理的相关工作。</w:t>
      </w:r>
    </w:p>
    <w:p>
      <w:pPr>
        <w:pStyle w:val="22"/>
        <w:adjustRightInd w:val="0"/>
        <w:snapToGrid w:val="0"/>
        <w:spacing w:line="360" w:lineRule="auto"/>
        <w:ind w:firstLine="480"/>
        <w:rPr>
          <w:rFonts w:ascii="宋体" w:hAnsi="宋体"/>
          <w:sz w:val="24"/>
        </w:rPr>
      </w:pPr>
      <w:r>
        <w:rPr>
          <w:rFonts w:hint="eastAsia" w:ascii="宋体" w:hAnsi="宋体"/>
          <w:sz w:val="24"/>
        </w:rPr>
        <w:t>15、由于奥体中心改造项目涉及较多的高空作业，危险系数高，存在高坠风险。承包人需编制针对本项目的防高坠专项安全施工方案，超过一定规模危险性较大的分部分项工程需组织专家论证。</w:t>
      </w:r>
    </w:p>
    <w:p>
      <w:pPr>
        <w:pStyle w:val="22"/>
        <w:adjustRightInd w:val="0"/>
        <w:snapToGrid w:val="0"/>
        <w:spacing w:line="360" w:lineRule="auto"/>
        <w:ind w:firstLine="480"/>
        <w:rPr>
          <w:rFonts w:ascii="宋体" w:hAnsi="宋体"/>
          <w:sz w:val="24"/>
        </w:rPr>
      </w:pPr>
      <w:r>
        <w:rPr>
          <w:rFonts w:hint="eastAsia" w:ascii="宋体" w:hAnsi="宋体"/>
          <w:sz w:val="24"/>
        </w:rPr>
        <w:t>16、由于本项目属于改造工程，交叉作业情况较多，存在较严重的安全隐患。承包人需制定相应的交叉作业安全管控方案。</w:t>
      </w:r>
    </w:p>
    <w:p>
      <w:pPr>
        <w:pStyle w:val="22"/>
        <w:adjustRightInd w:val="0"/>
        <w:snapToGrid w:val="0"/>
        <w:spacing w:line="360" w:lineRule="auto"/>
        <w:ind w:firstLine="480"/>
        <w:rPr>
          <w:rFonts w:ascii="宋体" w:hAnsi="宋体"/>
          <w:sz w:val="24"/>
        </w:rPr>
      </w:pPr>
      <w:r>
        <w:rPr>
          <w:rFonts w:hint="eastAsia" w:ascii="宋体" w:hAnsi="宋体"/>
          <w:sz w:val="24"/>
        </w:rPr>
        <w:t>17、本项目涉及动火作业较多，承包人需制定相应的动火作业管理制度。</w:t>
      </w:r>
    </w:p>
    <w:p>
      <w:pPr>
        <w:pStyle w:val="22"/>
        <w:adjustRightInd w:val="0"/>
        <w:snapToGrid w:val="0"/>
        <w:spacing w:line="360" w:lineRule="auto"/>
        <w:ind w:firstLine="480"/>
        <w:rPr>
          <w:rFonts w:ascii="宋体" w:hAnsi="宋体"/>
          <w:sz w:val="24"/>
        </w:rPr>
      </w:pPr>
      <w:r>
        <w:rPr>
          <w:rFonts w:hint="eastAsia" w:ascii="宋体" w:hAnsi="宋体"/>
          <w:sz w:val="24"/>
        </w:rPr>
        <w:t>18、本项目作业面广，施工人员多，消防管控难度大，承包人需制定针对本项目的消防安全管理方案。</w:t>
      </w:r>
    </w:p>
    <w:p>
      <w:pPr>
        <w:pStyle w:val="22"/>
        <w:adjustRightInd w:val="0"/>
        <w:snapToGrid w:val="0"/>
        <w:spacing w:line="360" w:lineRule="auto"/>
        <w:ind w:firstLine="480"/>
        <w:rPr>
          <w:rFonts w:ascii="宋体" w:hAnsi="宋体"/>
          <w:sz w:val="24"/>
        </w:rPr>
      </w:pPr>
      <w:r>
        <w:rPr>
          <w:rFonts w:hint="eastAsia" w:ascii="宋体" w:hAnsi="宋体"/>
          <w:sz w:val="24"/>
        </w:rPr>
        <w:t>19、本项目作业面广，临时用电量大，临电安全管理难度大，承包人需制定针对本项目的临时用电安全管理方案。</w:t>
      </w:r>
    </w:p>
    <w:p>
      <w:pPr>
        <w:pStyle w:val="22"/>
        <w:adjustRightInd w:val="0"/>
        <w:snapToGrid w:val="0"/>
        <w:spacing w:line="360" w:lineRule="auto"/>
        <w:ind w:firstLine="480"/>
        <w:rPr>
          <w:rFonts w:ascii="宋体" w:hAnsi="宋体"/>
          <w:sz w:val="24"/>
        </w:rPr>
      </w:pPr>
      <w:r>
        <w:rPr>
          <w:rFonts w:hint="eastAsia" w:ascii="宋体" w:hAnsi="宋体"/>
          <w:sz w:val="24"/>
        </w:rPr>
        <w:t>20、本项目工作面广，所需机械设备较多，承包人需制定相应的机械设备管理办法。</w:t>
      </w:r>
    </w:p>
    <w:p>
      <w:pPr>
        <w:pStyle w:val="22"/>
        <w:adjustRightInd w:val="0"/>
        <w:snapToGrid w:val="0"/>
        <w:spacing w:line="360" w:lineRule="auto"/>
        <w:ind w:firstLine="480"/>
        <w:rPr>
          <w:rFonts w:ascii="宋体" w:hAnsi="宋体"/>
          <w:sz w:val="24"/>
        </w:rPr>
      </w:pPr>
      <w:r>
        <w:rPr>
          <w:rFonts w:hint="eastAsia" w:ascii="宋体" w:hAnsi="宋体"/>
          <w:sz w:val="24"/>
        </w:rPr>
        <w:t>21、本项目拆除工程量巨大，承包人需制定拆除材料垃圾的垂直运输、垃圾堆放、垃圾外运的管理办法。</w:t>
      </w:r>
    </w:p>
    <w:p>
      <w:pPr>
        <w:pStyle w:val="22"/>
        <w:widowControl/>
        <w:adjustRightInd w:val="0"/>
        <w:snapToGrid w:val="0"/>
        <w:spacing w:line="360" w:lineRule="auto"/>
        <w:ind w:firstLine="480"/>
        <w:jc w:val="left"/>
        <w:rPr>
          <w:rFonts w:ascii="宋体" w:hAnsi="宋体" w:eastAsia="Times New Roman"/>
          <w:sz w:val="24"/>
        </w:rPr>
      </w:pPr>
      <w:r>
        <w:rPr>
          <w:rFonts w:ascii="宋体" w:hAnsi="宋体"/>
          <w:sz w:val="24"/>
          <w:lang w:bidi="ar"/>
        </w:rPr>
        <w:t>22、</w:t>
      </w:r>
      <w:r>
        <w:rPr>
          <w:rFonts w:hint="eastAsia" w:ascii="宋体" w:hAnsi="宋体" w:eastAsia="Times New Roman"/>
          <w:sz w:val="24"/>
          <w:lang w:bidi="ar"/>
        </w:rPr>
        <w:t>施工现场建筑垃圾源头减量的具体要求和建筑垃圾综合利用产品的使用要求</w:t>
      </w:r>
    </w:p>
    <w:p>
      <w:pPr>
        <w:pStyle w:val="22"/>
        <w:widowControl/>
        <w:adjustRightInd w:val="0"/>
        <w:snapToGrid w:val="0"/>
        <w:spacing w:line="360" w:lineRule="auto"/>
        <w:ind w:firstLine="480"/>
        <w:jc w:val="left"/>
        <w:rPr>
          <w:rFonts w:ascii="宋体" w:hAnsi="宋体" w:eastAsia="Times New Roman"/>
          <w:sz w:val="24"/>
        </w:rPr>
      </w:pPr>
      <w:r>
        <w:rPr>
          <w:rFonts w:hint="eastAsia" w:ascii="宋体" w:hAnsi="宋体" w:eastAsia="Times New Roman"/>
          <w:sz w:val="24"/>
          <w:lang w:bidi="ar"/>
        </w:rPr>
        <w:t>工程施工单位应当编制建筑垃圾处理方案，采取污染防治措施，并在开工前报工程所在地县级人民政府建筑垃圾主管部门备案。建筑垃圾处理方案内容有调整的，应当及时报告接受备案的部门。建筑垃圾处理方案应当包括下列内容：（1）工程概况和施工单位基本信息；（2）建筑垃圾产生量与种类；（3）建筑垃圾源头减量、分类收集、综合利用、污染防治的措施和目标；（4）需要外运的建筑垃圾种类、数量与运输的时间、路线、方式和运输单位；（5）建筑垃圾回填、消纳、综合利用场所名称；（6）法律、法规规定的其他内容。</w:t>
      </w:r>
    </w:p>
    <w:p>
      <w:pPr>
        <w:pStyle w:val="22"/>
        <w:widowControl/>
        <w:adjustRightInd w:val="0"/>
        <w:snapToGrid w:val="0"/>
        <w:spacing w:line="360" w:lineRule="auto"/>
        <w:ind w:firstLine="480"/>
        <w:jc w:val="left"/>
        <w:rPr>
          <w:rFonts w:ascii="宋体" w:hAnsi="宋体" w:eastAsia="Times New Roman"/>
          <w:sz w:val="24"/>
        </w:rPr>
      </w:pPr>
      <w:r>
        <w:rPr>
          <w:rFonts w:hint="eastAsia" w:ascii="宋体" w:hAnsi="宋体" w:eastAsia="Times New Roman"/>
          <w:sz w:val="24"/>
          <w:lang w:bidi="ar"/>
        </w:rPr>
        <w:t>建筑垃圾应当按照国家有关规定进行分类，实行分类收集、分类贮存、分类运输、分类处置。</w:t>
      </w:r>
    </w:p>
    <w:p>
      <w:pPr>
        <w:pStyle w:val="22"/>
        <w:widowControl/>
        <w:adjustRightInd w:val="0"/>
        <w:snapToGrid w:val="0"/>
        <w:spacing w:line="360" w:lineRule="auto"/>
        <w:ind w:firstLine="480"/>
        <w:jc w:val="left"/>
        <w:rPr>
          <w:rFonts w:ascii="宋体" w:hAnsi="宋体" w:eastAsia="Times New Roman"/>
          <w:sz w:val="24"/>
        </w:rPr>
      </w:pPr>
      <w:r>
        <w:rPr>
          <w:rFonts w:hint="eastAsia" w:ascii="宋体" w:hAnsi="宋体" w:eastAsia="Times New Roman"/>
          <w:sz w:val="24"/>
          <w:lang w:bidi="ar"/>
        </w:rPr>
        <w:t>施工单位应开展建筑垃圾分类和合法装载，并及时向工程所在地县级人民政府建筑垃圾主管部门报送建筑垃圾处理方案。施工单位应当建立建筑垃圾管理台账，分类收集、贮存和及时清运施工过程中产生的建筑垃圾，采取有效措施防止混合已分类的建筑垃圾。工程施工单位应当将建筑垃圾的产生量与种类、清运时间、最终去向等信息在施工现场公示，接受社会监督。</w:t>
      </w:r>
    </w:p>
    <w:p>
      <w:pPr>
        <w:pStyle w:val="22"/>
        <w:widowControl/>
        <w:adjustRightInd w:val="0"/>
        <w:snapToGrid w:val="0"/>
        <w:spacing w:line="360" w:lineRule="auto"/>
        <w:ind w:firstLine="480"/>
        <w:jc w:val="left"/>
        <w:rPr>
          <w:rFonts w:ascii="宋体" w:hAnsi="宋体" w:eastAsia="Times New Roman"/>
          <w:sz w:val="24"/>
        </w:rPr>
      </w:pPr>
      <w:r>
        <w:rPr>
          <w:rFonts w:hint="eastAsia" w:ascii="宋体" w:hAnsi="宋体" w:eastAsia="Times New Roman"/>
          <w:sz w:val="24"/>
          <w:lang w:bidi="ar"/>
        </w:rPr>
        <w:t>运输建筑垃圾应当遵守下列规定：（1）建立建筑垃圾运输管理台账；（2）不得将工程渣土、工程泥浆与其他建筑垃圾混合运输；（3）保持运输车辆、船舶等运输工具的行驶记录、卫星定位等电子装置正常使用；（4）运输过程中保持运输工具整洁，采取密闭或者其他有效措施防止遗撒建筑垃圾，不得擅自倾倒、抛撒建筑垃圾；（5）按照建筑垃圾处理方案确定的时间、路线、方式、场所进行运输。建筑垃圾运输车辆、船舶应当符合相应的载运技术条件。建筑垃圾处置场所为陆域的，不得采用开底式船舶运输建筑垃圾。</w:t>
      </w:r>
    </w:p>
    <w:p>
      <w:pPr>
        <w:pStyle w:val="22"/>
        <w:widowControl/>
        <w:adjustRightInd w:val="0"/>
        <w:snapToGrid w:val="0"/>
        <w:spacing w:line="360" w:lineRule="auto"/>
        <w:ind w:firstLine="480"/>
        <w:jc w:val="left"/>
        <w:rPr>
          <w:rFonts w:ascii="宋体" w:hAnsi="宋体" w:eastAsia="Times New Roman"/>
          <w:sz w:val="24"/>
        </w:rPr>
      </w:pPr>
      <w:r>
        <w:rPr>
          <w:rFonts w:hint="eastAsia" w:ascii="宋体" w:hAnsi="宋体" w:eastAsia="Times New Roman"/>
          <w:sz w:val="24"/>
          <w:lang w:bidi="ar"/>
        </w:rPr>
        <w:t>工程泥浆应当在施工现场进行脱水固化处理。施工现场不具备条件的，应当采用罐装器具密闭运输至依法设置的建筑垃圾处置场所进行处置。水上工程中依法无需经脱水处理的除外。</w:t>
      </w:r>
    </w:p>
    <w:p>
      <w:pPr>
        <w:pStyle w:val="22"/>
        <w:widowControl/>
        <w:adjustRightInd w:val="0"/>
        <w:snapToGrid w:val="0"/>
        <w:spacing w:line="360" w:lineRule="auto"/>
        <w:ind w:firstLine="480"/>
        <w:jc w:val="left"/>
        <w:rPr>
          <w:rFonts w:ascii="宋体" w:hAnsi="宋体" w:eastAsia="Times New Roman"/>
          <w:sz w:val="24"/>
        </w:rPr>
      </w:pPr>
      <w:r>
        <w:rPr>
          <w:rFonts w:hint="eastAsia" w:ascii="宋体" w:hAnsi="宋体" w:eastAsia="Times New Roman"/>
          <w:sz w:val="24"/>
          <w:lang w:bidi="ar"/>
        </w:rPr>
        <w:t>建筑垃圾应当按照下列方式，优先就地就近利用：（1）工程渣土及脱水后的工程泥浆优先用于土方平衡、矿坑修复、环境治理、烧结制品及回填等；（2）工程垃圾、拆除垃圾和装修垃圾优先用于生产再生骨料、再生砖、再生砌块、再生沥青混合料等建筑垃圾综合利用产品。具备现场综合利用条件的建设工程，应当进行建筑垃圾现场综合利用。</w:t>
      </w:r>
    </w:p>
    <w:p>
      <w:pPr>
        <w:pStyle w:val="22"/>
        <w:widowControl/>
        <w:adjustRightInd w:val="0"/>
        <w:snapToGrid w:val="0"/>
        <w:spacing w:line="360" w:lineRule="auto"/>
        <w:ind w:firstLine="480"/>
        <w:jc w:val="left"/>
        <w:rPr>
          <w:rFonts w:ascii="宋体" w:hAnsi="宋体" w:eastAsia="Times New Roman"/>
          <w:sz w:val="24"/>
        </w:rPr>
      </w:pPr>
      <w:r>
        <w:rPr>
          <w:rFonts w:hint="eastAsia" w:ascii="宋体" w:hAnsi="宋体" w:eastAsia="Times New Roman"/>
          <w:sz w:val="24"/>
          <w:lang w:bidi="ar"/>
        </w:rPr>
        <w:t>建设单位和施工单位严格遵守并执行《广东省建筑垃圾管理条例》。</w:t>
      </w:r>
    </w:p>
    <w:p>
      <w:pPr>
        <w:pStyle w:val="22"/>
        <w:adjustRightInd w:val="0"/>
        <w:snapToGrid w:val="0"/>
        <w:spacing w:line="360" w:lineRule="auto"/>
        <w:ind w:firstLine="480"/>
        <w:rPr>
          <w:rFonts w:ascii="宋体" w:hAnsi="宋体"/>
          <w:sz w:val="24"/>
        </w:rPr>
      </w:pPr>
    </w:p>
    <w:p>
      <w:pPr>
        <w:pStyle w:val="7"/>
        <w:adjustRightInd w:val="0"/>
        <w:snapToGrid w:val="0"/>
        <w:spacing w:line="360" w:lineRule="auto"/>
        <w:rPr>
          <w:color w:val="auto"/>
          <w:sz w:val="30"/>
          <w:szCs w:val="30"/>
        </w:rPr>
      </w:pPr>
      <w:bookmarkStart w:id="229" w:name="_Toc24999"/>
      <w:bookmarkStart w:id="230" w:name="_Toc17855"/>
      <w:bookmarkStart w:id="231" w:name="_Toc19957"/>
      <w:bookmarkStart w:id="232" w:name="_Toc55581777"/>
      <w:bookmarkStart w:id="233" w:name="_Toc159596185"/>
      <w:bookmarkStart w:id="234" w:name="_Toc30716"/>
      <w:bookmarkStart w:id="235" w:name="_Toc56444427"/>
      <w:bookmarkStart w:id="236" w:name="_Toc28560"/>
      <w:bookmarkStart w:id="237" w:name="_Toc7267"/>
      <w:r>
        <w:rPr>
          <w:rFonts w:hint="eastAsia"/>
          <w:color w:val="auto"/>
          <w:sz w:val="30"/>
          <w:szCs w:val="30"/>
        </w:rPr>
        <w:t>（八）投资</w:t>
      </w:r>
      <w:r>
        <w:rPr>
          <w:color w:val="auto"/>
          <w:sz w:val="30"/>
          <w:szCs w:val="30"/>
        </w:rPr>
        <w:t>控制要求</w:t>
      </w:r>
      <w:bookmarkEnd w:id="229"/>
      <w:bookmarkEnd w:id="230"/>
      <w:bookmarkEnd w:id="231"/>
      <w:bookmarkEnd w:id="232"/>
      <w:bookmarkEnd w:id="233"/>
      <w:bookmarkEnd w:id="234"/>
      <w:bookmarkEnd w:id="235"/>
      <w:bookmarkEnd w:id="236"/>
      <w:bookmarkEnd w:id="237"/>
    </w:p>
    <w:p>
      <w:pPr>
        <w:adjustRightInd w:val="0"/>
        <w:snapToGrid w:val="0"/>
        <w:spacing w:line="360" w:lineRule="auto"/>
        <w:ind w:firstLine="480" w:firstLineChars="200"/>
        <w:rPr>
          <w:sz w:val="24"/>
          <w:szCs w:val="24"/>
        </w:rPr>
      </w:pPr>
      <w:r>
        <w:rPr>
          <w:sz w:val="24"/>
          <w:szCs w:val="24"/>
        </w:rPr>
        <w:t>1、承包人须在中标后60日历天内根据施工图纸编制施工图预算，提出施工图预算工程量与招标清单工程量之间的差异，并报监理单位和发包人审核备案，但不得因此而影响工程进度。</w:t>
      </w:r>
    </w:p>
    <w:p>
      <w:pPr>
        <w:adjustRightInd w:val="0"/>
        <w:snapToGrid w:val="0"/>
        <w:spacing w:line="360" w:lineRule="auto"/>
        <w:ind w:firstLine="480" w:firstLineChars="200"/>
        <w:rPr>
          <w:sz w:val="24"/>
          <w:szCs w:val="24"/>
        </w:rPr>
      </w:pPr>
      <w:r>
        <w:rPr>
          <w:sz w:val="24"/>
          <w:szCs w:val="24"/>
        </w:rPr>
        <w:t>2、结算总金额控制在经有权审核部门审批的概算金额内，预算金额应低于审批的概算金额所对应建筑安装工程费用，概算金额应低于项目立项（可研）批复的估算金额。合同结算金额未超出由承包人实际实施范围所对应的批复概算金额时，按实际结算金额支付，如有超出，超出部分发包人将不予支付。发包人有权将审定的概算中的建安工程费按各单项工程、单位工程、专业工程、分部工程、主要分项工程等进行分解，分解后的建安工程费分别作为限额控制的直接依据。</w:t>
      </w:r>
    </w:p>
    <w:p>
      <w:pPr>
        <w:adjustRightInd w:val="0"/>
        <w:snapToGrid w:val="0"/>
        <w:spacing w:line="360" w:lineRule="auto"/>
        <w:ind w:firstLine="480" w:firstLineChars="200"/>
        <w:rPr>
          <w:sz w:val="24"/>
          <w:szCs w:val="24"/>
        </w:rPr>
      </w:pPr>
      <w:r>
        <w:rPr>
          <w:rFonts w:hint="eastAsia"/>
          <w:sz w:val="24"/>
          <w:szCs w:val="24"/>
        </w:rPr>
        <w:t>3</w:t>
      </w:r>
      <w:r>
        <w:rPr>
          <w:sz w:val="24"/>
          <w:szCs w:val="24"/>
        </w:rPr>
        <w:t>、承包人须协助甲方加强投资控制，每期申请进度款的计量计价应准确，进度款的申请应与主要材料设备采购计划相匹配，严禁虚报计量（承包人申报的进度款金额超出经监理人、发包人核实金额的10%，视为承包人虚报计量）或超前计量，否则严格按合同约定承担违约责任。</w:t>
      </w:r>
    </w:p>
    <w:p>
      <w:pPr>
        <w:adjustRightInd w:val="0"/>
        <w:snapToGrid w:val="0"/>
        <w:spacing w:line="360" w:lineRule="auto"/>
        <w:ind w:firstLine="480" w:firstLineChars="200"/>
        <w:rPr>
          <w:sz w:val="24"/>
          <w:szCs w:val="24"/>
        </w:rPr>
      </w:pPr>
      <w:r>
        <w:rPr>
          <w:rFonts w:hint="eastAsia"/>
          <w:sz w:val="24"/>
          <w:szCs w:val="24"/>
        </w:rPr>
        <w:t>4</w:t>
      </w:r>
      <w:r>
        <w:rPr>
          <w:sz w:val="24"/>
          <w:szCs w:val="24"/>
        </w:rPr>
        <w:t>、在施工过程中发生的工程变更、工程签证等引起合同价款调增事件后</w:t>
      </w:r>
      <w:r>
        <w:rPr>
          <w:rFonts w:hint="eastAsia"/>
          <w:sz w:val="24"/>
          <w:szCs w:val="24"/>
        </w:rPr>
        <w:t>30天内</w:t>
      </w:r>
      <w:r>
        <w:rPr>
          <w:sz w:val="24"/>
          <w:szCs w:val="24"/>
        </w:rPr>
        <w:t>，承包人未按合同约定办理变更工程预算审批的，则发包人有权根据实际情况决定是否调整合同价款以及调整的金额。</w:t>
      </w:r>
    </w:p>
    <w:p>
      <w:pPr>
        <w:adjustRightInd w:val="0"/>
        <w:snapToGrid w:val="0"/>
        <w:spacing w:line="360" w:lineRule="auto"/>
        <w:ind w:firstLine="480" w:firstLineChars="200"/>
        <w:rPr>
          <w:sz w:val="24"/>
          <w:szCs w:val="24"/>
        </w:rPr>
      </w:pPr>
      <w:r>
        <w:rPr>
          <w:rFonts w:hint="eastAsia"/>
          <w:sz w:val="24"/>
          <w:szCs w:val="24"/>
        </w:rPr>
        <w:t>5</w:t>
      </w:r>
      <w:r>
        <w:rPr>
          <w:sz w:val="24"/>
          <w:szCs w:val="24"/>
        </w:rPr>
        <w:t>、根据项目的实际情况，如承包人需另行租用场地用于临设之用，属于承包人自行考虑范畴，相关的费用投标时综合考虑，</w:t>
      </w:r>
      <w:r>
        <w:rPr>
          <w:rFonts w:hint="eastAsia"/>
          <w:sz w:val="24"/>
          <w:szCs w:val="24"/>
        </w:rPr>
        <w:t>发包人</w:t>
      </w:r>
      <w:r>
        <w:rPr>
          <w:sz w:val="24"/>
          <w:szCs w:val="24"/>
        </w:rPr>
        <w:t>不再另行计量、支付。</w:t>
      </w:r>
    </w:p>
    <w:p>
      <w:pPr>
        <w:pStyle w:val="7"/>
        <w:adjustRightInd w:val="0"/>
        <w:snapToGrid w:val="0"/>
        <w:spacing w:line="360" w:lineRule="auto"/>
        <w:rPr>
          <w:color w:val="auto"/>
          <w:sz w:val="30"/>
          <w:szCs w:val="30"/>
        </w:rPr>
      </w:pPr>
      <w:bookmarkStart w:id="238" w:name="_Toc17777"/>
      <w:bookmarkStart w:id="239" w:name="_Toc17959"/>
      <w:bookmarkStart w:id="240" w:name="_Toc7479"/>
      <w:bookmarkStart w:id="241" w:name="_Toc21491"/>
      <w:bookmarkStart w:id="242" w:name="_Toc8203"/>
      <w:bookmarkStart w:id="243" w:name="_Toc159596186"/>
      <w:bookmarkStart w:id="244" w:name="_Toc32577"/>
      <w:r>
        <w:rPr>
          <w:rFonts w:hint="eastAsia"/>
          <w:color w:val="auto"/>
          <w:sz w:val="30"/>
          <w:szCs w:val="30"/>
        </w:rPr>
        <w:t>（九）计量支付管理</w:t>
      </w:r>
      <w:r>
        <w:rPr>
          <w:color w:val="auto"/>
          <w:sz w:val="30"/>
          <w:szCs w:val="30"/>
        </w:rPr>
        <w:t>要求</w:t>
      </w:r>
      <w:bookmarkEnd w:id="238"/>
      <w:bookmarkEnd w:id="239"/>
      <w:bookmarkEnd w:id="240"/>
      <w:bookmarkEnd w:id="241"/>
      <w:bookmarkEnd w:id="242"/>
      <w:bookmarkEnd w:id="243"/>
      <w:bookmarkEnd w:id="244"/>
    </w:p>
    <w:p>
      <w:pPr>
        <w:adjustRightInd w:val="0"/>
        <w:snapToGrid w:val="0"/>
        <w:spacing w:line="360" w:lineRule="auto"/>
        <w:ind w:firstLine="480" w:firstLineChars="200"/>
        <w:rPr>
          <w:sz w:val="24"/>
          <w:szCs w:val="24"/>
        </w:rPr>
      </w:pPr>
      <w:r>
        <w:rPr>
          <w:rFonts w:hint="eastAsia"/>
          <w:sz w:val="24"/>
          <w:szCs w:val="24"/>
        </w:rPr>
        <w:t>按合同要求执行。本项目由于工期紧、任务重，为了保证本项目不受资金支付而影响施工进度，需提前做好资金计划和确定合适的计量支付形式。</w:t>
      </w:r>
    </w:p>
    <w:p>
      <w:pPr>
        <w:pStyle w:val="7"/>
        <w:adjustRightInd w:val="0"/>
        <w:snapToGrid w:val="0"/>
        <w:spacing w:line="360" w:lineRule="auto"/>
        <w:rPr>
          <w:color w:val="auto"/>
          <w:sz w:val="30"/>
          <w:szCs w:val="30"/>
        </w:rPr>
      </w:pPr>
      <w:bookmarkStart w:id="245" w:name="_Toc9310"/>
      <w:bookmarkStart w:id="246" w:name="_Toc29379"/>
      <w:bookmarkStart w:id="247" w:name="_Toc159596187"/>
      <w:bookmarkStart w:id="248" w:name="_Toc5310"/>
      <w:bookmarkStart w:id="249" w:name="_Toc2736"/>
      <w:bookmarkStart w:id="250" w:name="_Toc24808"/>
      <w:bookmarkStart w:id="251" w:name="_Toc16430"/>
      <w:r>
        <w:rPr>
          <w:rFonts w:hint="eastAsia"/>
          <w:color w:val="auto"/>
          <w:sz w:val="30"/>
          <w:szCs w:val="30"/>
        </w:rPr>
        <w:t>（十）工程签证管理</w:t>
      </w:r>
      <w:r>
        <w:rPr>
          <w:color w:val="auto"/>
          <w:sz w:val="30"/>
          <w:szCs w:val="30"/>
        </w:rPr>
        <w:t>要求</w:t>
      </w:r>
      <w:bookmarkEnd w:id="245"/>
      <w:bookmarkEnd w:id="246"/>
      <w:bookmarkEnd w:id="247"/>
      <w:bookmarkEnd w:id="248"/>
      <w:bookmarkEnd w:id="249"/>
      <w:bookmarkEnd w:id="250"/>
      <w:bookmarkEnd w:id="251"/>
    </w:p>
    <w:p>
      <w:pPr>
        <w:adjustRightInd w:val="0"/>
        <w:snapToGrid w:val="0"/>
        <w:spacing w:line="360" w:lineRule="auto"/>
        <w:ind w:firstLine="480" w:firstLineChars="200"/>
        <w:rPr>
          <w:sz w:val="24"/>
          <w:szCs w:val="24"/>
        </w:rPr>
      </w:pPr>
      <w:r>
        <w:rPr>
          <w:rFonts w:hint="eastAsia"/>
          <w:sz w:val="24"/>
          <w:szCs w:val="24"/>
        </w:rPr>
        <w:t>1、施工过程中所有的工程签证必须严格按广州市重点公共建设项目管理中心有关规定执行。</w:t>
      </w:r>
    </w:p>
    <w:p>
      <w:pPr>
        <w:adjustRightInd w:val="0"/>
        <w:snapToGrid w:val="0"/>
        <w:spacing w:line="360" w:lineRule="auto"/>
        <w:ind w:firstLine="480" w:firstLineChars="200"/>
        <w:rPr>
          <w:sz w:val="24"/>
          <w:szCs w:val="24"/>
        </w:rPr>
      </w:pPr>
      <w:r>
        <w:rPr>
          <w:rFonts w:hint="eastAsia"/>
          <w:sz w:val="24"/>
          <w:szCs w:val="24"/>
        </w:rPr>
        <w:t>2、承包人须如实并及时填报工程签证事项、签证工作量、签证费用，同时须附上此项签证有关的详细支持材料后报发包人和监理人审核，并根据发包人和监理人的审核意见实施。涉及的工程量名称、数据及计量单位等应填写清晰。</w:t>
      </w:r>
    </w:p>
    <w:p>
      <w:pPr>
        <w:adjustRightInd w:val="0"/>
        <w:snapToGrid w:val="0"/>
        <w:spacing w:line="360" w:lineRule="auto"/>
        <w:ind w:firstLine="480" w:firstLineChars="200"/>
        <w:rPr>
          <w:sz w:val="24"/>
          <w:szCs w:val="24"/>
        </w:rPr>
      </w:pPr>
      <w:r>
        <w:rPr>
          <w:rFonts w:hint="eastAsia"/>
          <w:sz w:val="24"/>
          <w:szCs w:val="24"/>
        </w:rPr>
        <w:t>3、《签证工程量确认表》应附详细的工程量计算书（必要时附计算简图）、经批复的《签证联系单》及其它支持材料。</w:t>
      </w:r>
    </w:p>
    <w:p>
      <w:pPr>
        <w:adjustRightInd w:val="0"/>
        <w:snapToGrid w:val="0"/>
        <w:spacing w:line="360" w:lineRule="auto"/>
        <w:ind w:firstLine="480" w:firstLineChars="200"/>
        <w:rPr>
          <w:sz w:val="24"/>
          <w:szCs w:val="24"/>
        </w:rPr>
      </w:pPr>
      <w:r>
        <w:rPr>
          <w:rFonts w:hint="eastAsia"/>
          <w:sz w:val="24"/>
          <w:szCs w:val="24"/>
        </w:rPr>
        <w:t>4、涉及拆除的，应明确拆除的工程材料是否可回收利用、不能回收利用材料残值率、绿化工程养护期、拆除废弃物（建筑垃圾）弃运距离等信息，对有回收使用价值的材料设备应提出具体处理意见。</w:t>
      </w:r>
    </w:p>
    <w:p>
      <w:pPr>
        <w:adjustRightInd w:val="0"/>
        <w:snapToGrid w:val="0"/>
        <w:spacing w:line="360" w:lineRule="auto"/>
        <w:ind w:firstLine="480" w:firstLineChars="200"/>
        <w:rPr>
          <w:sz w:val="24"/>
          <w:szCs w:val="24"/>
        </w:rPr>
      </w:pPr>
      <w:r>
        <w:rPr>
          <w:rFonts w:hint="eastAsia"/>
          <w:sz w:val="24"/>
          <w:szCs w:val="24"/>
        </w:rPr>
        <w:t>5、实施过程必须建立工程签证台帐表，按规定与发包人和监理人进行核对。</w:t>
      </w:r>
    </w:p>
    <w:p>
      <w:pPr>
        <w:adjustRightInd w:val="0"/>
        <w:snapToGrid w:val="0"/>
        <w:spacing w:line="360" w:lineRule="auto"/>
        <w:ind w:firstLine="480" w:firstLineChars="200"/>
        <w:rPr>
          <w:sz w:val="24"/>
          <w:szCs w:val="24"/>
        </w:rPr>
      </w:pPr>
    </w:p>
    <w:p>
      <w:pPr>
        <w:pStyle w:val="7"/>
        <w:adjustRightInd w:val="0"/>
        <w:snapToGrid w:val="0"/>
        <w:spacing w:line="360" w:lineRule="auto"/>
        <w:rPr>
          <w:color w:val="auto"/>
          <w:sz w:val="30"/>
          <w:szCs w:val="30"/>
        </w:rPr>
      </w:pPr>
      <w:bookmarkStart w:id="252" w:name="_Toc56444428"/>
      <w:bookmarkStart w:id="253" w:name="_Toc55581778"/>
      <w:bookmarkStart w:id="254" w:name="_Toc838"/>
      <w:bookmarkStart w:id="255" w:name="_Toc3094"/>
      <w:bookmarkStart w:id="256" w:name="_Toc14108"/>
      <w:bookmarkStart w:id="257" w:name="_Toc159596188"/>
      <w:bookmarkStart w:id="258" w:name="_Toc14446"/>
      <w:bookmarkStart w:id="259" w:name="_Toc2538"/>
      <w:bookmarkStart w:id="260" w:name="_Toc18393"/>
      <w:r>
        <w:rPr>
          <w:rFonts w:hint="eastAsia"/>
          <w:color w:val="auto"/>
          <w:sz w:val="30"/>
          <w:szCs w:val="30"/>
        </w:rPr>
        <w:t>（十一）人员</w:t>
      </w:r>
      <w:r>
        <w:rPr>
          <w:color w:val="auto"/>
          <w:sz w:val="30"/>
          <w:szCs w:val="30"/>
        </w:rPr>
        <w:t>配置</w:t>
      </w:r>
      <w:bookmarkEnd w:id="252"/>
      <w:bookmarkEnd w:id="253"/>
      <w:r>
        <w:rPr>
          <w:rFonts w:hint="eastAsia"/>
          <w:color w:val="auto"/>
          <w:sz w:val="30"/>
          <w:szCs w:val="30"/>
        </w:rPr>
        <w:t>及规范化管理要求</w:t>
      </w:r>
      <w:bookmarkEnd w:id="254"/>
      <w:bookmarkEnd w:id="255"/>
      <w:bookmarkEnd w:id="256"/>
      <w:bookmarkEnd w:id="257"/>
      <w:bookmarkEnd w:id="258"/>
      <w:bookmarkEnd w:id="259"/>
      <w:bookmarkEnd w:id="260"/>
    </w:p>
    <w:p>
      <w:pPr>
        <w:adjustRightInd w:val="0"/>
        <w:snapToGrid w:val="0"/>
        <w:spacing w:line="360" w:lineRule="auto"/>
        <w:jc w:val="left"/>
        <w:rPr>
          <w:rFonts w:ascii="宋体" w:hAnsi="宋体"/>
          <w:sz w:val="24"/>
        </w:rPr>
      </w:pPr>
      <w:bookmarkStart w:id="261" w:name="_Toc55575459"/>
      <w:bookmarkStart w:id="262" w:name="_Toc55581779"/>
      <w:bookmarkStart w:id="263" w:name="_Toc56444429"/>
      <w:r>
        <w:rPr>
          <w:rFonts w:hint="eastAsia" w:ascii="宋体" w:hAnsi="宋体"/>
          <w:sz w:val="24"/>
        </w:rPr>
        <w:t>1、承包人人员配置</w:t>
      </w:r>
    </w:p>
    <w:p>
      <w:pPr>
        <w:adjustRightInd w:val="0"/>
        <w:snapToGrid w:val="0"/>
        <w:spacing w:line="360" w:lineRule="auto"/>
        <w:jc w:val="center"/>
        <w:rPr>
          <w:b/>
          <w:sz w:val="24"/>
        </w:rPr>
      </w:pPr>
      <w:r>
        <w:rPr>
          <w:rFonts w:hint="eastAsia" w:ascii="宋体" w:hAnsi="宋体"/>
          <w:sz w:val="24"/>
        </w:rPr>
        <w:t>承包人需成立项目管理部及配备完备的组织架构，并为本项目配备能负责总协调的项目指挥长，便于调度公司资源，下列表格为项目管理部组成人员配备要求表。</w:t>
      </w:r>
      <w:bookmarkEnd w:id="261"/>
      <w:bookmarkEnd w:id="262"/>
      <w:bookmarkEnd w:id="263"/>
      <w:r>
        <w:rPr>
          <w:rFonts w:hint="eastAsia"/>
          <w:b/>
          <w:sz w:val="24"/>
        </w:rPr>
        <w:t>项目管理部组成人员配备要求表</w:t>
      </w:r>
    </w:p>
    <w:tbl>
      <w:tblPr>
        <w:tblStyle w:val="16"/>
        <w:tblpPr w:leftFromText="180" w:rightFromText="180" w:vertAnchor="text" w:horzAnchor="page" w:tblpX="1588" w:tblpY="450"/>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6"/>
        <w:gridCol w:w="1310"/>
        <w:gridCol w:w="1194"/>
        <w:gridCol w:w="57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序号</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sz w:val="22"/>
              </w:rPr>
              <w:t>职务</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sz w:val="22"/>
              </w:rPr>
              <w:t>人员</w:t>
            </w:r>
            <w:r>
              <w:rPr>
                <w:rFonts w:ascii="宋体" w:hAnsi="宋体"/>
                <w:sz w:val="22"/>
              </w:rPr>
              <w:t>数量</w:t>
            </w:r>
          </w:p>
        </w:tc>
        <w:tc>
          <w:tcPr>
            <w:tcW w:w="5717" w:type="dxa"/>
            <w:vAlign w:val="center"/>
          </w:tcPr>
          <w:p>
            <w:pPr>
              <w:adjustRightInd w:val="0"/>
              <w:snapToGrid w:val="0"/>
              <w:spacing w:line="360" w:lineRule="auto"/>
              <w:jc w:val="center"/>
              <w:rPr>
                <w:rFonts w:ascii="宋体" w:hAnsi="宋体"/>
                <w:sz w:val="22"/>
              </w:rPr>
            </w:pPr>
            <w:r>
              <w:rPr>
                <w:rFonts w:hint="eastAsia" w:ascii="宋体" w:hAnsi="宋体"/>
                <w:sz w:val="22"/>
              </w:rPr>
              <w:t>基本任职条件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1</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项目指挥长</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1</w:t>
            </w:r>
          </w:p>
        </w:tc>
        <w:tc>
          <w:tcPr>
            <w:tcW w:w="5717" w:type="dxa"/>
            <w:vAlign w:val="center"/>
          </w:tcPr>
          <w:p>
            <w:pPr>
              <w:adjustRightInd w:val="0"/>
              <w:snapToGrid w:val="0"/>
              <w:spacing w:line="360" w:lineRule="auto"/>
              <w:jc w:val="left"/>
              <w:rPr>
                <w:rFonts w:ascii="宋体" w:hAnsi="宋体"/>
                <w:sz w:val="22"/>
              </w:rPr>
            </w:pPr>
            <w:r>
              <w:rPr>
                <w:rFonts w:hint="eastAsia" w:ascii="宋体" w:hAnsi="宋体" w:cs="宋体"/>
                <w:szCs w:val="21"/>
                <w:lang w:bidi="ar"/>
              </w:rPr>
              <w:t>由投标人现任副总经理、总工程师或以上行政职务担任，且应已任该职满半年或以上的领导担任，负责项目的总协调。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2</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执行指挥长</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1</w:t>
            </w:r>
          </w:p>
        </w:tc>
        <w:tc>
          <w:tcPr>
            <w:tcW w:w="5717" w:type="dxa"/>
            <w:vAlign w:val="center"/>
          </w:tcPr>
          <w:p>
            <w:pPr>
              <w:adjustRightInd w:val="0"/>
              <w:snapToGrid w:val="0"/>
              <w:spacing w:line="360" w:lineRule="auto"/>
              <w:jc w:val="left"/>
              <w:rPr>
                <w:rFonts w:ascii="宋体" w:hAnsi="宋体"/>
                <w:sz w:val="22"/>
              </w:rPr>
            </w:pPr>
            <w:r>
              <w:rPr>
                <w:rFonts w:hint="eastAsia" w:ascii="宋体" w:hAnsi="宋体" w:cs="宋体"/>
                <w:szCs w:val="21"/>
                <w:lang w:bidi="ar"/>
              </w:rPr>
              <w:t>由投标人现任中层或以上行政职务担任，且应已任该职满半年或以上的领导担任，负责项目的协调。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3</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项目负责人</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1</w:t>
            </w:r>
          </w:p>
        </w:tc>
        <w:tc>
          <w:tcPr>
            <w:tcW w:w="5717" w:type="dxa"/>
            <w:vAlign w:val="center"/>
          </w:tcPr>
          <w:p>
            <w:pPr>
              <w:adjustRightInd w:val="0"/>
              <w:snapToGrid w:val="0"/>
              <w:spacing w:line="360" w:lineRule="auto"/>
              <w:jc w:val="left"/>
              <w:rPr>
                <w:rFonts w:ascii="宋体" w:hAnsi="宋体"/>
                <w:sz w:val="22"/>
              </w:rPr>
            </w:pPr>
            <w:r>
              <w:rPr>
                <w:rFonts w:hint="eastAsia" w:ascii="宋体" w:hAnsi="宋体" w:cs="宋体"/>
                <w:szCs w:val="21"/>
                <w:lang w:bidi="ar"/>
              </w:rPr>
              <w:t>按招标公告要求。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4</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项目副经理</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3</w:t>
            </w:r>
          </w:p>
        </w:tc>
        <w:tc>
          <w:tcPr>
            <w:tcW w:w="5717" w:type="dxa"/>
            <w:vAlign w:val="center"/>
          </w:tcPr>
          <w:p>
            <w:pPr>
              <w:adjustRightInd w:val="0"/>
              <w:snapToGrid w:val="0"/>
              <w:spacing w:line="360" w:lineRule="auto"/>
              <w:jc w:val="left"/>
              <w:rPr>
                <w:rFonts w:ascii="宋体" w:hAnsi="宋体"/>
                <w:sz w:val="22"/>
              </w:rPr>
            </w:pPr>
            <w:r>
              <w:rPr>
                <w:rFonts w:hint="eastAsia" w:ascii="宋体" w:hAnsi="宋体" w:cs="宋体"/>
                <w:szCs w:val="21"/>
                <w:lang w:bidi="ar"/>
              </w:rPr>
              <w:t>具有建筑工程专业壹级注册建造师资格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5</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技术负责人</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1</w:t>
            </w:r>
          </w:p>
        </w:tc>
        <w:tc>
          <w:tcPr>
            <w:tcW w:w="5717" w:type="dxa"/>
            <w:vAlign w:val="center"/>
          </w:tcPr>
          <w:p>
            <w:pPr>
              <w:adjustRightInd w:val="0"/>
              <w:snapToGrid w:val="0"/>
              <w:spacing w:line="360" w:lineRule="auto"/>
              <w:jc w:val="left"/>
              <w:rPr>
                <w:rFonts w:ascii="宋体" w:hAnsi="宋体"/>
                <w:sz w:val="22"/>
              </w:rPr>
            </w:pPr>
            <w:r>
              <w:rPr>
                <w:rFonts w:hint="eastAsia" w:ascii="宋体" w:hAnsi="宋体" w:cs="宋体"/>
                <w:szCs w:val="21"/>
                <w:lang w:bidi="ar"/>
              </w:rPr>
              <w:t>按招标公告要求。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6</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技术副总工</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2</w:t>
            </w:r>
          </w:p>
        </w:tc>
        <w:tc>
          <w:tcPr>
            <w:tcW w:w="5717" w:type="dxa"/>
            <w:vAlign w:val="center"/>
          </w:tcPr>
          <w:p>
            <w:pPr>
              <w:adjustRightInd w:val="0"/>
              <w:snapToGrid w:val="0"/>
              <w:spacing w:line="360" w:lineRule="auto"/>
              <w:jc w:val="left"/>
              <w:rPr>
                <w:rFonts w:ascii="宋体" w:hAnsi="宋体"/>
                <w:sz w:val="22"/>
              </w:rPr>
            </w:pPr>
            <w:r>
              <w:rPr>
                <w:rFonts w:hint="eastAsia" w:ascii="宋体" w:hAnsi="宋体" w:cs="宋体"/>
                <w:szCs w:val="21"/>
                <w:lang w:bidi="ar"/>
              </w:rPr>
              <w:t>具备建筑工程类相关专业高级或以上技术职称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7</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质量负责人</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1</w:t>
            </w:r>
          </w:p>
        </w:tc>
        <w:tc>
          <w:tcPr>
            <w:tcW w:w="5717" w:type="dxa"/>
            <w:vAlign w:val="center"/>
          </w:tcPr>
          <w:p>
            <w:pPr>
              <w:adjustRightInd w:val="0"/>
              <w:snapToGrid w:val="0"/>
              <w:spacing w:line="360" w:lineRule="auto"/>
              <w:jc w:val="left"/>
              <w:rPr>
                <w:rFonts w:ascii="宋体" w:hAnsi="宋体"/>
                <w:sz w:val="22"/>
              </w:rPr>
            </w:pPr>
            <w:r>
              <w:rPr>
                <w:rFonts w:hint="eastAsia" w:ascii="宋体" w:hAnsi="宋体" w:cs="宋体"/>
                <w:kern w:val="0"/>
                <w:szCs w:val="21"/>
                <w:lang w:bidi="ar"/>
              </w:rPr>
              <w:t>所学专业或职称为建筑工程类相关专业，</w:t>
            </w:r>
            <w:r>
              <w:rPr>
                <w:rFonts w:hint="eastAsia" w:ascii="宋体" w:hAnsi="宋体" w:cs="宋体"/>
                <w:szCs w:val="21"/>
                <w:lang w:bidi="ar"/>
              </w:rPr>
              <w:t>具备中级或以上技术职称。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8</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质量工程师</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4</w:t>
            </w:r>
          </w:p>
        </w:tc>
        <w:tc>
          <w:tcPr>
            <w:tcW w:w="5717" w:type="dxa"/>
            <w:vAlign w:val="center"/>
          </w:tcPr>
          <w:p>
            <w:pPr>
              <w:adjustRightInd w:val="0"/>
              <w:snapToGrid w:val="0"/>
              <w:spacing w:line="360" w:lineRule="auto"/>
              <w:jc w:val="left"/>
              <w:rPr>
                <w:rFonts w:ascii="宋体" w:hAnsi="宋体"/>
                <w:sz w:val="22"/>
              </w:rPr>
            </w:pPr>
            <w:r>
              <w:rPr>
                <w:rFonts w:hint="eastAsia" w:ascii="宋体" w:hAnsi="宋体" w:cs="宋体"/>
                <w:kern w:val="0"/>
                <w:szCs w:val="21"/>
                <w:lang w:bidi="ar"/>
              </w:rPr>
              <w:t>所学专业或职称为建筑工程类相关专业，</w:t>
            </w:r>
            <w:r>
              <w:rPr>
                <w:rFonts w:hint="eastAsia" w:ascii="宋体" w:hAnsi="宋体" w:cs="宋体"/>
                <w:szCs w:val="21"/>
                <w:lang w:bidi="ar"/>
              </w:rPr>
              <w:t>具备中级或以上技术职称。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9</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质检员</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15</w:t>
            </w:r>
          </w:p>
        </w:tc>
        <w:tc>
          <w:tcPr>
            <w:tcW w:w="5717" w:type="dxa"/>
            <w:vAlign w:val="center"/>
          </w:tcPr>
          <w:p>
            <w:pPr>
              <w:adjustRightInd w:val="0"/>
              <w:snapToGrid w:val="0"/>
              <w:spacing w:line="360" w:lineRule="auto"/>
              <w:jc w:val="left"/>
              <w:rPr>
                <w:sz w:val="22"/>
              </w:rPr>
            </w:pPr>
            <w:r>
              <w:rPr>
                <w:rFonts w:hint="eastAsia" w:ascii="宋体" w:hAnsi="宋体" w:cs="宋体"/>
                <w:kern w:val="0"/>
                <w:szCs w:val="21"/>
                <w:lang w:bidi="ar"/>
              </w:rPr>
              <w:t>所学专业或职称为建筑工程类或机电工程类相关专业，</w:t>
            </w:r>
            <w:r>
              <w:rPr>
                <w:rFonts w:hint="eastAsia" w:ascii="宋体" w:hAnsi="宋体" w:cs="宋体"/>
                <w:szCs w:val="21"/>
                <w:lang w:bidi="ar"/>
              </w:rPr>
              <w:t>具备中级或以上技术职称</w:t>
            </w:r>
            <w:r>
              <w:rPr>
                <w:rFonts w:hint="eastAsia" w:ascii="宋体" w:hAnsi="宋体" w:cs="宋体"/>
                <w:kern w:val="0"/>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10</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kern w:val="44"/>
                <w:szCs w:val="21"/>
                <w:lang w:bidi="ar"/>
              </w:rPr>
              <w:t>材料管理工程师</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3</w:t>
            </w:r>
          </w:p>
        </w:tc>
        <w:tc>
          <w:tcPr>
            <w:tcW w:w="5717" w:type="dxa"/>
            <w:vAlign w:val="center"/>
          </w:tcPr>
          <w:p>
            <w:pPr>
              <w:adjustRightInd w:val="0"/>
              <w:snapToGrid w:val="0"/>
              <w:spacing w:line="360" w:lineRule="auto"/>
              <w:jc w:val="left"/>
              <w:rPr>
                <w:rFonts w:ascii="宋体" w:hAnsi="宋体"/>
                <w:sz w:val="22"/>
              </w:rPr>
            </w:pPr>
            <w:r>
              <w:rPr>
                <w:rFonts w:hint="eastAsia" w:ascii="宋体" w:hAnsi="宋体" w:cs="宋体"/>
                <w:kern w:val="0"/>
                <w:szCs w:val="21"/>
                <w:lang w:bidi="ar"/>
              </w:rPr>
              <w:t>所学专业或职称为建筑工程类相关专业，</w:t>
            </w:r>
            <w:r>
              <w:rPr>
                <w:rFonts w:hint="eastAsia" w:ascii="宋体" w:hAnsi="宋体" w:cs="宋体"/>
                <w:szCs w:val="21"/>
                <w:lang w:bidi="ar"/>
              </w:rPr>
              <w:t>具备初级或以上技术职称。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11</w:t>
            </w:r>
          </w:p>
        </w:tc>
        <w:tc>
          <w:tcPr>
            <w:tcW w:w="1310" w:type="dxa"/>
            <w:vAlign w:val="center"/>
          </w:tcPr>
          <w:p>
            <w:pPr>
              <w:adjustRightInd w:val="0"/>
              <w:snapToGrid w:val="0"/>
              <w:spacing w:line="360" w:lineRule="auto"/>
              <w:jc w:val="center"/>
              <w:rPr>
                <w:rFonts w:ascii="宋体" w:hAnsi="宋体" w:cs="宋体"/>
                <w:kern w:val="44"/>
                <w:sz w:val="22"/>
              </w:rPr>
            </w:pPr>
            <w:r>
              <w:rPr>
                <w:rFonts w:hint="eastAsia" w:ascii="宋体" w:hAnsi="宋体" w:cs="宋体"/>
                <w:szCs w:val="21"/>
                <w:lang w:bidi="ar"/>
              </w:rPr>
              <w:t>试验检测工程师</w:t>
            </w:r>
          </w:p>
        </w:tc>
        <w:tc>
          <w:tcPr>
            <w:tcW w:w="1194" w:type="dxa"/>
            <w:vAlign w:val="center"/>
          </w:tcPr>
          <w:p>
            <w:pPr>
              <w:adjustRightInd w:val="0"/>
              <w:snapToGrid w:val="0"/>
              <w:spacing w:line="360" w:lineRule="auto"/>
              <w:jc w:val="center"/>
              <w:rPr>
                <w:rFonts w:ascii="宋体" w:hAnsi="宋体" w:cs="宋体"/>
                <w:kern w:val="44"/>
                <w:sz w:val="22"/>
              </w:rPr>
            </w:pPr>
            <w:r>
              <w:rPr>
                <w:rFonts w:hint="eastAsia" w:ascii="宋体" w:hAnsi="宋体" w:cs="宋体"/>
                <w:kern w:val="44"/>
                <w:szCs w:val="21"/>
                <w:lang w:bidi="ar"/>
              </w:rPr>
              <w:t>2</w:t>
            </w:r>
          </w:p>
        </w:tc>
        <w:tc>
          <w:tcPr>
            <w:tcW w:w="5717" w:type="dxa"/>
            <w:vAlign w:val="center"/>
          </w:tcPr>
          <w:p>
            <w:pPr>
              <w:adjustRightInd w:val="0"/>
              <w:snapToGrid w:val="0"/>
              <w:spacing w:line="360" w:lineRule="auto"/>
              <w:jc w:val="left"/>
              <w:rPr>
                <w:sz w:val="22"/>
              </w:rPr>
            </w:pPr>
            <w:r>
              <w:rPr>
                <w:rFonts w:hint="eastAsia" w:ascii="宋体" w:hAnsi="宋体" w:cs="宋体"/>
                <w:kern w:val="0"/>
                <w:szCs w:val="21"/>
                <w:lang w:bidi="ar"/>
              </w:rPr>
              <w:t>所学专业或职称为建筑工程类相关专业，</w:t>
            </w:r>
            <w:r>
              <w:rPr>
                <w:rFonts w:hint="eastAsia" w:ascii="宋体" w:hAnsi="宋体" w:cs="宋体"/>
                <w:szCs w:val="21"/>
                <w:lang w:bidi="ar"/>
              </w:rPr>
              <w:t>具备初级或以上技术职称</w:t>
            </w:r>
            <w:r>
              <w:rPr>
                <w:rFonts w:hint="eastAsia" w:ascii="宋体" w:hAnsi="宋体" w:cs="宋体"/>
                <w:kern w:val="0"/>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12</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施工员</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20</w:t>
            </w:r>
          </w:p>
        </w:tc>
        <w:tc>
          <w:tcPr>
            <w:tcW w:w="5717" w:type="dxa"/>
            <w:vAlign w:val="center"/>
          </w:tcPr>
          <w:p>
            <w:pPr>
              <w:adjustRightInd w:val="0"/>
              <w:snapToGrid w:val="0"/>
              <w:spacing w:line="360" w:lineRule="auto"/>
              <w:jc w:val="left"/>
              <w:rPr>
                <w:sz w:val="22"/>
              </w:rPr>
            </w:pPr>
            <w:r>
              <w:rPr>
                <w:rFonts w:hint="eastAsia" w:ascii="宋体" w:hAnsi="宋体" w:cs="宋体"/>
                <w:szCs w:val="21"/>
                <w:lang w:bidi="ar"/>
              </w:rPr>
              <w:t>具备建筑工程类相关专业大专或以上学历，且具有建设行政主管部门或行业协会颁发的施工员岗位证书或上岗证或培训证。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13</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专职安全员</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1</w:t>
            </w:r>
          </w:p>
        </w:tc>
        <w:tc>
          <w:tcPr>
            <w:tcW w:w="5717" w:type="dxa"/>
            <w:vAlign w:val="center"/>
          </w:tcPr>
          <w:p>
            <w:pPr>
              <w:adjustRightInd w:val="0"/>
              <w:snapToGrid w:val="0"/>
              <w:spacing w:line="360" w:lineRule="auto"/>
              <w:jc w:val="left"/>
              <w:rPr>
                <w:rFonts w:ascii="宋体" w:hAnsi="宋体" w:cs="宋体"/>
                <w:kern w:val="0"/>
                <w:sz w:val="22"/>
              </w:rPr>
            </w:pPr>
            <w:r>
              <w:rPr>
                <w:rFonts w:hint="eastAsia" w:ascii="宋体" w:hAnsi="宋体" w:cs="宋体"/>
                <w:szCs w:val="21"/>
                <w:lang w:bidi="ar"/>
              </w:rPr>
              <w:t>按招标公告要求。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14</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安全负责人</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1</w:t>
            </w:r>
          </w:p>
        </w:tc>
        <w:tc>
          <w:tcPr>
            <w:tcW w:w="5717" w:type="dxa"/>
            <w:vAlign w:val="center"/>
          </w:tcPr>
          <w:p>
            <w:pPr>
              <w:adjustRightInd w:val="0"/>
              <w:snapToGrid w:val="0"/>
              <w:spacing w:line="360" w:lineRule="auto"/>
              <w:jc w:val="left"/>
              <w:rPr>
                <w:rFonts w:ascii="宋体" w:hAnsi="宋体" w:cs="宋体"/>
                <w:kern w:val="0"/>
                <w:sz w:val="22"/>
              </w:rPr>
            </w:pPr>
            <w:r>
              <w:rPr>
                <w:rFonts w:hint="eastAsia" w:ascii="宋体" w:hAnsi="宋体" w:cs="宋体"/>
                <w:szCs w:val="21"/>
                <w:lang w:bidi="ar"/>
              </w:rPr>
              <w:t>所学专业或职称为建筑工程类相关专业，具备中级或以上技术职称，具有安全生产考核合格证（C类）或建筑施工企业专职安全生产管理人员安全生产考核合格证书（C3）。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15</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安全工程师</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3</w:t>
            </w:r>
          </w:p>
        </w:tc>
        <w:tc>
          <w:tcPr>
            <w:tcW w:w="5717" w:type="dxa"/>
            <w:vAlign w:val="center"/>
          </w:tcPr>
          <w:p>
            <w:pPr>
              <w:adjustRightInd w:val="0"/>
              <w:snapToGrid w:val="0"/>
              <w:spacing w:line="360" w:lineRule="auto"/>
              <w:jc w:val="left"/>
              <w:rPr>
                <w:sz w:val="22"/>
              </w:rPr>
            </w:pPr>
            <w:r>
              <w:rPr>
                <w:rFonts w:hint="eastAsia" w:ascii="宋体" w:hAnsi="宋体" w:cs="宋体"/>
                <w:kern w:val="0"/>
                <w:szCs w:val="21"/>
                <w:lang w:bidi="ar"/>
              </w:rPr>
              <w:t>所学专业或职称为建筑工程类相关专业，</w:t>
            </w:r>
            <w:r>
              <w:rPr>
                <w:rFonts w:hint="eastAsia" w:ascii="宋体" w:hAnsi="宋体" w:cs="宋体"/>
                <w:szCs w:val="21"/>
                <w:lang w:bidi="ar"/>
              </w:rPr>
              <w:t>具备中级或以上技术职称，具有安全生产考核合格证（C类）或建筑施工企业专职安全生产管理人员安全生产考核合格证书（C3）</w:t>
            </w:r>
            <w:r>
              <w:rPr>
                <w:rFonts w:hint="eastAsia" w:ascii="宋体" w:hAnsi="宋体" w:cs="宋体"/>
                <w:kern w:val="0"/>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16</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安全员</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15</w:t>
            </w:r>
          </w:p>
        </w:tc>
        <w:tc>
          <w:tcPr>
            <w:tcW w:w="5717" w:type="dxa"/>
            <w:vAlign w:val="center"/>
          </w:tcPr>
          <w:p>
            <w:pPr>
              <w:adjustRightInd w:val="0"/>
              <w:snapToGrid w:val="0"/>
              <w:spacing w:line="360" w:lineRule="auto"/>
              <w:jc w:val="left"/>
              <w:rPr>
                <w:rFonts w:ascii="宋体" w:hAnsi="宋体"/>
                <w:sz w:val="22"/>
              </w:rPr>
            </w:pPr>
            <w:r>
              <w:rPr>
                <w:rFonts w:hint="eastAsia" w:ascii="宋体" w:hAnsi="宋体" w:cs="宋体"/>
                <w:kern w:val="0"/>
                <w:szCs w:val="21"/>
                <w:lang w:bidi="ar"/>
              </w:rPr>
              <w:t>所学专业或职称为建筑工程类相关专业，</w:t>
            </w:r>
            <w:r>
              <w:rPr>
                <w:rFonts w:hint="eastAsia" w:ascii="宋体" w:hAnsi="宋体" w:cs="宋体"/>
                <w:szCs w:val="21"/>
                <w:lang w:bidi="ar"/>
              </w:rPr>
              <w:t>具备初级或以上技术职称，具有安全生产考核合格证（C类）或建筑施工企业专职安全生产管理人员安全生产考核合格证书（C3）</w:t>
            </w:r>
            <w:r>
              <w:rPr>
                <w:rFonts w:hint="eastAsia" w:ascii="宋体" w:hAnsi="宋体" w:cs="宋体"/>
                <w:kern w:val="0"/>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17</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kern w:val="44"/>
                <w:szCs w:val="21"/>
                <w:lang w:bidi="ar"/>
              </w:rPr>
              <w:t>机械设备安全管理工程师</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2</w:t>
            </w:r>
          </w:p>
        </w:tc>
        <w:tc>
          <w:tcPr>
            <w:tcW w:w="5717" w:type="dxa"/>
            <w:vAlign w:val="center"/>
          </w:tcPr>
          <w:p>
            <w:pPr>
              <w:adjustRightInd w:val="0"/>
              <w:snapToGrid w:val="0"/>
              <w:spacing w:line="360" w:lineRule="auto"/>
              <w:jc w:val="left"/>
              <w:rPr>
                <w:sz w:val="22"/>
              </w:rPr>
            </w:pPr>
            <w:r>
              <w:rPr>
                <w:rFonts w:hint="eastAsia" w:ascii="宋体" w:hAnsi="宋体" w:cs="宋体"/>
                <w:kern w:val="0"/>
                <w:szCs w:val="21"/>
                <w:lang w:bidi="ar"/>
              </w:rPr>
              <w:t>所学专业或职称为建筑工程类相关专业，</w:t>
            </w:r>
            <w:r>
              <w:rPr>
                <w:rFonts w:hint="eastAsia" w:ascii="宋体" w:hAnsi="宋体" w:cs="宋体"/>
                <w:szCs w:val="21"/>
                <w:lang w:bidi="ar"/>
              </w:rPr>
              <w:t>具备中级或以上技术职称。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18</w:t>
            </w:r>
          </w:p>
        </w:tc>
        <w:tc>
          <w:tcPr>
            <w:tcW w:w="1310" w:type="dxa"/>
            <w:vAlign w:val="center"/>
          </w:tcPr>
          <w:p>
            <w:pPr>
              <w:adjustRightInd w:val="0"/>
              <w:snapToGrid w:val="0"/>
              <w:spacing w:line="360" w:lineRule="auto"/>
              <w:jc w:val="center"/>
              <w:rPr>
                <w:rFonts w:ascii="宋体" w:hAnsi="宋体" w:cs="宋体"/>
                <w:kern w:val="44"/>
                <w:sz w:val="22"/>
              </w:rPr>
            </w:pPr>
            <w:r>
              <w:rPr>
                <w:rFonts w:hint="eastAsia" w:ascii="宋体" w:hAnsi="宋体" w:cs="宋体"/>
                <w:kern w:val="44"/>
                <w:szCs w:val="21"/>
                <w:lang w:bidi="ar"/>
              </w:rPr>
              <w:t>土建工程师</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5</w:t>
            </w:r>
          </w:p>
        </w:tc>
        <w:tc>
          <w:tcPr>
            <w:tcW w:w="5717" w:type="dxa"/>
            <w:vAlign w:val="center"/>
          </w:tcPr>
          <w:p>
            <w:pPr>
              <w:adjustRightInd w:val="0"/>
              <w:snapToGrid w:val="0"/>
              <w:spacing w:line="360" w:lineRule="auto"/>
              <w:jc w:val="left"/>
              <w:rPr>
                <w:rFonts w:ascii="宋体" w:hAnsi="宋体" w:cs="宋体"/>
                <w:kern w:val="0"/>
                <w:sz w:val="22"/>
              </w:rPr>
            </w:pPr>
            <w:r>
              <w:rPr>
                <w:rFonts w:hint="eastAsia" w:ascii="宋体" w:hAnsi="宋体" w:cs="宋体"/>
                <w:kern w:val="0"/>
                <w:szCs w:val="21"/>
                <w:lang w:bidi="ar"/>
              </w:rPr>
              <w:t>所学专业或职称为建筑工程类相关专业，具备中级或以上技术职称。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19</w:t>
            </w:r>
          </w:p>
        </w:tc>
        <w:tc>
          <w:tcPr>
            <w:tcW w:w="1310" w:type="dxa"/>
            <w:vAlign w:val="center"/>
          </w:tcPr>
          <w:p>
            <w:pPr>
              <w:adjustRightInd w:val="0"/>
              <w:snapToGrid w:val="0"/>
              <w:spacing w:line="360" w:lineRule="auto"/>
              <w:jc w:val="center"/>
              <w:rPr>
                <w:rFonts w:ascii="宋体" w:hAnsi="宋体" w:cs="宋体"/>
                <w:kern w:val="44"/>
                <w:sz w:val="22"/>
              </w:rPr>
            </w:pPr>
            <w:r>
              <w:rPr>
                <w:rFonts w:hint="eastAsia" w:ascii="宋体" w:hAnsi="宋体" w:cs="宋体"/>
                <w:kern w:val="44"/>
                <w:szCs w:val="21"/>
                <w:lang w:bidi="ar"/>
              </w:rPr>
              <w:t>装修工程师</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15</w:t>
            </w:r>
          </w:p>
        </w:tc>
        <w:tc>
          <w:tcPr>
            <w:tcW w:w="5717" w:type="dxa"/>
            <w:vAlign w:val="center"/>
          </w:tcPr>
          <w:p>
            <w:pPr>
              <w:adjustRightInd w:val="0"/>
              <w:snapToGrid w:val="0"/>
              <w:spacing w:line="360" w:lineRule="auto"/>
              <w:jc w:val="left"/>
              <w:rPr>
                <w:rFonts w:ascii="宋体" w:hAnsi="宋体" w:cs="宋体"/>
                <w:kern w:val="0"/>
                <w:sz w:val="22"/>
              </w:rPr>
            </w:pPr>
            <w:r>
              <w:rPr>
                <w:rFonts w:hint="eastAsia" w:ascii="宋体" w:hAnsi="宋体" w:cs="宋体"/>
                <w:kern w:val="0"/>
                <w:szCs w:val="21"/>
                <w:lang w:bidi="ar"/>
              </w:rPr>
              <w:t>所学专业或职称为建筑工程或装饰装修类相关专业，具备中级或以上技术职称。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20</w:t>
            </w:r>
          </w:p>
        </w:tc>
        <w:tc>
          <w:tcPr>
            <w:tcW w:w="1310" w:type="dxa"/>
            <w:vAlign w:val="center"/>
          </w:tcPr>
          <w:p>
            <w:pPr>
              <w:adjustRightInd w:val="0"/>
              <w:snapToGrid w:val="0"/>
              <w:spacing w:line="360" w:lineRule="auto"/>
              <w:jc w:val="center"/>
              <w:rPr>
                <w:rFonts w:ascii="宋体" w:hAnsi="宋体" w:cs="宋体"/>
                <w:kern w:val="44"/>
                <w:sz w:val="22"/>
              </w:rPr>
            </w:pPr>
            <w:r>
              <w:rPr>
                <w:rFonts w:hint="eastAsia" w:ascii="宋体" w:hAnsi="宋体" w:cs="宋体"/>
                <w:kern w:val="44"/>
                <w:szCs w:val="21"/>
                <w:lang w:bidi="ar"/>
              </w:rPr>
              <w:t>市政工程师</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3</w:t>
            </w:r>
          </w:p>
        </w:tc>
        <w:tc>
          <w:tcPr>
            <w:tcW w:w="5717" w:type="dxa"/>
            <w:vAlign w:val="center"/>
          </w:tcPr>
          <w:p>
            <w:pPr>
              <w:adjustRightInd w:val="0"/>
              <w:snapToGrid w:val="0"/>
              <w:spacing w:line="360" w:lineRule="auto"/>
              <w:jc w:val="left"/>
              <w:rPr>
                <w:rFonts w:ascii="宋体" w:hAnsi="宋体" w:cs="宋体"/>
                <w:kern w:val="0"/>
                <w:sz w:val="22"/>
              </w:rPr>
            </w:pPr>
            <w:r>
              <w:rPr>
                <w:rFonts w:hint="eastAsia" w:ascii="宋体" w:hAnsi="宋体" w:cs="宋体"/>
                <w:kern w:val="0"/>
                <w:szCs w:val="21"/>
                <w:lang w:bidi="ar"/>
              </w:rPr>
              <w:t>所学专业或职称为建筑工程或市政类相关专业，</w:t>
            </w:r>
            <w:r>
              <w:rPr>
                <w:rFonts w:hint="eastAsia" w:ascii="宋体" w:hAnsi="宋体" w:cs="宋体"/>
                <w:szCs w:val="21"/>
                <w:lang w:bidi="ar"/>
              </w:rPr>
              <w:t>具备中级或以上技术职称。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21</w:t>
            </w:r>
          </w:p>
        </w:tc>
        <w:tc>
          <w:tcPr>
            <w:tcW w:w="1310" w:type="dxa"/>
            <w:vAlign w:val="center"/>
          </w:tcPr>
          <w:p>
            <w:pPr>
              <w:adjustRightInd w:val="0"/>
              <w:snapToGrid w:val="0"/>
              <w:spacing w:line="360" w:lineRule="auto"/>
              <w:jc w:val="center"/>
              <w:rPr>
                <w:rFonts w:ascii="宋体" w:hAnsi="宋体" w:cs="宋体"/>
                <w:kern w:val="44"/>
                <w:sz w:val="22"/>
              </w:rPr>
            </w:pPr>
            <w:r>
              <w:rPr>
                <w:rFonts w:hint="eastAsia" w:ascii="宋体" w:hAnsi="宋体" w:cs="宋体"/>
                <w:kern w:val="44"/>
                <w:szCs w:val="21"/>
                <w:lang w:bidi="ar"/>
              </w:rPr>
              <w:t>园林绿化工程师</w:t>
            </w:r>
          </w:p>
        </w:tc>
        <w:tc>
          <w:tcPr>
            <w:tcW w:w="1194" w:type="dxa"/>
            <w:vAlign w:val="center"/>
          </w:tcPr>
          <w:p>
            <w:pPr>
              <w:adjustRightInd w:val="0"/>
              <w:snapToGrid w:val="0"/>
              <w:spacing w:line="360" w:lineRule="auto"/>
              <w:jc w:val="center"/>
              <w:rPr>
                <w:rFonts w:ascii="宋体" w:hAnsi="宋体" w:cs="宋体"/>
                <w:kern w:val="44"/>
                <w:sz w:val="22"/>
              </w:rPr>
            </w:pPr>
            <w:r>
              <w:rPr>
                <w:rFonts w:hint="eastAsia" w:ascii="宋体" w:hAnsi="宋体" w:cs="宋体"/>
                <w:szCs w:val="21"/>
                <w:lang w:bidi="ar"/>
              </w:rPr>
              <w:t>2</w:t>
            </w:r>
          </w:p>
        </w:tc>
        <w:tc>
          <w:tcPr>
            <w:tcW w:w="5717" w:type="dxa"/>
            <w:vAlign w:val="center"/>
          </w:tcPr>
          <w:p>
            <w:pPr>
              <w:adjustRightInd w:val="0"/>
              <w:snapToGrid w:val="0"/>
              <w:spacing w:line="360" w:lineRule="auto"/>
              <w:jc w:val="left"/>
              <w:rPr>
                <w:rFonts w:ascii="宋体" w:hAnsi="宋体" w:cs="宋体"/>
                <w:kern w:val="0"/>
                <w:sz w:val="22"/>
              </w:rPr>
            </w:pPr>
            <w:r>
              <w:rPr>
                <w:rFonts w:hint="eastAsia" w:ascii="宋体" w:hAnsi="宋体" w:cs="宋体"/>
                <w:kern w:val="0"/>
                <w:szCs w:val="21"/>
                <w:lang w:bidi="ar"/>
              </w:rPr>
              <w:t>所学专业或职称为建筑工程或园林绿化类相关专业，</w:t>
            </w:r>
            <w:r>
              <w:rPr>
                <w:rFonts w:hint="eastAsia" w:ascii="宋体" w:hAnsi="宋体" w:cs="宋体"/>
                <w:szCs w:val="21"/>
                <w:lang w:bidi="ar"/>
              </w:rPr>
              <w:t>具备中级或以上技术职称。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22</w:t>
            </w:r>
          </w:p>
        </w:tc>
        <w:tc>
          <w:tcPr>
            <w:tcW w:w="1310" w:type="dxa"/>
            <w:vAlign w:val="center"/>
          </w:tcPr>
          <w:p>
            <w:pPr>
              <w:adjustRightInd w:val="0"/>
              <w:snapToGrid w:val="0"/>
              <w:spacing w:line="360" w:lineRule="auto"/>
              <w:jc w:val="center"/>
              <w:rPr>
                <w:rFonts w:ascii="宋体" w:hAnsi="宋体" w:cs="宋体"/>
                <w:kern w:val="44"/>
                <w:sz w:val="22"/>
              </w:rPr>
            </w:pPr>
            <w:r>
              <w:rPr>
                <w:rFonts w:hint="eastAsia" w:ascii="宋体" w:hAnsi="宋体" w:cs="宋体"/>
                <w:kern w:val="44"/>
                <w:szCs w:val="21"/>
                <w:lang w:bidi="ar"/>
              </w:rPr>
              <w:t>弱电工程师</w:t>
            </w:r>
          </w:p>
        </w:tc>
        <w:tc>
          <w:tcPr>
            <w:tcW w:w="1194" w:type="dxa"/>
            <w:vAlign w:val="center"/>
          </w:tcPr>
          <w:p>
            <w:pPr>
              <w:adjustRightInd w:val="0"/>
              <w:snapToGrid w:val="0"/>
              <w:spacing w:line="360" w:lineRule="auto"/>
              <w:jc w:val="center"/>
              <w:rPr>
                <w:rFonts w:ascii="宋体" w:hAnsi="宋体" w:cs="宋体"/>
                <w:kern w:val="44"/>
                <w:sz w:val="22"/>
              </w:rPr>
            </w:pPr>
            <w:r>
              <w:rPr>
                <w:rFonts w:hint="eastAsia" w:ascii="宋体" w:hAnsi="宋体" w:cs="宋体"/>
                <w:kern w:val="44"/>
                <w:szCs w:val="21"/>
                <w:lang w:bidi="ar"/>
              </w:rPr>
              <w:t>6</w:t>
            </w:r>
          </w:p>
        </w:tc>
        <w:tc>
          <w:tcPr>
            <w:tcW w:w="5717" w:type="dxa"/>
            <w:vAlign w:val="center"/>
          </w:tcPr>
          <w:p>
            <w:pPr>
              <w:adjustRightInd w:val="0"/>
              <w:snapToGrid w:val="0"/>
              <w:spacing w:line="360" w:lineRule="auto"/>
              <w:jc w:val="left"/>
              <w:rPr>
                <w:rFonts w:ascii="宋体" w:hAnsi="宋体" w:cs="宋体"/>
                <w:kern w:val="0"/>
                <w:sz w:val="22"/>
              </w:rPr>
            </w:pPr>
            <w:r>
              <w:rPr>
                <w:rFonts w:hint="eastAsia" w:ascii="宋体" w:hAnsi="宋体" w:cs="宋体"/>
                <w:kern w:val="0"/>
                <w:szCs w:val="21"/>
                <w:lang w:bidi="ar"/>
              </w:rPr>
              <w:t>所学专业或职称为智能化或电气相关专业，具备中级或以上技术职称。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23</w:t>
            </w:r>
          </w:p>
        </w:tc>
        <w:tc>
          <w:tcPr>
            <w:tcW w:w="1310" w:type="dxa"/>
            <w:vAlign w:val="center"/>
          </w:tcPr>
          <w:p>
            <w:pPr>
              <w:adjustRightInd w:val="0"/>
              <w:snapToGrid w:val="0"/>
              <w:spacing w:line="360" w:lineRule="auto"/>
              <w:jc w:val="center"/>
              <w:rPr>
                <w:rFonts w:ascii="宋体" w:hAnsi="宋体" w:cs="宋体"/>
                <w:kern w:val="44"/>
                <w:sz w:val="22"/>
              </w:rPr>
            </w:pPr>
            <w:r>
              <w:rPr>
                <w:rFonts w:hint="eastAsia" w:ascii="宋体" w:hAnsi="宋体" w:cs="宋体"/>
                <w:kern w:val="44"/>
                <w:szCs w:val="21"/>
                <w:lang w:bidi="ar"/>
              </w:rPr>
              <w:t>电气工程师</w:t>
            </w:r>
          </w:p>
        </w:tc>
        <w:tc>
          <w:tcPr>
            <w:tcW w:w="1194" w:type="dxa"/>
            <w:vAlign w:val="center"/>
          </w:tcPr>
          <w:p>
            <w:pPr>
              <w:adjustRightInd w:val="0"/>
              <w:snapToGrid w:val="0"/>
              <w:spacing w:line="360" w:lineRule="auto"/>
              <w:jc w:val="center"/>
              <w:rPr>
                <w:rFonts w:ascii="宋体" w:hAnsi="宋体" w:cs="宋体"/>
                <w:kern w:val="44"/>
                <w:sz w:val="22"/>
              </w:rPr>
            </w:pPr>
            <w:r>
              <w:rPr>
                <w:rFonts w:hint="eastAsia" w:ascii="宋体" w:hAnsi="宋体" w:cs="宋体"/>
                <w:kern w:val="44"/>
                <w:szCs w:val="21"/>
                <w:lang w:bidi="ar"/>
              </w:rPr>
              <w:t>6</w:t>
            </w:r>
          </w:p>
        </w:tc>
        <w:tc>
          <w:tcPr>
            <w:tcW w:w="5717" w:type="dxa"/>
            <w:vAlign w:val="center"/>
          </w:tcPr>
          <w:p>
            <w:pPr>
              <w:adjustRightInd w:val="0"/>
              <w:snapToGrid w:val="0"/>
              <w:spacing w:line="360" w:lineRule="auto"/>
              <w:jc w:val="left"/>
              <w:rPr>
                <w:rFonts w:ascii="宋体" w:hAnsi="宋体" w:cs="宋体"/>
                <w:kern w:val="0"/>
                <w:sz w:val="22"/>
              </w:rPr>
            </w:pPr>
            <w:r>
              <w:rPr>
                <w:rFonts w:hint="eastAsia" w:ascii="宋体" w:hAnsi="宋体" w:cs="宋体"/>
                <w:kern w:val="0"/>
                <w:szCs w:val="21"/>
                <w:lang w:bidi="ar"/>
              </w:rPr>
              <w:t>所学专业或职称为机电工程类相关专业，具备中级或以上技术职称。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24</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kern w:val="44"/>
                <w:szCs w:val="21"/>
                <w:lang w:bidi="ar"/>
              </w:rPr>
              <w:t>给排水工程师</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kern w:val="44"/>
                <w:szCs w:val="21"/>
                <w:lang w:bidi="ar"/>
              </w:rPr>
              <w:t>6</w:t>
            </w:r>
          </w:p>
        </w:tc>
        <w:tc>
          <w:tcPr>
            <w:tcW w:w="5717" w:type="dxa"/>
            <w:vAlign w:val="center"/>
          </w:tcPr>
          <w:p>
            <w:pPr>
              <w:adjustRightInd w:val="0"/>
              <w:snapToGrid w:val="0"/>
              <w:spacing w:line="360" w:lineRule="auto"/>
              <w:jc w:val="left"/>
              <w:rPr>
                <w:sz w:val="22"/>
              </w:rPr>
            </w:pPr>
            <w:r>
              <w:rPr>
                <w:rFonts w:hint="eastAsia" w:ascii="宋体" w:hAnsi="宋体" w:cs="宋体"/>
                <w:kern w:val="0"/>
                <w:szCs w:val="21"/>
                <w:lang w:bidi="ar"/>
              </w:rPr>
              <w:t>所学专业或职称为给排水类相关专业，</w:t>
            </w:r>
            <w:r>
              <w:rPr>
                <w:rFonts w:hint="eastAsia" w:ascii="宋体" w:hAnsi="宋体" w:cs="宋体"/>
                <w:szCs w:val="21"/>
                <w:lang w:bidi="ar"/>
              </w:rPr>
              <w:t>具备中级或以上技术职称。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25</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kern w:val="44"/>
                <w:szCs w:val="21"/>
                <w:lang w:bidi="ar"/>
              </w:rPr>
              <w:t>造价负责人</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kern w:val="44"/>
                <w:szCs w:val="21"/>
                <w:lang w:bidi="ar"/>
              </w:rPr>
              <w:t>1</w:t>
            </w:r>
          </w:p>
        </w:tc>
        <w:tc>
          <w:tcPr>
            <w:tcW w:w="5717" w:type="dxa"/>
            <w:vAlign w:val="center"/>
          </w:tcPr>
          <w:p>
            <w:pPr>
              <w:adjustRightInd w:val="0"/>
              <w:snapToGrid w:val="0"/>
              <w:spacing w:line="360" w:lineRule="auto"/>
              <w:jc w:val="left"/>
              <w:rPr>
                <w:sz w:val="22"/>
              </w:rPr>
            </w:pPr>
            <w:r>
              <w:rPr>
                <w:rFonts w:hint="eastAsia" w:ascii="宋体" w:hAnsi="宋体" w:cs="宋体"/>
                <w:kern w:val="44"/>
                <w:szCs w:val="21"/>
                <w:lang w:bidi="ar"/>
              </w:rPr>
              <w:t>具有一级注册造价工程师。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26</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造价工程师</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5</w:t>
            </w:r>
          </w:p>
        </w:tc>
        <w:tc>
          <w:tcPr>
            <w:tcW w:w="5717" w:type="dxa"/>
            <w:vAlign w:val="center"/>
          </w:tcPr>
          <w:p>
            <w:pPr>
              <w:adjustRightInd w:val="0"/>
              <w:snapToGrid w:val="0"/>
              <w:spacing w:line="360" w:lineRule="auto"/>
              <w:jc w:val="left"/>
              <w:rPr>
                <w:sz w:val="22"/>
              </w:rPr>
            </w:pPr>
            <w:r>
              <w:rPr>
                <w:rFonts w:hint="eastAsia" w:ascii="宋体" w:hAnsi="宋体" w:cs="宋体"/>
                <w:kern w:val="0"/>
                <w:szCs w:val="21"/>
                <w:lang w:bidi="ar"/>
              </w:rPr>
              <w:t>具有一级注册造价工程师</w:t>
            </w:r>
            <w:r>
              <w:rPr>
                <w:rFonts w:hint="eastAsia" w:ascii="宋体" w:hAnsi="宋体" w:cs="宋体"/>
                <w:kern w:val="44"/>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27</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测量工程师</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4</w:t>
            </w:r>
          </w:p>
        </w:tc>
        <w:tc>
          <w:tcPr>
            <w:tcW w:w="5717" w:type="dxa"/>
            <w:vAlign w:val="center"/>
          </w:tcPr>
          <w:p>
            <w:pPr>
              <w:adjustRightInd w:val="0"/>
              <w:snapToGrid w:val="0"/>
              <w:spacing w:line="360" w:lineRule="auto"/>
              <w:jc w:val="left"/>
              <w:rPr>
                <w:sz w:val="22"/>
              </w:rPr>
            </w:pPr>
            <w:r>
              <w:rPr>
                <w:rFonts w:hint="eastAsia" w:ascii="宋体" w:hAnsi="宋体" w:cs="宋体"/>
                <w:kern w:val="0"/>
                <w:szCs w:val="21"/>
                <w:lang w:bidi="ar"/>
              </w:rPr>
              <w:t>所学专业或职称为测量类相关专业，</w:t>
            </w:r>
            <w:r>
              <w:rPr>
                <w:rFonts w:hint="eastAsia" w:ascii="宋体" w:hAnsi="宋体" w:cs="宋体"/>
                <w:szCs w:val="21"/>
                <w:lang w:bidi="ar"/>
              </w:rPr>
              <w:t>具备中级或以上技术职称。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28</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计划合同管理工程师</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2</w:t>
            </w:r>
          </w:p>
        </w:tc>
        <w:tc>
          <w:tcPr>
            <w:tcW w:w="5717" w:type="dxa"/>
            <w:vAlign w:val="center"/>
          </w:tcPr>
          <w:p>
            <w:pPr>
              <w:adjustRightInd w:val="0"/>
              <w:snapToGrid w:val="0"/>
              <w:spacing w:line="360" w:lineRule="auto"/>
              <w:jc w:val="left"/>
              <w:rPr>
                <w:rFonts w:ascii="宋体" w:hAnsi="宋体" w:cs="宋体"/>
                <w:kern w:val="0"/>
                <w:sz w:val="22"/>
              </w:rPr>
            </w:pPr>
            <w:r>
              <w:rPr>
                <w:rFonts w:hint="eastAsia" w:ascii="宋体" w:hAnsi="宋体" w:cs="宋体"/>
                <w:kern w:val="0"/>
                <w:szCs w:val="21"/>
                <w:lang w:bidi="ar"/>
              </w:rPr>
              <w:t>所学专业或职称为建筑工程类相关专业，</w:t>
            </w:r>
            <w:r>
              <w:rPr>
                <w:rFonts w:hint="eastAsia" w:ascii="宋体" w:hAnsi="宋体" w:cs="宋体"/>
                <w:szCs w:val="21"/>
                <w:lang w:bidi="ar"/>
              </w:rPr>
              <w:t>具备中级或以上技术职称</w:t>
            </w:r>
            <w:r>
              <w:rPr>
                <w:rFonts w:hint="eastAsia" w:ascii="宋体" w:hAnsi="宋体" w:cs="宋体"/>
                <w:kern w:val="0"/>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29</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资料员</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6</w:t>
            </w:r>
          </w:p>
        </w:tc>
        <w:tc>
          <w:tcPr>
            <w:tcW w:w="5717" w:type="dxa"/>
            <w:vAlign w:val="center"/>
          </w:tcPr>
          <w:p>
            <w:pPr>
              <w:adjustRightInd w:val="0"/>
              <w:snapToGrid w:val="0"/>
              <w:spacing w:line="360" w:lineRule="auto"/>
              <w:jc w:val="left"/>
              <w:rPr>
                <w:rFonts w:ascii="宋体" w:hAnsi="宋体" w:cs="宋体"/>
                <w:kern w:val="0"/>
                <w:sz w:val="22"/>
              </w:rPr>
            </w:pPr>
            <w:r>
              <w:rPr>
                <w:rFonts w:hint="eastAsia" w:ascii="宋体" w:hAnsi="宋体" w:cs="宋体"/>
                <w:szCs w:val="21"/>
                <w:lang w:bidi="ar"/>
              </w:rPr>
              <w:t>具备建筑工程类相关专业大专或以上学历，且具有建设行政主管部门或行业协会颁发的资料员岗位证书或上岗证或培训证。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30</w:t>
            </w:r>
          </w:p>
        </w:tc>
        <w:tc>
          <w:tcPr>
            <w:tcW w:w="1310" w:type="dxa"/>
            <w:vAlign w:val="center"/>
          </w:tcPr>
          <w:p>
            <w:r>
              <w:rPr>
                <w:rFonts w:hint="eastAsia" w:ascii="宋体" w:hAnsi="宋体" w:cs="宋体"/>
                <w:szCs w:val="21"/>
                <w:lang w:bidi="ar"/>
              </w:rPr>
              <w:t>BIM项目负责人</w:t>
            </w:r>
          </w:p>
          <w:p>
            <w:pPr>
              <w:adjustRightInd w:val="0"/>
              <w:snapToGrid w:val="0"/>
              <w:spacing w:line="360" w:lineRule="auto"/>
              <w:jc w:val="center"/>
              <w:rPr>
                <w:rFonts w:ascii="宋体" w:hAnsi="宋体"/>
                <w:sz w:val="22"/>
              </w:rPr>
            </w:pP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1</w:t>
            </w:r>
          </w:p>
        </w:tc>
        <w:tc>
          <w:tcPr>
            <w:tcW w:w="5717" w:type="dxa"/>
            <w:vAlign w:val="center"/>
          </w:tcPr>
          <w:p>
            <w:pPr>
              <w:adjustRightInd w:val="0"/>
              <w:snapToGrid w:val="0"/>
              <w:spacing w:line="360" w:lineRule="auto"/>
              <w:jc w:val="left"/>
              <w:rPr>
                <w:rFonts w:ascii="宋体" w:hAnsi="宋体"/>
                <w:sz w:val="22"/>
              </w:rPr>
            </w:pPr>
            <w:r>
              <w:rPr>
                <w:rFonts w:hint="eastAsia" w:ascii="宋体" w:hAnsi="宋体" w:cs="宋体"/>
                <w:kern w:val="0"/>
                <w:szCs w:val="21"/>
                <w:lang w:bidi="ar"/>
              </w:rPr>
              <w:t>所学专业或职称为建筑工程类相关专业，</w:t>
            </w:r>
            <w:r>
              <w:rPr>
                <w:rFonts w:hint="eastAsia" w:ascii="宋体" w:hAnsi="宋体" w:cs="宋体"/>
                <w:szCs w:val="21"/>
                <w:lang w:bidi="ar"/>
              </w:rPr>
              <w:t>具备高级或以上技术职称</w:t>
            </w:r>
            <w:r>
              <w:rPr>
                <w:rFonts w:hint="eastAsia" w:ascii="宋体" w:hAnsi="宋体" w:cs="宋体"/>
                <w:kern w:val="0"/>
                <w:szCs w:val="21"/>
                <w:lang w:bidi="ar"/>
              </w:rPr>
              <w:t>，</w:t>
            </w:r>
            <w:r>
              <w:rPr>
                <w:rFonts w:hint="eastAsia" w:ascii="宋体" w:hAnsi="宋体" w:cs="宋体"/>
                <w:szCs w:val="21"/>
                <w:lang w:bidi="ar"/>
              </w:rPr>
              <w:t>具有相关专业BIM建模经验。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hint="eastAsia" w:ascii="宋体" w:hAnsi="宋体"/>
                <w:sz w:val="22"/>
              </w:rPr>
              <w:t>31</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BIM技术总工</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cs="宋体"/>
                <w:szCs w:val="21"/>
                <w:lang w:bidi="ar"/>
              </w:rPr>
              <w:t>1</w:t>
            </w:r>
          </w:p>
        </w:tc>
        <w:tc>
          <w:tcPr>
            <w:tcW w:w="5717" w:type="dxa"/>
            <w:vAlign w:val="center"/>
          </w:tcPr>
          <w:p>
            <w:pPr>
              <w:adjustRightInd w:val="0"/>
              <w:snapToGrid w:val="0"/>
              <w:spacing w:line="360" w:lineRule="auto"/>
              <w:jc w:val="left"/>
              <w:rPr>
                <w:sz w:val="22"/>
              </w:rPr>
            </w:pPr>
            <w:r>
              <w:rPr>
                <w:rFonts w:hint="eastAsia" w:ascii="宋体" w:hAnsi="宋体" w:cs="宋体"/>
                <w:kern w:val="0"/>
                <w:szCs w:val="21"/>
                <w:lang w:bidi="ar"/>
              </w:rPr>
              <w:t>所学专业或职称为建筑工程类相关专业，</w:t>
            </w:r>
            <w:r>
              <w:rPr>
                <w:rFonts w:hint="eastAsia" w:ascii="宋体" w:hAnsi="宋体" w:cs="宋体"/>
                <w:szCs w:val="21"/>
                <w:lang w:bidi="ar"/>
              </w:rPr>
              <w:t>具备高级或以上技术职称</w:t>
            </w:r>
            <w:r>
              <w:rPr>
                <w:rFonts w:hint="eastAsia" w:ascii="宋体" w:hAnsi="宋体" w:cs="宋体"/>
                <w:kern w:val="0"/>
                <w:szCs w:val="21"/>
                <w:lang w:bidi="ar"/>
              </w:rPr>
              <w:t>，</w:t>
            </w:r>
            <w:r>
              <w:rPr>
                <w:rFonts w:hint="eastAsia" w:ascii="宋体" w:hAnsi="宋体" w:cs="宋体"/>
                <w:szCs w:val="21"/>
                <w:lang w:bidi="ar"/>
              </w:rPr>
              <w:t>具有相关专业BIM建模经验。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ascii="宋体" w:hAnsi="宋体"/>
                <w:sz w:val="22"/>
              </w:rPr>
              <w:t>32</w:t>
            </w:r>
          </w:p>
        </w:tc>
        <w:tc>
          <w:tcPr>
            <w:tcW w:w="1310" w:type="dxa"/>
            <w:vAlign w:val="center"/>
          </w:tcPr>
          <w:p>
            <w:pPr>
              <w:jc w:val="center"/>
              <w:rPr>
                <w:rFonts w:ascii="宋体" w:hAnsi="宋体" w:cs="宋体"/>
                <w:szCs w:val="21"/>
                <w:lang w:bidi="ar"/>
              </w:rPr>
            </w:pPr>
            <w:r>
              <w:rPr>
                <w:rFonts w:hint="eastAsia" w:ascii="宋体" w:hAnsi="宋体" w:cs="宋体"/>
                <w:szCs w:val="21"/>
                <w:lang w:bidi="ar"/>
              </w:rPr>
              <w:t>BIM项目工程师</w:t>
            </w:r>
          </w:p>
          <w:p>
            <w:pPr>
              <w:jc w:val="center"/>
              <w:rPr>
                <w:rFonts w:ascii="宋体" w:hAnsi="宋体"/>
                <w:sz w:val="22"/>
              </w:rPr>
            </w:pPr>
            <w:r>
              <w:rPr>
                <w:rFonts w:hint="eastAsia" w:ascii="宋体" w:hAnsi="宋体" w:cs="宋体"/>
                <w:szCs w:val="21"/>
                <w:lang w:bidi="ar"/>
              </w:rPr>
              <w:t>（按照专业配置，专业要求详见第五章“BIM技术团队组</w:t>
            </w:r>
            <w:r>
              <w:rPr>
                <w:rFonts w:ascii="宋体" w:hAnsi="宋体" w:cs="宋体"/>
                <w:sz w:val="20"/>
                <w:szCs w:val="20"/>
                <w:lang w:bidi="ar"/>
              </w:rPr>
              <w:t>成”</w:t>
            </w:r>
            <w:r>
              <w:rPr>
                <w:rFonts w:hint="eastAsia" w:ascii="宋体" w:hAnsi="宋体" w:cs="宋体"/>
                <w:szCs w:val="21"/>
                <w:lang w:bidi="ar"/>
              </w:rPr>
              <w:t>）</w:t>
            </w:r>
          </w:p>
        </w:tc>
        <w:tc>
          <w:tcPr>
            <w:tcW w:w="1194" w:type="dxa"/>
            <w:vAlign w:val="center"/>
          </w:tcPr>
          <w:p>
            <w:pPr>
              <w:jc w:val="center"/>
              <w:rPr>
                <w:rFonts w:ascii="宋体" w:hAnsi="宋体"/>
                <w:sz w:val="22"/>
              </w:rPr>
            </w:pPr>
            <w:r>
              <w:rPr>
                <w:rFonts w:hint="eastAsia" w:ascii="宋体" w:hAnsi="宋体" w:cs="宋体"/>
                <w:szCs w:val="21"/>
                <w:lang w:bidi="ar"/>
              </w:rPr>
              <w:t>不少于5名</w:t>
            </w:r>
          </w:p>
        </w:tc>
        <w:tc>
          <w:tcPr>
            <w:tcW w:w="5717" w:type="dxa"/>
            <w:vAlign w:val="center"/>
          </w:tcPr>
          <w:p>
            <w:pPr>
              <w:jc w:val="left"/>
              <w:rPr>
                <w:sz w:val="22"/>
              </w:rPr>
            </w:pPr>
            <w:r>
              <w:rPr>
                <w:rFonts w:hint="eastAsia" w:ascii="宋体" w:hAnsi="宋体" w:cs="宋体"/>
                <w:kern w:val="0"/>
                <w:szCs w:val="21"/>
                <w:lang w:bidi="ar"/>
              </w:rPr>
              <w:t>所学专业或职称为建筑工程类相关专业，</w:t>
            </w:r>
            <w:r>
              <w:rPr>
                <w:rFonts w:hint="eastAsia" w:ascii="宋体" w:hAnsi="宋体" w:cs="宋体"/>
                <w:szCs w:val="21"/>
                <w:lang w:bidi="ar"/>
              </w:rPr>
              <w:t>具备初级或以上技术职称</w:t>
            </w:r>
            <w:r>
              <w:rPr>
                <w:rFonts w:hint="eastAsia" w:ascii="宋体" w:hAnsi="宋体" w:cs="宋体"/>
                <w:kern w:val="0"/>
                <w:szCs w:val="21"/>
                <w:lang w:bidi="ar"/>
              </w:rPr>
              <w:t>，</w:t>
            </w:r>
            <w:r>
              <w:rPr>
                <w:rFonts w:hint="eastAsia" w:ascii="宋体" w:hAnsi="宋体" w:cs="宋体"/>
                <w:szCs w:val="21"/>
                <w:lang w:bidi="ar"/>
              </w:rPr>
              <w:t>具有相关专业BIM建模经验。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16" w:type="dxa"/>
            <w:vAlign w:val="center"/>
          </w:tcPr>
          <w:p>
            <w:pPr>
              <w:adjustRightInd w:val="0"/>
              <w:snapToGrid w:val="0"/>
              <w:spacing w:line="360" w:lineRule="auto"/>
              <w:jc w:val="center"/>
              <w:rPr>
                <w:rFonts w:ascii="宋体" w:hAnsi="宋体"/>
                <w:sz w:val="22"/>
              </w:rPr>
            </w:pPr>
            <w:r>
              <w:rPr>
                <w:rFonts w:ascii="宋体" w:hAnsi="宋体"/>
                <w:sz w:val="22"/>
              </w:rPr>
              <w:t>33</w:t>
            </w:r>
          </w:p>
        </w:tc>
        <w:tc>
          <w:tcPr>
            <w:tcW w:w="1310" w:type="dxa"/>
            <w:vAlign w:val="center"/>
          </w:tcPr>
          <w:p>
            <w:pPr>
              <w:adjustRightInd w:val="0"/>
              <w:snapToGrid w:val="0"/>
              <w:spacing w:line="360" w:lineRule="auto"/>
              <w:jc w:val="center"/>
              <w:rPr>
                <w:rFonts w:ascii="宋体" w:hAnsi="宋体"/>
                <w:sz w:val="22"/>
              </w:rPr>
            </w:pPr>
            <w:r>
              <w:rPr>
                <w:rFonts w:hint="eastAsia" w:ascii="宋体" w:hAnsi="宋体"/>
                <w:sz w:val="22"/>
              </w:rPr>
              <w:t>小计</w:t>
            </w:r>
          </w:p>
        </w:tc>
        <w:tc>
          <w:tcPr>
            <w:tcW w:w="1194" w:type="dxa"/>
            <w:vAlign w:val="center"/>
          </w:tcPr>
          <w:p>
            <w:pPr>
              <w:adjustRightInd w:val="0"/>
              <w:snapToGrid w:val="0"/>
              <w:spacing w:line="360" w:lineRule="auto"/>
              <w:jc w:val="center"/>
              <w:rPr>
                <w:rFonts w:ascii="宋体" w:hAnsi="宋体"/>
                <w:sz w:val="22"/>
              </w:rPr>
            </w:pPr>
            <w:r>
              <w:rPr>
                <w:rFonts w:hint="eastAsia" w:ascii="宋体" w:hAnsi="宋体"/>
                <w:sz w:val="22"/>
              </w:rPr>
              <w:t>144</w:t>
            </w:r>
          </w:p>
        </w:tc>
        <w:tc>
          <w:tcPr>
            <w:tcW w:w="5717" w:type="dxa"/>
            <w:vAlign w:val="center"/>
          </w:tcPr>
          <w:p>
            <w:pPr>
              <w:adjustRightInd w:val="0"/>
              <w:snapToGrid w:val="0"/>
              <w:spacing w:line="360" w:lineRule="auto"/>
              <w:jc w:val="center"/>
              <w:rPr>
                <w:sz w:val="22"/>
              </w:rPr>
            </w:pPr>
          </w:p>
        </w:tc>
      </w:tr>
    </w:tbl>
    <w:p>
      <w:pPr>
        <w:adjustRightInd w:val="0"/>
        <w:snapToGrid w:val="0"/>
        <w:spacing w:line="360" w:lineRule="auto"/>
        <w:jc w:val="left"/>
        <w:rPr>
          <w:b/>
          <w:sz w:val="24"/>
        </w:rPr>
      </w:pPr>
      <w:r>
        <w:rPr>
          <w:rFonts w:hint="eastAsia"/>
          <w:snapToGrid w:val="0"/>
          <w:kern w:val="0"/>
        </w:rPr>
        <w:t>注：（1）上表人员均要求为投标单位正式职工，即指在投标单位已连续购买近六个月社保的在职人员，须同时提供承包人企业（不含承包人的子公司，但包括承包人企业非独立法人的分支机构）购买的社保证明（若当地政府部门允许企业在疫情期间缓缴社会保险费且承包人未缴纳的，承包人可提供当地政府部门允许缓缴社保的相关文件作为缴纳社保的证明，确定中标人后，发包人将核实中标人拟派人员的社保补缴情况）。除注明外，各岗位人员不得相互兼职。</w:t>
      </w:r>
      <w:r>
        <w:rPr>
          <w:rFonts w:hint="eastAsia"/>
        </w:rPr>
        <w:t>（2）拟投入的项目部人员，中标后不得更换，否则按合同约定承担违约责任。（3）对</w:t>
      </w:r>
      <w:r>
        <w:t>任何被调离或离职的技术或管理人员，</w:t>
      </w:r>
      <w:r>
        <w:rPr>
          <w:rFonts w:hint="eastAsia"/>
        </w:rPr>
        <w:t>承包人</w:t>
      </w:r>
      <w:r>
        <w:t>必须立即</w:t>
      </w:r>
      <w:r>
        <w:rPr>
          <w:rFonts w:hint="eastAsia"/>
        </w:rPr>
        <w:t>重新</w:t>
      </w:r>
      <w:r>
        <w:t>调派有</w:t>
      </w:r>
      <w:r>
        <w:rPr>
          <w:rFonts w:hint="eastAsia"/>
        </w:rPr>
        <w:t>资深</w:t>
      </w:r>
      <w:r>
        <w:t>技术和经验的人员填补其职位空缺，并必须取得发包人的认可。</w:t>
      </w:r>
    </w:p>
    <w:p>
      <w:pPr>
        <w:adjustRightInd w:val="0"/>
        <w:snapToGrid w:val="0"/>
        <w:spacing w:line="360" w:lineRule="auto"/>
        <w:rPr>
          <w:rFonts w:ascii="宋体" w:hAnsi="宋体"/>
          <w:sz w:val="24"/>
        </w:rPr>
      </w:pPr>
      <w:r>
        <w:rPr>
          <w:rFonts w:hint="eastAsia" w:ascii="宋体" w:hAnsi="宋体"/>
          <w:sz w:val="24"/>
        </w:rPr>
        <w:t>2、承包人规范化管理要求</w:t>
      </w:r>
    </w:p>
    <w:p>
      <w:pPr>
        <w:adjustRightInd w:val="0"/>
        <w:snapToGrid w:val="0"/>
        <w:spacing w:line="360" w:lineRule="auto"/>
        <w:ind w:firstLine="480" w:firstLineChars="200"/>
        <w:rPr>
          <w:rFonts w:ascii="宋体" w:hAnsi="宋体"/>
          <w:sz w:val="24"/>
        </w:rPr>
      </w:pPr>
      <w:r>
        <w:rPr>
          <w:rFonts w:hint="eastAsia" w:ascii="宋体" w:hAnsi="宋体"/>
          <w:sz w:val="24"/>
        </w:rPr>
        <w:t>（1）承包人进场后7天内分别组建完成组织管理架构、安全管理架构负责现场的施工管理工作，必须持证上岗，各管理架构及其架构人员社保证明报发包人、监理人审批。</w:t>
      </w:r>
    </w:p>
    <w:p>
      <w:pPr>
        <w:adjustRightInd w:val="0"/>
        <w:snapToGrid w:val="0"/>
        <w:spacing w:line="360" w:lineRule="auto"/>
        <w:ind w:firstLine="480" w:firstLineChars="200"/>
        <w:rPr>
          <w:rFonts w:ascii="宋体" w:hAnsi="宋体"/>
          <w:sz w:val="24"/>
        </w:rPr>
      </w:pPr>
      <w:r>
        <w:rPr>
          <w:rFonts w:hint="eastAsia" w:ascii="宋体" w:hAnsi="宋体"/>
          <w:sz w:val="24"/>
        </w:rPr>
        <w:t>（2）关于施工总承包管理及专业配合服务团队的要求。为了确保在多单位交叉施工期间各专业施工队伍合理配合，有条不紊开展施工，要求承包人单位专门成立施工总承包管理及专业配合服务团队负责履行施工总承包配合服务工作。该团队人员组成方案须报监理人、发包人审批，驻场工作期限至项目竣工验收合格。</w:t>
      </w:r>
    </w:p>
    <w:p>
      <w:pPr>
        <w:adjustRightInd w:val="0"/>
        <w:snapToGrid w:val="0"/>
        <w:spacing w:line="360" w:lineRule="auto"/>
        <w:ind w:firstLine="480" w:firstLineChars="200"/>
        <w:rPr>
          <w:rFonts w:ascii="宋体" w:hAnsi="宋体"/>
          <w:sz w:val="24"/>
        </w:rPr>
      </w:pPr>
      <w:r>
        <w:rPr>
          <w:rFonts w:hint="eastAsia" w:ascii="宋体" w:hAnsi="宋体"/>
          <w:sz w:val="24"/>
        </w:rPr>
        <w:t>（3）现场组织实施管理费以月为单位，进行计量支付。现场组织实施管理费的支付及费用标准按合同规定执行。</w:t>
      </w:r>
    </w:p>
    <w:p>
      <w:pPr>
        <w:pStyle w:val="23"/>
        <w:adjustRightInd w:val="0"/>
        <w:snapToGrid w:val="0"/>
        <w:spacing w:line="360" w:lineRule="auto"/>
        <w:ind w:firstLine="480" w:firstLineChars="200"/>
        <w:rPr>
          <w:sz w:val="24"/>
          <w:szCs w:val="24"/>
          <w:lang w:eastAsia="zh-CN"/>
        </w:rPr>
      </w:pPr>
      <w:r>
        <w:rPr>
          <w:rFonts w:hint="eastAsia"/>
          <w:sz w:val="24"/>
          <w:lang w:eastAsia="zh-CN"/>
        </w:rPr>
        <w:t>（4）</w:t>
      </w:r>
      <w:r>
        <w:rPr>
          <w:rFonts w:hint="eastAsia"/>
          <w:sz w:val="24"/>
          <w:szCs w:val="24"/>
          <w:lang w:eastAsia="zh-CN"/>
        </w:rPr>
        <w:t>现场管理机构各部主要组织管理人员在开工前必须全部到位，并接受总监理工程师和发包人代表的查验。承包人委派的现场管理机构各部主要组织管理人员不得有兼职情况存在，并接受监理人的监督。</w:t>
      </w:r>
    </w:p>
    <w:p>
      <w:pPr>
        <w:pStyle w:val="23"/>
        <w:adjustRightInd w:val="0"/>
        <w:snapToGrid w:val="0"/>
        <w:spacing w:line="360" w:lineRule="auto"/>
        <w:ind w:firstLine="480" w:firstLineChars="200"/>
        <w:rPr>
          <w:sz w:val="24"/>
          <w:szCs w:val="24"/>
          <w:lang w:eastAsia="zh-CN"/>
        </w:rPr>
      </w:pPr>
      <w:r>
        <w:rPr>
          <w:rFonts w:hint="eastAsia"/>
          <w:sz w:val="24"/>
          <w:lang w:eastAsia="zh-CN"/>
        </w:rPr>
        <w:t>（5）</w:t>
      </w:r>
      <w:r>
        <w:rPr>
          <w:rFonts w:hint="eastAsia"/>
          <w:sz w:val="24"/>
          <w:szCs w:val="24"/>
          <w:lang w:eastAsia="zh-CN"/>
        </w:rPr>
        <w:t>现场管理机构各部主要组织管理人员应与投标文件保持一致，发包人不要求更换时不得更换。因特殊情况需要更换的，承包人应以书面形式向监理人提出意向（附前任和后任人员的详细履历资料），经总监理工程师签署意见后向发包人提出申请，征得发包人同意后方可更换。承包人必须保证后任人员的资质、资历、业绩、实际工作能力不低于前任人员的素质。即使发包人同意更换的，承包人仍应按合同的约定承担违反投标承诺的违约责任。</w:t>
      </w:r>
    </w:p>
    <w:p>
      <w:pPr>
        <w:pStyle w:val="23"/>
        <w:adjustRightInd w:val="0"/>
        <w:snapToGrid w:val="0"/>
        <w:spacing w:line="360" w:lineRule="auto"/>
        <w:ind w:firstLine="480" w:firstLineChars="200"/>
        <w:rPr>
          <w:sz w:val="24"/>
          <w:szCs w:val="24"/>
          <w:lang w:eastAsia="zh-CN"/>
        </w:rPr>
      </w:pPr>
      <w:r>
        <w:rPr>
          <w:rFonts w:hint="eastAsia"/>
          <w:sz w:val="24"/>
          <w:lang w:eastAsia="zh-CN"/>
        </w:rPr>
        <w:t>（6）</w:t>
      </w:r>
      <w:r>
        <w:rPr>
          <w:rFonts w:hint="eastAsia"/>
          <w:sz w:val="24"/>
          <w:szCs w:val="24"/>
          <w:lang w:eastAsia="zh-CN"/>
        </w:rPr>
        <w:t>若更换项目指挥长、项目经理、技术负责人、总承包协调负责人、安全总监、质量总监、专职安全员、质检员而未征得发包人同意的，不得计量相应人员的现场组织实施管理费，并承担合同相应的违约责任。</w:t>
      </w:r>
    </w:p>
    <w:p>
      <w:pPr>
        <w:pStyle w:val="23"/>
        <w:adjustRightInd w:val="0"/>
        <w:snapToGrid w:val="0"/>
        <w:spacing w:line="360" w:lineRule="auto"/>
        <w:ind w:firstLine="480" w:firstLineChars="200"/>
        <w:rPr>
          <w:lang w:eastAsia="zh-CN"/>
        </w:rPr>
      </w:pPr>
      <w:r>
        <w:rPr>
          <w:rFonts w:hint="eastAsia"/>
          <w:sz w:val="24"/>
          <w:lang w:eastAsia="zh-CN"/>
        </w:rPr>
        <w:t>（7）</w:t>
      </w:r>
      <w:r>
        <w:rPr>
          <w:rFonts w:hint="eastAsia"/>
          <w:sz w:val="24"/>
          <w:szCs w:val="24"/>
          <w:lang w:eastAsia="zh-CN"/>
        </w:rPr>
        <w:t>经发包人或总监理工程师考核，承包人投入的现场组织管理人员不能满足本工程建设要求的，承包人必须无条件按发包人的要求更换，直至满足本工程建设要求为止。而且，不满足本工程建设要求的现场组织管理人员必须在发包人指令期限内撤场，所更换的人必须在期限内上岗。如承包人不能及时安排相关人员进场，则在此期间的现场组织实施管理费扣除。</w:t>
      </w:r>
    </w:p>
    <w:p>
      <w:pPr>
        <w:pStyle w:val="21"/>
        <w:ind w:firstLine="496"/>
        <w:rPr>
          <w:rFonts w:ascii="宋体" w:hAnsi="宋体"/>
        </w:rPr>
      </w:pPr>
      <w:r>
        <w:rPr>
          <w:rFonts w:hint="eastAsia" w:ascii="宋体" w:hAnsi="宋体"/>
        </w:rPr>
        <w:t>（8）根据项目进度需求，不定期召开高层会议有利项目整体推进。所有分包施工企业必须指派一名公司领导（副总以上，具备调动公司资源能力）担任分包指挥长，参加建设指挥部组织的指挥长联席会议，同时要求驻场指挥。</w:t>
      </w:r>
    </w:p>
    <w:p>
      <w:pPr>
        <w:pStyle w:val="21"/>
        <w:ind w:firstLine="496"/>
        <w:rPr>
          <w:rFonts w:ascii="宋体" w:hAnsi="宋体"/>
        </w:rPr>
      </w:pPr>
      <w:r>
        <w:rPr>
          <w:rFonts w:hint="eastAsia" w:ascii="宋体" w:hAnsi="宋体"/>
        </w:rPr>
        <w:t>（9）要求项目指挥长每月至少亲自组织2次工地现场会议，协调质量、进度、安全、文明施工等会议，并将相关会议纪要报监理人和发包人备案。如果项目指挥长因故不能召开，经发包人批准，可委托同级别或以上的单位领导组织会议。如果项目指挥长或其同级别或以上的单位领导不能按上述要求组织会议，每缺席一次，就按合同约定承担一次一般违约责任。</w:t>
      </w:r>
    </w:p>
    <w:p>
      <w:pPr>
        <w:adjustRightInd w:val="0"/>
        <w:snapToGrid w:val="0"/>
        <w:spacing w:line="360" w:lineRule="auto"/>
        <w:ind w:firstLine="500" w:firstLineChars="202"/>
        <w:rPr>
          <w:rFonts w:ascii="宋体" w:hAnsi="宋体"/>
          <w:spacing w:val="4"/>
          <w:kern w:val="0"/>
          <w:sz w:val="24"/>
          <w:szCs w:val="24"/>
        </w:rPr>
      </w:pPr>
      <w:r>
        <w:rPr>
          <w:rFonts w:hint="eastAsia" w:ascii="宋体" w:hAnsi="宋体"/>
          <w:spacing w:val="4"/>
          <w:kern w:val="0"/>
          <w:sz w:val="24"/>
          <w:szCs w:val="24"/>
        </w:rPr>
        <w:t>（10）承包人依法分包项目的分包负责人、材料设备供应商负责人应按监理人、发包人要求，参加工程例会。如无故缺席，应按合同约定承担违约责任。</w:t>
      </w:r>
      <w:r>
        <w:rPr>
          <w:rFonts w:hint="eastAsia" w:ascii="宋体" w:hAnsi="宋体"/>
          <w:spacing w:val="4"/>
          <w:kern w:val="0"/>
          <w:sz w:val="24"/>
          <w:szCs w:val="24"/>
        </w:rPr>
        <w:br w:type="textWrapping"/>
      </w:r>
      <w:r>
        <w:rPr>
          <w:rFonts w:hint="eastAsia" w:ascii="宋体" w:hAnsi="宋体"/>
          <w:spacing w:val="4"/>
          <w:kern w:val="0"/>
          <w:sz w:val="24"/>
          <w:szCs w:val="24"/>
        </w:rPr>
        <w:t xml:space="preserve">    （11）总承包单位必须履行总承包管理职责，依法依规对分包单位进行管理，包括但不限于质量、安全、进度以及组织协调。</w:t>
      </w:r>
    </w:p>
    <w:p>
      <w:pPr>
        <w:pStyle w:val="7"/>
        <w:adjustRightInd w:val="0"/>
        <w:snapToGrid w:val="0"/>
        <w:spacing w:line="360" w:lineRule="auto"/>
        <w:rPr>
          <w:color w:val="auto"/>
          <w:sz w:val="30"/>
          <w:szCs w:val="30"/>
        </w:rPr>
      </w:pPr>
      <w:bookmarkStart w:id="264" w:name="_Toc28472"/>
      <w:bookmarkStart w:id="265" w:name="_Toc25558"/>
      <w:bookmarkStart w:id="266" w:name="_Toc14038"/>
      <w:bookmarkStart w:id="267" w:name="_Toc6114"/>
      <w:bookmarkStart w:id="268" w:name="_Toc26731"/>
      <w:bookmarkStart w:id="269" w:name="_Toc159596189"/>
      <w:r>
        <w:rPr>
          <w:rFonts w:hint="eastAsia"/>
          <w:color w:val="auto"/>
          <w:sz w:val="30"/>
          <w:szCs w:val="30"/>
        </w:rPr>
        <w:t>（十二）施工人员着装要求</w:t>
      </w:r>
      <w:bookmarkEnd w:id="264"/>
      <w:bookmarkEnd w:id="265"/>
      <w:bookmarkEnd w:id="266"/>
      <w:bookmarkEnd w:id="267"/>
      <w:bookmarkEnd w:id="268"/>
      <w:bookmarkEnd w:id="269"/>
    </w:p>
    <w:p>
      <w:pPr>
        <w:adjustRightInd w:val="0"/>
        <w:snapToGrid w:val="0"/>
        <w:spacing w:line="360" w:lineRule="auto"/>
        <w:ind w:firstLine="500" w:firstLineChars="202"/>
        <w:rPr>
          <w:rFonts w:ascii="宋体" w:hAnsi="宋体"/>
          <w:spacing w:val="4"/>
          <w:kern w:val="0"/>
          <w:sz w:val="24"/>
          <w:szCs w:val="24"/>
        </w:rPr>
      </w:pPr>
      <w:r>
        <w:rPr>
          <w:rFonts w:ascii="宋体" w:hAnsi="宋体"/>
          <w:spacing w:val="4"/>
          <w:kern w:val="0"/>
          <w:sz w:val="24"/>
          <w:szCs w:val="24"/>
        </w:rPr>
        <w:t>本项目施工人员着装要求统一，着装颜色按工种划分。统一印制公司名称。对施工着装及安全用具的配置与安全生产措施费的支付挂钩，由监理单位进行考核确认。具体要求如下</w:t>
      </w:r>
      <w:r>
        <w:rPr>
          <w:rFonts w:hint="eastAsia" w:ascii="宋体" w:hAnsi="宋体"/>
          <w:spacing w:val="4"/>
          <w:kern w:val="0"/>
          <w:sz w:val="24"/>
          <w:szCs w:val="24"/>
        </w:rPr>
        <w:t>表</w:t>
      </w:r>
      <w:r>
        <w:rPr>
          <w:rFonts w:ascii="宋体" w:hAnsi="宋体"/>
          <w:spacing w:val="4"/>
          <w:kern w:val="0"/>
          <w:sz w:val="24"/>
          <w:szCs w:val="24"/>
        </w:rPr>
        <w:t>：</w:t>
      </w:r>
    </w:p>
    <w:tbl>
      <w:tblPr>
        <w:tblStyle w:val="16"/>
        <w:tblW w:w="0" w:type="auto"/>
        <w:jc w:val="center"/>
        <w:tblCellSpacing w:w="0" w:type="dxa"/>
        <w:tblLayout w:type="fixed"/>
        <w:tblCellMar>
          <w:top w:w="0" w:type="dxa"/>
          <w:left w:w="0" w:type="dxa"/>
          <w:bottom w:w="0" w:type="dxa"/>
          <w:right w:w="0" w:type="dxa"/>
        </w:tblCellMar>
      </w:tblPr>
      <w:tblGrid>
        <w:gridCol w:w="442"/>
        <w:gridCol w:w="1700"/>
        <w:gridCol w:w="864"/>
        <w:gridCol w:w="653"/>
        <w:gridCol w:w="1280"/>
        <w:gridCol w:w="1595"/>
      </w:tblGrid>
      <w:tr>
        <w:tblPrEx>
          <w:tblCellMar>
            <w:top w:w="0" w:type="dxa"/>
            <w:left w:w="0" w:type="dxa"/>
            <w:bottom w:w="0" w:type="dxa"/>
            <w:right w:w="0" w:type="dxa"/>
          </w:tblCellMar>
        </w:tblPrEx>
        <w:trPr>
          <w:trHeight w:val="620" w:hRule="atLeast"/>
          <w:tblCellSpacing w:w="0" w:type="dxa"/>
          <w:jc w:val="center"/>
        </w:trPr>
        <w:tc>
          <w:tcPr>
            <w:tcW w:w="442" w:type="dxa"/>
            <w:tcBorders>
              <w:top w:val="single" w:color="080000" w:sz="4" w:space="0"/>
              <w:left w:val="single" w:color="080000" w:sz="4" w:space="0"/>
              <w:bottom w:val="single" w:color="080000" w:sz="4" w:space="0"/>
              <w:right w:val="single" w:color="080000" w:sz="4" w:space="0"/>
            </w:tcBorders>
            <w:shd w:val="clear" w:color="auto" w:fill="2F5597"/>
          </w:tcPr>
          <w:p>
            <w:pPr>
              <w:pStyle w:val="14"/>
              <w:jc w:val="center"/>
              <w:rPr>
                <w:rFonts w:cs="宋体"/>
                <w:sz w:val="21"/>
                <w:szCs w:val="21"/>
              </w:rPr>
            </w:pPr>
            <w:r>
              <w:rPr>
                <w:rFonts w:hint="eastAsia" w:cs="宋体"/>
                <w:b/>
                <w:bCs/>
                <w:sz w:val="21"/>
                <w:szCs w:val="21"/>
              </w:rPr>
              <w:t>序号</w:t>
            </w:r>
          </w:p>
        </w:tc>
        <w:tc>
          <w:tcPr>
            <w:tcW w:w="1700" w:type="dxa"/>
            <w:tcBorders>
              <w:top w:val="single" w:color="080000" w:sz="4" w:space="0"/>
              <w:left w:val="single" w:color="080000" w:sz="4" w:space="0"/>
              <w:bottom w:val="single" w:color="080000" w:sz="4" w:space="0"/>
              <w:right w:val="single" w:color="080000" w:sz="4" w:space="0"/>
            </w:tcBorders>
            <w:shd w:val="clear" w:color="auto" w:fill="2F5597"/>
          </w:tcPr>
          <w:p>
            <w:pPr>
              <w:pStyle w:val="14"/>
              <w:jc w:val="center"/>
              <w:rPr>
                <w:rFonts w:cs="宋体"/>
                <w:sz w:val="21"/>
                <w:szCs w:val="21"/>
              </w:rPr>
            </w:pPr>
            <w:r>
              <w:rPr>
                <w:rFonts w:hint="eastAsia" w:cs="宋体"/>
                <w:b/>
                <w:bCs/>
                <w:sz w:val="21"/>
                <w:szCs w:val="21"/>
              </w:rPr>
              <w:t>岗位</w:t>
            </w:r>
          </w:p>
        </w:tc>
        <w:tc>
          <w:tcPr>
            <w:tcW w:w="864" w:type="dxa"/>
            <w:tcBorders>
              <w:top w:val="single" w:color="080000" w:sz="4" w:space="0"/>
              <w:left w:val="single" w:color="080000" w:sz="4" w:space="0"/>
              <w:bottom w:val="single" w:color="080000" w:sz="4" w:space="0"/>
              <w:right w:val="single" w:color="080000" w:sz="4" w:space="0"/>
            </w:tcBorders>
            <w:shd w:val="clear" w:color="auto" w:fill="2F5597"/>
          </w:tcPr>
          <w:p>
            <w:pPr>
              <w:pStyle w:val="14"/>
              <w:jc w:val="center"/>
              <w:rPr>
                <w:rFonts w:cs="宋体"/>
                <w:sz w:val="21"/>
                <w:szCs w:val="21"/>
              </w:rPr>
            </w:pPr>
            <w:r>
              <w:rPr>
                <w:rFonts w:hint="eastAsia" w:cs="宋体"/>
                <w:b/>
                <w:bCs/>
                <w:sz w:val="21"/>
                <w:szCs w:val="21"/>
              </w:rPr>
              <w:t>反光背心</w:t>
            </w:r>
          </w:p>
        </w:tc>
        <w:tc>
          <w:tcPr>
            <w:tcW w:w="653" w:type="dxa"/>
            <w:tcBorders>
              <w:top w:val="single" w:color="080000" w:sz="4" w:space="0"/>
              <w:left w:val="single" w:color="080000" w:sz="4" w:space="0"/>
              <w:bottom w:val="single" w:color="080000" w:sz="4" w:space="0"/>
              <w:right w:val="single" w:color="080000" w:sz="4" w:space="0"/>
            </w:tcBorders>
            <w:shd w:val="clear" w:color="auto" w:fill="2F5597"/>
          </w:tcPr>
          <w:p>
            <w:pPr>
              <w:pStyle w:val="14"/>
              <w:jc w:val="center"/>
              <w:rPr>
                <w:rFonts w:cs="宋体"/>
                <w:sz w:val="21"/>
                <w:szCs w:val="21"/>
              </w:rPr>
            </w:pPr>
            <w:r>
              <w:rPr>
                <w:rFonts w:hint="eastAsia" w:cs="宋体"/>
                <w:b/>
                <w:bCs/>
                <w:sz w:val="21"/>
                <w:szCs w:val="21"/>
              </w:rPr>
              <w:t>安全帽</w:t>
            </w:r>
          </w:p>
        </w:tc>
        <w:tc>
          <w:tcPr>
            <w:tcW w:w="1280" w:type="dxa"/>
            <w:tcBorders>
              <w:top w:val="single" w:color="080000" w:sz="4" w:space="0"/>
              <w:left w:val="single" w:color="080000" w:sz="4" w:space="0"/>
              <w:bottom w:val="single" w:color="080000" w:sz="4" w:space="0"/>
              <w:right w:val="single" w:color="080000" w:sz="4" w:space="0"/>
            </w:tcBorders>
            <w:shd w:val="clear" w:color="auto" w:fill="2F5597"/>
          </w:tcPr>
          <w:p>
            <w:pPr>
              <w:pStyle w:val="14"/>
              <w:jc w:val="center"/>
              <w:rPr>
                <w:rFonts w:cs="宋体"/>
                <w:sz w:val="21"/>
                <w:szCs w:val="21"/>
              </w:rPr>
            </w:pPr>
            <w:r>
              <w:rPr>
                <w:rFonts w:hint="eastAsia" w:cs="宋体"/>
                <w:b/>
                <w:bCs/>
                <w:sz w:val="21"/>
                <w:szCs w:val="21"/>
              </w:rPr>
              <w:t>安全带</w:t>
            </w:r>
          </w:p>
        </w:tc>
        <w:tc>
          <w:tcPr>
            <w:tcW w:w="1595" w:type="dxa"/>
            <w:tcBorders>
              <w:top w:val="single" w:color="080000" w:sz="4" w:space="0"/>
              <w:left w:val="single" w:color="080000" w:sz="4" w:space="0"/>
              <w:bottom w:val="single" w:color="080000" w:sz="4" w:space="0"/>
              <w:right w:val="single" w:color="080000" w:sz="4" w:space="0"/>
            </w:tcBorders>
            <w:shd w:val="clear" w:color="auto" w:fill="2F5597"/>
          </w:tcPr>
          <w:p>
            <w:pPr>
              <w:pStyle w:val="14"/>
              <w:jc w:val="center"/>
              <w:rPr>
                <w:rFonts w:cs="宋体"/>
                <w:sz w:val="21"/>
                <w:szCs w:val="21"/>
              </w:rPr>
            </w:pPr>
            <w:r>
              <w:rPr>
                <w:rFonts w:hint="eastAsia" w:cs="宋体"/>
                <w:b/>
                <w:bCs/>
                <w:sz w:val="21"/>
                <w:szCs w:val="21"/>
              </w:rPr>
              <w:t>其他</w:t>
            </w:r>
          </w:p>
        </w:tc>
      </w:tr>
      <w:tr>
        <w:tblPrEx>
          <w:tblCellMar>
            <w:top w:w="0" w:type="dxa"/>
            <w:left w:w="0" w:type="dxa"/>
            <w:bottom w:w="0" w:type="dxa"/>
            <w:right w:w="0" w:type="dxa"/>
          </w:tblCellMar>
        </w:tblPrEx>
        <w:trPr>
          <w:trHeight w:val="478" w:hRule="atLeast"/>
          <w:tblCellSpacing w:w="0" w:type="dxa"/>
          <w:jc w:val="center"/>
        </w:trPr>
        <w:tc>
          <w:tcPr>
            <w:tcW w:w="442"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1</w:t>
            </w:r>
          </w:p>
        </w:tc>
        <w:tc>
          <w:tcPr>
            <w:tcW w:w="1700"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施工管理人员</w:t>
            </w:r>
          </w:p>
        </w:tc>
        <w:tc>
          <w:tcPr>
            <w:tcW w:w="864"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蓝绿色</w:t>
            </w:r>
          </w:p>
        </w:tc>
        <w:tc>
          <w:tcPr>
            <w:tcW w:w="653"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白色</w:t>
            </w:r>
          </w:p>
        </w:tc>
        <w:tc>
          <w:tcPr>
            <w:tcW w:w="1280"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w:t>
            </w:r>
          </w:p>
        </w:tc>
        <w:tc>
          <w:tcPr>
            <w:tcW w:w="1595"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w:t>
            </w:r>
          </w:p>
        </w:tc>
      </w:tr>
      <w:tr>
        <w:tblPrEx>
          <w:tblCellMar>
            <w:top w:w="0" w:type="dxa"/>
            <w:left w:w="0" w:type="dxa"/>
            <w:bottom w:w="0" w:type="dxa"/>
            <w:right w:w="0" w:type="dxa"/>
          </w:tblCellMar>
        </w:tblPrEx>
        <w:trPr>
          <w:trHeight w:val="360" w:hRule="atLeast"/>
          <w:tblCellSpacing w:w="0" w:type="dxa"/>
          <w:jc w:val="center"/>
        </w:trPr>
        <w:tc>
          <w:tcPr>
            <w:tcW w:w="442"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2</w:t>
            </w:r>
          </w:p>
        </w:tc>
        <w:tc>
          <w:tcPr>
            <w:tcW w:w="1700"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安全管理人员</w:t>
            </w:r>
          </w:p>
        </w:tc>
        <w:tc>
          <w:tcPr>
            <w:tcW w:w="864"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红色</w:t>
            </w:r>
          </w:p>
        </w:tc>
        <w:tc>
          <w:tcPr>
            <w:tcW w:w="653"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红色</w:t>
            </w:r>
          </w:p>
        </w:tc>
        <w:tc>
          <w:tcPr>
            <w:tcW w:w="1280"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p>
        </w:tc>
        <w:tc>
          <w:tcPr>
            <w:tcW w:w="1595"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p>
        </w:tc>
      </w:tr>
      <w:tr>
        <w:tblPrEx>
          <w:tblCellMar>
            <w:top w:w="0" w:type="dxa"/>
            <w:left w:w="0" w:type="dxa"/>
            <w:bottom w:w="0" w:type="dxa"/>
            <w:right w:w="0" w:type="dxa"/>
          </w:tblCellMar>
        </w:tblPrEx>
        <w:trPr>
          <w:trHeight w:val="260" w:hRule="atLeast"/>
          <w:tblCellSpacing w:w="0" w:type="dxa"/>
          <w:jc w:val="center"/>
        </w:trPr>
        <w:tc>
          <w:tcPr>
            <w:tcW w:w="442"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3</w:t>
            </w:r>
          </w:p>
        </w:tc>
        <w:tc>
          <w:tcPr>
            <w:tcW w:w="1700"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机电设备管理人员</w:t>
            </w:r>
          </w:p>
        </w:tc>
        <w:tc>
          <w:tcPr>
            <w:tcW w:w="864"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橙色</w:t>
            </w:r>
          </w:p>
        </w:tc>
        <w:tc>
          <w:tcPr>
            <w:tcW w:w="653"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蓝色</w:t>
            </w:r>
          </w:p>
        </w:tc>
        <w:tc>
          <w:tcPr>
            <w:tcW w:w="1280"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p>
        </w:tc>
        <w:tc>
          <w:tcPr>
            <w:tcW w:w="1595"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绝缘鞋/绝缘手套</w:t>
            </w:r>
          </w:p>
        </w:tc>
      </w:tr>
      <w:tr>
        <w:tblPrEx>
          <w:tblCellMar>
            <w:top w:w="0" w:type="dxa"/>
            <w:left w:w="0" w:type="dxa"/>
            <w:bottom w:w="0" w:type="dxa"/>
            <w:right w:w="0" w:type="dxa"/>
          </w:tblCellMar>
        </w:tblPrEx>
        <w:trPr>
          <w:trHeight w:val="360" w:hRule="atLeast"/>
          <w:tblCellSpacing w:w="0" w:type="dxa"/>
          <w:jc w:val="center"/>
        </w:trPr>
        <w:tc>
          <w:tcPr>
            <w:tcW w:w="442"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4</w:t>
            </w:r>
          </w:p>
        </w:tc>
        <w:tc>
          <w:tcPr>
            <w:tcW w:w="1700"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普通施工人员</w:t>
            </w:r>
          </w:p>
        </w:tc>
        <w:tc>
          <w:tcPr>
            <w:tcW w:w="864"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绿色</w:t>
            </w:r>
          </w:p>
        </w:tc>
        <w:tc>
          <w:tcPr>
            <w:tcW w:w="653"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黄色</w:t>
            </w:r>
          </w:p>
        </w:tc>
        <w:tc>
          <w:tcPr>
            <w:tcW w:w="1280"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p>
        </w:tc>
        <w:tc>
          <w:tcPr>
            <w:tcW w:w="1595"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p>
        </w:tc>
      </w:tr>
      <w:tr>
        <w:tblPrEx>
          <w:tblCellMar>
            <w:top w:w="0" w:type="dxa"/>
            <w:left w:w="0" w:type="dxa"/>
            <w:bottom w:w="0" w:type="dxa"/>
            <w:right w:w="0" w:type="dxa"/>
          </w:tblCellMar>
        </w:tblPrEx>
        <w:trPr>
          <w:trHeight w:val="347" w:hRule="atLeast"/>
          <w:tblCellSpacing w:w="0" w:type="dxa"/>
          <w:jc w:val="center"/>
        </w:trPr>
        <w:tc>
          <w:tcPr>
            <w:tcW w:w="442"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5</w:t>
            </w:r>
          </w:p>
        </w:tc>
        <w:tc>
          <w:tcPr>
            <w:tcW w:w="1700"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高空作业人员</w:t>
            </w:r>
          </w:p>
        </w:tc>
        <w:tc>
          <w:tcPr>
            <w:tcW w:w="864"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绿色</w:t>
            </w:r>
          </w:p>
        </w:tc>
        <w:tc>
          <w:tcPr>
            <w:tcW w:w="653"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黄色</w:t>
            </w:r>
          </w:p>
        </w:tc>
        <w:tc>
          <w:tcPr>
            <w:tcW w:w="1280"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五点式安全带</w:t>
            </w:r>
          </w:p>
        </w:tc>
        <w:tc>
          <w:tcPr>
            <w:tcW w:w="1595"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p>
        </w:tc>
      </w:tr>
      <w:tr>
        <w:tblPrEx>
          <w:tblCellMar>
            <w:top w:w="0" w:type="dxa"/>
            <w:left w:w="0" w:type="dxa"/>
            <w:bottom w:w="0" w:type="dxa"/>
            <w:right w:w="0" w:type="dxa"/>
          </w:tblCellMar>
        </w:tblPrEx>
        <w:trPr>
          <w:trHeight w:val="269" w:hRule="atLeast"/>
          <w:tblCellSpacing w:w="0" w:type="dxa"/>
          <w:jc w:val="center"/>
        </w:trPr>
        <w:tc>
          <w:tcPr>
            <w:tcW w:w="442"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6</w:t>
            </w:r>
          </w:p>
        </w:tc>
        <w:tc>
          <w:tcPr>
            <w:tcW w:w="1700"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机电施工人员</w:t>
            </w:r>
          </w:p>
        </w:tc>
        <w:tc>
          <w:tcPr>
            <w:tcW w:w="864"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蓝色</w:t>
            </w:r>
          </w:p>
        </w:tc>
        <w:tc>
          <w:tcPr>
            <w:tcW w:w="653"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蓝色</w:t>
            </w:r>
          </w:p>
        </w:tc>
        <w:tc>
          <w:tcPr>
            <w:tcW w:w="1280"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p>
        </w:tc>
        <w:tc>
          <w:tcPr>
            <w:tcW w:w="1595" w:type="dxa"/>
            <w:tcBorders>
              <w:top w:val="single" w:color="080000" w:sz="4" w:space="0"/>
              <w:left w:val="single" w:color="080000" w:sz="4" w:space="0"/>
              <w:bottom w:val="single" w:color="080000" w:sz="4" w:space="0"/>
              <w:right w:val="single" w:color="080000" w:sz="4" w:space="0"/>
            </w:tcBorders>
          </w:tcPr>
          <w:p>
            <w:pPr>
              <w:pStyle w:val="14"/>
              <w:jc w:val="center"/>
              <w:rPr>
                <w:rFonts w:cs="宋体"/>
                <w:sz w:val="21"/>
                <w:szCs w:val="21"/>
              </w:rPr>
            </w:pPr>
            <w:r>
              <w:rPr>
                <w:rFonts w:hint="eastAsia" w:cs="宋体"/>
                <w:sz w:val="21"/>
                <w:szCs w:val="21"/>
              </w:rPr>
              <w:t>绝缘鞋/绝缘手套</w:t>
            </w:r>
          </w:p>
        </w:tc>
      </w:tr>
    </w:tbl>
    <w:p>
      <w:pPr>
        <w:adjustRightInd w:val="0"/>
        <w:snapToGrid w:val="0"/>
        <w:spacing w:line="360" w:lineRule="auto"/>
        <w:jc w:val="center"/>
        <w:rPr>
          <w:rFonts w:ascii="宋体" w:hAnsi="宋体"/>
          <w:spacing w:val="4"/>
          <w:kern w:val="0"/>
          <w:sz w:val="24"/>
          <w:szCs w:val="24"/>
        </w:rPr>
      </w:pPr>
      <w:r>
        <w:drawing>
          <wp:inline distT="0" distB="0" distL="114300" distR="114300">
            <wp:extent cx="2748915" cy="3204845"/>
            <wp:effectExtent l="0" t="0" r="9525" b="10795"/>
            <wp:docPr id="6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2"/>
                    <pic:cNvPicPr>
                      <a:picLocks noChangeAspect="1"/>
                    </pic:cNvPicPr>
                  </pic:nvPicPr>
                  <pic:blipFill>
                    <a:blip r:embed="rId58"/>
                    <a:stretch>
                      <a:fillRect/>
                    </a:stretch>
                  </pic:blipFill>
                  <pic:spPr>
                    <a:xfrm>
                      <a:off x="0" y="0"/>
                      <a:ext cx="2748915" cy="3204845"/>
                    </a:xfrm>
                    <a:prstGeom prst="rect">
                      <a:avLst/>
                    </a:prstGeom>
                    <a:noFill/>
                    <a:ln>
                      <a:noFill/>
                    </a:ln>
                  </pic:spPr>
                </pic:pic>
              </a:graphicData>
            </a:graphic>
          </wp:inline>
        </w:drawing>
      </w:r>
    </w:p>
    <w:p>
      <w:pPr>
        <w:pStyle w:val="7"/>
        <w:adjustRightInd w:val="0"/>
        <w:snapToGrid w:val="0"/>
        <w:spacing w:line="360" w:lineRule="auto"/>
        <w:rPr>
          <w:color w:val="auto"/>
          <w:sz w:val="30"/>
          <w:szCs w:val="30"/>
        </w:rPr>
      </w:pPr>
      <w:bookmarkStart w:id="270" w:name="_Toc4602"/>
      <w:bookmarkStart w:id="271" w:name="_Toc56444431"/>
      <w:bookmarkStart w:id="272" w:name="_Toc4006"/>
      <w:bookmarkStart w:id="273" w:name="_Toc159596190"/>
      <w:bookmarkStart w:id="274" w:name="_Toc8226"/>
      <w:bookmarkStart w:id="275" w:name="_Toc10526"/>
      <w:bookmarkStart w:id="276" w:name="_Toc1092"/>
      <w:bookmarkStart w:id="277" w:name="_Toc20230"/>
      <w:bookmarkStart w:id="278" w:name="_Toc55581781"/>
      <w:r>
        <w:rPr>
          <w:rFonts w:hint="eastAsia"/>
          <w:color w:val="auto"/>
          <w:sz w:val="30"/>
          <w:szCs w:val="30"/>
        </w:rPr>
        <w:t>（十三）主要</w:t>
      </w:r>
      <w:r>
        <w:rPr>
          <w:color w:val="auto"/>
          <w:sz w:val="30"/>
          <w:szCs w:val="30"/>
        </w:rPr>
        <w:t>施工机械设备</w:t>
      </w:r>
      <w:r>
        <w:rPr>
          <w:rFonts w:hint="eastAsia"/>
          <w:color w:val="auto"/>
          <w:sz w:val="30"/>
          <w:szCs w:val="30"/>
        </w:rPr>
        <w:t>要求</w:t>
      </w:r>
      <w:bookmarkEnd w:id="270"/>
      <w:bookmarkEnd w:id="271"/>
      <w:bookmarkEnd w:id="272"/>
      <w:bookmarkEnd w:id="273"/>
      <w:bookmarkEnd w:id="274"/>
      <w:bookmarkEnd w:id="275"/>
      <w:bookmarkEnd w:id="276"/>
      <w:bookmarkEnd w:id="277"/>
      <w:bookmarkEnd w:id="278"/>
    </w:p>
    <w:p>
      <w:pPr>
        <w:pStyle w:val="8"/>
        <w:adjustRightInd w:val="0"/>
        <w:snapToGrid w:val="0"/>
        <w:spacing w:line="360" w:lineRule="auto"/>
        <w:ind w:firstLine="118"/>
        <w:rPr>
          <w:b/>
          <w:bCs/>
        </w:rPr>
      </w:pPr>
      <w:bookmarkStart w:id="279" w:name="_Toc55575462"/>
      <w:bookmarkStart w:id="280" w:name="_Toc23376"/>
      <w:bookmarkStart w:id="281" w:name="_Toc14662"/>
      <w:bookmarkStart w:id="282" w:name="_Toc21431"/>
      <w:bookmarkStart w:id="283" w:name="_Toc27617"/>
      <w:bookmarkStart w:id="284" w:name="_Toc55581782"/>
      <w:bookmarkStart w:id="285" w:name="_Toc56444432"/>
      <w:bookmarkStart w:id="286" w:name="_Toc8540"/>
      <w:r>
        <w:rPr>
          <w:rFonts w:hint="eastAsia"/>
          <w:b/>
          <w:bCs/>
        </w:rPr>
        <w:t>1、配备基本要求</w:t>
      </w:r>
      <w:bookmarkEnd w:id="279"/>
      <w:bookmarkEnd w:id="280"/>
      <w:bookmarkEnd w:id="281"/>
      <w:bookmarkEnd w:id="282"/>
      <w:bookmarkEnd w:id="283"/>
      <w:bookmarkEnd w:id="284"/>
      <w:bookmarkEnd w:id="285"/>
      <w:bookmarkEnd w:id="286"/>
    </w:p>
    <w:p>
      <w:pPr>
        <w:pStyle w:val="21"/>
        <w:ind w:firstLine="496"/>
      </w:pPr>
      <w:r>
        <w:rPr>
          <w:rFonts w:hint="eastAsia"/>
        </w:rPr>
        <w:t>本项目需投入的施工机械基本要求详见下表。承包人需根据本项目工程的特点，配备足够</w:t>
      </w:r>
      <w:r>
        <w:t>的施工机械设备，保障满足现场进度的需求</w:t>
      </w:r>
      <w:r>
        <w:rPr>
          <w:rFonts w:hint="eastAsia"/>
        </w:rPr>
        <w:t>：</w:t>
      </w:r>
    </w:p>
    <w:tbl>
      <w:tblPr>
        <w:tblStyle w:val="16"/>
        <w:tblW w:w="0" w:type="auto"/>
        <w:tblCellSpacing w:w="0" w:type="dxa"/>
        <w:tblInd w:w="0" w:type="dxa"/>
        <w:tblLayout w:type="fixed"/>
        <w:tblCellMar>
          <w:top w:w="0" w:type="dxa"/>
          <w:left w:w="0" w:type="dxa"/>
          <w:bottom w:w="0" w:type="dxa"/>
          <w:right w:w="0" w:type="dxa"/>
        </w:tblCellMar>
      </w:tblPr>
      <w:tblGrid>
        <w:gridCol w:w="808"/>
        <w:gridCol w:w="1618"/>
        <w:gridCol w:w="2385"/>
        <w:gridCol w:w="3728"/>
      </w:tblGrid>
      <w:tr>
        <w:tblPrEx>
          <w:tblCellMar>
            <w:top w:w="0" w:type="dxa"/>
            <w:left w:w="0" w:type="dxa"/>
            <w:bottom w:w="0" w:type="dxa"/>
            <w:right w:w="0" w:type="dxa"/>
          </w:tblCellMar>
        </w:tblPrEx>
        <w:trPr>
          <w:trHeight w:val="480" w:hRule="atLeast"/>
          <w:tblCellSpacing w:w="0" w:type="dxa"/>
        </w:trPr>
        <w:tc>
          <w:tcPr>
            <w:tcW w:w="80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序号</w:t>
            </w:r>
          </w:p>
        </w:tc>
        <w:tc>
          <w:tcPr>
            <w:tcW w:w="161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设备名称</w:t>
            </w:r>
          </w:p>
        </w:tc>
        <w:tc>
          <w:tcPr>
            <w:tcW w:w="2385"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基本要求</w:t>
            </w:r>
          </w:p>
        </w:tc>
        <w:tc>
          <w:tcPr>
            <w:tcW w:w="372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备注</w:t>
            </w:r>
          </w:p>
        </w:tc>
      </w:tr>
      <w:tr>
        <w:tblPrEx>
          <w:tblCellMar>
            <w:top w:w="0" w:type="dxa"/>
            <w:left w:w="0" w:type="dxa"/>
            <w:bottom w:w="0" w:type="dxa"/>
            <w:right w:w="0" w:type="dxa"/>
          </w:tblCellMar>
        </w:tblPrEx>
        <w:trPr>
          <w:trHeight w:val="960" w:hRule="atLeast"/>
          <w:tblCellSpacing w:w="0" w:type="dxa"/>
        </w:trPr>
        <w:tc>
          <w:tcPr>
            <w:tcW w:w="80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1</w:t>
            </w:r>
          </w:p>
        </w:tc>
        <w:tc>
          <w:tcPr>
            <w:tcW w:w="161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高空作业车/蜘蛛车</w:t>
            </w:r>
          </w:p>
        </w:tc>
        <w:tc>
          <w:tcPr>
            <w:tcW w:w="2385"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不少于20台（满足50~70m作业高度）</w:t>
            </w:r>
          </w:p>
        </w:tc>
        <w:tc>
          <w:tcPr>
            <w:tcW w:w="372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体育场金属屋面檐下金属板更换及下挂膜结构安装，配合幕墙拆装，作业高度约70m，承包人应配备相应的高空作业机械，以满足现场施工需求。</w:t>
            </w:r>
          </w:p>
        </w:tc>
      </w:tr>
      <w:tr>
        <w:tblPrEx>
          <w:tblCellMar>
            <w:top w:w="0" w:type="dxa"/>
            <w:left w:w="0" w:type="dxa"/>
            <w:bottom w:w="0" w:type="dxa"/>
            <w:right w:w="0" w:type="dxa"/>
          </w:tblCellMar>
        </w:tblPrEx>
        <w:trPr>
          <w:trHeight w:val="660" w:hRule="atLeast"/>
          <w:tblCellSpacing w:w="0" w:type="dxa"/>
        </w:trPr>
        <w:tc>
          <w:tcPr>
            <w:tcW w:w="80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2</w:t>
            </w:r>
          </w:p>
        </w:tc>
        <w:tc>
          <w:tcPr>
            <w:tcW w:w="161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汽车吊（100吨）</w:t>
            </w:r>
          </w:p>
        </w:tc>
        <w:tc>
          <w:tcPr>
            <w:tcW w:w="2385"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不少于10台（满足50~70m作业高度）</w:t>
            </w:r>
          </w:p>
        </w:tc>
        <w:tc>
          <w:tcPr>
            <w:tcW w:w="372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体育场金属屋面系统更换，作业高度约50~70m，承包人应配备相应的高空作业机械，以满足现场施工需求。</w:t>
            </w:r>
          </w:p>
        </w:tc>
      </w:tr>
      <w:tr>
        <w:tblPrEx>
          <w:tblCellMar>
            <w:top w:w="0" w:type="dxa"/>
            <w:left w:w="0" w:type="dxa"/>
            <w:bottom w:w="0" w:type="dxa"/>
            <w:right w:w="0" w:type="dxa"/>
          </w:tblCellMar>
        </w:tblPrEx>
        <w:trPr>
          <w:trHeight w:val="420" w:hRule="atLeast"/>
          <w:tblCellSpacing w:w="0" w:type="dxa"/>
        </w:trPr>
        <w:tc>
          <w:tcPr>
            <w:tcW w:w="80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3</w:t>
            </w:r>
          </w:p>
        </w:tc>
        <w:tc>
          <w:tcPr>
            <w:tcW w:w="161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汽车吊（25吨）</w:t>
            </w:r>
          </w:p>
        </w:tc>
        <w:tc>
          <w:tcPr>
            <w:tcW w:w="2385"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不少于10台</w:t>
            </w:r>
          </w:p>
        </w:tc>
        <w:tc>
          <w:tcPr>
            <w:tcW w:w="372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满足体育场物料、普通设备吊装使用及材料垃圾清理。</w:t>
            </w:r>
          </w:p>
        </w:tc>
      </w:tr>
      <w:tr>
        <w:tblPrEx>
          <w:tblCellMar>
            <w:top w:w="0" w:type="dxa"/>
            <w:left w:w="0" w:type="dxa"/>
            <w:bottom w:w="0" w:type="dxa"/>
            <w:right w:w="0" w:type="dxa"/>
          </w:tblCellMar>
        </w:tblPrEx>
        <w:trPr>
          <w:trHeight w:val="420" w:hRule="atLeast"/>
          <w:tblCellSpacing w:w="0" w:type="dxa"/>
        </w:trPr>
        <w:tc>
          <w:tcPr>
            <w:tcW w:w="80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4</w:t>
            </w:r>
          </w:p>
        </w:tc>
        <w:tc>
          <w:tcPr>
            <w:tcW w:w="161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叉车</w:t>
            </w:r>
          </w:p>
        </w:tc>
        <w:tc>
          <w:tcPr>
            <w:tcW w:w="2385"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不少于20台</w:t>
            </w:r>
          </w:p>
        </w:tc>
        <w:tc>
          <w:tcPr>
            <w:tcW w:w="372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体育场平面倒运。</w:t>
            </w:r>
          </w:p>
        </w:tc>
      </w:tr>
      <w:tr>
        <w:tblPrEx>
          <w:tblCellMar>
            <w:top w:w="0" w:type="dxa"/>
            <w:left w:w="0" w:type="dxa"/>
            <w:bottom w:w="0" w:type="dxa"/>
            <w:right w:w="0" w:type="dxa"/>
          </w:tblCellMar>
        </w:tblPrEx>
        <w:trPr>
          <w:trHeight w:val="420" w:hRule="atLeast"/>
          <w:tblCellSpacing w:w="0" w:type="dxa"/>
        </w:trPr>
        <w:tc>
          <w:tcPr>
            <w:tcW w:w="80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5</w:t>
            </w:r>
          </w:p>
        </w:tc>
        <w:tc>
          <w:tcPr>
            <w:tcW w:w="161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塔吊（STT553型号）</w:t>
            </w:r>
          </w:p>
        </w:tc>
        <w:tc>
          <w:tcPr>
            <w:tcW w:w="2385"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8台</w:t>
            </w:r>
          </w:p>
        </w:tc>
        <w:tc>
          <w:tcPr>
            <w:tcW w:w="372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体育场拟7台、新建副场功能房拟1台，需满足垂直运输需求。</w:t>
            </w:r>
          </w:p>
        </w:tc>
      </w:tr>
      <w:tr>
        <w:tblPrEx>
          <w:tblCellMar>
            <w:top w:w="0" w:type="dxa"/>
            <w:left w:w="0" w:type="dxa"/>
            <w:bottom w:w="0" w:type="dxa"/>
            <w:right w:w="0" w:type="dxa"/>
          </w:tblCellMar>
        </w:tblPrEx>
        <w:trPr>
          <w:trHeight w:val="660" w:hRule="atLeast"/>
          <w:tblCellSpacing w:w="0" w:type="dxa"/>
        </w:trPr>
        <w:tc>
          <w:tcPr>
            <w:tcW w:w="80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6</w:t>
            </w:r>
          </w:p>
        </w:tc>
        <w:tc>
          <w:tcPr>
            <w:tcW w:w="161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施工升降机</w:t>
            </w:r>
          </w:p>
        </w:tc>
        <w:tc>
          <w:tcPr>
            <w:tcW w:w="2385"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1台</w:t>
            </w:r>
          </w:p>
        </w:tc>
        <w:tc>
          <w:tcPr>
            <w:tcW w:w="372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体育场副场新建用房建筑面积约8000㎡，五层，需满足垂直运输需求。</w:t>
            </w:r>
          </w:p>
        </w:tc>
      </w:tr>
      <w:tr>
        <w:tblPrEx>
          <w:tblCellMar>
            <w:top w:w="0" w:type="dxa"/>
            <w:left w:w="0" w:type="dxa"/>
            <w:bottom w:w="0" w:type="dxa"/>
            <w:right w:w="0" w:type="dxa"/>
          </w:tblCellMar>
        </w:tblPrEx>
        <w:trPr>
          <w:trHeight w:val="420" w:hRule="atLeast"/>
          <w:tblCellSpacing w:w="0" w:type="dxa"/>
        </w:trPr>
        <w:tc>
          <w:tcPr>
            <w:tcW w:w="80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7</w:t>
            </w:r>
          </w:p>
        </w:tc>
        <w:tc>
          <w:tcPr>
            <w:tcW w:w="161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液压剪刀升降车</w:t>
            </w:r>
          </w:p>
        </w:tc>
        <w:tc>
          <w:tcPr>
            <w:tcW w:w="2385"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不少于40台（满足5m以上）</w:t>
            </w:r>
          </w:p>
        </w:tc>
        <w:tc>
          <w:tcPr>
            <w:tcW w:w="372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体育场、新建副场功能房、游泳跳水馆室内超5米的高空作业，以满足现场施工需求</w:t>
            </w:r>
          </w:p>
        </w:tc>
      </w:tr>
      <w:tr>
        <w:tblPrEx>
          <w:tblCellMar>
            <w:top w:w="0" w:type="dxa"/>
            <w:left w:w="0" w:type="dxa"/>
            <w:bottom w:w="0" w:type="dxa"/>
            <w:right w:w="0" w:type="dxa"/>
          </w:tblCellMar>
        </w:tblPrEx>
        <w:trPr>
          <w:trHeight w:val="420" w:hRule="atLeast"/>
          <w:tblCellSpacing w:w="0" w:type="dxa"/>
        </w:trPr>
        <w:tc>
          <w:tcPr>
            <w:tcW w:w="80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8</w:t>
            </w:r>
          </w:p>
        </w:tc>
        <w:tc>
          <w:tcPr>
            <w:tcW w:w="161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装载运输车</w:t>
            </w:r>
          </w:p>
        </w:tc>
        <w:tc>
          <w:tcPr>
            <w:tcW w:w="2385"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不少于100台</w:t>
            </w:r>
          </w:p>
        </w:tc>
        <w:tc>
          <w:tcPr>
            <w:tcW w:w="372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满足拆卸材料垃圾清理使用。</w:t>
            </w:r>
          </w:p>
        </w:tc>
      </w:tr>
      <w:tr>
        <w:tblPrEx>
          <w:tblCellMar>
            <w:top w:w="0" w:type="dxa"/>
            <w:left w:w="0" w:type="dxa"/>
            <w:bottom w:w="0" w:type="dxa"/>
            <w:right w:w="0" w:type="dxa"/>
          </w:tblCellMar>
        </w:tblPrEx>
        <w:trPr>
          <w:trHeight w:val="420" w:hRule="atLeast"/>
          <w:tblCellSpacing w:w="0" w:type="dxa"/>
        </w:trPr>
        <w:tc>
          <w:tcPr>
            <w:tcW w:w="80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9</w:t>
            </w:r>
          </w:p>
        </w:tc>
        <w:tc>
          <w:tcPr>
            <w:tcW w:w="161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挖机</w:t>
            </w:r>
          </w:p>
        </w:tc>
        <w:tc>
          <w:tcPr>
            <w:tcW w:w="2385"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不少于20台</w:t>
            </w:r>
          </w:p>
        </w:tc>
        <w:tc>
          <w:tcPr>
            <w:tcW w:w="372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满足拆卸材料垃圾清理使用。</w:t>
            </w:r>
          </w:p>
        </w:tc>
      </w:tr>
      <w:tr>
        <w:tblPrEx>
          <w:tblCellMar>
            <w:top w:w="0" w:type="dxa"/>
            <w:left w:w="0" w:type="dxa"/>
            <w:bottom w:w="0" w:type="dxa"/>
            <w:right w:w="0" w:type="dxa"/>
          </w:tblCellMar>
        </w:tblPrEx>
        <w:trPr>
          <w:trHeight w:val="660" w:hRule="atLeast"/>
          <w:tblCellSpacing w:w="0" w:type="dxa"/>
        </w:trPr>
        <w:tc>
          <w:tcPr>
            <w:tcW w:w="80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10</w:t>
            </w:r>
          </w:p>
        </w:tc>
        <w:tc>
          <w:tcPr>
            <w:tcW w:w="161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发电机</w:t>
            </w:r>
          </w:p>
        </w:tc>
        <w:tc>
          <w:tcPr>
            <w:tcW w:w="2385"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1台250KW1台满足施工需求（约800KW）</w:t>
            </w:r>
          </w:p>
        </w:tc>
        <w:tc>
          <w:tcPr>
            <w:tcW w:w="372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施工用电总负荷不能满足现场施工需求时，承包人应配备相应的发电设备，以满足现场施工需求。</w:t>
            </w:r>
          </w:p>
        </w:tc>
      </w:tr>
      <w:tr>
        <w:tblPrEx>
          <w:tblCellMar>
            <w:top w:w="0" w:type="dxa"/>
            <w:left w:w="0" w:type="dxa"/>
            <w:bottom w:w="0" w:type="dxa"/>
            <w:right w:w="0" w:type="dxa"/>
          </w:tblCellMar>
        </w:tblPrEx>
        <w:trPr>
          <w:trHeight w:val="420" w:hRule="atLeast"/>
          <w:tblCellSpacing w:w="0" w:type="dxa"/>
        </w:trPr>
        <w:tc>
          <w:tcPr>
            <w:tcW w:w="80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11</w:t>
            </w:r>
          </w:p>
        </w:tc>
        <w:tc>
          <w:tcPr>
            <w:tcW w:w="161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其余机械设备</w:t>
            </w:r>
          </w:p>
        </w:tc>
        <w:tc>
          <w:tcPr>
            <w:tcW w:w="2385"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若干</w:t>
            </w:r>
          </w:p>
        </w:tc>
        <w:tc>
          <w:tcPr>
            <w:tcW w:w="3728"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rFonts w:cs="宋体"/>
                <w:sz w:val="22"/>
                <w:szCs w:val="21"/>
              </w:rPr>
            </w:pPr>
            <w:r>
              <w:rPr>
                <w:rFonts w:hint="eastAsia" w:cs="宋体"/>
              </w:rPr>
              <w:t>满足现场施工进度要求。</w:t>
            </w:r>
          </w:p>
        </w:tc>
      </w:tr>
    </w:tbl>
    <w:p>
      <w:pPr>
        <w:pStyle w:val="21"/>
        <w:ind w:firstLine="0" w:firstLineChars="0"/>
        <w:rPr>
          <w:rFonts w:ascii="宋体" w:hAnsi="宋体" w:cs="宋体"/>
        </w:rPr>
      </w:pPr>
    </w:p>
    <w:p>
      <w:pPr>
        <w:pStyle w:val="8"/>
        <w:adjustRightInd w:val="0"/>
        <w:snapToGrid w:val="0"/>
        <w:spacing w:line="360" w:lineRule="auto"/>
        <w:ind w:firstLine="118"/>
        <w:rPr>
          <w:b/>
          <w:bCs/>
        </w:rPr>
      </w:pPr>
      <w:bookmarkStart w:id="287" w:name="_Toc13681"/>
      <w:bookmarkStart w:id="288" w:name="_Toc16552"/>
      <w:bookmarkStart w:id="289" w:name="_Toc56444433"/>
      <w:bookmarkStart w:id="290" w:name="_Toc55581783"/>
      <w:bookmarkStart w:id="291" w:name="_Toc6188"/>
      <w:bookmarkStart w:id="292" w:name="_Toc20158"/>
      <w:bookmarkStart w:id="293" w:name="_Toc55575463"/>
      <w:bookmarkStart w:id="294" w:name="_Toc15482"/>
      <w:r>
        <w:rPr>
          <w:rFonts w:hint="eastAsia"/>
          <w:b/>
          <w:bCs/>
        </w:rPr>
        <w:t>2、管理基本要求</w:t>
      </w:r>
      <w:bookmarkEnd w:id="287"/>
      <w:bookmarkEnd w:id="288"/>
      <w:bookmarkEnd w:id="289"/>
      <w:bookmarkEnd w:id="290"/>
      <w:bookmarkEnd w:id="291"/>
      <w:bookmarkEnd w:id="292"/>
      <w:bookmarkEnd w:id="293"/>
      <w:bookmarkEnd w:id="294"/>
    </w:p>
    <w:p>
      <w:pPr>
        <w:pStyle w:val="21"/>
        <w:ind w:firstLine="496"/>
        <w:rPr>
          <w:rFonts w:ascii="宋体" w:hAnsi="宋体" w:cs="宋体"/>
        </w:rPr>
      </w:pPr>
      <w:r>
        <w:rPr>
          <w:rFonts w:hint="eastAsia" w:ascii="宋体" w:hAnsi="宋体" w:cs="宋体"/>
        </w:rPr>
        <w:t>（1）承包人进场后必须按合同约定时间提交机械设备进场计划，确保机械设备来源可靠，按期进场。</w:t>
      </w:r>
    </w:p>
    <w:p>
      <w:pPr>
        <w:pStyle w:val="21"/>
        <w:ind w:firstLine="496"/>
        <w:rPr>
          <w:rFonts w:ascii="宋体" w:hAnsi="宋体" w:cs="宋体"/>
        </w:rPr>
      </w:pPr>
      <w:r>
        <w:rPr>
          <w:rFonts w:hint="eastAsia" w:ascii="宋体" w:hAnsi="宋体" w:cs="宋体"/>
        </w:rPr>
        <w:t>（2）承包人必须确保机械设备的性能良好，可正常使用。对于影响工程进度较大的主要机械设备，必须有一定备用量，确保在机械设备检修或维护期间，现场仍能正常施工，确保进度。</w:t>
      </w:r>
    </w:p>
    <w:p>
      <w:pPr>
        <w:pStyle w:val="21"/>
        <w:ind w:firstLine="496"/>
        <w:rPr>
          <w:rFonts w:ascii="宋体" w:hAnsi="宋体" w:cs="宋体"/>
        </w:rPr>
      </w:pPr>
      <w:r>
        <w:rPr>
          <w:rFonts w:hint="eastAsia" w:ascii="宋体" w:hAnsi="宋体" w:cs="宋体"/>
        </w:rPr>
        <w:t>（3）为确保工程进度，承包人必须无条件增加机械设备的投入，发包人不另行增加相关费用。</w:t>
      </w:r>
    </w:p>
    <w:p>
      <w:pPr>
        <w:pStyle w:val="21"/>
        <w:ind w:firstLine="496"/>
        <w:rPr>
          <w:rFonts w:ascii="宋体" w:hAnsi="宋体" w:cs="宋体"/>
        </w:rPr>
      </w:pPr>
      <w:r>
        <w:rPr>
          <w:rFonts w:hint="eastAsia" w:ascii="宋体" w:hAnsi="宋体" w:cs="宋体"/>
        </w:rPr>
        <w:t>（4）根据市住建局等相关行政主管部门要求，工地扬尘及噪音控制必须配备相应的设备措施，承包单位应根据具体施工组织方案确保投入。</w:t>
      </w:r>
    </w:p>
    <w:p>
      <w:pPr>
        <w:pStyle w:val="7"/>
        <w:adjustRightInd w:val="0"/>
        <w:snapToGrid w:val="0"/>
        <w:spacing w:line="360" w:lineRule="auto"/>
        <w:rPr>
          <w:color w:val="auto"/>
          <w:sz w:val="30"/>
          <w:szCs w:val="30"/>
        </w:rPr>
      </w:pPr>
      <w:bookmarkStart w:id="295" w:name="_Toc24139"/>
      <w:bookmarkStart w:id="296" w:name="_Toc56444441"/>
      <w:bookmarkStart w:id="297" w:name="_Toc15390"/>
      <w:bookmarkStart w:id="298" w:name="_Toc25519"/>
      <w:bookmarkStart w:id="299" w:name="_Toc30302"/>
      <w:bookmarkStart w:id="300" w:name="_Toc12755"/>
      <w:bookmarkStart w:id="301" w:name="_Toc17071"/>
      <w:bookmarkStart w:id="302" w:name="_Toc55581791"/>
      <w:bookmarkStart w:id="303" w:name="_Toc159596191"/>
      <w:r>
        <w:rPr>
          <w:rFonts w:hint="eastAsia"/>
          <w:color w:val="auto"/>
          <w:sz w:val="30"/>
          <w:szCs w:val="30"/>
        </w:rPr>
        <w:t>（十四）材料</w:t>
      </w:r>
      <w:r>
        <w:rPr>
          <w:color w:val="auto"/>
          <w:sz w:val="30"/>
          <w:szCs w:val="30"/>
        </w:rPr>
        <w:t>设备管理要求</w:t>
      </w:r>
      <w:bookmarkEnd w:id="295"/>
      <w:bookmarkEnd w:id="296"/>
      <w:bookmarkEnd w:id="297"/>
      <w:bookmarkEnd w:id="298"/>
      <w:bookmarkEnd w:id="299"/>
      <w:bookmarkEnd w:id="300"/>
      <w:bookmarkEnd w:id="301"/>
      <w:bookmarkEnd w:id="302"/>
      <w:bookmarkEnd w:id="303"/>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1、承包人在进场后7天内根据设计图纸及施工进度计划制定主要材料设备采购计划，及时签订采购合同（签订供货合同的时间必须至少比第一批货物计划进场的时间提前两个月+备货期）。影响工程造价较大的大批量材料设备，承包人必须提前定制或锁定价格，否则由此引起的工期调整或价格调整，发包人有权不予批准。其中：</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（1）承包人及时编制原材料、设备的采购计划，落实原材料、设备采购协议，作为第一期工程进度款的支付条件之一；</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（2）主要材料设备的采购合同必须报发包人备案（具体需要备案的材料设备采购合同种类由发包人根据项目实际需要确定），作为涉及相应材料设备当期计量进度款的支付条件之一。</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2、承包人必确保在满足或优于招标文件（包括招标文件各专业主要设备材料技术参数）、招标图纸和相关规范要求的条件下采购主要材料设备。其中：</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（1）招标文件有推荐品牌范围的主要材料设备，原则上必须在推荐品牌范围内选用（具体见《主要设备材料品牌/生产厂家推荐表》）。承包人在中标后选用推荐品牌中的任一品牌，均不予调整其投标价。</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2）若承包人选用同等或优于推荐品牌的，在采购前必须经发包人审批同意，同时在看样定板前须提供同等或优于推荐品牌档次的证明材料报发包人审核，否则视为承包人自行更换品牌，按招标文件和合同规定承担违约责任。</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（3）招标文件没有推荐品牌范围的主要材料设备，承包人按中国名牌、国家免检产品、省知名品牌的顺序选定，同时须严格按照发包人看样定板的相关规定执行。</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3、无论发包人是否推荐品牌范围，所有用于本工程的材料设备必须严格按合同条款的约定进行检验、试验，确保材料设备质量。材料进场批次要与见证取样检测批次一致，否则，多出批次的检测费由承包人承担。本项目应进行节能、室内环境检测，需委托具有相应资质检测机构实施的相关工作。</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4、为加强本工程所使用的乙供材料设备的质量管理，确保承包人所选购的材料设备的质量、技术性能、款式、效果等方面满足设计和使用需求，所有主要材料设备在看样定板之前，发包人、监理单位、设计单位有权对乙供材料设备厂家的生产能力、制造水平、生产工艺等方面进行综合考察评估，考核评估合格的方能采购。如经综合考察评估不合格，发包人有权在《主要设备材料品牌/生产厂家推荐表》中选择其他满足规定的材料厂家及品牌，经考核评估合格后予以选用，合同价款不作调整。</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5、承包人应在确定主要乙供材料设备供应商的7个工作日内，将供应商的清单明细（包括供应商的名称、联系人、联系电话、联系地址等）报监理单位和发包人备案。供应商须服从监理单位和发包人的管理，并按要求参加相关工作例会。</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6、承包人运入施工现场的材料、工程设备、施工设备以及在施工场地建设的临时设施，包括备品备件、安装工具与资料，必须专用于工程。未经发包人批准不得运出施工现场或挪作他用。</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7、深化设计图纸经主体设计单位(原设计单位)、监理人、发包人审核同意后，承包人应在10天内向监理人及发包人提出材料设备看样定板申请，并提供材料样板及相应的文件资料。发包人收到看样定板申请7天内，组织主体设计单位、监理人、承包人开会确定样板；开会确定样板后5天内，承包人组织主体设计单位、监理人、发包人对审批同意的乙供材料生产企业开展调查，调查的主要内容包括不限于企业的规模、企业的性质、企业的生产保证能力、企业的产品质量保证能力、材料生产工艺、原材料采购等相关内容，并最终确定厂家和实物样板。施工时承包人按样板采购使用材料(对装修装饰效果有重大影响，先进行样板间（段）的施工)。</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承包人应在深化设计图纸取得发包人审核确认后15天内向监理人、发包人报送所有材料的采购计划，并相应落实主要材料的采购合同，作为第一期工程进度款的支付条件之一。</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8、本招标项目材料设备严格执行国家及广东省、广州市关于材料设备见证抽检的各项规定。如出现某批次材料设备见证抽检不合格，承包人应将该批次材料设备全部清理出现场，已安装部分也须全部拆除、清理；每发生一次前述情形，承包人须按合同规定承担一次严重违约责任，并支付相关的违约金；对该类型材料设备在后续见证抽样检测时，将在规定的见证抽样数量、频率的基础上加倍，所需增加的检测费用由承包人自行承担。</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9、承包人进场14天内梳理需看样定板材料并编制材料看样定板计划，每一种材料提供不少于于三种品牌的质量证明材料，并提供实物样板。</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10、承包人进场后立即根据设计文件要求及</w:t>
      </w:r>
      <w:r>
        <w:rPr>
          <w:rFonts w:hint="eastAsia"/>
          <w:sz w:val="24"/>
          <w:szCs w:val="24"/>
        </w:rPr>
        <w:t>广州市重点公共建设项目管理中心有关规定执行，</w:t>
      </w:r>
      <w:r>
        <w:rPr>
          <w:rFonts w:hint="eastAsia" w:ascii="宋体" w:hAnsi="宋体" w:cs="宋体"/>
          <w:sz w:val="24"/>
          <w:szCs w:val="24"/>
        </w:rPr>
        <w:t>对本工程施工所需的钢材、水泥、混凝土等先行进行资质申报。</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11、材料采购的其他要求，详见合同条款相关约定。</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12、承包人及时提供材料检测数量，配合完成第三方检测方案。</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13、承包人进场后立即根据设计文件要求及</w:t>
      </w:r>
      <w:r>
        <w:rPr>
          <w:rFonts w:hint="eastAsia"/>
          <w:sz w:val="24"/>
          <w:szCs w:val="24"/>
        </w:rPr>
        <w:t>广州市重点公共建设项目管理中心有关规定</w:t>
      </w:r>
      <w:r>
        <w:rPr>
          <w:rFonts w:hint="eastAsia" w:ascii="宋体" w:hAnsi="宋体" w:cs="宋体"/>
          <w:sz w:val="24"/>
          <w:szCs w:val="24"/>
        </w:rPr>
        <w:t>申报乙供料。</w:t>
      </w:r>
    </w:p>
    <w:p>
      <w:pPr>
        <w:pStyle w:val="21"/>
        <w:ind w:firstLine="496"/>
        <w:rPr>
          <w:rFonts w:ascii="宋体" w:hAnsi="宋体" w:cs="宋体"/>
        </w:rPr>
      </w:pPr>
      <w:r>
        <w:rPr>
          <w:rFonts w:hint="eastAsia" w:ascii="宋体" w:hAnsi="宋体" w:cs="宋体"/>
        </w:rPr>
        <w:t>14、对重要工程材料、构配件、设备，承包人安排专人驻场跟踪，督促加工制作进度、质量，参与工序验收和出厂调试。</w:t>
      </w:r>
    </w:p>
    <w:p>
      <w:pPr>
        <w:adjustRightInd w:val="0"/>
        <w:snapToGrid w:val="0"/>
        <w:spacing w:line="360" w:lineRule="auto"/>
        <w:ind w:firstLine="480" w:firstLineChars="200"/>
        <w:jc w:val="left"/>
        <w:rPr>
          <w:rFonts w:ascii="宋体" w:hAnsi="宋体" w:cs="宋体"/>
          <w:sz w:val="24"/>
          <w:szCs w:val="24"/>
          <w:lang w:bidi="ar"/>
        </w:rPr>
      </w:pPr>
      <w:r>
        <w:rPr>
          <w:rFonts w:hint="eastAsia" w:ascii="宋体" w:hAnsi="宋体" w:cs="宋体"/>
          <w:sz w:val="24"/>
          <w:szCs w:val="24"/>
        </w:rPr>
        <w:t>15、</w:t>
      </w:r>
      <w:r>
        <w:rPr>
          <w:rFonts w:ascii="宋体" w:hAnsi="宋体" w:cs="宋体"/>
          <w:sz w:val="24"/>
          <w:szCs w:val="24"/>
        </w:rPr>
        <w:t>第十五届全运会广东奥林匹克体育中心升级改造项目施工总承包</w:t>
      </w:r>
      <w:r>
        <w:rPr>
          <w:rFonts w:hint="eastAsia" w:ascii="宋体" w:hAnsi="宋体" w:cs="宋体"/>
          <w:sz w:val="24"/>
          <w:szCs w:val="24"/>
          <w:lang w:bidi="ar"/>
        </w:rPr>
        <w:t>的主要设备材料品牌/生产厂家推荐详见下表，本招标项目若涉及以下主要设备材料，将按此表的进行推荐：注：若投标人选用相当于或优于上述推荐品牌的，须有提供有效的证明材料有效证明材料是指主要材料设备的技术手册、供货证明（含供货合同及清单），否则，视为不符合招标文件要求。</w:t>
      </w:r>
    </w:p>
    <w:p>
      <w:pPr>
        <w:pStyle w:val="2"/>
      </w:pPr>
    </w:p>
    <w:p>
      <w:pPr>
        <w:pStyle w:val="7"/>
        <w:adjustRightInd w:val="0"/>
        <w:snapToGrid w:val="0"/>
        <w:spacing w:line="360" w:lineRule="auto"/>
        <w:rPr>
          <w:color w:val="auto"/>
          <w:sz w:val="30"/>
          <w:szCs w:val="30"/>
        </w:rPr>
      </w:pPr>
      <w:bookmarkStart w:id="304" w:name="_Toc10129"/>
      <w:bookmarkStart w:id="305" w:name="_Toc1675"/>
      <w:bookmarkStart w:id="306" w:name="_Toc18280"/>
      <w:bookmarkStart w:id="307" w:name="_Toc159596192"/>
      <w:bookmarkStart w:id="308" w:name="_Toc18977"/>
      <w:r>
        <w:rPr>
          <w:rFonts w:hint="eastAsia"/>
          <w:color w:val="auto"/>
          <w:sz w:val="30"/>
          <w:szCs w:val="30"/>
        </w:rPr>
        <w:t>（十五）成品保护措施要求</w:t>
      </w:r>
      <w:bookmarkEnd w:id="304"/>
      <w:bookmarkEnd w:id="305"/>
      <w:bookmarkEnd w:id="306"/>
      <w:bookmarkEnd w:id="307"/>
      <w:bookmarkEnd w:id="308"/>
    </w:p>
    <w:p>
      <w:pPr>
        <w:pStyle w:val="8"/>
        <w:adjustRightInd w:val="0"/>
        <w:snapToGrid w:val="0"/>
        <w:spacing w:line="360" w:lineRule="auto"/>
        <w:ind w:firstLine="118"/>
        <w:rPr>
          <w:b/>
          <w:bCs/>
        </w:rPr>
      </w:pPr>
      <w:r>
        <w:rPr>
          <w:rFonts w:hint="eastAsia"/>
          <w:b/>
          <w:bCs/>
        </w:rPr>
        <w:t>1、地下及室内管线摸查要求</w:t>
      </w:r>
    </w:p>
    <w:p>
      <w:pPr>
        <w:pStyle w:val="21"/>
        <w:ind w:firstLine="496"/>
        <w:rPr>
          <w:rFonts w:ascii="宋体" w:hAnsi="宋体" w:cs="宋体"/>
        </w:rPr>
      </w:pPr>
      <w:r>
        <w:rPr>
          <w:rFonts w:hint="eastAsia" w:ascii="宋体" w:hAnsi="宋体" w:cs="宋体"/>
        </w:rPr>
        <w:t>（1）由于场馆建设年代久远，建设后部分场室又外租使用，室内、外管线走向与原设计相差较大。因此，要求施工单位进场后，立即组织进行场内及室外管线线摸查工作，形成摸查报告。</w:t>
      </w:r>
    </w:p>
    <w:p>
      <w:pPr>
        <w:pStyle w:val="21"/>
        <w:ind w:firstLine="496"/>
        <w:rPr>
          <w:rFonts w:ascii="宋体" w:hAnsi="宋体" w:cs="宋体"/>
        </w:rPr>
      </w:pPr>
      <w:r>
        <w:rPr>
          <w:rFonts w:hint="eastAsia" w:ascii="宋体" w:hAnsi="宋体" w:cs="宋体"/>
        </w:rPr>
        <w:t>（2）施工单位在接收场地前，应确定交收场地内的所有非改造范围内的管线、系统、设备均满足使用功能，并出具评估报告。在场地接收后，非改造区域内的管线、系统、设备由施工单位进行保护，损坏维修责任也由施工单位自行承担。</w:t>
      </w:r>
    </w:p>
    <w:p>
      <w:pPr>
        <w:pStyle w:val="21"/>
        <w:ind w:firstLine="496"/>
        <w:rPr>
          <w:rFonts w:ascii="宋体" w:hAnsi="宋体" w:cs="宋体"/>
        </w:rPr>
      </w:pPr>
      <w:r>
        <w:rPr>
          <w:rFonts w:hint="eastAsia" w:ascii="宋体" w:hAnsi="宋体" w:cs="宋体"/>
        </w:rPr>
        <w:t>（3）施工单位进场后，需研究临设区排污系统的布设，尽量采用永临结合方式实施。</w:t>
      </w:r>
    </w:p>
    <w:p>
      <w:pPr>
        <w:pStyle w:val="8"/>
        <w:adjustRightInd w:val="0"/>
        <w:snapToGrid w:val="0"/>
        <w:spacing w:line="360" w:lineRule="auto"/>
        <w:ind w:firstLine="118"/>
        <w:rPr>
          <w:b/>
          <w:bCs/>
        </w:rPr>
      </w:pPr>
      <w:r>
        <w:rPr>
          <w:rFonts w:hint="eastAsia"/>
          <w:b/>
          <w:bCs/>
        </w:rPr>
        <w:t>2、拆除区域成品保护要求</w:t>
      </w:r>
    </w:p>
    <w:p>
      <w:pPr>
        <w:pStyle w:val="21"/>
        <w:ind w:firstLine="496"/>
        <w:rPr>
          <w:rFonts w:ascii="宋体" w:hAnsi="宋体" w:cs="宋体"/>
        </w:rPr>
      </w:pPr>
      <w:r>
        <w:rPr>
          <w:rFonts w:hint="eastAsia" w:ascii="宋体" w:hAnsi="宋体" w:cs="宋体"/>
        </w:rPr>
        <w:t>（1）对于拆除区域内的非改造区域及设备，要求施工单位应采取全面保护措施，编制《保护性拆除方案》对各类型物品、区域采取措施进行保护。具体要求如下：</w:t>
      </w:r>
    </w:p>
    <w:tbl>
      <w:tblPr>
        <w:tblStyle w:val="16"/>
        <w:tblW w:w="0" w:type="auto"/>
        <w:tblCellSpacing w:w="0" w:type="dxa"/>
        <w:tblInd w:w="0" w:type="dxa"/>
        <w:tblLayout w:type="fixed"/>
        <w:tblCellMar>
          <w:top w:w="0" w:type="dxa"/>
          <w:left w:w="0" w:type="dxa"/>
          <w:bottom w:w="0" w:type="dxa"/>
          <w:right w:w="0" w:type="dxa"/>
        </w:tblCellMar>
      </w:tblPr>
      <w:tblGrid>
        <w:gridCol w:w="2094"/>
        <w:gridCol w:w="3432"/>
        <w:gridCol w:w="3013"/>
      </w:tblGrid>
      <w:tr>
        <w:tblPrEx>
          <w:tblCellMar>
            <w:top w:w="0" w:type="dxa"/>
            <w:left w:w="0" w:type="dxa"/>
            <w:bottom w:w="0" w:type="dxa"/>
            <w:right w:w="0" w:type="dxa"/>
          </w:tblCellMar>
        </w:tblPrEx>
        <w:trPr>
          <w:trHeight w:val="380" w:hRule="atLeast"/>
          <w:tblCellSpacing w:w="0" w:type="dxa"/>
        </w:trPr>
        <w:tc>
          <w:tcPr>
            <w:tcW w:w="2094" w:type="dxa"/>
            <w:tcBorders>
              <w:top w:val="single" w:color="080000" w:sz="4" w:space="0"/>
              <w:left w:val="single" w:color="080000" w:sz="4" w:space="0"/>
              <w:bottom w:val="single" w:color="080000" w:sz="4" w:space="0"/>
              <w:right w:val="single" w:color="080000" w:sz="4" w:space="0"/>
            </w:tcBorders>
            <w:tcMar>
              <w:left w:w="108" w:type="dxa"/>
              <w:right w:w="108" w:type="dxa"/>
            </w:tcMar>
          </w:tcPr>
          <w:p>
            <w:pPr>
              <w:pStyle w:val="14"/>
              <w:jc w:val="center"/>
              <w:rPr>
                <w:sz w:val="21"/>
                <w:szCs w:val="20"/>
              </w:rPr>
            </w:pPr>
            <w:r>
              <w:rPr>
                <w:rFonts w:ascii="仿宋" w:hAnsi="仿宋" w:eastAsia="仿宋" w:cs="仿宋"/>
              </w:rPr>
              <w:t>内容</w:t>
            </w:r>
          </w:p>
        </w:tc>
        <w:tc>
          <w:tcPr>
            <w:tcW w:w="3432" w:type="dxa"/>
            <w:tcBorders>
              <w:top w:val="single" w:color="080000" w:sz="4" w:space="0"/>
              <w:left w:val="single" w:color="080000" w:sz="4" w:space="0"/>
              <w:bottom w:val="single" w:color="080000" w:sz="4" w:space="0"/>
              <w:right w:val="single" w:color="080000" w:sz="4" w:space="0"/>
            </w:tcBorders>
            <w:tcMar>
              <w:left w:w="108" w:type="dxa"/>
              <w:right w:w="108" w:type="dxa"/>
            </w:tcMar>
          </w:tcPr>
          <w:p>
            <w:pPr>
              <w:pStyle w:val="14"/>
              <w:jc w:val="center"/>
              <w:rPr>
                <w:sz w:val="21"/>
                <w:szCs w:val="20"/>
              </w:rPr>
            </w:pPr>
            <w:r>
              <w:rPr>
                <w:rFonts w:hint="eastAsia" w:ascii="仿宋" w:hAnsi="仿宋" w:eastAsia="仿宋" w:cs="仿宋"/>
              </w:rPr>
              <w:t>保护要求</w:t>
            </w:r>
          </w:p>
        </w:tc>
        <w:tc>
          <w:tcPr>
            <w:tcW w:w="3013" w:type="dxa"/>
            <w:tcBorders>
              <w:top w:val="single" w:color="080000" w:sz="4" w:space="0"/>
              <w:left w:val="single" w:color="080000" w:sz="4" w:space="0"/>
              <w:bottom w:val="single" w:color="080000" w:sz="4" w:space="0"/>
              <w:right w:val="single" w:color="080000" w:sz="4" w:space="0"/>
            </w:tcBorders>
            <w:tcMar>
              <w:left w:w="108" w:type="dxa"/>
              <w:right w:w="108" w:type="dxa"/>
            </w:tcMar>
          </w:tcPr>
          <w:p>
            <w:pPr>
              <w:pStyle w:val="14"/>
              <w:jc w:val="center"/>
              <w:rPr>
                <w:sz w:val="21"/>
                <w:szCs w:val="20"/>
              </w:rPr>
            </w:pPr>
            <w:r>
              <w:rPr>
                <w:rFonts w:hint="eastAsia" w:ascii="仿宋" w:hAnsi="仿宋" w:eastAsia="仿宋" w:cs="仿宋"/>
              </w:rPr>
              <w:t>备注</w:t>
            </w:r>
          </w:p>
        </w:tc>
      </w:tr>
      <w:tr>
        <w:tblPrEx>
          <w:tblCellMar>
            <w:top w:w="0" w:type="dxa"/>
            <w:left w:w="0" w:type="dxa"/>
            <w:bottom w:w="0" w:type="dxa"/>
            <w:right w:w="0" w:type="dxa"/>
          </w:tblCellMar>
        </w:tblPrEx>
        <w:trPr>
          <w:trHeight w:val="2220" w:hRule="atLeast"/>
          <w:tblCellSpacing w:w="0" w:type="dxa"/>
        </w:trPr>
        <w:tc>
          <w:tcPr>
            <w:tcW w:w="2094"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sz w:val="21"/>
                <w:szCs w:val="20"/>
              </w:rPr>
            </w:pPr>
            <w:r>
              <w:rPr>
                <w:rFonts w:hint="eastAsia" w:ascii="仿宋" w:hAnsi="仿宋" w:eastAsia="仿宋" w:cs="仿宋"/>
              </w:rPr>
              <w:t>电梯</w:t>
            </w:r>
          </w:p>
        </w:tc>
        <w:tc>
          <w:tcPr>
            <w:tcW w:w="3432"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sz w:val="21"/>
                <w:szCs w:val="20"/>
              </w:rPr>
            </w:pPr>
            <w:r>
              <w:rPr>
                <w:rFonts w:hint="eastAsia" w:ascii="仿宋" w:hAnsi="仿宋" w:eastAsia="仿宋" w:cs="仿宋"/>
              </w:rPr>
              <w:t>防火夹板全封闭保护</w:t>
            </w:r>
          </w:p>
        </w:tc>
        <w:tc>
          <w:tcPr>
            <w:tcW w:w="3013"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sz w:val="21"/>
                <w:szCs w:val="20"/>
              </w:rPr>
            </w:pPr>
            <w:r>
              <w:rPr>
                <w:rFonts w:hint="eastAsia" w:ascii="仿宋" w:hAnsi="仿宋" w:eastAsia="仿宋" w:cs="仿宋"/>
              </w:rPr>
              <w:t> 总包单位若需使用现有电梯作为临时施工电梯，需复核载重量，及对电梯进行维保检修。</w:t>
            </w:r>
          </w:p>
        </w:tc>
      </w:tr>
      <w:tr>
        <w:tblPrEx>
          <w:tblCellMar>
            <w:top w:w="0" w:type="dxa"/>
            <w:left w:w="0" w:type="dxa"/>
            <w:bottom w:w="0" w:type="dxa"/>
            <w:right w:w="0" w:type="dxa"/>
          </w:tblCellMar>
        </w:tblPrEx>
        <w:trPr>
          <w:trHeight w:val="760" w:hRule="atLeast"/>
          <w:tblCellSpacing w:w="0" w:type="dxa"/>
        </w:trPr>
        <w:tc>
          <w:tcPr>
            <w:tcW w:w="2094"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sz w:val="21"/>
                <w:szCs w:val="20"/>
              </w:rPr>
            </w:pPr>
            <w:r>
              <w:rPr>
                <w:rFonts w:hint="eastAsia" w:ascii="仿宋" w:hAnsi="仿宋" w:eastAsia="仿宋" w:cs="仿宋"/>
              </w:rPr>
              <w:t>电器设备</w:t>
            </w:r>
          </w:p>
        </w:tc>
        <w:tc>
          <w:tcPr>
            <w:tcW w:w="3432"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sz w:val="21"/>
                <w:szCs w:val="20"/>
              </w:rPr>
            </w:pPr>
            <w:r>
              <w:rPr>
                <w:rFonts w:hint="eastAsia" w:ascii="仿宋" w:hAnsi="仿宋" w:eastAsia="仿宋" w:cs="仿宋"/>
              </w:rPr>
              <w:t>保护垫包裹（外罩钢架）</w:t>
            </w:r>
          </w:p>
        </w:tc>
        <w:tc>
          <w:tcPr>
            <w:tcW w:w="3013"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sz w:val="21"/>
                <w:szCs w:val="20"/>
              </w:rPr>
            </w:pPr>
            <w:r>
              <w:rPr>
                <w:rFonts w:hint="eastAsia" w:ascii="仿宋" w:hAnsi="仿宋" w:eastAsia="仿宋" w:cs="仿宋"/>
              </w:rPr>
              <w:t> </w:t>
            </w:r>
          </w:p>
        </w:tc>
      </w:tr>
      <w:tr>
        <w:tblPrEx>
          <w:tblCellMar>
            <w:top w:w="0" w:type="dxa"/>
            <w:left w:w="0" w:type="dxa"/>
            <w:bottom w:w="0" w:type="dxa"/>
            <w:right w:w="0" w:type="dxa"/>
          </w:tblCellMar>
        </w:tblPrEx>
        <w:trPr>
          <w:trHeight w:val="680" w:hRule="atLeast"/>
          <w:tblCellSpacing w:w="0" w:type="dxa"/>
        </w:trPr>
        <w:tc>
          <w:tcPr>
            <w:tcW w:w="2094"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sz w:val="21"/>
                <w:szCs w:val="20"/>
              </w:rPr>
            </w:pPr>
            <w:r>
              <w:rPr>
                <w:rFonts w:hint="eastAsia" w:ascii="仿宋" w:hAnsi="仿宋" w:eastAsia="仿宋" w:cs="仿宋"/>
              </w:rPr>
              <w:t>地面、墙面</w:t>
            </w:r>
          </w:p>
        </w:tc>
        <w:tc>
          <w:tcPr>
            <w:tcW w:w="3432"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sz w:val="21"/>
                <w:szCs w:val="20"/>
              </w:rPr>
            </w:pPr>
            <w:r>
              <w:rPr>
                <w:rFonts w:hint="eastAsia" w:ascii="仿宋" w:hAnsi="仿宋" w:eastAsia="仿宋" w:cs="仿宋"/>
              </w:rPr>
              <w:t>贴保护垫</w:t>
            </w:r>
          </w:p>
        </w:tc>
        <w:tc>
          <w:tcPr>
            <w:tcW w:w="3013" w:type="dxa"/>
            <w:tcBorders>
              <w:top w:val="single" w:color="080000" w:sz="4" w:space="0"/>
              <w:left w:val="single" w:color="080000" w:sz="4" w:space="0"/>
              <w:bottom w:val="single" w:color="080000" w:sz="4" w:space="0"/>
              <w:right w:val="single" w:color="080000" w:sz="4" w:space="0"/>
            </w:tcBorders>
            <w:tcMar>
              <w:left w:w="108" w:type="dxa"/>
              <w:right w:w="108" w:type="dxa"/>
            </w:tcMar>
            <w:vAlign w:val="center"/>
          </w:tcPr>
          <w:p>
            <w:pPr>
              <w:pStyle w:val="14"/>
              <w:rPr>
                <w:sz w:val="21"/>
                <w:szCs w:val="20"/>
              </w:rPr>
            </w:pPr>
            <w:r>
              <w:rPr>
                <w:rFonts w:hint="eastAsia" w:ascii="仿宋" w:hAnsi="仿宋" w:eastAsia="仿宋" w:cs="仿宋"/>
              </w:rPr>
              <w:t> </w:t>
            </w:r>
          </w:p>
        </w:tc>
      </w:tr>
    </w:tbl>
    <w:p>
      <w:pPr>
        <w:pStyle w:val="21"/>
        <w:ind w:firstLine="480"/>
        <w:jc w:val="center"/>
        <w:rPr>
          <w:rFonts w:ascii="宋体" w:hAnsi="宋体" w:cs="宋体"/>
        </w:rPr>
      </w:pPr>
      <w:r>
        <w:drawing>
          <wp:inline distT="0" distB="0" distL="114300" distR="114300">
            <wp:extent cx="3634740" cy="4053840"/>
            <wp:effectExtent l="0" t="0" r="7620" b="0"/>
            <wp:docPr id="6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3"/>
                    <pic:cNvPicPr>
                      <a:picLocks noChangeAspect="1"/>
                    </pic:cNvPicPr>
                  </pic:nvPicPr>
                  <pic:blipFill>
                    <a:blip r:embed="rId59"/>
                    <a:stretch>
                      <a:fillRect/>
                    </a:stretch>
                  </pic:blipFill>
                  <pic:spPr>
                    <a:xfrm>
                      <a:off x="0" y="0"/>
                      <a:ext cx="3634740" cy="4053840"/>
                    </a:xfrm>
                    <a:prstGeom prst="rect">
                      <a:avLst/>
                    </a:prstGeom>
                    <a:noFill/>
                    <a:ln>
                      <a:noFill/>
                    </a:ln>
                  </pic:spPr>
                </pic:pic>
              </a:graphicData>
            </a:graphic>
          </wp:inline>
        </w:drawing>
      </w:r>
    </w:p>
    <w:p>
      <w:pPr>
        <w:pStyle w:val="21"/>
        <w:ind w:firstLine="496"/>
        <w:rPr>
          <w:rFonts w:ascii="宋体" w:hAnsi="宋体" w:cs="宋体"/>
        </w:rPr>
      </w:pPr>
      <w:r>
        <w:rPr>
          <w:rFonts w:hint="eastAsia" w:ascii="宋体" w:hAnsi="宋体" w:cs="宋体"/>
        </w:rPr>
        <w:t>（2）若涉及使用电梯不更换的情况，则总包单位应在使用后聘请第三方单位对电梯进行检测，并与检测报告一同移交给使用单位。</w:t>
      </w:r>
    </w:p>
    <w:p>
      <w:pPr>
        <w:pStyle w:val="8"/>
        <w:adjustRightInd w:val="0"/>
        <w:snapToGrid w:val="0"/>
        <w:spacing w:line="360" w:lineRule="auto"/>
        <w:ind w:firstLine="118"/>
        <w:rPr>
          <w:b/>
          <w:bCs/>
        </w:rPr>
      </w:pPr>
      <w:r>
        <w:rPr>
          <w:rFonts w:hint="eastAsia"/>
          <w:b/>
          <w:bCs/>
        </w:rPr>
        <w:t>3、景观照明保护要求</w:t>
      </w:r>
    </w:p>
    <w:p>
      <w:pPr>
        <w:pStyle w:val="21"/>
        <w:ind w:firstLine="496"/>
        <w:rPr>
          <w:rFonts w:ascii="宋体" w:hAnsi="宋体" w:cs="宋体"/>
        </w:rPr>
      </w:pPr>
      <w:r>
        <w:rPr>
          <w:rFonts w:hint="eastAsia" w:ascii="宋体" w:hAnsi="宋体" w:cs="宋体"/>
        </w:rPr>
        <w:t>根据为落实省、市高质量发展大会要求，按照市委、市政府及市住房城乡建设局工作部署，施工单位必须主动与有关主管部门沟通、对接，制定景观照明应急处理方案，做好本项目及周边景观照明保护工作，确保本项目所在区域的景观照明设施安全正常运行。</w:t>
      </w:r>
    </w:p>
    <w:p>
      <w:pPr>
        <w:pStyle w:val="7"/>
        <w:adjustRightInd w:val="0"/>
        <w:snapToGrid w:val="0"/>
        <w:spacing w:line="360" w:lineRule="auto"/>
        <w:rPr>
          <w:color w:val="auto"/>
          <w:sz w:val="30"/>
          <w:szCs w:val="30"/>
        </w:rPr>
      </w:pPr>
      <w:bookmarkStart w:id="309" w:name="_Toc27091"/>
      <w:bookmarkStart w:id="310" w:name="_Toc12276"/>
      <w:bookmarkStart w:id="311" w:name="_Toc55581793"/>
      <w:bookmarkStart w:id="312" w:name="_Toc15430"/>
      <w:bookmarkStart w:id="313" w:name="_Toc56444443"/>
      <w:bookmarkStart w:id="314" w:name="_Toc13984"/>
      <w:bookmarkStart w:id="315" w:name="_Toc16096"/>
      <w:bookmarkStart w:id="316" w:name="_Toc29067"/>
      <w:bookmarkStart w:id="317" w:name="_Toc159596193"/>
      <w:r>
        <w:rPr>
          <w:rFonts w:hint="eastAsia"/>
          <w:color w:val="auto"/>
          <w:sz w:val="30"/>
          <w:szCs w:val="30"/>
        </w:rPr>
        <w:t>（十六）施工总承包</w:t>
      </w:r>
      <w:r>
        <w:rPr>
          <w:color w:val="auto"/>
          <w:sz w:val="30"/>
          <w:szCs w:val="30"/>
        </w:rPr>
        <w:t>管理</w:t>
      </w:r>
      <w:r>
        <w:rPr>
          <w:rFonts w:hint="eastAsia"/>
          <w:color w:val="auto"/>
          <w:sz w:val="30"/>
          <w:szCs w:val="30"/>
        </w:rPr>
        <w:t>与专业分包配合服务的要求</w:t>
      </w:r>
      <w:bookmarkEnd w:id="309"/>
      <w:bookmarkEnd w:id="310"/>
      <w:bookmarkEnd w:id="311"/>
      <w:bookmarkEnd w:id="312"/>
      <w:bookmarkEnd w:id="313"/>
      <w:bookmarkEnd w:id="314"/>
      <w:bookmarkEnd w:id="315"/>
      <w:bookmarkEnd w:id="316"/>
      <w:bookmarkEnd w:id="317"/>
    </w:p>
    <w:p>
      <w:pPr>
        <w:pStyle w:val="8"/>
        <w:adjustRightInd w:val="0"/>
        <w:snapToGrid w:val="0"/>
        <w:spacing w:line="360" w:lineRule="auto"/>
        <w:ind w:firstLine="118"/>
        <w:rPr>
          <w:b/>
          <w:bCs/>
        </w:rPr>
      </w:pPr>
      <w:r>
        <w:rPr>
          <w:rFonts w:hint="eastAsia"/>
          <w:b/>
          <w:bCs/>
        </w:rPr>
        <w:t>1、专业分包单位划分要求</w:t>
      </w:r>
    </w:p>
    <w:p>
      <w:pPr>
        <w:adjustRightInd w:val="0"/>
        <w:snapToGrid w:val="0"/>
        <w:spacing w:line="360" w:lineRule="auto"/>
        <w:ind w:firstLine="480" w:firstLineChars="200"/>
        <w:rPr>
          <w:sz w:val="24"/>
          <w:szCs w:val="24"/>
        </w:rPr>
      </w:pPr>
      <w:r>
        <w:rPr>
          <w:rFonts w:hint="eastAsia"/>
          <w:sz w:val="24"/>
          <w:szCs w:val="24"/>
        </w:rPr>
        <w:t>建议总承包单位按金属屋面工程、网膜工程、幕墙工程、消防工程、精装修工程（重要区域）等专业工程划分专业分包单位。</w:t>
      </w:r>
    </w:p>
    <w:p>
      <w:pPr>
        <w:adjustRightInd w:val="0"/>
        <w:snapToGrid w:val="0"/>
        <w:spacing w:line="360" w:lineRule="auto"/>
        <w:ind w:firstLine="480" w:firstLineChars="200"/>
        <w:rPr>
          <w:sz w:val="24"/>
          <w:szCs w:val="24"/>
        </w:rPr>
      </w:pPr>
      <w:r>
        <w:rPr>
          <w:rFonts w:hint="eastAsia"/>
          <w:sz w:val="24"/>
          <w:szCs w:val="24"/>
        </w:rPr>
        <w:t>要求投标人在投标时对专业分包进行说明，列明分包计划、分包内容及专业等，若投标文件无说明则视为无专业分包需求，施工过程中发包人不再接受专业分包申请。</w:t>
      </w:r>
    </w:p>
    <w:p>
      <w:pPr>
        <w:pStyle w:val="8"/>
        <w:adjustRightInd w:val="0"/>
        <w:snapToGrid w:val="0"/>
        <w:spacing w:line="360" w:lineRule="auto"/>
        <w:ind w:firstLine="118"/>
        <w:rPr>
          <w:b/>
          <w:bCs/>
        </w:rPr>
      </w:pPr>
      <w:r>
        <w:rPr>
          <w:rFonts w:hint="eastAsia"/>
          <w:b/>
          <w:bCs/>
        </w:rPr>
        <w:t>2、总承包对专业分包管理要求</w:t>
      </w:r>
    </w:p>
    <w:p>
      <w:pPr>
        <w:adjustRightInd w:val="0"/>
        <w:snapToGrid w:val="0"/>
        <w:spacing w:line="360" w:lineRule="auto"/>
        <w:ind w:firstLine="480" w:firstLineChars="200"/>
        <w:rPr>
          <w:sz w:val="24"/>
          <w:szCs w:val="24"/>
        </w:rPr>
      </w:pPr>
      <w:r>
        <w:rPr>
          <w:rFonts w:hint="eastAsia"/>
          <w:sz w:val="24"/>
          <w:szCs w:val="24"/>
        </w:rPr>
        <w:t>（1）承包人必须编制总承包管理方案报发包人、监理人审批后实施。同时，总承包人必须根据招标文件安排总承包协调人进场，统筹负责现场总承包相关管理事宜。</w:t>
      </w:r>
    </w:p>
    <w:p>
      <w:pPr>
        <w:adjustRightInd w:val="0"/>
        <w:snapToGrid w:val="0"/>
        <w:spacing w:line="360" w:lineRule="auto"/>
        <w:ind w:firstLine="480" w:firstLineChars="200"/>
        <w:rPr>
          <w:sz w:val="24"/>
          <w:szCs w:val="24"/>
        </w:rPr>
      </w:pPr>
      <w:r>
        <w:rPr>
          <w:rFonts w:hint="eastAsia"/>
          <w:sz w:val="24"/>
          <w:szCs w:val="24"/>
        </w:rPr>
        <w:t>（2）承包人负责</w:t>
      </w:r>
      <w:r>
        <w:rPr>
          <w:sz w:val="24"/>
          <w:szCs w:val="24"/>
        </w:rPr>
        <w:t>对各</w:t>
      </w:r>
      <w:r>
        <w:rPr>
          <w:rFonts w:hint="eastAsia"/>
          <w:sz w:val="24"/>
          <w:szCs w:val="24"/>
        </w:rPr>
        <w:t>专业承包</w:t>
      </w:r>
      <w:r>
        <w:rPr>
          <w:sz w:val="24"/>
          <w:szCs w:val="24"/>
        </w:rPr>
        <w:t>单位以及整个项目的总承包管理和配合工作，对其施工组织、质量、工期、进度、协助</w:t>
      </w:r>
      <w:r>
        <w:rPr>
          <w:rFonts w:hint="eastAsia"/>
          <w:sz w:val="24"/>
          <w:szCs w:val="24"/>
        </w:rPr>
        <w:t>专业承包单位</w:t>
      </w:r>
      <w:r>
        <w:rPr>
          <w:sz w:val="24"/>
          <w:szCs w:val="24"/>
        </w:rPr>
        <w:t>图纸深化、节点设计等承担总承包责任，使之满足整体工程</w:t>
      </w:r>
      <w:r>
        <w:rPr>
          <w:rFonts w:hint="eastAsia"/>
          <w:sz w:val="24"/>
          <w:szCs w:val="24"/>
        </w:rPr>
        <w:t>质量</w:t>
      </w:r>
      <w:r>
        <w:rPr>
          <w:sz w:val="24"/>
          <w:szCs w:val="24"/>
        </w:rPr>
        <w:t>、工期、进度的要求和安排。承包人应统筹安排穿插各</w:t>
      </w:r>
      <w:r>
        <w:rPr>
          <w:rFonts w:hint="eastAsia"/>
          <w:sz w:val="24"/>
          <w:szCs w:val="24"/>
        </w:rPr>
        <w:t>专业承包</w:t>
      </w:r>
      <w:r>
        <w:rPr>
          <w:sz w:val="24"/>
          <w:szCs w:val="24"/>
        </w:rPr>
        <w:t>单位的工程进度</w:t>
      </w:r>
      <w:r>
        <w:rPr>
          <w:rFonts w:hint="eastAsia"/>
          <w:sz w:val="24"/>
          <w:szCs w:val="24"/>
        </w:rPr>
        <w:t>以及</w:t>
      </w:r>
      <w:r>
        <w:rPr>
          <w:sz w:val="24"/>
          <w:szCs w:val="24"/>
        </w:rPr>
        <w:t>施工界面的划分，协调解决其中的问题，提供施工方便条件，确保工程整体形象进度。如承包人未能很好</w:t>
      </w:r>
      <w:r>
        <w:rPr>
          <w:rFonts w:hint="eastAsia"/>
          <w:sz w:val="24"/>
          <w:szCs w:val="24"/>
        </w:rPr>
        <w:t>地</w:t>
      </w:r>
      <w:r>
        <w:rPr>
          <w:sz w:val="24"/>
          <w:szCs w:val="24"/>
        </w:rPr>
        <w:t>履行本合同规定的承包人的责任，无论承包人单位是否为签约主体，均</w:t>
      </w:r>
      <w:r>
        <w:rPr>
          <w:rFonts w:hint="eastAsia"/>
          <w:sz w:val="24"/>
          <w:szCs w:val="24"/>
        </w:rPr>
        <w:t>不得</w:t>
      </w:r>
      <w:r>
        <w:rPr>
          <w:sz w:val="24"/>
          <w:szCs w:val="24"/>
        </w:rPr>
        <w:t>减轻或免除承包人所承担的责任。</w:t>
      </w:r>
    </w:p>
    <w:p>
      <w:pPr>
        <w:pStyle w:val="21"/>
        <w:ind w:firstLine="565" w:firstLineChars="228"/>
        <w:rPr>
          <w:rFonts w:ascii="宋体" w:hAnsi="宋体"/>
        </w:rPr>
      </w:pPr>
      <w:r>
        <w:rPr>
          <w:rFonts w:hint="eastAsia" w:ascii="宋体" w:hAnsi="宋体"/>
        </w:rPr>
        <w:t>（3）承包人</w:t>
      </w:r>
      <w:r>
        <w:rPr>
          <w:rFonts w:ascii="宋体" w:hAnsi="宋体"/>
        </w:rPr>
        <w:t>负责统筹安排</w:t>
      </w:r>
      <w:r>
        <w:rPr>
          <w:rFonts w:hint="eastAsia" w:ascii="宋体" w:hAnsi="宋体"/>
        </w:rPr>
        <w:t>承包人</w:t>
      </w:r>
      <w:r>
        <w:rPr>
          <w:rFonts w:ascii="宋体" w:hAnsi="宋体"/>
        </w:rPr>
        <w:t>与各</w:t>
      </w:r>
      <w:r>
        <w:rPr>
          <w:rFonts w:hint="eastAsia" w:ascii="宋体" w:hAnsi="宋体"/>
        </w:rPr>
        <w:t>专业</w:t>
      </w:r>
      <w:r>
        <w:rPr>
          <w:rFonts w:ascii="宋体" w:hAnsi="宋体"/>
        </w:rPr>
        <w:t>分包人的配合</w:t>
      </w:r>
      <w:r>
        <w:rPr>
          <w:rFonts w:hint="eastAsia" w:ascii="宋体" w:hAnsi="宋体"/>
        </w:rPr>
        <w:t>，以及</w:t>
      </w:r>
      <w:r>
        <w:rPr>
          <w:rFonts w:ascii="宋体" w:hAnsi="宋体"/>
        </w:rPr>
        <w:t>各分包人相互之间的</w:t>
      </w:r>
      <w:r>
        <w:rPr>
          <w:rFonts w:hint="eastAsia" w:ascii="宋体" w:hAnsi="宋体"/>
        </w:rPr>
        <w:t>组织与协调</w:t>
      </w:r>
      <w:r>
        <w:rPr>
          <w:rFonts w:ascii="宋体" w:hAnsi="宋体"/>
        </w:rPr>
        <w:t>。统一安排施工进度，统一组织交叉施工，避免各</w:t>
      </w:r>
      <w:r>
        <w:rPr>
          <w:rFonts w:hint="eastAsia" w:ascii="宋体" w:hAnsi="宋体"/>
        </w:rPr>
        <w:t>工种</w:t>
      </w:r>
      <w:r>
        <w:rPr>
          <w:rFonts w:ascii="宋体" w:hAnsi="宋体"/>
        </w:rPr>
        <w:t>工序</w:t>
      </w:r>
      <w:r>
        <w:rPr>
          <w:rFonts w:hint="eastAsia" w:ascii="宋体" w:hAnsi="宋体"/>
        </w:rPr>
        <w:t>之间</w:t>
      </w:r>
      <w:r>
        <w:rPr>
          <w:rFonts w:ascii="宋体" w:hAnsi="宋体"/>
        </w:rPr>
        <w:t>的干扰和矛盾，协调施工措施，</w:t>
      </w:r>
      <w:r>
        <w:rPr>
          <w:rFonts w:hint="eastAsia" w:ascii="宋体" w:hAnsi="宋体"/>
        </w:rPr>
        <w:t>保证</w:t>
      </w:r>
      <w:r>
        <w:rPr>
          <w:rFonts w:ascii="宋体" w:hAnsi="宋体"/>
        </w:rPr>
        <w:t>文明施工，作业安全。负责分配各</w:t>
      </w:r>
      <w:r>
        <w:rPr>
          <w:rFonts w:hint="eastAsia" w:ascii="宋体" w:hAnsi="宋体"/>
        </w:rPr>
        <w:t>专业承包</w:t>
      </w:r>
      <w:r>
        <w:rPr>
          <w:rFonts w:ascii="宋体" w:hAnsi="宋体"/>
        </w:rPr>
        <w:t>单位的施工、办公、仓储等用途的场地。</w:t>
      </w:r>
    </w:p>
    <w:p>
      <w:pPr>
        <w:pStyle w:val="21"/>
        <w:ind w:firstLine="496"/>
        <w:rPr>
          <w:rFonts w:ascii="宋体" w:hAnsi="宋体"/>
        </w:rPr>
      </w:pPr>
      <w:r>
        <w:rPr>
          <w:rFonts w:hint="eastAsia" w:ascii="宋体" w:hAnsi="宋体"/>
        </w:rPr>
        <w:t>（4）承包人</w:t>
      </w:r>
      <w:r>
        <w:rPr>
          <w:rFonts w:ascii="宋体" w:hAnsi="宋体"/>
        </w:rPr>
        <w:t>必须给予各专业承包单位</w:t>
      </w:r>
      <w:r>
        <w:rPr>
          <w:rFonts w:hint="eastAsia" w:ascii="宋体" w:hAnsi="宋体"/>
        </w:rPr>
        <w:t>、</w:t>
      </w:r>
      <w:r>
        <w:rPr>
          <w:rFonts w:ascii="宋体" w:hAnsi="宋体"/>
        </w:rPr>
        <w:t>供应</w:t>
      </w:r>
      <w:r>
        <w:rPr>
          <w:rFonts w:hint="eastAsia" w:ascii="宋体" w:hAnsi="宋体"/>
        </w:rPr>
        <w:t>商</w:t>
      </w:r>
      <w:r>
        <w:rPr>
          <w:rFonts w:ascii="宋体" w:hAnsi="宋体"/>
        </w:rPr>
        <w:t>单位及</w:t>
      </w:r>
      <w:r>
        <w:rPr>
          <w:rFonts w:ascii="宋体" w:hAnsi="宋体" w:cs="宋体"/>
        </w:rPr>
        <w:t>发包人</w:t>
      </w:r>
      <w:r>
        <w:rPr>
          <w:rFonts w:ascii="宋体" w:hAnsi="宋体"/>
        </w:rPr>
        <w:t>委托的其他</w:t>
      </w:r>
      <w:r>
        <w:rPr>
          <w:rFonts w:hint="eastAsia" w:ascii="宋体" w:hAnsi="宋体"/>
        </w:rPr>
        <w:t>单位</w:t>
      </w:r>
      <w:r>
        <w:rPr>
          <w:rFonts w:ascii="宋体" w:hAnsi="宋体"/>
        </w:rPr>
        <w:t>人员提供现场上的</w:t>
      </w:r>
      <w:r>
        <w:rPr>
          <w:rFonts w:hint="eastAsia" w:ascii="宋体" w:hAnsi="宋体"/>
        </w:rPr>
        <w:t>一切</w:t>
      </w:r>
      <w:r>
        <w:rPr>
          <w:rFonts w:ascii="宋体" w:hAnsi="宋体"/>
        </w:rPr>
        <w:t>照管、配合、协调（</w:t>
      </w:r>
      <w:r>
        <w:rPr>
          <w:rFonts w:hint="eastAsia" w:ascii="宋体" w:hAnsi="宋体"/>
        </w:rPr>
        <w:t>包括</w:t>
      </w:r>
      <w:r>
        <w:rPr>
          <w:rFonts w:ascii="宋体" w:hAnsi="宋体"/>
        </w:rPr>
        <w:t>但不限于脚手架、基准线、轴线、现场堆放材料、水电供应及其费用、各种临时设施的使用、垂直运输，现场保安及其它所需工作等）</w:t>
      </w:r>
      <w:r>
        <w:rPr>
          <w:rFonts w:hint="eastAsia" w:ascii="宋体" w:hAnsi="宋体"/>
        </w:rPr>
        <w:t>等</w:t>
      </w:r>
      <w:r>
        <w:rPr>
          <w:rFonts w:ascii="宋体" w:hAnsi="宋体"/>
        </w:rPr>
        <w:t>以便所有单项工程的施工单位的施工进度能在承包合同制定的竣工期内完成合同工程，承包人必须征得</w:t>
      </w:r>
      <w:r>
        <w:rPr>
          <w:rFonts w:ascii="宋体" w:hAnsi="宋体" w:cs="宋体"/>
        </w:rPr>
        <w:t>发包人</w:t>
      </w:r>
      <w:r>
        <w:rPr>
          <w:rFonts w:ascii="宋体" w:hAnsi="宋体"/>
        </w:rPr>
        <w:t>方同意后方可拆除上述临时设施。照管、配合、协调的具体内容包括但不限于：</w:t>
      </w:r>
    </w:p>
    <w:p>
      <w:pPr>
        <w:pStyle w:val="21"/>
        <w:ind w:firstLine="565" w:firstLineChars="228"/>
        <w:rPr>
          <w:rFonts w:ascii="宋体" w:hAnsi="宋体"/>
        </w:rPr>
      </w:pPr>
      <w:r>
        <w:rPr>
          <w:rFonts w:hint="eastAsia" w:ascii="宋体" w:hAnsi="宋体"/>
        </w:rPr>
        <w:t>1）</w:t>
      </w:r>
      <w:r>
        <w:rPr>
          <w:rFonts w:ascii="宋体" w:hAnsi="宋体"/>
        </w:rPr>
        <w:t>免费提供现有</w:t>
      </w:r>
      <w:r>
        <w:rPr>
          <w:rFonts w:hint="eastAsia" w:ascii="宋体" w:hAnsi="宋体"/>
        </w:rPr>
        <w:t>脚手架、</w:t>
      </w:r>
      <w:r>
        <w:rPr>
          <w:rFonts w:ascii="宋体" w:hAnsi="宋体"/>
        </w:rPr>
        <w:t>垂直运输</w:t>
      </w:r>
      <w:r>
        <w:rPr>
          <w:rFonts w:hint="eastAsia" w:ascii="宋体" w:hAnsi="宋体"/>
        </w:rPr>
        <w:t>设备</w:t>
      </w:r>
      <w:r>
        <w:rPr>
          <w:rFonts w:ascii="宋体" w:hAnsi="宋体"/>
        </w:rPr>
        <w:t>（</w:t>
      </w:r>
      <w:r>
        <w:rPr>
          <w:rFonts w:hint="eastAsia" w:ascii="宋体" w:hAnsi="宋体"/>
        </w:rPr>
        <w:t>如</w:t>
      </w:r>
      <w:r>
        <w:rPr>
          <w:rFonts w:ascii="宋体" w:hAnsi="宋体"/>
        </w:rPr>
        <w:t>塔吊、施工电梯、井架等）</w:t>
      </w:r>
      <w:r>
        <w:rPr>
          <w:rFonts w:hint="eastAsia" w:ascii="宋体" w:hAnsi="宋体"/>
        </w:rPr>
        <w:t>等</w:t>
      </w:r>
      <w:r>
        <w:rPr>
          <w:rFonts w:ascii="宋体" w:hAnsi="宋体"/>
        </w:rPr>
        <w:t>设施。承包人应在</w:t>
      </w:r>
      <w:r>
        <w:rPr>
          <w:rFonts w:ascii="宋体" w:hAnsi="宋体" w:cs="宋体"/>
        </w:rPr>
        <w:t>发包人</w:t>
      </w:r>
      <w:r>
        <w:rPr>
          <w:rFonts w:ascii="宋体" w:hAnsi="宋体"/>
        </w:rPr>
        <w:t>直接发包工程的承包商不再使用后才</w:t>
      </w:r>
      <w:r>
        <w:rPr>
          <w:rFonts w:hint="eastAsia" w:ascii="宋体" w:hAnsi="宋体"/>
        </w:rPr>
        <w:t>拆除</w:t>
      </w:r>
      <w:r>
        <w:rPr>
          <w:rFonts w:ascii="宋体" w:hAnsi="宋体"/>
        </w:rPr>
        <w:t>上述设施，否则</w:t>
      </w:r>
      <w:r>
        <w:rPr>
          <w:rFonts w:ascii="宋体" w:hAnsi="宋体" w:cs="宋体"/>
        </w:rPr>
        <w:t>发包人</w:t>
      </w:r>
      <w:r>
        <w:rPr>
          <w:rFonts w:ascii="宋体" w:hAnsi="宋体"/>
        </w:rPr>
        <w:t>或相关承包商因此增加的费用和延误的工期由承包人承担。</w:t>
      </w:r>
    </w:p>
    <w:p>
      <w:pPr>
        <w:pStyle w:val="21"/>
        <w:ind w:firstLine="565" w:firstLineChars="228"/>
        <w:rPr>
          <w:rFonts w:ascii="宋体" w:hAnsi="宋体"/>
        </w:rPr>
      </w:pPr>
      <w:r>
        <w:rPr>
          <w:rFonts w:hint="eastAsia" w:ascii="宋体" w:hAnsi="宋体"/>
        </w:rPr>
        <w:t>2）提供</w:t>
      </w:r>
      <w:r>
        <w:rPr>
          <w:rFonts w:ascii="宋体" w:hAnsi="宋体"/>
        </w:rPr>
        <w:t>施工用电源点（</w:t>
      </w:r>
      <w:r>
        <w:rPr>
          <w:rFonts w:hint="eastAsia" w:ascii="宋体" w:hAnsi="宋体"/>
        </w:rPr>
        <w:t>二级箱至</w:t>
      </w:r>
      <w:r>
        <w:rPr>
          <w:rFonts w:ascii="宋体" w:hAnsi="宋体"/>
        </w:rPr>
        <w:t>任何专业承包单位工作面</w:t>
      </w:r>
      <w:r>
        <w:rPr>
          <w:rFonts w:hint="eastAsia" w:ascii="宋体" w:hAnsi="宋体"/>
        </w:rPr>
        <w:t>30m范围</w:t>
      </w:r>
      <w:r>
        <w:rPr>
          <w:rFonts w:ascii="宋体" w:hAnsi="宋体"/>
        </w:rPr>
        <w:t>内）</w:t>
      </w:r>
      <w:r>
        <w:rPr>
          <w:rFonts w:hint="eastAsia" w:ascii="宋体" w:hAnsi="宋体"/>
        </w:rPr>
        <w:t>、施工</w:t>
      </w:r>
      <w:r>
        <w:rPr>
          <w:rFonts w:ascii="宋体" w:hAnsi="宋体"/>
        </w:rPr>
        <w:t>用水源点，并确保施工、调试所需的负荷；提供自然采光不到区域的照明，包括在</w:t>
      </w:r>
      <w:r>
        <w:rPr>
          <w:rFonts w:hint="eastAsia" w:ascii="宋体" w:hAnsi="宋体"/>
        </w:rPr>
        <w:t>建筑</w:t>
      </w:r>
      <w:r>
        <w:rPr>
          <w:rFonts w:ascii="宋体" w:hAnsi="宋体"/>
        </w:rPr>
        <w:t>的每个单元之每个楼层的每个施工区域的接驳点，以及地下室、各楼道的照明等，还需要为整个工程现场提供符合有关规定要求的临时消防系统</w:t>
      </w:r>
      <w:r>
        <w:rPr>
          <w:rFonts w:hint="eastAsia" w:ascii="宋体" w:hAnsi="宋体"/>
        </w:rPr>
        <w:t>设施</w:t>
      </w:r>
      <w:r>
        <w:rPr>
          <w:rFonts w:ascii="宋体" w:hAnsi="宋体"/>
        </w:rPr>
        <w:t>，并进行常规维护，确保其正常运行。</w:t>
      </w:r>
    </w:p>
    <w:p>
      <w:pPr>
        <w:pStyle w:val="21"/>
        <w:ind w:firstLine="565" w:firstLineChars="228"/>
        <w:rPr>
          <w:rFonts w:ascii="宋体" w:hAnsi="宋体"/>
        </w:rPr>
      </w:pPr>
      <w:r>
        <w:rPr>
          <w:rFonts w:hint="eastAsia" w:ascii="宋体" w:hAnsi="宋体"/>
        </w:rPr>
        <w:t>3）提供</w:t>
      </w:r>
      <w:r>
        <w:rPr>
          <w:rFonts w:ascii="宋体" w:hAnsi="宋体"/>
        </w:rPr>
        <w:t>必要的测量定位点，如室外标高基准线、区位点以及建筑物室内外各楼层、各部位标高（</w:t>
      </w:r>
      <w:r>
        <w:rPr>
          <w:rFonts w:hint="eastAsia" w:ascii="宋体" w:hAnsi="宋体"/>
        </w:rPr>
        <w:t>50cm</w:t>
      </w:r>
      <w:r>
        <w:rPr>
          <w:rFonts w:ascii="宋体" w:hAnsi="宋体"/>
        </w:rPr>
        <w:t>）</w:t>
      </w:r>
      <w:r>
        <w:rPr>
          <w:rFonts w:hint="eastAsia" w:ascii="宋体" w:hAnsi="宋体"/>
        </w:rPr>
        <w:t>线</w:t>
      </w:r>
      <w:r>
        <w:rPr>
          <w:rFonts w:ascii="宋体" w:hAnsi="宋体"/>
        </w:rPr>
        <w:t>、轴中线等定位基准点、线和面等。</w:t>
      </w:r>
    </w:p>
    <w:p>
      <w:pPr>
        <w:pStyle w:val="21"/>
        <w:ind w:firstLine="565" w:firstLineChars="228"/>
        <w:rPr>
          <w:rFonts w:ascii="宋体" w:hAnsi="宋体"/>
        </w:rPr>
      </w:pPr>
      <w:r>
        <w:rPr>
          <w:rFonts w:hint="eastAsia" w:ascii="宋体" w:hAnsi="宋体"/>
        </w:rPr>
        <w:t>4）承包人</w:t>
      </w:r>
      <w:r>
        <w:rPr>
          <w:rFonts w:ascii="宋体" w:hAnsi="宋体"/>
        </w:rPr>
        <w:t>应充分估计塔吊安装拆除进出场、使用大型设备安装所需施工</w:t>
      </w:r>
      <w:r>
        <w:rPr>
          <w:rFonts w:hint="eastAsia" w:ascii="宋体" w:hAnsi="宋体"/>
        </w:rPr>
        <w:t>场区</w:t>
      </w:r>
      <w:r>
        <w:rPr>
          <w:rFonts w:ascii="宋体" w:hAnsi="宋体"/>
        </w:rPr>
        <w:t>内外的道路和场地情况，由承包人负责修建</w:t>
      </w:r>
      <w:r>
        <w:rPr>
          <w:rFonts w:hint="eastAsia" w:ascii="宋体" w:hAnsi="宋体"/>
        </w:rPr>
        <w:t>所需</w:t>
      </w:r>
      <w:r>
        <w:rPr>
          <w:rFonts w:ascii="宋体" w:hAnsi="宋体"/>
        </w:rPr>
        <w:t>的道路、平整加固场地</w:t>
      </w:r>
      <w:r>
        <w:rPr>
          <w:rFonts w:hint="eastAsia" w:ascii="宋体" w:hAnsi="宋体"/>
        </w:rPr>
        <w:t>和管理</w:t>
      </w:r>
      <w:r>
        <w:rPr>
          <w:rFonts w:ascii="宋体" w:hAnsi="宋体"/>
        </w:rPr>
        <w:t>，保障上述工作顺利完成。所需费用</w:t>
      </w:r>
      <w:r>
        <w:rPr>
          <w:rFonts w:hint="eastAsia" w:ascii="宋体" w:hAnsi="宋体"/>
        </w:rPr>
        <w:t>已</w:t>
      </w:r>
      <w:r>
        <w:rPr>
          <w:rFonts w:ascii="宋体" w:hAnsi="宋体"/>
        </w:rPr>
        <w:t>包含在报价中。</w:t>
      </w:r>
    </w:p>
    <w:p>
      <w:pPr>
        <w:pStyle w:val="21"/>
        <w:ind w:firstLine="565" w:firstLineChars="228"/>
        <w:rPr>
          <w:rFonts w:ascii="宋体" w:hAnsi="宋体"/>
        </w:rPr>
      </w:pPr>
      <w:r>
        <w:rPr>
          <w:rFonts w:hint="eastAsia" w:ascii="宋体" w:hAnsi="宋体"/>
        </w:rPr>
        <w:t>5）施工</w:t>
      </w:r>
      <w:r>
        <w:rPr>
          <w:rFonts w:ascii="宋体" w:hAnsi="宋体"/>
        </w:rPr>
        <w:t>现场位于</w:t>
      </w:r>
      <w:r>
        <w:rPr>
          <w:rFonts w:hint="eastAsia" w:ascii="宋体" w:hAnsi="宋体"/>
        </w:rPr>
        <w:t>黄村</w:t>
      </w:r>
      <w:r>
        <w:rPr>
          <w:rFonts w:ascii="宋体" w:hAnsi="宋体"/>
        </w:rPr>
        <w:t>，建筑材料的运输、工地噪声等均受一定限制，所有为解决此等问题（</w:t>
      </w:r>
      <w:r>
        <w:rPr>
          <w:rFonts w:hint="eastAsia" w:ascii="宋体" w:hAnsi="宋体"/>
        </w:rPr>
        <w:t>包括</w:t>
      </w:r>
      <w:r>
        <w:rPr>
          <w:rFonts w:ascii="宋体" w:hAnsi="宋体"/>
        </w:rPr>
        <w:t>但不限于周边投诉而引起停工或</w:t>
      </w:r>
      <w:r>
        <w:rPr>
          <w:rFonts w:hint="eastAsia" w:ascii="宋体" w:hAnsi="宋体"/>
        </w:rPr>
        <w:t>局部</w:t>
      </w:r>
      <w:r>
        <w:rPr>
          <w:rFonts w:ascii="宋体" w:hAnsi="宋体"/>
        </w:rPr>
        <w:t>暂停施工</w:t>
      </w:r>
      <w:r>
        <w:rPr>
          <w:rFonts w:hint="eastAsia" w:ascii="宋体" w:hAnsi="宋体"/>
        </w:rPr>
        <w:t>等</w:t>
      </w:r>
      <w:r>
        <w:rPr>
          <w:rFonts w:ascii="宋体" w:hAnsi="宋体"/>
        </w:rPr>
        <w:t>）</w:t>
      </w:r>
      <w:r>
        <w:rPr>
          <w:rFonts w:hint="eastAsia" w:ascii="宋体" w:hAnsi="宋体"/>
        </w:rPr>
        <w:t>而</w:t>
      </w:r>
      <w:r>
        <w:rPr>
          <w:rFonts w:ascii="宋体" w:hAnsi="宋体"/>
        </w:rPr>
        <w:t>发生的费用均由承包人承担，同时有关工期索赔不</w:t>
      </w:r>
      <w:r>
        <w:rPr>
          <w:rFonts w:hint="eastAsia" w:ascii="宋体" w:hAnsi="宋体"/>
        </w:rPr>
        <w:t>获批准</w:t>
      </w:r>
      <w:r>
        <w:rPr>
          <w:rFonts w:ascii="宋体" w:hAnsi="宋体"/>
        </w:rPr>
        <w:t>。</w:t>
      </w:r>
    </w:p>
    <w:p>
      <w:pPr>
        <w:pStyle w:val="21"/>
        <w:ind w:firstLine="565" w:firstLineChars="228"/>
        <w:rPr>
          <w:rFonts w:ascii="宋体" w:hAnsi="宋体"/>
        </w:rPr>
      </w:pPr>
      <w:r>
        <w:rPr>
          <w:rFonts w:hint="eastAsia" w:ascii="宋体" w:hAnsi="宋体"/>
        </w:rPr>
        <w:t>6）承包人</w:t>
      </w:r>
      <w:r>
        <w:rPr>
          <w:rFonts w:ascii="宋体" w:hAnsi="宋体"/>
        </w:rPr>
        <w:t>在现场施工期间须提供一切有关环保设施及维护方案，并满足环保部门的要求及批准。承包人承担一切有关费用。</w:t>
      </w:r>
    </w:p>
    <w:p>
      <w:pPr>
        <w:pStyle w:val="21"/>
        <w:ind w:firstLine="565" w:firstLineChars="228"/>
        <w:rPr>
          <w:rFonts w:ascii="宋体" w:hAnsi="宋体"/>
        </w:rPr>
      </w:pPr>
      <w:r>
        <w:rPr>
          <w:rFonts w:hint="eastAsia" w:ascii="宋体" w:hAnsi="宋体"/>
        </w:rPr>
        <w:t>7）承包人</w:t>
      </w:r>
      <w:r>
        <w:rPr>
          <w:rFonts w:ascii="宋体" w:hAnsi="宋体"/>
        </w:rPr>
        <w:t>必须详细地了解工程设计和施工的所有要求。其中，承包人的施工不论是否在用地红线以内或以外，其所有费用及工期都</w:t>
      </w:r>
      <w:r>
        <w:rPr>
          <w:rFonts w:hint="eastAsia" w:ascii="宋体" w:hAnsi="宋体"/>
        </w:rPr>
        <w:t>被</w:t>
      </w:r>
      <w:r>
        <w:rPr>
          <w:rFonts w:ascii="宋体" w:hAnsi="宋体"/>
        </w:rPr>
        <w:t>视为</w:t>
      </w:r>
      <w:r>
        <w:rPr>
          <w:rFonts w:hint="eastAsia" w:ascii="宋体" w:hAnsi="宋体"/>
        </w:rPr>
        <w:t>已综合</w:t>
      </w:r>
      <w:r>
        <w:rPr>
          <w:rFonts w:ascii="宋体" w:hAnsi="宋体"/>
        </w:rPr>
        <w:t>考虑包含在合同</w:t>
      </w:r>
      <w:r>
        <w:rPr>
          <w:rFonts w:hint="eastAsia" w:ascii="宋体" w:hAnsi="宋体"/>
        </w:rPr>
        <w:t>之内</w:t>
      </w:r>
      <w:r>
        <w:rPr>
          <w:rFonts w:ascii="宋体" w:hAnsi="宋体"/>
        </w:rPr>
        <w:t>。</w:t>
      </w:r>
    </w:p>
    <w:p>
      <w:pPr>
        <w:pStyle w:val="21"/>
        <w:ind w:firstLine="565" w:firstLineChars="228"/>
      </w:pPr>
      <w:r>
        <w:rPr>
          <w:rFonts w:hint="eastAsia" w:ascii="宋体" w:hAnsi="宋体"/>
        </w:rPr>
        <w:t>8）</w:t>
      </w:r>
      <w:r>
        <w:rPr>
          <w:rFonts w:hint="eastAsia"/>
        </w:rPr>
        <w:t>要求承包人将总承包管理及专业工程配合服务内容进行梳理细化，根据施工进度情况和专业单位进场情况排出配合服务工作计划，报监理人和发包人审批后实施。由发包人定期（每月）对总承包管理及专业工程配合服务内容进行量化考核，完成并达到要求则支付相应的总包管理及配合服务费，否则不支付。具体见合同约定。</w:t>
      </w:r>
    </w:p>
    <w:p>
      <w:pPr>
        <w:pStyle w:val="21"/>
        <w:ind w:firstLine="565" w:firstLineChars="228"/>
      </w:pPr>
      <w:r>
        <w:rPr>
          <w:rFonts w:hint="eastAsia"/>
        </w:rPr>
        <w:t>9）其他未尽事宜按《建设项目工程总承包管理规范》相关规定执行。</w:t>
      </w:r>
    </w:p>
    <w:p>
      <w:pPr>
        <w:pStyle w:val="21"/>
        <w:ind w:firstLine="565" w:firstLineChars="228"/>
      </w:pPr>
    </w:p>
    <w:p>
      <w:pPr>
        <w:pStyle w:val="7"/>
        <w:adjustRightInd w:val="0"/>
        <w:snapToGrid w:val="0"/>
        <w:spacing w:line="360" w:lineRule="auto"/>
        <w:rPr>
          <w:color w:val="auto"/>
          <w:sz w:val="30"/>
          <w:szCs w:val="30"/>
        </w:rPr>
      </w:pPr>
      <w:bookmarkStart w:id="318" w:name="_Toc21373"/>
      <w:bookmarkStart w:id="319" w:name="_Toc159596194"/>
      <w:bookmarkStart w:id="320" w:name="_Toc56444434"/>
      <w:bookmarkStart w:id="321" w:name="_Toc10051"/>
      <w:bookmarkStart w:id="322" w:name="_Toc20413"/>
      <w:bookmarkStart w:id="323" w:name="_Toc2597"/>
      <w:bookmarkStart w:id="324" w:name="_Toc55581784"/>
      <w:bookmarkStart w:id="325" w:name="_Toc23364"/>
      <w:bookmarkStart w:id="326" w:name="_Toc22675"/>
      <w:r>
        <w:rPr>
          <w:rFonts w:hint="eastAsia"/>
          <w:color w:val="auto"/>
          <w:sz w:val="30"/>
          <w:szCs w:val="30"/>
        </w:rPr>
        <w:t>（十七）验收</w:t>
      </w:r>
      <w:r>
        <w:rPr>
          <w:color w:val="auto"/>
          <w:sz w:val="30"/>
          <w:szCs w:val="30"/>
        </w:rPr>
        <w:t>、移交及结算管理要求</w:t>
      </w:r>
      <w:bookmarkEnd w:id="318"/>
      <w:bookmarkEnd w:id="319"/>
      <w:bookmarkEnd w:id="320"/>
      <w:bookmarkEnd w:id="321"/>
      <w:bookmarkEnd w:id="322"/>
      <w:bookmarkEnd w:id="323"/>
      <w:bookmarkEnd w:id="324"/>
      <w:bookmarkEnd w:id="325"/>
      <w:bookmarkEnd w:id="326"/>
    </w:p>
    <w:p>
      <w:pPr>
        <w:pStyle w:val="8"/>
        <w:adjustRightInd w:val="0"/>
        <w:snapToGrid w:val="0"/>
        <w:spacing w:line="360" w:lineRule="auto"/>
        <w:ind w:firstLine="118"/>
        <w:rPr>
          <w:b/>
          <w:bCs/>
        </w:rPr>
      </w:pPr>
      <w:bookmarkStart w:id="327" w:name="_Toc6702"/>
      <w:bookmarkStart w:id="328" w:name="_Toc56444435"/>
      <w:bookmarkStart w:id="329" w:name="_Toc8799"/>
      <w:bookmarkStart w:id="330" w:name="_Toc24020"/>
      <w:bookmarkStart w:id="331" w:name="_Toc55575465"/>
      <w:bookmarkStart w:id="332" w:name="_Toc55581785"/>
      <w:bookmarkStart w:id="333" w:name="_Toc647"/>
      <w:bookmarkStart w:id="334" w:name="_Toc22059"/>
      <w:r>
        <w:rPr>
          <w:rFonts w:hint="eastAsia"/>
          <w:b/>
          <w:bCs/>
        </w:rPr>
        <w:t>1、工程验收管理要求</w:t>
      </w:r>
      <w:bookmarkEnd w:id="327"/>
      <w:bookmarkEnd w:id="328"/>
      <w:bookmarkEnd w:id="329"/>
      <w:bookmarkEnd w:id="330"/>
      <w:bookmarkEnd w:id="331"/>
      <w:bookmarkEnd w:id="332"/>
      <w:bookmarkEnd w:id="333"/>
      <w:bookmarkEnd w:id="334"/>
    </w:p>
    <w:p>
      <w:pPr>
        <w:pStyle w:val="21"/>
        <w:ind w:firstLine="496"/>
        <w:rPr>
          <w:rFonts w:ascii="宋体" w:hAnsi="宋体"/>
        </w:rPr>
      </w:pPr>
      <w:r>
        <w:rPr>
          <w:rFonts w:hint="eastAsia" w:ascii="宋体" w:hAnsi="宋体"/>
        </w:rPr>
        <w:t>（1）施工单位必须在进场后30天上报本项目的验收计划，包括分部分项工程验收计划、专项工程验收计划以及联合验收计划，报监理、发包人审批后实施。</w:t>
      </w:r>
    </w:p>
    <w:p>
      <w:pPr>
        <w:pStyle w:val="21"/>
        <w:ind w:firstLine="496"/>
      </w:pPr>
      <w:r>
        <w:rPr>
          <w:rFonts w:hint="eastAsia" w:ascii="宋体" w:hAnsi="宋体"/>
        </w:rPr>
        <w:t>（2）</w:t>
      </w:r>
      <w:r>
        <w:rPr>
          <w:rFonts w:hint="eastAsia"/>
        </w:rPr>
        <w:t>联合验收执行《</w:t>
      </w:r>
      <w:r>
        <w:t>房屋建筑和市政基础设施工程竣工</w:t>
      </w:r>
      <w:r>
        <w:rPr>
          <w:rFonts w:hint="eastAsia"/>
        </w:rPr>
        <w:t>联合</w:t>
      </w:r>
      <w:r>
        <w:t>验收</w:t>
      </w:r>
      <w:r>
        <w:rPr>
          <w:rFonts w:hint="eastAsia"/>
        </w:rPr>
        <w:t>工作方案》。</w:t>
      </w:r>
    </w:p>
    <w:p>
      <w:pPr>
        <w:pStyle w:val="21"/>
        <w:ind w:firstLine="496"/>
      </w:pPr>
      <w:r>
        <w:rPr>
          <w:rFonts w:hint="eastAsia"/>
        </w:rPr>
        <w:t>（3）承包人严格按发包人制定的《工程验收及备案管理实施细则》执行。</w:t>
      </w:r>
    </w:p>
    <w:p>
      <w:pPr>
        <w:pStyle w:val="8"/>
        <w:adjustRightInd w:val="0"/>
        <w:snapToGrid w:val="0"/>
        <w:spacing w:line="360" w:lineRule="auto"/>
        <w:ind w:firstLine="118"/>
        <w:rPr>
          <w:b/>
          <w:bCs/>
        </w:rPr>
      </w:pPr>
      <w:bookmarkStart w:id="335" w:name="_Toc55575466"/>
      <w:bookmarkStart w:id="336" w:name="_Toc55581786"/>
      <w:bookmarkStart w:id="337" w:name="_Toc24052"/>
      <w:bookmarkStart w:id="338" w:name="_Toc9921"/>
      <w:bookmarkStart w:id="339" w:name="_Toc31010"/>
      <w:bookmarkStart w:id="340" w:name="_Toc19856"/>
      <w:bookmarkStart w:id="341" w:name="_Toc32525"/>
      <w:bookmarkStart w:id="342" w:name="_Toc56444436"/>
      <w:r>
        <w:rPr>
          <w:rFonts w:hint="eastAsia"/>
          <w:b/>
          <w:bCs/>
        </w:rPr>
        <w:t>2、工程移交管理要求</w:t>
      </w:r>
      <w:bookmarkEnd w:id="335"/>
      <w:bookmarkEnd w:id="336"/>
      <w:bookmarkEnd w:id="337"/>
      <w:bookmarkEnd w:id="338"/>
      <w:bookmarkEnd w:id="339"/>
      <w:bookmarkEnd w:id="340"/>
      <w:bookmarkEnd w:id="341"/>
      <w:bookmarkEnd w:id="342"/>
    </w:p>
    <w:p>
      <w:pPr>
        <w:pStyle w:val="21"/>
        <w:ind w:firstLine="496"/>
      </w:pPr>
      <w:bookmarkStart w:id="343" w:name="_Toc55581787"/>
      <w:bookmarkStart w:id="344" w:name="_Toc55575467"/>
      <w:bookmarkStart w:id="345" w:name="_Toc3972"/>
      <w:bookmarkStart w:id="346" w:name="_Toc12082"/>
      <w:bookmarkStart w:id="347" w:name="_Toc56444437"/>
      <w:bookmarkStart w:id="348" w:name="_Toc19169"/>
      <w:bookmarkStart w:id="349" w:name="_Toc18432"/>
      <w:bookmarkStart w:id="350" w:name="_Toc1935"/>
      <w:r>
        <w:rPr>
          <w:rFonts w:hint="eastAsia"/>
        </w:rPr>
        <w:t>（1）承包人必须</w:t>
      </w:r>
      <w:r>
        <w:t>在</w:t>
      </w:r>
      <w:r>
        <w:rPr>
          <w:rFonts w:hint="eastAsia"/>
        </w:rPr>
        <w:t>实体工程完</w:t>
      </w:r>
      <w:r>
        <w:t>工</w:t>
      </w:r>
      <w:r>
        <w:rPr>
          <w:rFonts w:hint="eastAsia"/>
        </w:rPr>
        <w:t>之日</w:t>
      </w:r>
      <w:r>
        <w:t>起</w:t>
      </w:r>
      <w:r>
        <w:rPr>
          <w:rFonts w:hint="eastAsia"/>
        </w:rPr>
        <w:t>6</w:t>
      </w:r>
      <w:r>
        <w:t>0</w:t>
      </w:r>
      <w:r>
        <w:rPr>
          <w:rFonts w:hint="eastAsia"/>
        </w:rPr>
        <w:t>天</w:t>
      </w:r>
      <w:r>
        <w:t>内</w:t>
      </w:r>
      <w:r>
        <w:rPr>
          <w:rFonts w:hint="eastAsia"/>
        </w:rPr>
        <w:t>完成竣工资料的</w:t>
      </w:r>
      <w:r>
        <w:t>整理</w:t>
      </w:r>
      <w:r>
        <w:rPr>
          <w:rFonts w:hint="eastAsia"/>
        </w:rPr>
        <w:t>工作</w:t>
      </w:r>
      <w:r>
        <w:t>、完成所有有关竣工验收的工作，</w:t>
      </w:r>
      <w:r>
        <w:rPr>
          <w:rFonts w:hint="eastAsia"/>
        </w:rPr>
        <w:t>包括联合验收、</w:t>
      </w:r>
      <w:r>
        <w:t>档案</w:t>
      </w:r>
      <w:r>
        <w:rPr>
          <w:rFonts w:hint="eastAsia"/>
        </w:rPr>
        <w:t>验收并</w:t>
      </w:r>
      <w:r>
        <w:t>承担所有相关费用</w:t>
      </w:r>
      <w:r>
        <w:rPr>
          <w:rFonts w:hint="eastAsia"/>
        </w:rPr>
        <w:t>。</w:t>
      </w:r>
      <w:bookmarkEnd w:id="343"/>
      <w:bookmarkEnd w:id="344"/>
      <w:bookmarkEnd w:id="345"/>
      <w:bookmarkEnd w:id="346"/>
      <w:bookmarkEnd w:id="347"/>
      <w:bookmarkEnd w:id="348"/>
      <w:bookmarkEnd w:id="349"/>
      <w:bookmarkEnd w:id="350"/>
    </w:p>
    <w:p>
      <w:pPr>
        <w:pStyle w:val="21"/>
        <w:ind w:firstLine="496"/>
      </w:pPr>
      <w:r>
        <w:rPr>
          <w:rFonts w:hint="eastAsia"/>
        </w:rPr>
        <w:t>（2）本项目的移交内容包括工程资料移交、工程实体移交和使用及维护管理移交。计划根据本项目情况先进行工程实体移交和使用及维护管理移交，然后进行工程资料移交。</w:t>
      </w:r>
    </w:p>
    <w:p>
      <w:pPr>
        <w:pStyle w:val="21"/>
        <w:ind w:firstLine="496"/>
      </w:pPr>
      <w:r>
        <w:rPr>
          <w:rFonts w:hint="eastAsia"/>
        </w:rPr>
        <w:t>（3）要求承包人应在进行移交工作前</w:t>
      </w:r>
      <w:r>
        <w:t>编写工程项目移交计划，</w:t>
      </w:r>
      <w:r>
        <w:rPr>
          <w:rFonts w:hint="eastAsia"/>
        </w:rPr>
        <w:t>并报发包人及监理人审核，在经发包人及监理人审核同意后按计划进行移交。</w:t>
      </w:r>
    </w:p>
    <w:p>
      <w:pPr>
        <w:pStyle w:val="21"/>
        <w:ind w:firstLine="496"/>
      </w:pPr>
      <w:r>
        <w:rPr>
          <w:rFonts w:hint="eastAsia"/>
        </w:rPr>
        <w:t>（4）工程移交工作的相关要求具体按发包人编制的《建设项目工程移交管理办法》的规定执行。</w:t>
      </w:r>
    </w:p>
    <w:p>
      <w:pPr>
        <w:pStyle w:val="21"/>
        <w:ind w:firstLine="496"/>
      </w:pPr>
      <w:r>
        <w:rPr>
          <w:rFonts w:hint="eastAsia"/>
        </w:rPr>
        <w:t>（5）要求承包人在竣工验收合格后3个月内，承包人须针对各系统特点及项目实际情况编制使用手册、培训手册以及培训计划，并组织专人（包括主要设备供货商）对</w:t>
      </w:r>
      <w:r>
        <w:t>相关</w:t>
      </w:r>
      <w:r>
        <w:rPr>
          <w:rFonts w:hint="eastAsia"/>
        </w:rPr>
        <w:t>管理人员的进行培训工作。</w:t>
      </w:r>
    </w:p>
    <w:p>
      <w:pPr>
        <w:pStyle w:val="8"/>
        <w:adjustRightInd w:val="0"/>
        <w:snapToGrid w:val="0"/>
        <w:spacing w:line="360" w:lineRule="auto"/>
        <w:ind w:firstLine="118"/>
        <w:rPr>
          <w:b/>
          <w:bCs/>
        </w:rPr>
      </w:pPr>
      <w:bookmarkStart w:id="351" w:name="_Toc5864"/>
      <w:bookmarkStart w:id="352" w:name="_Toc56444438"/>
      <w:bookmarkStart w:id="353" w:name="_Toc55575468"/>
      <w:bookmarkStart w:id="354" w:name="_Toc22728"/>
      <w:bookmarkStart w:id="355" w:name="_Toc55581788"/>
      <w:bookmarkStart w:id="356" w:name="_Toc13667"/>
      <w:bookmarkStart w:id="357" w:name="_Toc3817"/>
      <w:bookmarkStart w:id="358" w:name="_Toc20501"/>
      <w:r>
        <w:rPr>
          <w:rFonts w:hint="eastAsia"/>
          <w:b/>
          <w:bCs/>
        </w:rPr>
        <w:t>3、工程结算管理要求</w:t>
      </w:r>
      <w:bookmarkEnd w:id="351"/>
      <w:bookmarkEnd w:id="352"/>
      <w:bookmarkEnd w:id="353"/>
      <w:bookmarkEnd w:id="354"/>
      <w:bookmarkEnd w:id="355"/>
      <w:bookmarkEnd w:id="356"/>
      <w:bookmarkEnd w:id="357"/>
      <w:bookmarkEnd w:id="358"/>
    </w:p>
    <w:p>
      <w:pPr>
        <w:pStyle w:val="21"/>
        <w:ind w:firstLine="496"/>
      </w:pPr>
      <w:r>
        <w:rPr>
          <w:rFonts w:hint="eastAsia"/>
        </w:rPr>
        <w:t>（1）要求承包人根据</w:t>
      </w:r>
      <w:r>
        <w:t>各分部分项工程验收完成后</w:t>
      </w:r>
      <w:r>
        <w:rPr>
          <w:rFonts w:hint="eastAsia"/>
        </w:rPr>
        <w:t>30天内提供阶段性的</w:t>
      </w:r>
      <w:r>
        <w:t>结算资料</w:t>
      </w:r>
      <w:r>
        <w:rPr>
          <w:rFonts w:hint="eastAsia"/>
        </w:rPr>
        <w:t>报</w:t>
      </w:r>
      <w:r>
        <w:t>发包人、监理人</w:t>
      </w:r>
      <w:r>
        <w:rPr>
          <w:rFonts w:hint="eastAsia"/>
        </w:rPr>
        <w:t>审核</w:t>
      </w:r>
      <w:r>
        <w:t>，</w:t>
      </w:r>
      <w:r>
        <w:rPr>
          <w:rFonts w:hint="eastAsia"/>
        </w:rPr>
        <w:t>执行发包人下发的结算编制指引及与结算有关的文件规定。</w:t>
      </w:r>
    </w:p>
    <w:p>
      <w:pPr>
        <w:pStyle w:val="21"/>
        <w:ind w:firstLine="496"/>
      </w:pPr>
      <w:r>
        <w:rPr>
          <w:rFonts w:hint="eastAsia"/>
        </w:rPr>
        <w:t>（2）本项目竣工验收之日起90天内向发包人提供完整的工程结算资料。同时，承包人应按发包人要求派出足够的、有能力的造价人员负责结算工作。若派出的造价人员不足或不能胜任结算工作，承包人应按发包人的要求及时更换，直至满足发包人要求为止。</w:t>
      </w:r>
    </w:p>
    <w:p>
      <w:pPr>
        <w:adjustRightInd w:val="0"/>
        <w:snapToGrid w:val="0"/>
        <w:spacing w:line="360" w:lineRule="auto"/>
        <w:ind w:firstLine="360" w:firstLineChars="150"/>
        <w:rPr>
          <w:rFonts w:hAnsi="宋体"/>
          <w:snapToGrid w:val="0"/>
          <w:kern w:val="0"/>
          <w:sz w:val="24"/>
        </w:rPr>
      </w:pPr>
      <w:r>
        <w:rPr>
          <w:rFonts w:hint="eastAsia" w:hAnsi="宋体"/>
          <w:snapToGrid w:val="0"/>
          <w:kern w:val="0"/>
          <w:sz w:val="24"/>
        </w:rPr>
        <w:t>（3）承包人应在发包人下达结算计划的规定时间内提交送审结算书和结算资料，提交的结算资料应完整并且符合相关审计部门的要求，对送审资料的结算书格式、结算资料的有效性、结算资料装订等应符合发包人下发的结算编制指引要求。</w:t>
      </w:r>
    </w:p>
    <w:p>
      <w:pPr>
        <w:adjustRightInd w:val="0"/>
        <w:snapToGrid w:val="0"/>
        <w:spacing w:line="360" w:lineRule="auto"/>
        <w:ind w:firstLine="360" w:firstLineChars="150"/>
        <w:rPr>
          <w:rFonts w:hAnsi="宋体"/>
          <w:snapToGrid w:val="0"/>
          <w:kern w:val="0"/>
          <w:sz w:val="24"/>
        </w:rPr>
      </w:pPr>
      <w:r>
        <w:rPr>
          <w:rFonts w:hint="eastAsia" w:ascii="宋体" w:hAnsi="宋体"/>
          <w:sz w:val="24"/>
        </w:rPr>
        <w:t>（4）承包人未在规定时间内递交竣工结算文件，经发包人发文催促后，仍未按发包人的要求时间递交，发包人有权组织监理单位根据已有资料单方面编制竣工结算文件并送审，承包人应对相关结果予以认可。</w:t>
      </w:r>
    </w:p>
    <w:p>
      <w:pPr>
        <w:adjustRightInd w:val="0"/>
        <w:snapToGrid w:val="0"/>
        <w:spacing w:line="360" w:lineRule="auto"/>
        <w:ind w:right="11" w:firstLine="578" w:firstLineChars="192"/>
        <w:jc w:val="center"/>
        <w:outlineLvl w:val="1"/>
        <w:rPr>
          <w:rFonts w:ascii="宋体" w:hAnsi="宋体" w:cs="宋体-18030"/>
          <w:b/>
          <w:bCs/>
          <w:kern w:val="0"/>
          <w:sz w:val="30"/>
          <w:szCs w:val="30"/>
        </w:rPr>
      </w:pPr>
      <w:bookmarkStart w:id="359" w:name="_Toc29148"/>
      <w:bookmarkStart w:id="360" w:name="_Toc28346"/>
      <w:bookmarkStart w:id="361" w:name="_Toc9450"/>
      <w:bookmarkStart w:id="362" w:name="_Toc56444439"/>
      <w:bookmarkStart w:id="363" w:name="_Toc23402"/>
      <w:bookmarkStart w:id="364" w:name="_Toc55575469"/>
      <w:bookmarkStart w:id="365" w:name="_Toc9058"/>
      <w:bookmarkStart w:id="366" w:name="_Toc11202"/>
      <w:bookmarkStart w:id="367" w:name="_Toc22347"/>
      <w:bookmarkStart w:id="368" w:name="_Toc20313"/>
      <w:bookmarkStart w:id="369" w:name="_Toc30905"/>
      <w:bookmarkStart w:id="370" w:name="_Toc159596195"/>
      <w:bookmarkStart w:id="371" w:name="_Toc17181"/>
      <w:bookmarkStart w:id="372" w:name="_Toc55581789"/>
      <w:bookmarkStart w:id="373" w:name="_Toc5833"/>
      <w:r>
        <w:rPr>
          <w:b/>
          <w:bCs/>
          <w:kern w:val="0"/>
          <w:sz w:val="30"/>
          <w:szCs w:val="30"/>
        </w:rPr>
        <w:t>结算送审资料移交清单</w:t>
      </w:r>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p>
    <w:tbl>
      <w:tblPr>
        <w:tblStyle w:val="16"/>
        <w:tblW w:w="0" w:type="auto"/>
        <w:jc w:val="center"/>
        <w:tblLayout w:type="fixed"/>
        <w:tblCellMar>
          <w:top w:w="0" w:type="dxa"/>
          <w:left w:w="108" w:type="dxa"/>
          <w:bottom w:w="0" w:type="dxa"/>
          <w:right w:w="108" w:type="dxa"/>
        </w:tblCellMar>
      </w:tblPr>
      <w:tblGrid>
        <w:gridCol w:w="1104"/>
        <w:gridCol w:w="6658"/>
      </w:tblGrid>
      <w:tr>
        <w:tblPrEx>
          <w:tblCellMar>
            <w:top w:w="0" w:type="dxa"/>
            <w:left w:w="108" w:type="dxa"/>
            <w:bottom w:w="0" w:type="dxa"/>
            <w:right w:w="108" w:type="dxa"/>
          </w:tblCellMar>
        </w:tblPrEx>
        <w:trPr>
          <w:trHeight w:val="387" w:hRule="atLeast"/>
          <w:jc w:val="center"/>
        </w:trPr>
        <w:tc>
          <w:tcPr>
            <w:tcW w:w="1104" w:type="dxa"/>
            <w:tcBorders>
              <w:top w:val="single" w:color="auto" w:sz="4" w:space="0"/>
              <w:left w:val="single" w:color="auto" w:sz="4" w:space="0"/>
              <w:bottom w:val="nil"/>
              <w:right w:val="single" w:color="auto" w:sz="4" w:space="0"/>
            </w:tcBorders>
            <w:vAlign w:val="center"/>
          </w:tcPr>
          <w:p>
            <w:pPr>
              <w:widowControl/>
              <w:adjustRightInd w:val="0"/>
              <w:snapToGrid w:val="0"/>
              <w:spacing w:line="360" w:lineRule="auto"/>
              <w:jc w:val="center"/>
              <w:rPr>
                <w:rFonts w:ascii="宋体" w:hAnsi="宋体"/>
                <w:kern w:val="0"/>
                <w:szCs w:val="21"/>
              </w:rPr>
            </w:pPr>
            <w:r>
              <w:rPr>
                <w:rFonts w:ascii="宋体" w:hAnsi="宋体" w:cs="宋体"/>
                <w:kern w:val="0"/>
              </w:rPr>
              <w:t>序号</w:t>
            </w:r>
          </w:p>
        </w:tc>
        <w:tc>
          <w:tcPr>
            <w:tcW w:w="6658" w:type="dxa"/>
            <w:tcBorders>
              <w:top w:val="single" w:color="auto" w:sz="4" w:space="0"/>
              <w:left w:val="nil"/>
              <w:bottom w:val="nil"/>
              <w:right w:val="single" w:color="000000" w:sz="4" w:space="0"/>
            </w:tcBorders>
            <w:vAlign w:val="center"/>
          </w:tcPr>
          <w:p>
            <w:pPr>
              <w:widowControl/>
              <w:adjustRightInd w:val="0"/>
              <w:snapToGrid w:val="0"/>
              <w:spacing w:line="360" w:lineRule="auto"/>
              <w:jc w:val="center"/>
              <w:rPr>
                <w:rFonts w:ascii="宋体" w:hAnsi="宋体"/>
                <w:kern w:val="0"/>
              </w:rPr>
            </w:pPr>
            <w:r>
              <w:rPr>
                <w:rFonts w:ascii="宋体" w:hAnsi="宋体" w:cs="宋体"/>
                <w:kern w:val="0"/>
              </w:rPr>
              <w:t>资料名称</w:t>
            </w:r>
          </w:p>
        </w:tc>
      </w:tr>
      <w:tr>
        <w:tblPrEx>
          <w:tblCellMar>
            <w:top w:w="0" w:type="dxa"/>
            <w:left w:w="108" w:type="dxa"/>
            <w:bottom w:w="0" w:type="dxa"/>
            <w:right w:w="108" w:type="dxa"/>
          </w:tblCellMar>
        </w:tblPrEx>
        <w:trPr>
          <w:trHeight w:val="358" w:hRule="atLeast"/>
          <w:jc w:val="center"/>
        </w:trPr>
        <w:tc>
          <w:tcPr>
            <w:tcW w:w="1104"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1</w:t>
            </w:r>
          </w:p>
        </w:tc>
        <w:tc>
          <w:tcPr>
            <w:tcW w:w="6658" w:type="dxa"/>
            <w:tcBorders>
              <w:top w:val="single" w:color="auto" w:sz="4" w:space="0"/>
              <w:left w:val="nil"/>
              <w:bottom w:val="single" w:color="auto" w:sz="4" w:space="0"/>
              <w:right w:val="single" w:color="auto" w:sz="4" w:space="0"/>
            </w:tcBorders>
          </w:tcPr>
          <w:p>
            <w:pPr>
              <w:widowControl/>
              <w:adjustRightInd w:val="0"/>
              <w:snapToGrid w:val="0"/>
              <w:spacing w:line="360" w:lineRule="auto"/>
              <w:rPr>
                <w:rFonts w:ascii="宋体" w:hAnsi="宋体"/>
                <w:kern w:val="0"/>
              </w:rPr>
            </w:pPr>
            <w:r>
              <w:rPr>
                <w:rFonts w:ascii="宋体" w:hAnsi="宋体" w:cs="宋体"/>
                <w:kern w:val="0"/>
              </w:rPr>
              <w:t>工程结算书及其电子文档</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2</w:t>
            </w:r>
          </w:p>
        </w:tc>
        <w:tc>
          <w:tcPr>
            <w:tcW w:w="6658" w:type="dxa"/>
            <w:tcBorders>
              <w:top w:val="single" w:color="auto" w:sz="4" w:space="0"/>
              <w:left w:val="nil"/>
              <w:bottom w:val="single" w:color="auto" w:sz="4" w:space="0"/>
              <w:right w:val="single" w:color="auto" w:sz="4" w:space="0"/>
            </w:tcBorders>
          </w:tcPr>
          <w:p>
            <w:pPr>
              <w:widowControl/>
              <w:adjustRightInd w:val="0"/>
              <w:snapToGrid w:val="0"/>
              <w:spacing w:line="360" w:lineRule="auto"/>
              <w:rPr>
                <w:rFonts w:ascii="宋体" w:hAnsi="宋体"/>
                <w:kern w:val="0"/>
              </w:rPr>
            </w:pPr>
            <w:r>
              <w:rPr>
                <w:rFonts w:ascii="宋体" w:hAnsi="宋体" w:cs="宋体"/>
                <w:kern w:val="0"/>
              </w:rPr>
              <w:t>合同文件</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3</w:t>
            </w:r>
          </w:p>
        </w:tc>
        <w:tc>
          <w:tcPr>
            <w:tcW w:w="6658" w:type="dxa"/>
            <w:tcBorders>
              <w:top w:val="single" w:color="auto" w:sz="4" w:space="0"/>
              <w:left w:val="nil"/>
              <w:bottom w:val="single" w:color="auto" w:sz="4" w:space="0"/>
              <w:right w:val="single" w:color="auto" w:sz="4" w:space="0"/>
            </w:tcBorders>
          </w:tcPr>
          <w:p>
            <w:pPr>
              <w:widowControl/>
              <w:adjustRightInd w:val="0"/>
              <w:snapToGrid w:val="0"/>
              <w:spacing w:line="360" w:lineRule="auto"/>
              <w:rPr>
                <w:rFonts w:ascii="宋体" w:hAnsi="宋体"/>
                <w:kern w:val="0"/>
              </w:rPr>
            </w:pPr>
            <w:r>
              <w:rPr>
                <w:rFonts w:ascii="宋体" w:hAnsi="宋体" w:cs="宋体"/>
                <w:kern w:val="0"/>
              </w:rPr>
              <w:t>工程竣工图纸（及其电子文档）</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4</w:t>
            </w:r>
          </w:p>
        </w:tc>
        <w:tc>
          <w:tcPr>
            <w:tcW w:w="6658" w:type="dxa"/>
            <w:tcBorders>
              <w:top w:val="single" w:color="auto" w:sz="4" w:space="0"/>
              <w:left w:val="nil"/>
              <w:bottom w:val="single" w:color="auto" w:sz="4" w:space="0"/>
              <w:right w:val="single" w:color="auto" w:sz="4" w:space="0"/>
            </w:tcBorders>
          </w:tcPr>
          <w:p>
            <w:pPr>
              <w:widowControl/>
              <w:adjustRightInd w:val="0"/>
              <w:snapToGrid w:val="0"/>
              <w:spacing w:line="360" w:lineRule="auto"/>
              <w:rPr>
                <w:rFonts w:ascii="宋体" w:hAnsi="宋体"/>
                <w:kern w:val="0"/>
              </w:rPr>
            </w:pPr>
            <w:r>
              <w:rPr>
                <w:rFonts w:ascii="宋体" w:hAnsi="宋体" w:cs="宋体"/>
                <w:kern w:val="0"/>
              </w:rPr>
              <w:t>招标文件</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5</w:t>
            </w:r>
          </w:p>
        </w:tc>
        <w:tc>
          <w:tcPr>
            <w:tcW w:w="6658" w:type="dxa"/>
            <w:tcBorders>
              <w:top w:val="single" w:color="auto" w:sz="4" w:space="0"/>
              <w:left w:val="nil"/>
              <w:bottom w:val="single" w:color="auto" w:sz="4" w:space="0"/>
              <w:right w:val="single" w:color="auto" w:sz="4" w:space="0"/>
            </w:tcBorders>
          </w:tcPr>
          <w:p>
            <w:pPr>
              <w:widowControl/>
              <w:adjustRightInd w:val="0"/>
              <w:snapToGrid w:val="0"/>
              <w:spacing w:line="360" w:lineRule="auto"/>
              <w:rPr>
                <w:rFonts w:ascii="宋体" w:hAnsi="宋体"/>
                <w:kern w:val="0"/>
              </w:rPr>
            </w:pPr>
            <w:r>
              <w:rPr>
                <w:rFonts w:ascii="宋体" w:hAnsi="宋体" w:cs="宋体"/>
                <w:kern w:val="0"/>
              </w:rPr>
              <w:t>投标文件</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6</w:t>
            </w:r>
          </w:p>
        </w:tc>
        <w:tc>
          <w:tcPr>
            <w:tcW w:w="6658" w:type="dxa"/>
            <w:tcBorders>
              <w:top w:val="single" w:color="auto" w:sz="4" w:space="0"/>
              <w:left w:val="nil"/>
              <w:bottom w:val="single" w:color="auto" w:sz="4" w:space="0"/>
              <w:right w:val="single" w:color="auto" w:sz="4" w:space="0"/>
            </w:tcBorders>
          </w:tcPr>
          <w:p>
            <w:pPr>
              <w:widowControl/>
              <w:adjustRightInd w:val="0"/>
              <w:snapToGrid w:val="0"/>
              <w:spacing w:line="360" w:lineRule="auto"/>
              <w:rPr>
                <w:rFonts w:ascii="宋体" w:hAnsi="宋体"/>
                <w:kern w:val="0"/>
              </w:rPr>
            </w:pPr>
            <w:r>
              <w:rPr>
                <w:rFonts w:ascii="宋体" w:hAnsi="宋体" w:cs="宋体"/>
                <w:kern w:val="0"/>
              </w:rPr>
              <w:t>中标通知书</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7</w:t>
            </w:r>
          </w:p>
        </w:tc>
        <w:tc>
          <w:tcPr>
            <w:tcW w:w="6658" w:type="dxa"/>
            <w:tcBorders>
              <w:top w:val="single" w:color="auto" w:sz="4" w:space="0"/>
              <w:left w:val="nil"/>
              <w:bottom w:val="single" w:color="auto" w:sz="4" w:space="0"/>
              <w:right w:val="single" w:color="auto" w:sz="4" w:space="0"/>
            </w:tcBorders>
          </w:tcPr>
          <w:p>
            <w:pPr>
              <w:widowControl/>
              <w:adjustRightInd w:val="0"/>
              <w:snapToGrid w:val="0"/>
              <w:spacing w:line="360" w:lineRule="auto"/>
              <w:rPr>
                <w:rFonts w:ascii="宋体" w:hAnsi="宋体"/>
                <w:kern w:val="0"/>
              </w:rPr>
            </w:pPr>
            <w:r>
              <w:rPr>
                <w:rFonts w:ascii="宋体" w:hAnsi="宋体" w:cs="宋体"/>
                <w:kern w:val="0"/>
              </w:rPr>
              <w:t>工程开工报告</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8</w:t>
            </w:r>
          </w:p>
        </w:tc>
        <w:tc>
          <w:tcPr>
            <w:tcW w:w="6658" w:type="dxa"/>
            <w:tcBorders>
              <w:top w:val="single" w:color="auto" w:sz="4" w:space="0"/>
              <w:left w:val="nil"/>
              <w:bottom w:val="single" w:color="auto" w:sz="4" w:space="0"/>
              <w:right w:val="single" w:color="auto" w:sz="4" w:space="0"/>
            </w:tcBorders>
          </w:tcPr>
          <w:p>
            <w:pPr>
              <w:widowControl/>
              <w:adjustRightInd w:val="0"/>
              <w:snapToGrid w:val="0"/>
              <w:spacing w:line="360" w:lineRule="auto"/>
              <w:rPr>
                <w:rFonts w:ascii="宋体" w:hAnsi="宋体"/>
                <w:kern w:val="0"/>
              </w:rPr>
            </w:pPr>
            <w:r>
              <w:rPr>
                <w:rFonts w:ascii="宋体" w:hAnsi="宋体" w:cs="宋体"/>
                <w:kern w:val="0"/>
              </w:rPr>
              <w:t>竣工验收报告</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9</w:t>
            </w:r>
          </w:p>
        </w:tc>
        <w:tc>
          <w:tcPr>
            <w:tcW w:w="6658" w:type="dxa"/>
            <w:tcBorders>
              <w:top w:val="single" w:color="auto" w:sz="4" w:space="0"/>
              <w:left w:val="nil"/>
              <w:bottom w:val="single" w:color="auto" w:sz="4" w:space="0"/>
              <w:right w:val="single" w:color="auto" w:sz="4" w:space="0"/>
            </w:tcBorders>
          </w:tcPr>
          <w:p>
            <w:pPr>
              <w:widowControl/>
              <w:adjustRightInd w:val="0"/>
              <w:snapToGrid w:val="0"/>
              <w:spacing w:line="360" w:lineRule="auto"/>
              <w:rPr>
                <w:rFonts w:ascii="宋体" w:hAnsi="宋体"/>
                <w:kern w:val="0"/>
              </w:rPr>
            </w:pPr>
            <w:r>
              <w:rPr>
                <w:rFonts w:ascii="宋体" w:hAnsi="宋体" w:cs="宋体"/>
                <w:kern w:val="0"/>
              </w:rPr>
              <w:t>工程设计变更</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10</w:t>
            </w:r>
          </w:p>
        </w:tc>
        <w:tc>
          <w:tcPr>
            <w:tcW w:w="6658" w:type="dxa"/>
            <w:tcBorders>
              <w:top w:val="single" w:color="auto" w:sz="4" w:space="0"/>
              <w:left w:val="nil"/>
              <w:bottom w:val="single" w:color="auto" w:sz="4" w:space="0"/>
              <w:right w:val="single" w:color="auto" w:sz="4" w:space="0"/>
            </w:tcBorders>
          </w:tcPr>
          <w:p>
            <w:pPr>
              <w:widowControl/>
              <w:adjustRightInd w:val="0"/>
              <w:snapToGrid w:val="0"/>
              <w:spacing w:line="360" w:lineRule="auto"/>
              <w:rPr>
                <w:rFonts w:ascii="宋体" w:hAnsi="宋体"/>
                <w:kern w:val="0"/>
              </w:rPr>
            </w:pPr>
            <w:r>
              <w:rPr>
                <w:rFonts w:ascii="宋体" w:hAnsi="宋体" w:cs="宋体"/>
                <w:kern w:val="0"/>
              </w:rPr>
              <w:t>工程签证</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11</w:t>
            </w:r>
          </w:p>
        </w:tc>
        <w:tc>
          <w:tcPr>
            <w:tcW w:w="6658" w:type="dxa"/>
            <w:tcBorders>
              <w:top w:val="single" w:color="auto" w:sz="4" w:space="0"/>
              <w:left w:val="nil"/>
              <w:bottom w:val="single" w:color="auto" w:sz="4" w:space="0"/>
              <w:right w:val="single" w:color="000000" w:sz="4" w:space="0"/>
            </w:tcBorders>
            <w:vAlign w:val="center"/>
          </w:tcPr>
          <w:p>
            <w:pPr>
              <w:widowControl/>
              <w:adjustRightInd w:val="0"/>
              <w:snapToGrid w:val="0"/>
              <w:spacing w:line="360" w:lineRule="auto"/>
              <w:rPr>
                <w:rFonts w:ascii="宋体" w:hAnsi="宋体"/>
                <w:kern w:val="0"/>
              </w:rPr>
            </w:pPr>
            <w:r>
              <w:rPr>
                <w:rFonts w:ascii="宋体" w:hAnsi="宋体" w:cs="宋体"/>
                <w:kern w:val="0"/>
              </w:rPr>
              <w:t>工程量计算书（含钢筋抽料表）及其电子文档</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12</w:t>
            </w:r>
          </w:p>
        </w:tc>
        <w:tc>
          <w:tcPr>
            <w:tcW w:w="6658" w:type="dxa"/>
            <w:tcBorders>
              <w:top w:val="single" w:color="auto" w:sz="4" w:space="0"/>
              <w:left w:val="nil"/>
              <w:bottom w:val="single" w:color="auto" w:sz="4" w:space="0"/>
              <w:right w:val="single" w:color="000000" w:sz="4" w:space="0"/>
            </w:tcBorders>
            <w:vAlign w:val="center"/>
          </w:tcPr>
          <w:p>
            <w:pPr>
              <w:widowControl/>
              <w:adjustRightInd w:val="0"/>
              <w:snapToGrid w:val="0"/>
              <w:spacing w:line="360" w:lineRule="auto"/>
              <w:jc w:val="left"/>
              <w:rPr>
                <w:rFonts w:ascii="宋体" w:hAnsi="宋体"/>
                <w:kern w:val="0"/>
              </w:rPr>
            </w:pPr>
            <w:r>
              <w:rPr>
                <w:rFonts w:ascii="宋体" w:hAnsi="宋体" w:cs="宋体"/>
                <w:kern w:val="0"/>
              </w:rPr>
              <w:t>工程预（概）算批复文件</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13</w:t>
            </w:r>
          </w:p>
        </w:tc>
        <w:tc>
          <w:tcPr>
            <w:tcW w:w="6658" w:type="dxa"/>
            <w:tcBorders>
              <w:top w:val="single" w:color="auto" w:sz="4" w:space="0"/>
              <w:left w:val="nil"/>
              <w:bottom w:val="single" w:color="auto" w:sz="4" w:space="0"/>
              <w:right w:val="single" w:color="000000" w:sz="4" w:space="0"/>
            </w:tcBorders>
            <w:vAlign w:val="center"/>
          </w:tcPr>
          <w:p>
            <w:pPr>
              <w:widowControl/>
              <w:adjustRightInd w:val="0"/>
              <w:snapToGrid w:val="0"/>
              <w:spacing w:line="360" w:lineRule="auto"/>
              <w:jc w:val="left"/>
              <w:rPr>
                <w:rFonts w:ascii="宋体" w:hAnsi="宋体"/>
                <w:kern w:val="0"/>
              </w:rPr>
            </w:pPr>
            <w:r>
              <w:rPr>
                <w:rFonts w:ascii="宋体" w:hAnsi="宋体" w:cs="宋体"/>
                <w:kern w:val="0"/>
              </w:rPr>
              <w:t>相关资金安排（批复）文件</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14</w:t>
            </w:r>
          </w:p>
        </w:tc>
        <w:tc>
          <w:tcPr>
            <w:tcW w:w="6658" w:type="dxa"/>
            <w:tcBorders>
              <w:top w:val="single" w:color="auto" w:sz="4" w:space="0"/>
              <w:left w:val="nil"/>
              <w:bottom w:val="single" w:color="auto" w:sz="4" w:space="0"/>
              <w:right w:val="single" w:color="auto" w:sz="4" w:space="0"/>
            </w:tcBorders>
          </w:tcPr>
          <w:p>
            <w:pPr>
              <w:widowControl/>
              <w:adjustRightInd w:val="0"/>
              <w:snapToGrid w:val="0"/>
              <w:spacing w:line="360" w:lineRule="auto"/>
              <w:rPr>
                <w:rFonts w:ascii="宋体" w:hAnsi="宋体"/>
                <w:kern w:val="0"/>
              </w:rPr>
            </w:pPr>
            <w:r>
              <w:rPr>
                <w:rFonts w:ascii="宋体" w:hAnsi="宋体" w:cs="宋体"/>
                <w:kern w:val="0"/>
              </w:rPr>
              <w:t>招标图</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15</w:t>
            </w:r>
          </w:p>
        </w:tc>
        <w:tc>
          <w:tcPr>
            <w:tcW w:w="6658" w:type="dxa"/>
            <w:tcBorders>
              <w:top w:val="single" w:color="auto" w:sz="4" w:space="0"/>
              <w:left w:val="nil"/>
              <w:bottom w:val="single" w:color="auto" w:sz="4" w:space="0"/>
              <w:right w:val="single" w:color="000000" w:sz="4" w:space="0"/>
            </w:tcBorders>
          </w:tcPr>
          <w:p>
            <w:pPr>
              <w:widowControl/>
              <w:adjustRightInd w:val="0"/>
              <w:snapToGrid w:val="0"/>
              <w:spacing w:line="360" w:lineRule="auto"/>
              <w:rPr>
                <w:rFonts w:ascii="宋体" w:hAnsi="宋体"/>
                <w:kern w:val="0"/>
              </w:rPr>
            </w:pPr>
            <w:r>
              <w:rPr>
                <w:rFonts w:ascii="宋体" w:hAnsi="宋体" w:cs="宋体"/>
                <w:kern w:val="0"/>
              </w:rPr>
              <w:t>图纸会审记录</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16</w:t>
            </w:r>
          </w:p>
        </w:tc>
        <w:tc>
          <w:tcPr>
            <w:tcW w:w="6658" w:type="dxa"/>
            <w:tcBorders>
              <w:top w:val="single" w:color="auto" w:sz="4" w:space="0"/>
              <w:left w:val="nil"/>
              <w:bottom w:val="single" w:color="auto" w:sz="4" w:space="0"/>
              <w:right w:val="single" w:color="000000" w:sz="4" w:space="0"/>
            </w:tcBorders>
          </w:tcPr>
          <w:p>
            <w:pPr>
              <w:widowControl/>
              <w:adjustRightInd w:val="0"/>
              <w:snapToGrid w:val="0"/>
              <w:spacing w:line="360" w:lineRule="auto"/>
              <w:rPr>
                <w:rFonts w:ascii="宋体" w:hAnsi="宋体"/>
                <w:kern w:val="0"/>
              </w:rPr>
            </w:pPr>
            <w:r>
              <w:rPr>
                <w:rFonts w:ascii="宋体" w:hAnsi="宋体" w:cs="宋体"/>
                <w:kern w:val="0"/>
              </w:rPr>
              <w:t>工程洽商记录</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17</w:t>
            </w:r>
          </w:p>
        </w:tc>
        <w:tc>
          <w:tcPr>
            <w:tcW w:w="6658" w:type="dxa"/>
            <w:tcBorders>
              <w:top w:val="single" w:color="auto" w:sz="4" w:space="0"/>
              <w:left w:val="nil"/>
              <w:bottom w:val="single" w:color="auto" w:sz="4" w:space="0"/>
              <w:right w:val="single" w:color="000000" w:sz="4" w:space="0"/>
            </w:tcBorders>
          </w:tcPr>
          <w:p>
            <w:pPr>
              <w:widowControl/>
              <w:adjustRightInd w:val="0"/>
              <w:snapToGrid w:val="0"/>
              <w:spacing w:line="360" w:lineRule="auto"/>
              <w:rPr>
                <w:rFonts w:ascii="宋体" w:hAnsi="宋体"/>
                <w:kern w:val="0"/>
              </w:rPr>
            </w:pPr>
            <w:r>
              <w:rPr>
                <w:rFonts w:ascii="宋体" w:hAnsi="宋体" w:cs="宋体"/>
                <w:kern w:val="0"/>
              </w:rPr>
              <w:t>监理合同</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18</w:t>
            </w:r>
          </w:p>
        </w:tc>
        <w:tc>
          <w:tcPr>
            <w:tcW w:w="6658" w:type="dxa"/>
            <w:tcBorders>
              <w:top w:val="single" w:color="auto" w:sz="4" w:space="0"/>
              <w:left w:val="nil"/>
              <w:bottom w:val="single" w:color="auto" w:sz="4" w:space="0"/>
              <w:right w:val="single" w:color="000000" w:sz="4" w:space="0"/>
            </w:tcBorders>
          </w:tcPr>
          <w:p>
            <w:pPr>
              <w:widowControl/>
              <w:adjustRightInd w:val="0"/>
              <w:snapToGrid w:val="0"/>
              <w:spacing w:line="360" w:lineRule="auto"/>
              <w:rPr>
                <w:rFonts w:ascii="宋体" w:hAnsi="宋体"/>
                <w:kern w:val="0"/>
              </w:rPr>
            </w:pPr>
            <w:r>
              <w:rPr>
                <w:rFonts w:ascii="宋体" w:hAnsi="宋体" w:cs="宋体"/>
                <w:kern w:val="0"/>
              </w:rPr>
              <w:t>监理工程师通知或发包人施工指令</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19</w:t>
            </w:r>
          </w:p>
        </w:tc>
        <w:tc>
          <w:tcPr>
            <w:tcW w:w="6658" w:type="dxa"/>
            <w:tcBorders>
              <w:top w:val="single" w:color="auto" w:sz="4" w:space="0"/>
              <w:left w:val="nil"/>
              <w:bottom w:val="single" w:color="auto" w:sz="4" w:space="0"/>
              <w:right w:val="single" w:color="000000" w:sz="4" w:space="0"/>
            </w:tcBorders>
          </w:tcPr>
          <w:p>
            <w:pPr>
              <w:widowControl/>
              <w:adjustRightInd w:val="0"/>
              <w:snapToGrid w:val="0"/>
              <w:spacing w:line="360" w:lineRule="auto"/>
              <w:rPr>
                <w:rFonts w:ascii="宋体" w:hAnsi="宋体"/>
                <w:kern w:val="0"/>
              </w:rPr>
            </w:pPr>
            <w:r>
              <w:rPr>
                <w:rFonts w:ascii="宋体" w:hAnsi="宋体" w:cs="宋体"/>
                <w:kern w:val="0"/>
              </w:rPr>
              <w:t>会议纪要</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20</w:t>
            </w:r>
          </w:p>
        </w:tc>
        <w:tc>
          <w:tcPr>
            <w:tcW w:w="6658" w:type="dxa"/>
            <w:tcBorders>
              <w:top w:val="single" w:color="auto" w:sz="4" w:space="0"/>
              <w:left w:val="nil"/>
              <w:bottom w:val="single" w:color="auto" w:sz="4" w:space="0"/>
              <w:right w:val="single" w:color="000000" w:sz="4" w:space="0"/>
            </w:tcBorders>
          </w:tcPr>
          <w:p>
            <w:pPr>
              <w:widowControl/>
              <w:adjustRightInd w:val="0"/>
              <w:snapToGrid w:val="0"/>
              <w:spacing w:line="360" w:lineRule="auto"/>
              <w:rPr>
                <w:rFonts w:ascii="宋体" w:hAnsi="宋体"/>
                <w:kern w:val="0"/>
              </w:rPr>
            </w:pPr>
            <w:r>
              <w:rPr>
                <w:rFonts w:ascii="宋体" w:hAnsi="宋体" w:cs="宋体"/>
                <w:kern w:val="0"/>
              </w:rPr>
              <w:t>材料、设备单价呈批审核单</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21</w:t>
            </w:r>
          </w:p>
        </w:tc>
        <w:tc>
          <w:tcPr>
            <w:tcW w:w="6658" w:type="dxa"/>
            <w:tcBorders>
              <w:top w:val="single" w:color="auto" w:sz="4" w:space="0"/>
              <w:left w:val="nil"/>
              <w:bottom w:val="single" w:color="auto" w:sz="4" w:space="0"/>
              <w:right w:val="single" w:color="000000" w:sz="4" w:space="0"/>
            </w:tcBorders>
          </w:tcPr>
          <w:p>
            <w:pPr>
              <w:widowControl/>
              <w:adjustRightInd w:val="0"/>
              <w:snapToGrid w:val="0"/>
              <w:spacing w:line="360" w:lineRule="auto"/>
              <w:rPr>
                <w:rFonts w:ascii="宋体" w:hAnsi="宋体"/>
                <w:kern w:val="0"/>
              </w:rPr>
            </w:pPr>
            <w:r>
              <w:rPr>
                <w:rFonts w:ascii="宋体" w:hAnsi="宋体" w:cs="宋体"/>
                <w:kern w:val="0"/>
              </w:rPr>
              <w:t>综合单价呈批审核单及电子版</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22</w:t>
            </w:r>
          </w:p>
        </w:tc>
        <w:tc>
          <w:tcPr>
            <w:tcW w:w="6658" w:type="dxa"/>
            <w:tcBorders>
              <w:top w:val="single" w:color="auto" w:sz="4" w:space="0"/>
              <w:left w:val="nil"/>
              <w:bottom w:val="single" w:color="auto" w:sz="4" w:space="0"/>
              <w:right w:val="single" w:color="000000" w:sz="4" w:space="0"/>
            </w:tcBorders>
          </w:tcPr>
          <w:p>
            <w:pPr>
              <w:widowControl/>
              <w:adjustRightInd w:val="0"/>
              <w:snapToGrid w:val="0"/>
              <w:spacing w:line="360" w:lineRule="auto"/>
              <w:rPr>
                <w:rFonts w:ascii="宋体" w:hAnsi="宋体"/>
                <w:kern w:val="0"/>
              </w:rPr>
            </w:pPr>
            <w:r>
              <w:rPr>
                <w:rFonts w:ascii="宋体" w:hAnsi="宋体" w:cs="宋体"/>
                <w:kern w:val="0"/>
              </w:rPr>
              <w:t>甲供材料证明</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23</w:t>
            </w:r>
          </w:p>
        </w:tc>
        <w:tc>
          <w:tcPr>
            <w:tcW w:w="6658" w:type="dxa"/>
            <w:tcBorders>
              <w:top w:val="single" w:color="auto" w:sz="4" w:space="0"/>
              <w:left w:val="nil"/>
              <w:bottom w:val="single" w:color="auto" w:sz="4" w:space="0"/>
              <w:right w:val="single" w:color="000000" w:sz="4" w:space="0"/>
            </w:tcBorders>
          </w:tcPr>
          <w:p>
            <w:pPr>
              <w:widowControl/>
              <w:adjustRightInd w:val="0"/>
              <w:snapToGrid w:val="0"/>
              <w:spacing w:line="360" w:lineRule="auto"/>
              <w:rPr>
                <w:rFonts w:ascii="宋体" w:hAnsi="宋体"/>
                <w:kern w:val="0"/>
              </w:rPr>
            </w:pPr>
            <w:r>
              <w:rPr>
                <w:rFonts w:ascii="宋体" w:hAnsi="宋体" w:cs="宋体"/>
                <w:kern w:val="0"/>
              </w:rPr>
              <w:t>施工组织设计</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24</w:t>
            </w:r>
          </w:p>
        </w:tc>
        <w:tc>
          <w:tcPr>
            <w:tcW w:w="6658" w:type="dxa"/>
            <w:tcBorders>
              <w:top w:val="single" w:color="auto" w:sz="4" w:space="0"/>
              <w:left w:val="nil"/>
              <w:bottom w:val="single" w:color="auto" w:sz="4" w:space="0"/>
              <w:right w:val="single" w:color="000000" w:sz="4" w:space="0"/>
            </w:tcBorders>
          </w:tcPr>
          <w:p>
            <w:pPr>
              <w:widowControl/>
              <w:adjustRightInd w:val="0"/>
              <w:snapToGrid w:val="0"/>
              <w:spacing w:line="360" w:lineRule="auto"/>
              <w:rPr>
                <w:rFonts w:ascii="宋体" w:hAnsi="宋体"/>
                <w:kern w:val="0"/>
              </w:rPr>
            </w:pPr>
            <w:r>
              <w:rPr>
                <w:rFonts w:ascii="宋体" w:hAnsi="宋体" w:cs="宋体"/>
                <w:kern w:val="0"/>
              </w:rPr>
              <w:t>工程地质勘察报告及水文资料</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25</w:t>
            </w:r>
          </w:p>
        </w:tc>
        <w:tc>
          <w:tcPr>
            <w:tcW w:w="6658" w:type="dxa"/>
            <w:tcBorders>
              <w:top w:val="single" w:color="auto" w:sz="4" w:space="0"/>
              <w:left w:val="nil"/>
              <w:bottom w:val="single" w:color="auto" w:sz="4" w:space="0"/>
              <w:right w:val="single" w:color="000000" w:sz="4" w:space="0"/>
            </w:tcBorders>
          </w:tcPr>
          <w:p>
            <w:pPr>
              <w:widowControl/>
              <w:adjustRightInd w:val="0"/>
              <w:snapToGrid w:val="0"/>
              <w:spacing w:line="360" w:lineRule="auto"/>
              <w:rPr>
                <w:rFonts w:ascii="宋体" w:hAnsi="宋体"/>
                <w:kern w:val="0"/>
              </w:rPr>
            </w:pPr>
            <w:r>
              <w:rPr>
                <w:rFonts w:ascii="宋体" w:hAnsi="宋体" w:cs="宋体"/>
                <w:kern w:val="0"/>
              </w:rPr>
              <w:t>城建档案</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26</w:t>
            </w:r>
          </w:p>
        </w:tc>
        <w:tc>
          <w:tcPr>
            <w:tcW w:w="6658" w:type="dxa"/>
            <w:tcBorders>
              <w:top w:val="single" w:color="auto" w:sz="4" w:space="0"/>
              <w:left w:val="nil"/>
              <w:bottom w:val="single" w:color="auto" w:sz="4" w:space="0"/>
              <w:right w:val="single" w:color="000000" w:sz="4" w:space="0"/>
            </w:tcBorders>
          </w:tcPr>
          <w:p>
            <w:pPr>
              <w:widowControl/>
              <w:adjustRightInd w:val="0"/>
              <w:snapToGrid w:val="0"/>
              <w:spacing w:line="360" w:lineRule="auto"/>
              <w:rPr>
                <w:rFonts w:ascii="宋体" w:hAnsi="宋体"/>
                <w:kern w:val="0"/>
              </w:rPr>
            </w:pPr>
            <w:r>
              <w:rPr>
                <w:rFonts w:ascii="宋体" w:hAnsi="宋体" w:cs="宋体"/>
                <w:kern w:val="0"/>
              </w:rPr>
              <w:t>工期逾期情况说明</w:t>
            </w:r>
          </w:p>
        </w:tc>
      </w:tr>
      <w:tr>
        <w:tblPrEx>
          <w:tblCellMar>
            <w:top w:w="0" w:type="dxa"/>
            <w:left w:w="108" w:type="dxa"/>
            <w:bottom w:w="0" w:type="dxa"/>
            <w:right w:w="108" w:type="dxa"/>
          </w:tblCellMar>
        </w:tblPrEx>
        <w:trPr>
          <w:trHeight w:val="358" w:hRule="atLeast"/>
          <w:jc w:val="center"/>
        </w:trPr>
        <w:tc>
          <w:tcPr>
            <w:tcW w:w="1104" w:type="dxa"/>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27</w:t>
            </w:r>
          </w:p>
        </w:tc>
        <w:tc>
          <w:tcPr>
            <w:tcW w:w="6658" w:type="dxa"/>
            <w:tcBorders>
              <w:top w:val="single" w:color="auto" w:sz="4" w:space="0"/>
              <w:left w:val="nil"/>
              <w:bottom w:val="single" w:color="auto" w:sz="4" w:space="0"/>
              <w:right w:val="single" w:color="000000" w:sz="4" w:space="0"/>
            </w:tcBorders>
          </w:tcPr>
          <w:p>
            <w:pPr>
              <w:widowControl/>
              <w:adjustRightInd w:val="0"/>
              <w:snapToGrid w:val="0"/>
              <w:spacing w:line="360" w:lineRule="auto"/>
              <w:rPr>
                <w:rFonts w:ascii="宋体" w:hAnsi="宋体"/>
                <w:kern w:val="0"/>
              </w:rPr>
            </w:pPr>
            <w:r>
              <w:rPr>
                <w:rFonts w:ascii="宋体" w:hAnsi="宋体" w:cs="宋体"/>
                <w:kern w:val="0"/>
              </w:rPr>
              <w:t>合同条款修改说明</w:t>
            </w:r>
          </w:p>
        </w:tc>
      </w:tr>
      <w:tr>
        <w:tblPrEx>
          <w:tblCellMar>
            <w:top w:w="0" w:type="dxa"/>
            <w:left w:w="108" w:type="dxa"/>
            <w:bottom w:w="0" w:type="dxa"/>
            <w:right w:w="108" w:type="dxa"/>
          </w:tblCellMar>
        </w:tblPrEx>
        <w:trPr>
          <w:trHeight w:val="358" w:hRule="atLeast"/>
          <w:jc w:val="center"/>
        </w:trPr>
        <w:tc>
          <w:tcPr>
            <w:tcW w:w="1104"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28</w:t>
            </w:r>
          </w:p>
        </w:tc>
        <w:tc>
          <w:tcPr>
            <w:tcW w:w="6658" w:type="dxa"/>
            <w:tcBorders>
              <w:top w:val="single" w:color="auto" w:sz="4" w:space="0"/>
              <w:left w:val="nil"/>
              <w:bottom w:val="single" w:color="auto" w:sz="4" w:space="0"/>
              <w:right w:val="single" w:color="auto" w:sz="4" w:space="0"/>
            </w:tcBorders>
          </w:tcPr>
          <w:p>
            <w:pPr>
              <w:widowControl/>
              <w:adjustRightInd w:val="0"/>
              <w:snapToGrid w:val="0"/>
              <w:spacing w:line="360" w:lineRule="auto"/>
              <w:rPr>
                <w:rFonts w:ascii="宋体" w:hAnsi="宋体"/>
                <w:kern w:val="0"/>
              </w:rPr>
            </w:pPr>
            <w:r>
              <w:rPr>
                <w:rFonts w:ascii="宋体" w:hAnsi="宋体" w:cs="宋体"/>
                <w:kern w:val="0"/>
              </w:rPr>
              <w:t>隐蔽工程验收记录</w:t>
            </w:r>
          </w:p>
        </w:tc>
      </w:tr>
      <w:tr>
        <w:tblPrEx>
          <w:tblCellMar>
            <w:top w:w="0" w:type="dxa"/>
            <w:left w:w="108" w:type="dxa"/>
            <w:bottom w:w="0" w:type="dxa"/>
            <w:right w:w="108" w:type="dxa"/>
          </w:tblCellMar>
        </w:tblPrEx>
        <w:trPr>
          <w:trHeight w:val="358" w:hRule="atLeast"/>
          <w:jc w:val="center"/>
        </w:trPr>
        <w:tc>
          <w:tcPr>
            <w:tcW w:w="1104"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29</w:t>
            </w:r>
          </w:p>
        </w:tc>
        <w:tc>
          <w:tcPr>
            <w:tcW w:w="6658" w:type="dxa"/>
            <w:tcBorders>
              <w:top w:val="single" w:color="auto" w:sz="4" w:space="0"/>
              <w:left w:val="nil"/>
              <w:bottom w:val="single" w:color="auto" w:sz="4" w:space="0"/>
              <w:right w:val="single" w:color="auto" w:sz="4" w:space="0"/>
            </w:tcBorders>
          </w:tcPr>
          <w:p>
            <w:pPr>
              <w:widowControl/>
              <w:adjustRightInd w:val="0"/>
              <w:snapToGrid w:val="0"/>
              <w:spacing w:line="360" w:lineRule="auto"/>
              <w:rPr>
                <w:rFonts w:ascii="宋体" w:hAnsi="宋体"/>
                <w:kern w:val="0"/>
              </w:rPr>
            </w:pPr>
            <w:r>
              <w:rPr>
                <w:rFonts w:ascii="宋体" w:hAnsi="宋体" w:cs="宋体"/>
                <w:kern w:val="0"/>
              </w:rPr>
              <w:t>工程质量验收评定证书</w:t>
            </w:r>
          </w:p>
        </w:tc>
      </w:tr>
      <w:tr>
        <w:tblPrEx>
          <w:tblCellMar>
            <w:top w:w="0" w:type="dxa"/>
            <w:left w:w="108" w:type="dxa"/>
            <w:bottom w:w="0" w:type="dxa"/>
            <w:right w:w="108" w:type="dxa"/>
          </w:tblCellMar>
        </w:tblPrEx>
        <w:trPr>
          <w:trHeight w:val="358" w:hRule="atLeast"/>
          <w:jc w:val="center"/>
        </w:trPr>
        <w:tc>
          <w:tcPr>
            <w:tcW w:w="1104"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30</w:t>
            </w:r>
          </w:p>
        </w:tc>
        <w:tc>
          <w:tcPr>
            <w:tcW w:w="6658" w:type="dxa"/>
            <w:tcBorders>
              <w:top w:val="single" w:color="auto" w:sz="4" w:space="0"/>
              <w:left w:val="nil"/>
              <w:bottom w:val="single" w:color="auto" w:sz="4" w:space="0"/>
              <w:right w:val="single" w:color="auto" w:sz="4" w:space="0"/>
            </w:tcBorders>
          </w:tcPr>
          <w:p>
            <w:pPr>
              <w:widowControl/>
              <w:adjustRightInd w:val="0"/>
              <w:snapToGrid w:val="0"/>
              <w:spacing w:line="360" w:lineRule="auto"/>
              <w:jc w:val="left"/>
              <w:rPr>
                <w:rFonts w:ascii="宋体" w:hAnsi="宋体"/>
                <w:kern w:val="0"/>
              </w:rPr>
            </w:pPr>
            <w:r>
              <w:rPr>
                <w:rFonts w:ascii="宋体" w:hAnsi="宋体" w:cs="宋体"/>
                <w:kern w:val="0"/>
              </w:rPr>
              <w:t>涉及税金等调整的工程款支付明细</w:t>
            </w:r>
          </w:p>
        </w:tc>
      </w:tr>
      <w:tr>
        <w:tblPrEx>
          <w:tblCellMar>
            <w:top w:w="0" w:type="dxa"/>
            <w:left w:w="108" w:type="dxa"/>
            <w:bottom w:w="0" w:type="dxa"/>
            <w:right w:w="108" w:type="dxa"/>
          </w:tblCellMar>
        </w:tblPrEx>
        <w:trPr>
          <w:trHeight w:val="358" w:hRule="atLeast"/>
          <w:jc w:val="center"/>
        </w:trPr>
        <w:tc>
          <w:tcPr>
            <w:tcW w:w="1104"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360" w:lineRule="auto"/>
              <w:jc w:val="center"/>
              <w:rPr>
                <w:rFonts w:ascii="宋体" w:hAnsi="宋体"/>
                <w:kern w:val="0"/>
              </w:rPr>
            </w:pPr>
            <w:r>
              <w:rPr>
                <w:rFonts w:hint="eastAsia" w:ascii="宋体" w:hAnsi="宋体"/>
                <w:kern w:val="0"/>
              </w:rPr>
              <w:t>31</w:t>
            </w:r>
          </w:p>
        </w:tc>
        <w:tc>
          <w:tcPr>
            <w:tcW w:w="6658" w:type="dxa"/>
            <w:tcBorders>
              <w:top w:val="single" w:color="auto" w:sz="4" w:space="0"/>
              <w:left w:val="nil"/>
              <w:bottom w:val="single" w:color="auto" w:sz="4" w:space="0"/>
              <w:right w:val="single" w:color="auto" w:sz="4" w:space="0"/>
            </w:tcBorders>
          </w:tcPr>
          <w:p>
            <w:pPr>
              <w:widowControl/>
              <w:adjustRightInd w:val="0"/>
              <w:snapToGrid w:val="0"/>
              <w:spacing w:line="360" w:lineRule="auto"/>
              <w:jc w:val="left"/>
              <w:rPr>
                <w:rFonts w:ascii="宋体" w:hAnsi="宋体"/>
                <w:kern w:val="0"/>
              </w:rPr>
            </w:pPr>
            <w:r>
              <w:rPr>
                <w:rFonts w:ascii="宋体" w:hAnsi="宋体" w:cs="宋体"/>
                <w:kern w:val="0"/>
              </w:rPr>
              <w:t>其它结算资料</w:t>
            </w:r>
          </w:p>
        </w:tc>
      </w:tr>
    </w:tbl>
    <w:p>
      <w:pPr>
        <w:pStyle w:val="21"/>
        <w:ind w:firstLine="496"/>
        <w:rPr>
          <w:rFonts w:ascii="宋体" w:hAnsi="宋体"/>
        </w:rPr>
      </w:pPr>
    </w:p>
    <w:p>
      <w:pPr>
        <w:pStyle w:val="7"/>
        <w:adjustRightInd w:val="0"/>
        <w:snapToGrid w:val="0"/>
        <w:spacing w:line="360" w:lineRule="auto"/>
        <w:rPr>
          <w:color w:val="auto"/>
          <w:sz w:val="30"/>
          <w:szCs w:val="30"/>
        </w:rPr>
      </w:pPr>
      <w:bookmarkStart w:id="374" w:name="_Toc24201"/>
      <w:bookmarkStart w:id="375" w:name="_Toc14358"/>
      <w:bookmarkStart w:id="376" w:name="_Toc56444440"/>
      <w:bookmarkStart w:id="377" w:name="_Toc55581790"/>
      <w:bookmarkStart w:id="378" w:name="_Toc159596196"/>
      <w:bookmarkStart w:id="379" w:name="_Toc32579"/>
      <w:bookmarkStart w:id="380" w:name="_Toc27904"/>
      <w:bookmarkStart w:id="381" w:name="_Toc10739"/>
      <w:bookmarkStart w:id="382" w:name="_Toc21654"/>
      <w:r>
        <w:rPr>
          <w:rFonts w:hint="eastAsia"/>
          <w:color w:val="auto"/>
          <w:sz w:val="30"/>
          <w:szCs w:val="30"/>
        </w:rPr>
        <w:t>（十八）质保期</w:t>
      </w:r>
      <w:r>
        <w:rPr>
          <w:color w:val="auto"/>
          <w:sz w:val="30"/>
          <w:szCs w:val="30"/>
        </w:rPr>
        <w:t>服务管理要求</w:t>
      </w:r>
      <w:bookmarkEnd w:id="374"/>
      <w:bookmarkEnd w:id="375"/>
      <w:bookmarkEnd w:id="376"/>
      <w:bookmarkEnd w:id="377"/>
      <w:bookmarkEnd w:id="378"/>
      <w:bookmarkEnd w:id="379"/>
      <w:bookmarkEnd w:id="380"/>
      <w:bookmarkEnd w:id="381"/>
      <w:bookmarkEnd w:id="382"/>
    </w:p>
    <w:p>
      <w:pPr>
        <w:adjustRightInd w:val="0"/>
        <w:snapToGrid w:val="0"/>
        <w:spacing w:line="360" w:lineRule="auto"/>
        <w:ind w:firstLine="480" w:firstLineChars="200"/>
        <w:rPr>
          <w:rFonts w:ascii="宋体" w:hAnsi="宋体"/>
          <w:sz w:val="24"/>
          <w:szCs w:val="24"/>
        </w:rPr>
      </w:pPr>
      <w:r>
        <w:rPr>
          <w:rFonts w:ascii="宋体" w:hAnsi="宋体"/>
          <w:sz w:val="24"/>
          <w:szCs w:val="24"/>
        </w:rPr>
        <w:t>1</w:t>
      </w:r>
      <w:r>
        <w:rPr>
          <w:sz w:val="24"/>
          <w:szCs w:val="24"/>
        </w:rPr>
        <w:t>、在质量保证期内，承包人按保修协议约定免费提供设备的维修及保养服务。</w:t>
      </w:r>
    </w:p>
    <w:p>
      <w:pPr>
        <w:adjustRightInd w:val="0"/>
        <w:snapToGrid w:val="0"/>
        <w:spacing w:line="360" w:lineRule="auto"/>
        <w:ind w:firstLine="480" w:firstLineChars="200"/>
        <w:rPr>
          <w:rFonts w:ascii="宋体" w:hAnsi="宋体"/>
          <w:sz w:val="24"/>
          <w:szCs w:val="24"/>
        </w:rPr>
      </w:pPr>
      <w:r>
        <w:rPr>
          <w:rFonts w:ascii="宋体" w:hAnsi="宋体"/>
          <w:sz w:val="24"/>
          <w:szCs w:val="24"/>
        </w:rPr>
        <w:t>2</w:t>
      </w:r>
      <w:r>
        <w:rPr>
          <w:sz w:val="24"/>
          <w:szCs w:val="24"/>
        </w:rPr>
        <w:t>、承包人在故障保修响应方面应做到：承包人须在接到</w:t>
      </w:r>
      <w:r>
        <w:rPr>
          <w:rFonts w:ascii="宋体" w:hAnsi="宋体" w:cs="宋体"/>
        </w:rPr>
        <w:t>发包人</w:t>
      </w:r>
      <w:r>
        <w:rPr>
          <w:sz w:val="24"/>
          <w:szCs w:val="24"/>
        </w:rPr>
        <w:t>通知的</w:t>
      </w:r>
      <w:r>
        <w:rPr>
          <w:rFonts w:ascii="宋体" w:hAnsi="宋体"/>
          <w:sz w:val="24"/>
          <w:szCs w:val="24"/>
        </w:rPr>
        <w:t>1</w:t>
      </w:r>
      <w:r>
        <w:rPr>
          <w:sz w:val="24"/>
          <w:szCs w:val="24"/>
        </w:rPr>
        <w:t>小时内予以答复；在</w:t>
      </w:r>
      <w:r>
        <w:rPr>
          <w:rFonts w:ascii="宋体" w:hAnsi="宋体" w:cs="宋体"/>
        </w:rPr>
        <w:t>发包人</w:t>
      </w:r>
      <w:r>
        <w:rPr>
          <w:sz w:val="24"/>
          <w:szCs w:val="24"/>
        </w:rPr>
        <w:t>要求时，承包人的技术人员须在收到</w:t>
      </w:r>
      <w:r>
        <w:rPr>
          <w:rFonts w:ascii="宋体" w:hAnsi="宋体" w:cs="宋体"/>
        </w:rPr>
        <w:t>发包人</w:t>
      </w:r>
      <w:r>
        <w:rPr>
          <w:sz w:val="24"/>
          <w:szCs w:val="24"/>
        </w:rPr>
        <w:t>通知后</w:t>
      </w:r>
      <w:r>
        <w:rPr>
          <w:rFonts w:ascii="宋体" w:hAnsi="宋体"/>
          <w:sz w:val="24"/>
          <w:szCs w:val="24"/>
        </w:rPr>
        <w:t>3</w:t>
      </w:r>
      <w:r>
        <w:rPr>
          <w:sz w:val="24"/>
          <w:szCs w:val="24"/>
        </w:rPr>
        <w:t>小时之内到现场进行修理，相关的维修必须连续进行，直至故障完全修复为止。若在</w:t>
      </w:r>
      <w:r>
        <w:rPr>
          <w:rFonts w:ascii="宋体" w:hAnsi="宋体"/>
          <w:sz w:val="24"/>
          <w:szCs w:val="24"/>
        </w:rPr>
        <w:t>24</w:t>
      </w:r>
      <w:r>
        <w:rPr>
          <w:sz w:val="24"/>
          <w:szCs w:val="24"/>
        </w:rPr>
        <w:t>小时内不能排除故障，承包人应立即采取切实有效的补救措施（包括免费提供应急设备），全力防止损失的扩大。</w:t>
      </w:r>
    </w:p>
    <w:p>
      <w:pPr>
        <w:adjustRightInd w:val="0"/>
        <w:snapToGrid w:val="0"/>
        <w:spacing w:line="360" w:lineRule="auto"/>
        <w:ind w:firstLine="480" w:firstLineChars="200"/>
        <w:rPr>
          <w:rFonts w:ascii="宋体" w:hAnsi="宋体"/>
          <w:sz w:val="24"/>
          <w:szCs w:val="24"/>
        </w:rPr>
      </w:pPr>
      <w:r>
        <w:rPr>
          <w:rFonts w:ascii="宋体" w:hAnsi="宋体"/>
          <w:sz w:val="24"/>
          <w:szCs w:val="24"/>
        </w:rPr>
        <w:t>3</w:t>
      </w:r>
      <w:r>
        <w:rPr>
          <w:sz w:val="24"/>
          <w:szCs w:val="24"/>
        </w:rPr>
        <w:t>、承包人必提供满足质量保证期内正常运行的备品备件和易损、易耗件，且在广州有足够的备品备件和易损、易耗件供应。</w:t>
      </w:r>
    </w:p>
    <w:p>
      <w:pPr>
        <w:adjustRightInd w:val="0"/>
        <w:snapToGrid w:val="0"/>
        <w:spacing w:line="360" w:lineRule="auto"/>
        <w:ind w:firstLine="480" w:firstLineChars="200"/>
        <w:rPr>
          <w:rFonts w:ascii="宋体" w:hAnsi="宋体"/>
          <w:sz w:val="24"/>
          <w:szCs w:val="24"/>
        </w:rPr>
      </w:pPr>
      <w:r>
        <w:rPr>
          <w:rFonts w:ascii="宋体" w:hAnsi="宋体"/>
          <w:sz w:val="24"/>
          <w:szCs w:val="24"/>
        </w:rPr>
        <w:t>4</w:t>
      </w:r>
      <w:r>
        <w:rPr>
          <w:sz w:val="24"/>
          <w:szCs w:val="24"/>
        </w:rPr>
        <w:t>、在质量保证期内，电梯设备必须提供原厂售后保修服务，若本项目的质量保证期比主要设备供应商规定的售后保修服务期长的，须相应延长主要设备的原厂售后保修服务期，所发生的相关费用由承包人承担，发包人不另行增加费用。</w:t>
      </w:r>
    </w:p>
    <w:p>
      <w:pPr>
        <w:adjustRightInd w:val="0"/>
        <w:snapToGrid w:val="0"/>
        <w:spacing w:line="360" w:lineRule="auto"/>
        <w:ind w:firstLine="480" w:firstLineChars="200"/>
        <w:rPr>
          <w:sz w:val="24"/>
          <w:szCs w:val="24"/>
        </w:rPr>
      </w:pPr>
      <w:r>
        <w:rPr>
          <w:rFonts w:ascii="宋体" w:hAnsi="宋体"/>
          <w:sz w:val="24"/>
          <w:szCs w:val="24"/>
        </w:rPr>
        <w:t>5</w:t>
      </w:r>
      <w:r>
        <w:rPr>
          <w:sz w:val="24"/>
          <w:szCs w:val="24"/>
        </w:rPr>
        <w:t>、质保期满，由承包人提出退还质量保证金申请，按要求提交《工程质量保修责任期终止证书》后，按合同约定退还。</w:t>
      </w:r>
    </w:p>
    <w:p>
      <w:pPr>
        <w:adjustRightInd w:val="0"/>
        <w:snapToGrid w:val="0"/>
        <w:spacing w:line="360" w:lineRule="auto"/>
        <w:ind w:firstLine="480" w:firstLineChars="200"/>
        <w:rPr>
          <w:sz w:val="24"/>
          <w:szCs w:val="24"/>
        </w:rPr>
      </w:pPr>
      <w:r>
        <w:rPr>
          <w:rFonts w:hint="eastAsia"/>
          <w:sz w:val="24"/>
          <w:szCs w:val="24"/>
        </w:rPr>
        <w:t>6、合同期内，承包人应无条件配合发包人做好赛事筹备及运营等工作，相关费用包含在已列措施费内。</w:t>
      </w:r>
    </w:p>
    <w:p>
      <w:pPr>
        <w:pStyle w:val="7"/>
        <w:adjustRightInd w:val="0"/>
        <w:snapToGrid w:val="0"/>
        <w:spacing w:line="360" w:lineRule="auto"/>
        <w:rPr>
          <w:color w:val="auto"/>
          <w:sz w:val="30"/>
          <w:szCs w:val="30"/>
        </w:rPr>
      </w:pPr>
      <w:bookmarkStart w:id="383" w:name="_Toc28815"/>
      <w:bookmarkStart w:id="384" w:name="_Toc21305"/>
      <w:bookmarkStart w:id="385" w:name="_Toc20942"/>
      <w:bookmarkStart w:id="386" w:name="_Toc56444442"/>
      <w:bookmarkStart w:id="387" w:name="_Toc55581792"/>
      <w:bookmarkStart w:id="388" w:name="_Toc358"/>
      <w:bookmarkStart w:id="389" w:name="_Toc3754"/>
      <w:bookmarkStart w:id="390" w:name="_Toc9353"/>
      <w:bookmarkStart w:id="391" w:name="_Toc159596197"/>
      <w:r>
        <w:rPr>
          <w:rFonts w:hint="eastAsia"/>
          <w:color w:val="auto"/>
          <w:sz w:val="30"/>
          <w:szCs w:val="30"/>
        </w:rPr>
        <w:t>（十九）调价机制</w:t>
      </w:r>
      <w:bookmarkEnd w:id="383"/>
      <w:bookmarkEnd w:id="384"/>
      <w:bookmarkEnd w:id="385"/>
      <w:bookmarkEnd w:id="386"/>
      <w:bookmarkEnd w:id="387"/>
      <w:bookmarkEnd w:id="388"/>
      <w:bookmarkEnd w:id="389"/>
      <w:bookmarkEnd w:id="390"/>
      <w:bookmarkEnd w:id="391"/>
      <w:bookmarkStart w:id="392" w:name="_Toc48828405"/>
      <w:bookmarkStart w:id="393" w:name="_Toc48838777"/>
      <w:bookmarkStart w:id="394" w:name="_Toc48828313"/>
      <w:bookmarkStart w:id="395" w:name="_Toc48828377"/>
    </w:p>
    <w:p>
      <w:pPr>
        <w:adjustRightInd w:val="0"/>
        <w:snapToGrid w:val="0"/>
        <w:spacing w:line="360" w:lineRule="auto"/>
        <w:ind w:firstLine="480" w:firstLineChars="200"/>
        <w:rPr>
          <w:rFonts w:ascii="宋体" w:hAnsi="宋体" w:cs="宋体"/>
          <w:b/>
          <w:bCs/>
          <w:sz w:val="24"/>
          <w:szCs w:val="24"/>
        </w:rPr>
      </w:pPr>
      <w:r>
        <w:rPr>
          <w:rFonts w:hint="eastAsia" w:ascii="宋体" w:hAnsi="宋体" w:cs="宋体"/>
          <w:sz w:val="24"/>
          <w:szCs w:val="24"/>
        </w:rPr>
        <w:t>按合同条款执行。承包人应认真阅读合同，合理预计报价风险，中标后将不得以承包人未正确理解或未合理预计风险为由要求增加任何费用。</w:t>
      </w:r>
    </w:p>
    <w:bookmarkEnd w:id="392"/>
    <w:bookmarkEnd w:id="393"/>
    <w:bookmarkEnd w:id="394"/>
    <w:bookmarkEnd w:id="395"/>
    <w:p>
      <w:pPr>
        <w:pStyle w:val="7"/>
        <w:adjustRightInd w:val="0"/>
        <w:snapToGrid w:val="0"/>
        <w:spacing w:line="360" w:lineRule="auto"/>
        <w:rPr>
          <w:rFonts w:ascii="黑体" w:hAnsi="黑体" w:cs="黑体"/>
          <w:color w:val="auto"/>
          <w:sz w:val="30"/>
          <w:szCs w:val="30"/>
        </w:rPr>
      </w:pPr>
      <w:bookmarkStart w:id="396" w:name="_Toc4224"/>
      <w:bookmarkStart w:id="397" w:name="_Toc56444444"/>
      <w:bookmarkStart w:id="398" w:name="_Toc6514"/>
      <w:bookmarkStart w:id="399" w:name="_Toc19624"/>
      <w:bookmarkStart w:id="400" w:name="_Toc55581794"/>
      <w:bookmarkStart w:id="401" w:name="_Toc17723"/>
      <w:bookmarkStart w:id="402" w:name="_Toc159596198"/>
      <w:bookmarkStart w:id="403" w:name="_Toc13031"/>
      <w:bookmarkStart w:id="404" w:name="_Toc2820"/>
      <w:r>
        <w:rPr>
          <w:rFonts w:hint="eastAsia" w:ascii="黑体" w:hAnsi="黑体" w:cs="黑体"/>
          <w:color w:val="auto"/>
          <w:sz w:val="30"/>
          <w:szCs w:val="30"/>
        </w:rPr>
        <w:t>（二十）BIM技术应用要求</w:t>
      </w:r>
      <w:bookmarkEnd w:id="396"/>
      <w:bookmarkEnd w:id="397"/>
      <w:bookmarkEnd w:id="398"/>
      <w:bookmarkEnd w:id="399"/>
      <w:bookmarkEnd w:id="400"/>
      <w:bookmarkEnd w:id="401"/>
      <w:bookmarkEnd w:id="402"/>
      <w:bookmarkEnd w:id="403"/>
      <w:bookmarkEnd w:id="404"/>
    </w:p>
    <w:p>
      <w:pPr>
        <w:pStyle w:val="8"/>
        <w:adjustRightInd w:val="0"/>
        <w:snapToGrid w:val="0"/>
        <w:spacing w:line="360" w:lineRule="auto"/>
        <w:rPr>
          <w:b/>
          <w:bCs/>
        </w:rPr>
      </w:pPr>
      <w:bookmarkStart w:id="405" w:name="_Toc2965"/>
      <w:r>
        <w:rPr>
          <w:rFonts w:hint="eastAsia"/>
          <w:b/>
          <w:bCs/>
        </w:rPr>
        <w:t>1、BIM技术团队组成</w:t>
      </w:r>
    </w:p>
    <w:p>
      <w:pPr>
        <w:pStyle w:val="24"/>
        <w:adjustRightInd w:val="0"/>
        <w:spacing w:before="156" w:after="156" w:line="360" w:lineRule="auto"/>
        <w:ind w:left="0" w:firstLine="480" w:firstLineChars="200"/>
        <w:rPr>
          <w:rFonts w:hint="default" w:cs="宋体"/>
        </w:rPr>
      </w:pPr>
      <w:r>
        <w:rPr>
          <w:rFonts w:cs="宋体"/>
        </w:rPr>
        <w:t>承包人必须按</w:t>
      </w:r>
      <w:r>
        <w:rPr>
          <w:rFonts w:cs="宋体"/>
          <w:bCs/>
          <w:szCs w:val="28"/>
        </w:rPr>
        <w:t>照招标文件、合同成立本项目BIM研发及管理团队，配备专职技术人员进场履行相关职责。</w:t>
      </w:r>
      <w:bookmarkEnd w:id="405"/>
      <w:r>
        <w:rPr>
          <w:rFonts w:cs="宋体"/>
          <w:bCs/>
          <w:szCs w:val="28"/>
        </w:rPr>
        <w:t>本项目各专业系统（土建、机电、幕墙、装修、园林）等各专业应至少配置1名BIM技术专业工程师，经发包人同意，可根据项目需求动态调整BIM技术专业工程师配置。</w:t>
      </w:r>
    </w:p>
    <w:p>
      <w:pPr>
        <w:pStyle w:val="8"/>
        <w:adjustRightInd w:val="0"/>
        <w:snapToGrid w:val="0"/>
        <w:spacing w:line="360" w:lineRule="auto"/>
        <w:rPr>
          <w:b/>
          <w:bCs/>
        </w:rPr>
      </w:pPr>
      <w:bookmarkStart w:id="406" w:name="_Toc55581795"/>
      <w:bookmarkStart w:id="407" w:name="_Toc4199"/>
      <w:bookmarkStart w:id="408" w:name="_Toc15543"/>
      <w:bookmarkStart w:id="409" w:name="_Toc55575475"/>
      <w:bookmarkStart w:id="410" w:name="_Toc11980"/>
      <w:bookmarkStart w:id="411" w:name="_Toc56444445"/>
      <w:r>
        <w:rPr>
          <w:rFonts w:hint="eastAsia"/>
          <w:b/>
          <w:bCs/>
        </w:rPr>
        <w:t>2、BIM管理专项方案及工作计划</w:t>
      </w:r>
    </w:p>
    <w:p>
      <w:pPr>
        <w:adjustRightInd w:val="0"/>
        <w:snapToGrid w:val="0"/>
        <w:spacing w:line="360" w:lineRule="auto"/>
        <w:ind w:firstLine="367" w:firstLineChars="175"/>
      </w:pPr>
      <w:r>
        <w:rPr>
          <w:rFonts w:hint="eastAsia"/>
        </w:rPr>
        <w:t>承包人必须根据合同要求编制本项目BIM管理专项方案及BIM管理工作计划报监理、发包人批准后实施。</w:t>
      </w:r>
      <w:bookmarkEnd w:id="406"/>
      <w:bookmarkEnd w:id="407"/>
      <w:bookmarkEnd w:id="408"/>
      <w:bookmarkEnd w:id="409"/>
      <w:bookmarkEnd w:id="410"/>
      <w:bookmarkEnd w:id="411"/>
    </w:p>
    <w:p>
      <w:pPr>
        <w:pStyle w:val="8"/>
        <w:adjustRightInd w:val="0"/>
        <w:snapToGrid w:val="0"/>
        <w:spacing w:line="360" w:lineRule="auto"/>
        <w:rPr>
          <w:b/>
          <w:bCs/>
        </w:rPr>
      </w:pPr>
      <w:bookmarkStart w:id="412" w:name="_Toc27860"/>
      <w:bookmarkStart w:id="413" w:name="_Toc22639"/>
      <w:bookmarkStart w:id="414" w:name="_Toc55581796"/>
      <w:bookmarkStart w:id="415" w:name="_Toc55575476"/>
      <w:bookmarkStart w:id="416" w:name="_Toc12864"/>
      <w:bookmarkStart w:id="417" w:name="_Toc56444446"/>
      <w:r>
        <w:rPr>
          <w:rFonts w:hint="eastAsia"/>
          <w:b/>
          <w:bCs/>
        </w:rPr>
        <w:t>3、BIM技术实施范围</w:t>
      </w:r>
      <w:bookmarkEnd w:id="412"/>
      <w:bookmarkEnd w:id="413"/>
      <w:bookmarkEnd w:id="414"/>
      <w:bookmarkEnd w:id="415"/>
      <w:bookmarkEnd w:id="416"/>
      <w:bookmarkEnd w:id="417"/>
    </w:p>
    <w:p>
      <w:pPr>
        <w:adjustRightInd w:val="0"/>
        <w:snapToGrid w:val="0"/>
        <w:spacing w:line="360" w:lineRule="auto"/>
        <w:ind w:firstLine="434" w:firstLineChars="175"/>
        <w:rPr>
          <w:rFonts w:ascii="宋体" w:hAnsi="宋体" w:cs="宋体"/>
          <w:spacing w:val="4"/>
          <w:kern w:val="0"/>
          <w:sz w:val="24"/>
          <w:szCs w:val="24"/>
        </w:rPr>
      </w:pPr>
      <w:r>
        <w:rPr>
          <w:rFonts w:hint="eastAsia" w:ascii="宋体" w:hAnsi="宋体" w:cs="宋体"/>
          <w:spacing w:val="4"/>
          <w:kern w:val="0"/>
          <w:sz w:val="24"/>
          <w:szCs w:val="24"/>
        </w:rPr>
        <w:t>BIM技术建模范围包含本招标红线范围内的新建单体、已有建筑单体、附属设施，外水外电接入点及连接市政管线。</w:t>
      </w:r>
    </w:p>
    <w:p>
      <w:pPr>
        <w:pStyle w:val="8"/>
        <w:adjustRightInd w:val="0"/>
        <w:snapToGrid w:val="0"/>
        <w:spacing w:line="360" w:lineRule="auto"/>
        <w:rPr>
          <w:b/>
          <w:bCs/>
        </w:rPr>
      </w:pPr>
      <w:bookmarkStart w:id="418" w:name="_Toc10912"/>
      <w:bookmarkStart w:id="419" w:name="_Toc56444447"/>
      <w:bookmarkStart w:id="420" w:name="_Toc30308"/>
      <w:bookmarkStart w:id="421" w:name="_Toc23551"/>
      <w:bookmarkStart w:id="422" w:name="_Toc55575477"/>
      <w:bookmarkStart w:id="423" w:name="_Toc55581797"/>
      <w:r>
        <w:rPr>
          <w:rFonts w:hint="eastAsia"/>
          <w:b/>
          <w:bCs/>
        </w:rPr>
        <w:t>4、BIM技术成果质量、深度要求与验收标准</w:t>
      </w:r>
      <w:bookmarkEnd w:id="418"/>
      <w:bookmarkEnd w:id="419"/>
      <w:bookmarkEnd w:id="420"/>
      <w:bookmarkEnd w:id="421"/>
      <w:bookmarkEnd w:id="422"/>
      <w:bookmarkEnd w:id="423"/>
    </w:p>
    <w:p>
      <w:pPr>
        <w:adjustRightInd w:val="0"/>
        <w:snapToGrid w:val="0"/>
        <w:spacing w:line="360" w:lineRule="auto"/>
        <w:ind w:firstLine="420" w:firstLineChars="175"/>
        <w:rPr>
          <w:rFonts w:ascii="宋体" w:hAnsi="宋体" w:cs="宋体"/>
          <w:sz w:val="24"/>
          <w:szCs w:val="24"/>
        </w:rPr>
      </w:pPr>
      <w:r>
        <w:rPr>
          <w:rFonts w:hint="eastAsia" w:ascii="宋体" w:hAnsi="宋体" w:cs="宋体"/>
          <w:sz w:val="24"/>
          <w:szCs w:val="24"/>
        </w:rPr>
        <w:t>所有BIM技术成果要经BIM技术咨询方或发包人的审核确认，如有问题施工单位需配合更新相关成果。并经BIM技术咨询方或发包人的审核确认后上传至发包人保存。</w:t>
      </w:r>
    </w:p>
    <w:p>
      <w:pPr>
        <w:adjustRightInd w:val="0"/>
        <w:snapToGrid w:val="0"/>
        <w:spacing w:line="360" w:lineRule="auto"/>
        <w:ind w:firstLine="420" w:firstLineChars="175"/>
        <w:rPr>
          <w:rFonts w:ascii="宋体" w:hAnsi="宋体" w:cs="宋体"/>
          <w:sz w:val="24"/>
          <w:szCs w:val="24"/>
        </w:rPr>
      </w:pPr>
      <w:r>
        <w:rPr>
          <w:rFonts w:hint="eastAsia" w:ascii="宋体" w:hAnsi="宋体" w:cs="宋体"/>
          <w:sz w:val="24"/>
          <w:szCs w:val="24"/>
        </w:rPr>
        <w:t>BIM技术模型要求与验收标准应满足《GB/T 51301-2018建筑信息模型设计交付标准》、《GB/T 51235-2017建筑信息模型施工应用标准》、《建筑工程信息模型存储标准》、广东省标准《广东省建筑信息模型应用统一标准》、本项目BIM技术实施细则、CIM审查相关要求，如上述标准、细则或发包人管理制度更新，施工总承包需配合更新相关成果。</w:t>
      </w:r>
    </w:p>
    <w:p>
      <w:pPr>
        <w:pStyle w:val="8"/>
        <w:adjustRightInd w:val="0"/>
        <w:snapToGrid w:val="0"/>
        <w:spacing w:line="360" w:lineRule="auto"/>
        <w:rPr>
          <w:b/>
          <w:bCs/>
        </w:rPr>
      </w:pPr>
      <w:bookmarkStart w:id="424" w:name="_Toc31939"/>
      <w:bookmarkStart w:id="425" w:name="_Toc55575478"/>
      <w:bookmarkStart w:id="426" w:name="_Toc56444448"/>
      <w:bookmarkStart w:id="427" w:name="_Toc55581798"/>
      <w:bookmarkStart w:id="428" w:name="_Toc23493"/>
      <w:bookmarkStart w:id="429" w:name="_Toc18604"/>
      <w:r>
        <w:rPr>
          <w:rFonts w:hint="eastAsia"/>
          <w:b/>
          <w:bCs/>
        </w:rPr>
        <w:t>5、BIM技术成果要求</w:t>
      </w:r>
      <w:bookmarkEnd w:id="424"/>
      <w:bookmarkEnd w:id="425"/>
      <w:bookmarkEnd w:id="426"/>
      <w:bookmarkEnd w:id="427"/>
      <w:bookmarkEnd w:id="428"/>
      <w:bookmarkEnd w:id="429"/>
    </w:p>
    <w:p>
      <w:pPr>
        <w:pStyle w:val="21"/>
        <w:ind w:firstLine="434" w:firstLineChars="175"/>
        <w:rPr>
          <w:rFonts w:ascii="宋体" w:hAnsi="宋体" w:cs="宋体"/>
        </w:rPr>
      </w:pPr>
      <w:r>
        <w:rPr>
          <w:rFonts w:hint="eastAsia" w:ascii="宋体" w:hAnsi="宋体" w:cs="宋体"/>
        </w:rPr>
        <w:t>承包人等所有本项目参建方必须按照本招标文件、本项目和合同的要求提交完整的项目BIM技术成果，包含但不限于最终完整的与竣工建筑实物一致的BIM技术竣工模型（RVT格式）、施工场布模型（RVT格式）、施工场地周边道路地下管网模型、碰撞检查报告、施工深化模型（建筑、结构、钢结构、幕墙、机电、智能化、消防、装修、人防、设备机房、场地、园林、市政）及图纸（平面图、立面图、剖面图、大样图、材料表等）、施工方案模拟动画及优化报告、4D进度模拟动画及优化报告、工程量清单、布置智慧工地平台系统，并且接入到发包人指定的施工协同管理平台实现数据联动。实现项目全过程数字化、可视化的监管与信息交流。所有BIM技术成果电子文件必须根据项目情况和发包人约定时间上传至发包人保存。</w:t>
      </w:r>
    </w:p>
    <w:p>
      <w:pPr>
        <w:adjustRightInd w:val="0"/>
        <w:snapToGrid w:val="0"/>
        <w:spacing w:line="360" w:lineRule="auto"/>
        <w:ind w:firstLine="420" w:firstLineChars="175"/>
        <w:rPr>
          <w:rFonts w:ascii="宋体" w:hAnsi="宋体" w:cs="宋体"/>
          <w:sz w:val="24"/>
          <w:szCs w:val="24"/>
        </w:rPr>
      </w:pPr>
      <w:r>
        <w:rPr>
          <w:rFonts w:hint="eastAsia" w:ascii="宋体" w:hAnsi="宋体" w:cs="宋体"/>
          <w:sz w:val="24"/>
          <w:szCs w:val="24"/>
        </w:rPr>
        <w:t>成果提交的同时，需出具包含BIM技术成果清单、归档说明、文件资料、分析报告等组成的完整电子版成果文件。</w:t>
      </w:r>
    </w:p>
    <w:p>
      <w:pPr>
        <w:adjustRightInd w:val="0"/>
        <w:snapToGrid w:val="0"/>
        <w:spacing w:line="360" w:lineRule="auto"/>
        <w:ind w:firstLine="420" w:firstLineChars="175"/>
        <w:rPr>
          <w:rFonts w:ascii="宋体" w:hAnsi="宋体" w:cs="宋体"/>
          <w:sz w:val="24"/>
          <w:szCs w:val="24"/>
        </w:rPr>
      </w:pPr>
      <w:r>
        <w:rPr>
          <w:rFonts w:hint="eastAsia" w:ascii="宋体" w:hAnsi="宋体" w:cs="宋体"/>
          <w:sz w:val="24"/>
          <w:szCs w:val="24"/>
        </w:rPr>
        <w:t>本项目全过程采用BIM协同管理平台（网页端及手机端），要求各参建方在项目建造过程中（包括质量、安全、进度、成本、验收等内容）必须采用平台进行沟通与管理（应用要求详见附件一.BIM技术平台和手机端应用要求）。施工单位需全面配合发包人针对平台使用的其他相关工作。</w:t>
      </w:r>
    </w:p>
    <w:p>
      <w:pPr>
        <w:pStyle w:val="8"/>
        <w:adjustRightInd w:val="0"/>
        <w:snapToGrid w:val="0"/>
        <w:spacing w:line="360" w:lineRule="auto"/>
        <w:rPr>
          <w:b/>
          <w:bCs/>
        </w:rPr>
      </w:pPr>
      <w:bookmarkStart w:id="430" w:name="_Toc55581799"/>
      <w:bookmarkStart w:id="431" w:name="_Toc9408"/>
      <w:bookmarkStart w:id="432" w:name="_Toc18998"/>
      <w:bookmarkStart w:id="433" w:name="_Toc56444449"/>
      <w:bookmarkStart w:id="434" w:name="_Toc3815"/>
      <w:bookmarkStart w:id="435" w:name="_Toc55575479"/>
      <w:r>
        <w:rPr>
          <w:rFonts w:hint="eastAsia"/>
          <w:b/>
          <w:bCs/>
        </w:rPr>
        <w:t>6、施工阶段BIM技术应用清单</w:t>
      </w:r>
      <w:bookmarkEnd w:id="430"/>
      <w:bookmarkEnd w:id="431"/>
      <w:bookmarkEnd w:id="432"/>
      <w:bookmarkEnd w:id="433"/>
      <w:bookmarkEnd w:id="434"/>
      <w:bookmarkEnd w:id="435"/>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6"/>
        <w:gridCol w:w="710"/>
        <w:gridCol w:w="1559"/>
        <w:gridCol w:w="55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81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spacing w:line="360" w:lineRule="auto"/>
              <w:jc w:val="center"/>
              <w:textAlignment w:val="center"/>
              <w:rPr>
                <w:rFonts w:ascii="宋体" w:hAnsi="宋体" w:cs="华文细黑"/>
                <w:szCs w:val="21"/>
              </w:rPr>
            </w:pPr>
            <w:r>
              <w:rPr>
                <w:rFonts w:hint="eastAsia" w:ascii="宋体" w:hAnsi="宋体" w:cs="华文细黑"/>
                <w:kern w:val="0"/>
              </w:rPr>
              <w:t>阶段</w:t>
            </w:r>
          </w:p>
        </w:tc>
        <w:tc>
          <w:tcPr>
            <w:tcW w:w="710"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center"/>
              <w:textAlignment w:val="center"/>
              <w:rPr>
                <w:rFonts w:ascii="宋体" w:hAnsi="宋体" w:cs="华文细黑"/>
              </w:rPr>
            </w:pPr>
            <w:r>
              <w:rPr>
                <w:rFonts w:hint="eastAsia" w:ascii="宋体" w:hAnsi="宋体" w:cs="华文细黑"/>
                <w:kern w:val="0"/>
              </w:rPr>
              <w:t>序号</w:t>
            </w:r>
          </w:p>
        </w:tc>
        <w:tc>
          <w:tcPr>
            <w:tcW w:w="1559"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center"/>
              <w:textAlignment w:val="center"/>
              <w:rPr>
                <w:rFonts w:ascii="宋体" w:hAnsi="宋体" w:cs="华文细黑"/>
              </w:rPr>
            </w:pPr>
            <w:r>
              <w:rPr>
                <w:rFonts w:hint="eastAsia" w:ascii="宋体" w:hAnsi="宋体" w:cs="华文细黑"/>
                <w:kern w:val="0"/>
              </w:rPr>
              <w:t>服务分项</w:t>
            </w: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center"/>
              <w:textAlignment w:val="center"/>
              <w:rPr>
                <w:rFonts w:ascii="宋体" w:hAnsi="宋体" w:cs="华文细黑"/>
              </w:rPr>
            </w:pPr>
            <w:r>
              <w:rPr>
                <w:rFonts w:hint="eastAsia" w:ascii="宋体" w:hAnsi="宋体" w:cs="华文细黑"/>
                <w:kern w:val="0"/>
              </w:rPr>
              <w:t>BIM技术应用工作内容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restart"/>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center"/>
              <w:textAlignment w:val="center"/>
              <w:rPr>
                <w:rFonts w:ascii="宋体" w:hAnsi="宋体" w:cs="华文细黑"/>
              </w:rPr>
            </w:pPr>
            <w:r>
              <w:rPr>
                <w:rFonts w:hint="eastAsia" w:ascii="宋体" w:hAnsi="宋体" w:cs="华文细黑"/>
                <w:kern w:val="0"/>
              </w:rPr>
              <w:t>施工阶段</w:t>
            </w:r>
          </w:p>
        </w:tc>
        <w:tc>
          <w:tcPr>
            <w:tcW w:w="710" w:type="dxa"/>
            <w:vMerge w:val="restart"/>
            <w:tcBorders>
              <w:top w:val="nil"/>
              <w:left w:val="nil"/>
              <w:bottom w:val="single" w:color="auto" w:sz="4" w:space="0"/>
              <w:right w:val="single" w:color="auto" w:sz="4" w:space="0"/>
            </w:tcBorders>
            <w:vAlign w:val="center"/>
          </w:tcPr>
          <w:p>
            <w:pPr>
              <w:widowControl/>
              <w:adjustRightInd w:val="0"/>
              <w:snapToGrid w:val="0"/>
              <w:spacing w:line="360" w:lineRule="auto"/>
              <w:jc w:val="center"/>
              <w:textAlignment w:val="center"/>
              <w:rPr>
                <w:rFonts w:ascii="宋体" w:hAnsi="宋体" w:cs="华文细黑"/>
              </w:rPr>
            </w:pPr>
            <w:r>
              <w:rPr>
                <w:rFonts w:hint="eastAsia" w:ascii="宋体" w:hAnsi="宋体" w:cs="华文细黑"/>
                <w:kern w:val="0"/>
              </w:rPr>
              <w:t>1</w:t>
            </w:r>
          </w:p>
        </w:tc>
        <w:tc>
          <w:tcPr>
            <w:tcW w:w="1559" w:type="dxa"/>
            <w:vMerge w:val="restart"/>
            <w:tcBorders>
              <w:top w:val="nil"/>
              <w:left w:val="nil"/>
              <w:bottom w:val="single" w:color="auto" w:sz="4" w:space="0"/>
              <w:right w:val="single" w:color="auto" w:sz="4" w:space="0"/>
            </w:tcBorders>
            <w:vAlign w:val="center"/>
          </w:tcPr>
          <w:p>
            <w:pPr>
              <w:widowControl/>
              <w:adjustRightInd w:val="0"/>
              <w:snapToGrid w:val="0"/>
              <w:spacing w:line="360" w:lineRule="auto"/>
              <w:jc w:val="center"/>
              <w:textAlignment w:val="center"/>
              <w:rPr>
                <w:rFonts w:ascii="宋体" w:hAnsi="宋体" w:cs="华文细黑"/>
              </w:rPr>
            </w:pPr>
            <w:r>
              <w:rPr>
                <w:rFonts w:hint="eastAsia" w:ascii="宋体" w:hAnsi="宋体" w:cs="华文细黑"/>
              </w:rPr>
              <w:t>前期部署阶段</w:t>
            </w: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rPr>
              <w:t>按照招标文件要求，进场后15天内搭建BIM技术工作小组，配置满足使用要求的软硬件设施，并提供BIM技术服务团队名单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kern w:val="0"/>
              </w:rPr>
            </w:pPr>
            <w:r>
              <w:rPr>
                <w:rFonts w:hint="eastAsia" w:ascii="宋体" w:hAnsi="宋体" w:cs="华文细黑"/>
                <w:kern w:val="0"/>
              </w:rPr>
              <w:t>接收设计阶段BIM技术模型，并按照施工分区对模型进行拆分（如有）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kern w:val="0"/>
              </w:rPr>
            </w:pPr>
            <w:r>
              <w:rPr>
                <w:rFonts w:hint="eastAsia" w:ascii="宋体" w:hAnsi="宋体" w:cs="华文细黑"/>
                <w:kern w:val="0"/>
              </w:rPr>
              <w:t>编制《施工阶段BIM技术实施细则》报BIM技术顾问和发包人审核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rPr>
              <w:t>测试数据能否与发包人指定的平台对接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rPr>
              <w:t>全面配合发包人指定的BIM技术咨询方的各项工作。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restart"/>
            <w:tcBorders>
              <w:top w:val="nil"/>
              <w:left w:val="nil"/>
              <w:bottom w:val="single" w:color="auto" w:sz="4" w:space="0"/>
              <w:right w:val="single" w:color="auto" w:sz="4" w:space="0"/>
            </w:tcBorders>
            <w:vAlign w:val="center"/>
          </w:tcPr>
          <w:p>
            <w:pPr>
              <w:adjustRightInd w:val="0"/>
              <w:snapToGrid w:val="0"/>
              <w:spacing w:line="360" w:lineRule="auto"/>
              <w:jc w:val="center"/>
              <w:rPr>
                <w:rFonts w:ascii="宋体" w:hAnsi="宋体" w:cs="华文细黑"/>
              </w:rPr>
            </w:pPr>
            <w:r>
              <w:rPr>
                <w:rFonts w:hint="eastAsia" w:ascii="宋体" w:hAnsi="宋体" w:cs="华文细黑"/>
              </w:rPr>
              <w:t>2</w:t>
            </w:r>
          </w:p>
        </w:tc>
        <w:tc>
          <w:tcPr>
            <w:tcW w:w="1559" w:type="dxa"/>
            <w:vMerge w:val="restart"/>
            <w:tcBorders>
              <w:top w:val="nil"/>
              <w:left w:val="nil"/>
              <w:bottom w:val="single" w:color="auto" w:sz="4" w:space="0"/>
              <w:right w:val="single" w:color="auto" w:sz="4" w:space="0"/>
            </w:tcBorders>
            <w:vAlign w:val="center"/>
          </w:tcPr>
          <w:p>
            <w:pPr>
              <w:adjustRightInd w:val="0"/>
              <w:snapToGrid w:val="0"/>
              <w:spacing w:line="360" w:lineRule="auto"/>
              <w:jc w:val="center"/>
              <w:rPr>
                <w:rFonts w:ascii="宋体" w:hAnsi="宋体" w:cs="华文细黑"/>
              </w:rPr>
            </w:pPr>
            <w:r>
              <w:rPr>
                <w:rFonts w:hint="eastAsia" w:ascii="宋体" w:hAnsi="宋体" w:cs="华文细黑"/>
              </w:rPr>
              <w:t>施工准备阶段</w:t>
            </w: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rPr>
              <w:t>建立施工BIM技术深化模型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rPr>
              <w:t>建立施工过程模型（如：总平图、组织措施及方案模型等）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rPr>
              <w:t>开展施工虚拟建造工作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rPr>
              <w:t>BIM技术可视化技术交底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rPr>
              <w:t>利用BIM技术模型辅助图纸会审工作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restart"/>
            <w:tcBorders>
              <w:top w:val="nil"/>
              <w:left w:val="nil"/>
              <w:bottom w:val="single" w:color="auto" w:sz="4" w:space="0"/>
              <w:right w:val="single" w:color="auto" w:sz="4" w:space="0"/>
            </w:tcBorders>
            <w:vAlign w:val="center"/>
          </w:tcPr>
          <w:p>
            <w:pPr>
              <w:widowControl/>
              <w:adjustRightInd w:val="0"/>
              <w:snapToGrid w:val="0"/>
              <w:spacing w:line="360" w:lineRule="auto"/>
              <w:jc w:val="center"/>
              <w:textAlignment w:val="center"/>
              <w:rPr>
                <w:rFonts w:ascii="宋体" w:hAnsi="宋体" w:cs="华文细黑"/>
              </w:rPr>
            </w:pPr>
            <w:r>
              <w:rPr>
                <w:rFonts w:hint="eastAsia" w:ascii="宋体" w:hAnsi="宋体" w:cs="华文细黑"/>
                <w:kern w:val="0"/>
              </w:rPr>
              <w:t>3</w:t>
            </w:r>
          </w:p>
        </w:tc>
        <w:tc>
          <w:tcPr>
            <w:tcW w:w="1559" w:type="dxa"/>
            <w:vMerge w:val="restart"/>
            <w:tcBorders>
              <w:top w:val="nil"/>
              <w:left w:val="nil"/>
              <w:bottom w:val="single" w:color="auto" w:sz="4" w:space="0"/>
              <w:right w:val="single" w:color="auto" w:sz="4" w:space="0"/>
            </w:tcBorders>
            <w:vAlign w:val="center"/>
          </w:tcPr>
          <w:p>
            <w:pPr>
              <w:widowControl/>
              <w:adjustRightInd w:val="0"/>
              <w:snapToGrid w:val="0"/>
              <w:spacing w:line="360" w:lineRule="auto"/>
              <w:jc w:val="center"/>
              <w:textAlignment w:val="center"/>
              <w:rPr>
                <w:rFonts w:ascii="宋体" w:hAnsi="宋体" w:cs="华文细黑"/>
                <w:kern w:val="0"/>
              </w:rPr>
            </w:pPr>
            <w:r>
              <w:rPr>
                <w:rFonts w:hint="eastAsia" w:ascii="宋体" w:hAnsi="宋体" w:cs="华文细黑"/>
                <w:kern w:val="0"/>
              </w:rPr>
              <w:t>施工阶段</w:t>
            </w:r>
          </w:p>
          <w:p>
            <w:pPr>
              <w:widowControl/>
              <w:adjustRightInd w:val="0"/>
              <w:snapToGrid w:val="0"/>
              <w:spacing w:line="360" w:lineRule="auto"/>
              <w:jc w:val="center"/>
              <w:textAlignment w:val="center"/>
              <w:rPr>
                <w:rFonts w:ascii="宋体" w:hAnsi="宋体" w:cs="华文细黑"/>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施工过程进行管理跟踪，判断是否合规+信息化管理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施工管理，技术把控和监督管理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BIM技术深化施工模型，监督更新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整合各专项工程施工模型，优化反馈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进行三维可视化复杂施工工艺进行施工可行性分析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复杂区域提供三维轴测图、平面图、剖面图、以及动态三维模型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施工单位确保BIM技术模型与实物的基本一致性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审查施工阶段BIM技术模型成果、信息内容满足所制定的BIM技术标准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审查分包施工单位施工优化调整内容反馈至BIM技术模型的正确及完整性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利用BIM技术化平台实现施工管理跟踪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审查及整合各分包单位的施工深化BIM技术模型于平面图纸、设计变更等完整一致性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施工整合协调会议，督导各分包单位运用BIM技术三维可视化技术辅助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运用BIM技术模型即时提供模型演示、标注、修正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将设备信息及运营管理信息导入BIM技术模型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将BIM技术模型即时更新信息反馈在BIM技术云端信息管理平台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根据项目进展与发包人约定进行进度及阶段性成果报告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施工过程按施工组织方案进行可视化模拟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实现工程进度的动态控制（4D模拟）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利用4D虚拟建造模型，跟踪施工进度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restart"/>
            <w:tcBorders>
              <w:top w:val="nil"/>
              <w:left w:val="nil"/>
              <w:bottom w:val="single" w:color="auto" w:sz="4" w:space="0"/>
              <w:right w:val="single" w:color="auto" w:sz="4" w:space="0"/>
            </w:tcBorders>
            <w:vAlign w:val="center"/>
          </w:tcPr>
          <w:p>
            <w:pPr>
              <w:widowControl/>
              <w:adjustRightInd w:val="0"/>
              <w:snapToGrid w:val="0"/>
              <w:spacing w:line="360" w:lineRule="auto"/>
              <w:jc w:val="center"/>
              <w:textAlignment w:val="center"/>
              <w:rPr>
                <w:rFonts w:ascii="宋体" w:hAnsi="宋体" w:cs="华文细黑"/>
              </w:rPr>
            </w:pPr>
            <w:r>
              <w:rPr>
                <w:rFonts w:hint="eastAsia" w:ascii="宋体" w:hAnsi="宋体" w:cs="华文细黑"/>
                <w:kern w:val="0"/>
              </w:rPr>
              <w:t>4</w:t>
            </w:r>
          </w:p>
        </w:tc>
        <w:tc>
          <w:tcPr>
            <w:tcW w:w="1559" w:type="dxa"/>
            <w:vMerge w:val="restart"/>
            <w:tcBorders>
              <w:top w:val="nil"/>
              <w:left w:val="nil"/>
              <w:bottom w:val="single" w:color="auto" w:sz="4" w:space="0"/>
              <w:right w:val="single" w:color="auto" w:sz="4" w:space="0"/>
            </w:tcBorders>
            <w:vAlign w:val="center"/>
          </w:tcPr>
          <w:p>
            <w:pPr>
              <w:widowControl/>
              <w:adjustRightInd w:val="0"/>
              <w:snapToGrid w:val="0"/>
              <w:spacing w:line="360" w:lineRule="auto"/>
              <w:jc w:val="center"/>
              <w:textAlignment w:val="center"/>
              <w:rPr>
                <w:rFonts w:ascii="宋体" w:hAnsi="宋体" w:cs="华文细黑"/>
              </w:rPr>
            </w:pPr>
            <w:r>
              <w:rPr>
                <w:rFonts w:hint="eastAsia" w:ascii="宋体" w:hAnsi="宋体" w:cs="华文细黑"/>
                <w:kern w:val="0"/>
              </w:rPr>
              <w:t>竣工阶段</w:t>
            </w: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运用BIM技术模型导出满足广州市建设工程造价站的各专发包人材工程量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签证变更的基础上监督总包修改和调整施工BIM技术模型，形成与现场一致的竣工模型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施工阶段的BIM技术模型等数据和资料进行整理，存档以及编号移交BIM技术平台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rPr>
            </w:pPr>
            <w:r>
              <w:rPr>
                <w:rFonts w:hint="eastAsia" w:ascii="宋体" w:hAnsi="宋体" w:cs="华文细黑"/>
                <w:kern w:val="0"/>
              </w:rPr>
              <w:t>施工单位及监理单位提交的文档资料归档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16" w:type="dxa"/>
            <w:vMerge w:val="continue"/>
            <w:tcBorders>
              <w:top w:val="nil"/>
              <w:left w:val="single" w:color="auto" w:sz="4" w:space="0"/>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710"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1559" w:type="dxa"/>
            <w:vMerge w:val="continue"/>
            <w:tcBorders>
              <w:top w:val="nil"/>
              <w:left w:val="nil"/>
              <w:bottom w:val="single" w:color="auto" w:sz="4" w:space="0"/>
              <w:right w:val="single" w:color="auto" w:sz="4" w:space="0"/>
            </w:tcBorders>
            <w:vAlign w:val="center"/>
          </w:tcPr>
          <w:p>
            <w:pPr>
              <w:widowControl/>
              <w:adjustRightInd w:val="0"/>
              <w:snapToGrid w:val="0"/>
              <w:spacing w:line="360" w:lineRule="auto"/>
              <w:jc w:val="left"/>
              <w:rPr>
                <w:rFonts w:ascii="宋体" w:hAnsi="宋体" w:cs="华文细黑"/>
                <w:szCs w:val="21"/>
              </w:rPr>
            </w:pPr>
          </w:p>
        </w:tc>
        <w:tc>
          <w:tcPr>
            <w:tcW w:w="5574" w:type="dxa"/>
            <w:tcBorders>
              <w:top w:val="single" w:color="auto" w:sz="4" w:space="0"/>
              <w:left w:val="nil"/>
              <w:bottom w:val="single" w:color="auto" w:sz="4" w:space="0"/>
              <w:right w:val="single" w:color="auto" w:sz="4" w:space="0"/>
            </w:tcBorders>
            <w:vAlign w:val="center"/>
          </w:tcPr>
          <w:p>
            <w:pPr>
              <w:widowControl/>
              <w:adjustRightInd w:val="0"/>
              <w:snapToGrid w:val="0"/>
              <w:spacing w:line="360" w:lineRule="auto"/>
              <w:jc w:val="left"/>
              <w:textAlignment w:val="center"/>
              <w:rPr>
                <w:rFonts w:ascii="宋体" w:hAnsi="宋体" w:cs="华文细黑"/>
                <w:kern w:val="0"/>
              </w:rPr>
            </w:pPr>
            <w:r>
              <w:rPr>
                <w:rFonts w:hint="eastAsia" w:ascii="宋体" w:hAnsi="宋体" w:cs="华文细黑"/>
                <w:kern w:val="0"/>
              </w:rPr>
              <w:t>满足基于CIM平台的竣工验收备案</w:t>
            </w:r>
          </w:p>
        </w:tc>
      </w:tr>
    </w:tbl>
    <w:p>
      <w:pPr>
        <w:pStyle w:val="21"/>
        <w:ind w:left="565" w:firstLine="0" w:firstLineChars="0"/>
        <w:rPr>
          <w:rFonts w:ascii="宋体" w:hAnsi="宋体" w:cs="宋体"/>
        </w:rPr>
      </w:pPr>
    </w:p>
    <w:p>
      <w:pPr>
        <w:pStyle w:val="8"/>
        <w:adjustRightInd w:val="0"/>
        <w:snapToGrid w:val="0"/>
        <w:spacing w:line="360" w:lineRule="auto"/>
        <w:rPr>
          <w:b/>
          <w:bCs/>
        </w:rPr>
      </w:pPr>
      <w:bookmarkStart w:id="436" w:name="_Toc8953"/>
      <w:bookmarkStart w:id="437" w:name="_Toc55581800"/>
      <w:bookmarkStart w:id="438" w:name="_Toc31089"/>
      <w:bookmarkStart w:id="439" w:name="_Toc55575480"/>
      <w:bookmarkStart w:id="440" w:name="_Toc56444450"/>
      <w:bookmarkStart w:id="441" w:name="_Toc31192"/>
      <w:r>
        <w:rPr>
          <w:rFonts w:hint="eastAsia"/>
          <w:b/>
          <w:bCs/>
        </w:rPr>
        <w:t>7、BIM技术其他约定</w:t>
      </w:r>
      <w:bookmarkEnd w:id="436"/>
      <w:bookmarkEnd w:id="437"/>
      <w:bookmarkEnd w:id="438"/>
      <w:bookmarkEnd w:id="439"/>
      <w:bookmarkEnd w:id="440"/>
      <w:bookmarkEnd w:id="441"/>
    </w:p>
    <w:p>
      <w:pPr>
        <w:pStyle w:val="21"/>
        <w:ind w:firstLine="0" w:firstLineChars="0"/>
        <w:outlineLvl w:val="3"/>
        <w:rPr>
          <w:rFonts w:ascii="宋体" w:hAnsi="宋体" w:cs="宋体"/>
        </w:rPr>
      </w:pPr>
      <w:r>
        <w:rPr>
          <w:rFonts w:hint="eastAsia" w:ascii="宋体" w:hAnsi="宋体" w:cs="宋体"/>
        </w:rPr>
        <w:t>7.1整体要求</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承包人BIM技术应用必须具备接入发包人BIM协同管理平台，并进行展示的功能，满足发包人智慧工地管理要求。</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在施工关键路线及节点前的所有BIM技术成果需经过发包人指定的BIM技术咨询方或发包人审核确认其符合本招标文件、本项目和合同中规定的标准和要求，经确认所有BIM技术成果和过程文件全部上传至发包人的BIM协同管理平台并出具凭证。</w:t>
      </w:r>
    </w:p>
    <w:p>
      <w:pPr>
        <w:adjustRightInd w:val="0"/>
        <w:snapToGrid w:val="0"/>
        <w:spacing w:line="360" w:lineRule="auto"/>
        <w:outlineLvl w:val="3"/>
        <w:rPr>
          <w:rFonts w:ascii="宋体" w:hAnsi="宋体" w:cs="宋体"/>
          <w:kern w:val="0"/>
          <w:sz w:val="24"/>
          <w:szCs w:val="24"/>
        </w:rPr>
      </w:pPr>
      <w:r>
        <w:rPr>
          <w:rFonts w:hint="eastAsia" w:ascii="宋体" w:hAnsi="宋体" w:cs="宋体"/>
          <w:sz w:val="24"/>
          <w:szCs w:val="24"/>
        </w:rPr>
        <w:t>7.2 BIM技术模型质量及进度要求</w:t>
      </w:r>
    </w:p>
    <w:p>
      <w:pPr>
        <w:adjustRightInd w:val="0"/>
        <w:snapToGrid w:val="0"/>
        <w:spacing w:line="360" w:lineRule="auto"/>
        <w:ind w:firstLine="484" w:firstLineChars="202"/>
        <w:rPr>
          <w:rFonts w:ascii="宋体" w:hAnsi="宋体" w:cs="宋体"/>
          <w:sz w:val="24"/>
          <w:szCs w:val="24"/>
        </w:rPr>
      </w:pPr>
      <w:r>
        <w:rPr>
          <w:rFonts w:hint="eastAsia" w:ascii="宋体" w:hAnsi="宋体" w:cs="宋体"/>
          <w:sz w:val="24"/>
          <w:szCs w:val="24"/>
        </w:rPr>
        <w:t>本项目施工总包方等所有参建方的所有BIM技术成果的产权归发包人，发包人有权力将施工阶段的BIM技术成果交与其他方完成其他相应工作，以便本项目的顺利实施。</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BIM技术质量验收不达标主要情况如下：</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（1）如BIM技术深化方案与深化图未按规定时间提交的。</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（2）经审核，BIM技术深化方案与深化图不一致的。</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（3）BIM技术竣工模型验收不满足CIM平台要求。</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（4）经巡查，施工现场与深化图不一致的。</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（5）BIM技术深化方案违反相关国家规范要求的。</w:t>
      </w:r>
    </w:p>
    <w:p>
      <w:pPr>
        <w:pStyle w:val="8"/>
        <w:adjustRightInd w:val="0"/>
        <w:snapToGrid w:val="0"/>
        <w:spacing w:line="360" w:lineRule="auto"/>
        <w:rPr>
          <w:b/>
          <w:bCs/>
        </w:rPr>
      </w:pPr>
      <w:r>
        <w:rPr>
          <w:rFonts w:hint="eastAsia"/>
          <w:b/>
          <w:bCs/>
        </w:rPr>
        <w:t>8、BIM技术模型对接CIM平台技术要求</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为保证质量，本项目施工深化BIM技术成果必须满足广州市CIM标准的相关规定，并且通过竣工验收。实施费用已包含在施工总承包费用内，如果未按照相关规定通过验收，发包人可以酌情罚款。</w:t>
      </w:r>
    </w:p>
    <w:p>
      <w:pPr>
        <w:pStyle w:val="8"/>
        <w:adjustRightInd w:val="0"/>
        <w:snapToGrid w:val="0"/>
        <w:spacing w:line="360" w:lineRule="auto"/>
        <w:rPr>
          <w:b/>
          <w:bCs/>
        </w:rPr>
      </w:pPr>
      <w:r>
        <w:rPr>
          <w:rFonts w:hint="eastAsia"/>
          <w:b/>
          <w:bCs/>
        </w:rPr>
        <w:t>9、BIM技术施工的范围、深度、标准、质量等要求</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按照发包人、BIM技术咨询方或发包人批准的本项目对于BIM技术应用工作的范围、深度、标准、质量等要求，完成本项目施工阶段的全部BIM技术相关工作并达到要求。</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承包人需根据发包人、BIM技术咨询方和本项目等相关要求，编制本项目《施工BIM技术工作策划》，应包含以下章节：BIM技术实施策划、BIM技术实施细则、BIM技术管理及质量控制标准、BIM技术模型实施应用及验收标准及主要任务、重难点说明及合理化建议。并严格按照要求进行模型深化。编制项目管理制度，明确承包人施工阶段的模型管理办法及保障措施等。</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各专业模型精度、模型命名等必须按照本项目中规定的统一规则及命名要求，BIM技术模型和模型构件的形状和尺寸及模型构件之间的位置关系准确无误，并且可以根据未来项目实施进度深化及补充，最终反映实际施工成果。最终提交的模型可根据专业、分区、子项、施工缝、楼层、构件等进行拆分。</w:t>
      </w:r>
    </w:p>
    <w:p>
      <w:pPr>
        <w:pStyle w:val="8"/>
        <w:adjustRightInd w:val="0"/>
        <w:snapToGrid w:val="0"/>
        <w:spacing w:line="360" w:lineRule="auto"/>
        <w:rPr>
          <w:b/>
          <w:bCs/>
        </w:rPr>
      </w:pPr>
      <w:r>
        <w:rPr>
          <w:rFonts w:hint="eastAsia"/>
          <w:b/>
          <w:bCs/>
        </w:rPr>
        <w:t>10、承包人BIM技术应用软硬件工作条件要求</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承包人的BIM技术应用软硬件需满足本项目中对BIM技术应用软硬件及BIM协同管理平台使用的要求，并能与发包人的BIM协同管理平台有效对接，满足整个项目施工阶段各参建方的所有资料、文件、成果等按时上传至发包人BIM协同管理平台的需求，同时保证各参建方的协同工作、信息传递等需求。此外，随着项目的具体实施，必要时需配合发包人的需求对应调整BIM技术应用软硬件功能等的要求，以便数据实时对接。各分包方及其他参与方的BIM技术应用软硬件由承包人提出要求和管理，以便其对BIM技术工作的有效管理和成果整合、审查等。</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承包人的BIM技术应用软硬件必须具备绝对的保密性。</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承包人的BIM技术应用软硬件中的内容必须满足整个项目在施工阶段对模型及其相关文件的使用要求。</w:t>
      </w:r>
    </w:p>
    <w:p>
      <w:pPr>
        <w:pStyle w:val="8"/>
        <w:adjustRightInd w:val="0"/>
        <w:snapToGrid w:val="0"/>
        <w:spacing w:line="360" w:lineRule="auto"/>
        <w:rPr>
          <w:b/>
          <w:bCs/>
        </w:rPr>
      </w:pPr>
      <w:r>
        <w:rPr>
          <w:rFonts w:hint="eastAsia"/>
          <w:b/>
          <w:bCs/>
        </w:rPr>
        <w:t>11、开展基于BIM技术的进度管理应用</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1）根据工程合同进度、计划进度信息，建立进度信息与BIM技术模型的关联，利用可视化技术展现进度计划目标，分析计算各时段工程施工强度，辅助工程决策，其中工程进度信息应按照《施工BIM技术工作策划》的要求进行WBS拆分与编录，所产生的相应文件应按照《施工BIM技术工作策划》要求提交BIM协同管理平台上留存。</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（2）基于BIM技术的形象进度管理应用，应定期通过采用无人机拍摄、视频摄像等信息技术采集工程形象进度，实现工程现场实际施工进度与计划进度的对比分析，形象展现计划进度与现场实际进度的差异。</w:t>
      </w:r>
    </w:p>
    <w:p>
      <w:pPr>
        <w:pStyle w:val="8"/>
        <w:adjustRightInd w:val="0"/>
        <w:snapToGrid w:val="0"/>
        <w:spacing w:line="360" w:lineRule="auto"/>
        <w:rPr>
          <w:b/>
          <w:bCs/>
        </w:rPr>
      </w:pPr>
      <w:r>
        <w:rPr>
          <w:rFonts w:hint="eastAsia"/>
          <w:b/>
          <w:bCs/>
        </w:rPr>
        <w:t>12、开展基于BIM技术的质量管理应用</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（1）开展BIM技术质量交底工作，对施工组织设计、专项方案、重大技术方案以及括复杂节点、细部节点、施工工艺进行可视化交底，使传统的"按图施工"发展成"按模型建造和使用"成为可能，有效保证施工质量。</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（2）基于BIM技术的现场巡检，应定期通过现场巡检采集工程面貌提交现场巡检报告，实现工程现场实际施工面貌与BIM技术模型的对比分析，形象展现设计方案与现场实际施工的差异。</w:t>
      </w:r>
    </w:p>
    <w:p>
      <w:pPr>
        <w:pStyle w:val="8"/>
        <w:adjustRightInd w:val="0"/>
        <w:snapToGrid w:val="0"/>
        <w:spacing w:line="360" w:lineRule="auto"/>
        <w:rPr>
          <w:b/>
          <w:bCs/>
        </w:rPr>
      </w:pPr>
      <w:r>
        <w:rPr>
          <w:rFonts w:hint="eastAsia"/>
          <w:b/>
          <w:bCs/>
        </w:rPr>
        <w:t>13、开展基于BIM技术的安全管理应用</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（1）开展BIM技术安全交底工作，利用BIM技术对施工安全技术方案、风险源、安全设施等进行可视化交底及安全培训教育，有效保证施工安全。</w:t>
      </w:r>
    </w:p>
    <w:p>
      <w:pPr>
        <w:adjustRightInd w:val="0"/>
        <w:snapToGrid w:val="0"/>
        <w:spacing w:line="360" w:lineRule="auto"/>
        <w:ind w:firstLine="480" w:firstLineChars="200"/>
        <w:rPr>
          <w:rFonts w:ascii="宋体" w:hAnsi="宋体" w:cs="宋体"/>
          <w:sz w:val="24"/>
          <w:szCs w:val="24"/>
        </w:rPr>
      </w:pPr>
      <w:r>
        <w:rPr>
          <w:rFonts w:hint="eastAsia" w:ascii="宋体" w:hAnsi="宋体" w:cs="宋体"/>
          <w:sz w:val="24"/>
          <w:szCs w:val="24"/>
        </w:rPr>
        <w:t>（2）开展施工风险预案模拟，用以分析和优化风险预案整体及重点实施过程，用以评价风险预案的合理性。</w:t>
      </w:r>
    </w:p>
    <w:p>
      <w:pPr>
        <w:pStyle w:val="2"/>
      </w:pPr>
    </w:p>
    <w:p>
      <w:pPr>
        <w:pStyle w:val="7"/>
        <w:adjustRightInd w:val="0"/>
        <w:snapToGrid w:val="0"/>
        <w:spacing w:line="360" w:lineRule="auto"/>
        <w:rPr>
          <w:rFonts w:ascii="黑体" w:hAnsi="黑体" w:cs="黑体"/>
          <w:color w:val="auto"/>
          <w:sz w:val="30"/>
          <w:szCs w:val="30"/>
        </w:rPr>
      </w:pPr>
      <w:bookmarkStart w:id="442" w:name="_Toc159596199"/>
      <w:bookmarkStart w:id="443" w:name="_Toc29403"/>
      <w:bookmarkStart w:id="444" w:name="_Toc56444451"/>
      <w:bookmarkStart w:id="445" w:name="_Toc21186"/>
      <w:bookmarkStart w:id="446" w:name="_Toc4113"/>
      <w:bookmarkStart w:id="447" w:name="_Toc24971"/>
      <w:bookmarkStart w:id="448" w:name="_Toc27993"/>
      <w:bookmarkStart w:id="449" w:name="_Toc16448"/>
      <w:bookmarkStart w:id="450" w:name="_Toc55581801"/>
      <w:r>
        <w:rPr>
          <w:rFonts w:hint="eastAsia" w:ascii="黑体" w:hAnsi="黑体" w:cs="黑体"/>
          <w:color w:val="auto"/>
          <w:sz w:val="30"/>
          <w:szCs w:val="30"/>
        </w:rPr>
        <w:t>（二十一）相关施工手续的办理</w:t>
      </w:r>
      <w:bookmarkEnd w:id="442"/>
      <w:bookmarkEnd w:id="443"/>
      <w:bookmarkEnd w:id="444"/>
      <w:bookmarkEnd w:id="445"/>
      <w:bookmarkEnd w:id="446"/>
      <w:bookmarkEnd w:id="447"/>
      <w:bookmarkEnd w:id="448"/>
      <w:bookmarkEnd w:id="449"/>
      <w:bookmarkEnd w:id="450"/>
    </w:p>
    <w:p>
      <w:pPr>
        <w:pStyle w:val="21"/>
        <w:ind w:firstLine="496"/>
        <w:rPr>
          <w:rFonts w:ascii="宋体" w:hAnsi="宋体" w:cs="宋体"/>
        </w:rPr>
      </w:pPr>
      <w:r>
        <w:rPr>
          <w:rFonts w:hint="eastAsia" w:ascii="宋体" w:hAnsi="宋体" w:cs="宋体"/>
        </w:rPr>
        <w:t>1、承包人必须协助发包人完成工程相关的所有报批报建工作（包括但不限于办理规划许可证、施工合同备案、保函备案、质安监登记、施工许可证（包括报档案馆的竣工资料）、临建申报、水土保持、施工道路开口、车辆通行证、签订文明施工责任保证书、环保监测及验收、协调专业承包工程报验（包括消防验收、防雷检测及验收、规划核实及验收、电梯报验）、水电接驳、竣工备案、建筑垃圾和工程渣土处置、卫生费、占道费、工地临时雨污排放费、噪声干扰费、治安联防费及街道节日布置费、交通管理费、工程质量和施工安全监督费、红线外临时设施借地费、城市排水设备有偿使用费、防洪工程维护费、建设费、质检费、中标通知书手续费等），需发包人提供的资料承包人须提前5个工作日提出申请，所有相关费用由承包人综合考虑，发包人不再另行支付费用。各单项报审工作有效完成时间为取得政府批文并将原件交</w:t>
      </w:r>
      <w:r>
        <w:rPr>
          <w:rFonts w:ascii="宋体" w:hAnsi="宋体" w:cs="宋体"/>
        </w:rPr>
        <w:t>发包人</w:t>
      </w:r>
      <w:r>
        <w:rPr>
          <w:rFonts w:hint="eastAsia" w:ascii="宋体" w:hAnsi="宋体" w:cs="宋体"/>
        </w:rPr>
        <w:t>归档之日。承包人不得以未收到进度款或未完成结算等任何理由拖延工程进度或相关报批工作，否则将承担工期延误的责任并接受相应处罚。</w:t>
      </w:r>
    </w:p>
    <w:p>
      <w:pPr>
        <w:pStyle w:val="21"/>
        <w:ind w:firstLine="565" w:firstLineChars="228"/>
        <w:rPr>
          <w:rFonts w:ascii="宋体" w:hAnsi="宋体" w:cs="宋体"/>
        </w:rPr>
      </w:pPr>
      <w:r>
        <w:rPr>
          <w:rFonts w:hint="eastAsia" w:ascii="宋体" w:hAnsi="宋体" w:cs="宋体"/>
        </w:rPr>
        <w:t>2、承包人的一般责任也包括缴纳工程开工报批费、卫生费、占道费、排污费、临建报建费、噪音干扰费、治安联防费及街道节日布置费用、交通管理费等，上述费用综合考虑在施工合同内。</w:t>
      </w:r>
    </w:p>
    <w:p>
      <w:pPr>
        <w:topLinePunct/>
        <w:adjustRightInd w:val="0"/>
        <w:snapToGrid w:val="0"/>
        <w:spacing w:line="360" w:lineRule="auto"/>
        <w:ind w:firstLine="496" w:firstLineChars="200"/>
        <w:jc w:val="left"/>
        <w:rPr>
          <w:snapToGrid w:val="0"/>
          <w:spacing w:val="4"/>
          <w:kern w:val="0"/>
          <w:sz w:val="24"/>
          <w:szCs w:val="24"/>
        </w:rPr>
      </w:pPr>
    </w:p>
    <w:p>
      <w:pPr>
        <w:pStyle w:val="7"/>
        <w:adjustRightInd w:val="0"/>
        <w:snapToGrid w:val="0"/>
        <w:spacing w:line="360" w:lineRule="auto"/>
        <w:rPr>
          <w:color w:val="auto"/>
          <w:sz w:val="30"/>
          <w:szCs w:val="30"/>
        </w:rPr>
      </w:pPr>
      <w:bookmarkStart w:id="451" w:name="_Toc25933"/>
      <w:bookmarkStart w:id="452" w:name="_Toc32765"/>
      <w:bookmarkStart w:id="453" w:name="_Toc55581808"/>
      <w:bookmarkStart w:id="454" w:name="_Toc26787"/>
      <w:bookmarkStart w:id="455" w:name="_Toc200"/>
      <w:bookmarkStart w:id="456" w:name="_Toc24073"/>
      <w:bookmarkStart w:id="457" w:name="_Toc159596200"/>
      <w:bookmarkStart w:id="458" w:name="_Toc17263"/>
      <w:bookmarkStart w:id="459" w:name="_Toc56444458"/>
      <w:r>
        <w:rPr>
          <w:rFonts w:hint="eastAsia"/>
          <w:color w:val="auto"/>
          <w:sz w:val="30"/>
          <w:szCs w:val="30"/>
        </w:rPr>
        <w:t>（二十二）项目管理其他</w:t>
      </w:r>
      <w:r>
        <w:rPr>
          <w:color w:val="auto"/>
          <w:sz w:val="30"/>
          <w:szCs w:val="30"/>
        </w:rPr>
        <w:t>要求</w:t>
      </w:r>
      <w:bookmarkEnd w:id="451"/>
      <w:bookmarkEnd w:id="452"/>
      <w:bookmarkEnd w:id="453"/>
      <w:bookmarkEnd w:id="454"/>
      <w:bookmarkEnd w:id="455"/>
      <w:bookmarkEnd w:id="456"/>
      <w:bookmarkEnd w:id="457"/>
      <w:bookmarkEnd w:id="458"/>
      <w:bookmarkEnd w:id="459"/>
    </w:p>
    <w:p>
      <w:pPr>
        <w:pStyle w:val="21"/>
        <w:ind w:firstLine="565" w:firstLineChars="228"/>
        <w:rPr>
          <w:rFonts w:ascii="宋体" w:hAnsi="宋体" w:cs="宋体"/>
        </w:rPr>
      </w:pPr>
      <w:r>
        <w:rPr>
          <w:rFonts w:hint="eastAsia" w:ascii="宋体" w:hAnsi="宋体" w:cs="宋体"/>
        </w:rPr>
        <w:t>1、对周围建筑物的沉降观测，承包人必须采取必要措施避免对周围建筑物造成损害。如因承包人保护措施不善引起其他单位向</w:t>
      </w:r>
      <w:r>
        <w:rPr>
          <w:rFonts w:ascii="宋体" w:hAnsi="宋体" w:cs="宋体"/>
        </w:rPr>
        <w:t>发包人</w:t>
      </w:r>
      <w:r>
        <w:rPr>
          <w:rFonts w:hint="eastAsia" w:ascii="宋体" w:hAnsi="宋体" w:cs="宋体"/>
        </w:rPr>
        <w:t>进行索赔，此类赔偿责任由承包人全部负责，并须赔偿由此引起</w:t>
      </w:r>
      <w:r>
        <w:rPr>
          <w:rFonts w:ascii="宋体" w:hAnsi="宋体" w:cs="宋体"/>
        </w:rPr>
        <w:t>发包人</w:t>
      </w:r>
      <w:r>
        <w:rPr>
          <w:rFonts w:hint="eastAsia" w:ascii="宋体" w:hAnsi="宋体" w:cs="宋体"/>
        </w:rPr>
        <w:t>的一切损失。</w:t>
      </w:r>
    </w:p>
    <w:p>
      <w:pPr>
        <w:pStyle w:val="21"/>
        <w:ind w:firstLine="565" w:firstLineChars="228"/>
        <w:rPr>
          <w:rFonts w:ascii="宋体" w:hAnsi="宋体" w:cs="宋体"/>
        </w:rPr>
      </w:pPr>
      <w:r>
        <w:rPr>
          <w:rFonts w:hint="eastAsia" w:ascii="宋体" w:hAnsi="宋体" w:cs="宋体"/>
        </w:rPr>
        <w:t>2、</w:t>
      </w:r>
      <w:r>
        <w:rPr>
          <w:rFonts w:ascii="宋体" w:hAnsi="宋体" w:cs="宋体"/>
        </w:rPr>
        <w:t>拆除工程要求：本项目存在大量拆除工程，需按场馆方固定资产管理要求进行处置。施工单位进场后即安排专人对需拆除固定资产进行登记造册，并制定拆除、移交方案，无条件配合各方依法依规处置固定资产。对于需移交的固定资产，需聘请专业人员进行保护性拆除，不得人为损坏，拆除完毕后分批转运至场馆方指定位置移交给场馆方并做好移交记录。同时，承包人需综合考虑本次拆除、转运费用，发包人不在另行支付费用。</w:t>
      </w:r>
    </w:p>
    <w:p>
      <w:pPr>
        <w:adjustRightInd w:val="0"/>
        <w:snapToGrid w:val="0"/>
        <w:spacing w:line="360" w:lineRule="auto"/>
        <w:ind w:firstLine="496" w:firstLineChars="200"/>
        <w:rPr>
          <w:rFonts w:ascii="宋体" w:hAnsi="宋体" w:cs="宋体"/>
          <w:spacing w:val="4"/>
          <w:kern w:val="0"/>
          <w:sz w:val="24"/>
          <w:szCs w:val="24"/>
        </w:rPr>
      </w:pPr>
      <w:r>
        <w:rPr>
          <w:rFonts w:hint="eastAsia" w:ascii="宋体" w:hAnsi="宋体" w:cs="宋体"/>
          <w:spacing w:val="4"/>
          <w:kern w:val="0"/>
          <w:sz w:val="24"/>
          <w:szCs w:val="24"/>
        </w:rPr>
        <w:t>3、承包人负责工程全过程所有建筑垃圾由垃圾集中堆放点清理外运至合法建筑垃圾处理场。承包人在总平面布置中规划和修建临时垃圾集中堆放点，并负责按施工要求迁移或恢复。垃圾集中点堆放位置应距离任何专业承包单位工作平面距离不超过100m，竖向距离每层设置。承包人负责垃圾集中堆放点内垃圾清理外运，专业承包单位负责清理接管工作面、加工场、堆场内的建筑垃圾，并负责运输至承包人修建的垃圾集中堆放点。无论何种情况的发生，承包人必须对现场垃圾及时清理负责，如现场垃圾清理不能满足要求，则监理、发包人有权对承包人发出违约通知，并按规定进行处罚。</w:t>
      </w:r>
    </w:p>
    <w:p>
      <w:pPr>
        <w:adjustRightInd w:val="0"/>
        <w:snapToGrid w:val="0"/>
        <w:spacing w:line="360" w:lineRule="auto"/>
        <w:ind w:firstLine="496" w:firstLineChars="200"/>
        <w:rPr>
          <w:rFonts w:ascii="宋体" w:hAnsi="宋体" w:cs="宋体"/>
          <w:spacing w:val="4"/>
          <w:kern w:val="0"/>
          <w:sz w:val="24"/>
          <w:szCs w:val="24"/>
        </w:rPr>
      </w:pPr>
      <w:r>
        <w:rPr>
          <w:rFonts w:hint="eastAsia" w:ascii="宋体" w:hAnsi="宋体" w:cs="宋体"/>
          <w:spacing w:val="4"/>
          <w:kern w:val="0"/>
          <w:sz w:val="24"/>
          <w:szCs w:val="24"/>
        </w:rPr>
        <w:t>4、在各场馆给排水及消防水工程维修或更换期间，仍然要保持临时消防设施及地下室临时排水设施可随时使用。</w:t>
      </w:r>
    </w:p>
    <w:p>
      <w:pPr>
        <w:adjustRightInd w:val="0"/>
        <w:snapToGrid w:val="0"/>
        <w:spacing w:line="360" w:lineRule="auto"/>
        <w:ind w:firstLine="496" w:firstLineChars="200"/>
        <w:rPr>
          <w:rFonts w:ascii="宋体" w:hAnsi="宋体" w:cs="宋体"/>
          <w:spacing w:val="4"/>
          <w:kern w:val="0"/>
          <w:sz w:val="24"/>
          <w:szCs w:val="24"/>
        </w:rPr>
      </w:pPr>
      <w:r>
        <w:rPr>
          <w:rFonts w:hint="eastAsia" w:ascii="宋体" w:hAnsi="宋体" w:cs="宋体"/>
          <w:spacing w:val="4"/>
          <w:kern w:val="0"/>
          <w:sz w:val="24"/>
          <w:szCs w:val="24"/>
        </w:rPr>
        <w:t>5、承包人必须保护，以及在各方面支持，维持及修复所有邻近工地、建筑物、道路、电缆、煤气罐、输水管、污水管、热力、通讯等，及其他私人或公用事业设备等在施工过程中可能受到干扰或损坏的其他事物。</w:t>
      </w:r>
    </w:p>
    <w:p>
      <w:pPr>
        <w:keepNext/>
        <w:keepLines/>
        <w:adjustRightInd w:val="0"/>
        <w:snapToGrid w:val="0"/>
        <w:spacing w:line="360" w:lineRule="auto"/>
        <w:ind w:firstLine="436" w:firstLineChars="176"/>
        <w:rPr>
          <w:b/>
          <w:bCs/>
          <w:sz w:val="24"/>
          <w:szCs w:val="32"/>
        </w:rPr>
      </w:pPr>
      <w:bookmarkStart w:id="460" w:name="_Toc55581809"/>
      <w:bookmarkStart w:id="461" w:name="_Toc55575489"/>
      <w:bookmarkStart w:id="462" w:name="_Toc56444459"/>
      <w:r>
        <w:rPr>
          <w:rFonts w:hint="eastAsia"/>
          <w:snapToGrid w:val="0"/>
          <w:spacing w:val="4"/>
          <w:kern w:val="0"/>
          <w:sz w:val="24"/>
          <w:szCs w:val="24"/>
        </w:rPr>
        <w:t>6、承包人必须编制包括但不限于以下各类方案或策划</w:t>
      </w:r>
      <w:bookmarkEnd w:id="460"/>
      <w:bookmarkEnd w:id="461"/>
      <w:bookmarkEnd w:id="462"/>
    </w:p>
    <w:p>
      <w:pPr>
        <w:topLinePunct/>
        <w:adjustRightInd w:val="0"/>
        <w:snapToGrid w:val="0"/>
        <w:spacing w:line="360" w:lineRule="auto"/>
        <w:ind w:firstLine="496" w:firstLineChars="200"/>
        <w:jc w:val="left"/>
        <w:rPr>
          <w:snapToGrid w:val="0"/>
          <w:spacing w:val="4"/>
          <w:kern w:val="0"/>
          <w:sz w:val="24"/>
          <w:szCs w:val="24"/>
        </w:rPr>
      </w:pPr>
      <w:bookmarkStart w:id="463" w:name="_Toc49347734"/>
      <w:r>
        <w:rPr>
          <w:rFonts w:hint="eastAsia"/>
          <w:snapToGrid w:val="0"/>
          <w:spacing w:val="4"/>
          <w:kern w:val="0"/>
          <w:sz w:val="24"/>
          <w:szCs w:val="24"/>
        </w:rPr>
        <w:t>（1）智慧工地专项方案策划</w:t>
      </w:r>
      <w:bookmarkEnd w:id="463"/>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方案要求：根据</w:t>
      </w:r>
      <w:r>
        <w:rPr>
          <w:rFonts w:hint="eastAsia"/>
          <w:sz w:val="24"/>
          <w:szCs w:val="24"/>
        </w:rPr>
        <w:t>广州市重点公共建设项目管理中心有关规定</w:t>
      </w:r>
      <w:r>
        <w:rPr>
          <w:rFonts w:hint="eastAsia"/>
          <w:snapToGrid w:val="0"/>
          <w:spacing w:val="4"/>
          <w:kern w:val="0"/>
          <w:sz w:val="24"/>
          <w:szCs w:val="24"/>
        </w:rPr>
        <w:t>中对总体要求、功能要求、管控模式、接入标准等要求内容，针对智慧工地建设制定专项计划，明确过程管理和运营维护的模式与做法，对采用的主要技术与应用点，现场投入的智能设备清单与布置情况，投入专项管理人情况等方面进行说明。</w:t>
      </w:r>
    </w:p>
    <w:p>
      <w:pPr>
        <w:topLinePunct/>
        <w:adjustRightInd w:val="0"/>
        <w:snapToGrid w:val="0"/>
        <w:spacing w:line="360" w:lineRule="auto"/>
        <w:ind w:firstLine="496" w:firstLineChars="200"/>
        <w:jc w:val="left"/>
        <w:rPr>
          <w:snapToGrid w:val="0"/>
          <w:spacing w:val="4"/>
          <w:kern w:val="0"/>
          <w:sz w:val="24"/>
          <w:szCs w:val="24"/>
        </w:rPr>
      </w:pPr>
      <w:bookmarkStart w:id="464" w:name="_Toc49347735"/>
      <w:r>
        <w:rPr>
          <w:rFonts w:hint="eastAsia"/>
          <w:snapToGrid w:val="0"/>
          <w:spacing w:val="4"/>
          <w:kern w:val="0"/>
          <w:sz w:val="24"/>
          <w:szCs w:val="24"/>
        </w:rPr>
        <w:t>（2）周边管线保护方案</w:t>
      </w:r>
      <w:bookmarkEnd w:id="464"/>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方案要求：1、针对场馆升级改造提出相应的保护方案，并报送相关部门审查；2、合理布置塔吊及材料运输路线；3、明确三方监控机制；4、明确管线保护人员与机械投入、现场人员交底方案；</w:t>
      </w:r>
      <w:r>
        <w:rPr>
          <w:snapToGrid w:val="0"/>
          <w:spacing w:val="4"/>
          <w:kern w:val="0"/>
          <w:sz w:val="24"/>
          <w:szCs w:val="24"/>
        </w:rPr>
        <w:t>5</w:t>
      </w:r>
      <w:r>
        <w:rPr>
          <w:rFonts w:hint="eastAsia"/>
          <w:snapToGrid w:val="0"/>
          <w:spacing w:val="4"/>
          <w:kern w:val="0"/>
          <w:sz w:val="24"/>
          <w:szCs w:val="24"/>
        </w:rPr>
        <w:t>、提供应急预案，包括但不限于应急架构和应急物资。</w:t>
      </w:r>
    </w:p>
    <w:p>
      <w:pPr>
        <w:topLinePunct/>
        <w:adjustRightInd w:val="0"/>
        <w:snapToGrid w:val="0"/>
        <w:spacing w:line="360" w:lineRule="auto"/>
        <w:ind w:firstLine="496" w:firstLineChars="200"/>
        <w:jc w:val="left"/>
        <w:rPr>
          <w:snapToGrid w:val="0"/>
          <w:spacing w:val="4"/>
          <w:kern w:val="0"/>
          <w:sz w:val="24"/>
          <w:szCs w:val="24"/>
        </w:rPr>
      </w:pPr>
      <w:bookmarkStart w:id="465" w:name="_Toc49347736"/>
      <w:r>
        <w:rPr>
          <w:rFonts w:hint="eastAsia"/>
          <w:snapToGrid w:val="0"/>
          <w:spacing w:val="4"/>
          <w:kern w:val="0"/>
          <w:sz w:val="24"/>
          <w:szCs w:val="24"/>
        </w:rPr>
        <w:t>（3）BIM技术应用</w:t>
      </w:r>
      <w:bookmarkEnd w:id="465"/>
      <w:r>
        <w:rPr>
          <w:rFonts w:hint="eastAsia"/>
          <w:snapToGrid w:val="0"/>
          <w:spacing w:val="4"/>
          <w:kern w:val="0"/>
          <w:sz w:val="24"/>
          <w:szCs w:val="24"/>
        </w:rPr>
        <w:t>规划与细则</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方案要求：根据</w:t>
      </w:r>
      <w:r>
        <w:rPr>
          <w:rFonts w:hint="eastAsia"/>
          <w:sz w:val="24"/>
          <w:szCs w:val="24"/>
        </w:rPr>
        <w:t>广州市重点公共建设项目管理中心有关规定</w:t>
      </w:r>
      <w:r>
        <w:rPr>
          <w:rFonts w:hint="eastAsia"/>
          <w:snapToGrid w:val="0"/>
          <w:spacing w:val="4"/>
          <w:kern w:val="0"/>
          <w:sz w:val="24"/>
          <w:szCs w:val="24"/>
        </w:rPr>
        <w:t>中的应用范围及内容要求、成果交付要求，编制施工阶段的BIM实施规划及细则，并利用BIM技术进行深化设计、BIM出二维图、施工场地规划、施工方案模拟、方案优化、预留预埋、BIM样板、综合支吊架应用、构件预制加工、施工质量和安全管理、进度控制、造价分析、现场管理、设备材料管理，配合</w:t>
      </w:r>
      <w:r>
        <w:rPr>
          <w:rFonts w:ascii="宋体" w:hAnsi="宋体" w:cs="宋体"/>
        </w:rPr>
        <w:t>发包人</w:t>
      </w:r>
      <w:r>
        <w:rPr>
          <w:rFonts w:hint="eastAsia"/>
          <w:snapToGrid w:val="0"/>
          <w:spacing w:val="4"/>
          <w:kern w:val="0"/>
          <w:sz w:val="24"/>
          <w:szCs w:val="24"/>
        </w:rPr>
        <w:t>实现可视化验收，对施工阶段BIM模型和数据进行管理和维护,以及交付后的应用管理等内容，打造BIM标杆项目。</w:t>
      </w:r>
    </w:p>
    <w:p>
      <w:pPr>
        <w:topLinePunct/>
        <w:adjustRightInd w:val="0"/>
        <w:snapToGrid w:val="0"/>
        <w:spacing w:line="360" w:lineRule="auto"/>
        <w:ind w:firstLine="496" w:firstLineChars="200"/>
        <w:jc w:val="left"/>
        <w:rPr>
          <w:snapToGrid w:val="0"/>
          <w:spacing w:val="4"/>
          <w:kern w:val="0"/>
          <w:sz w:val="24"/>
          <w:szCs w:val="24"/>
        </w:rPr>
      </w:pPr>
      <w:bookmarkStart w:id="466" w:name="_Toc49347737"/>
      <w:r>
        <w:rPr>
          <w:rFonts w:hint="eastAsia"/>
          <w:snapToGrid w:val="0"/>
          <w:spacing w:val="4"/>
          <w:kern w:val="0"/>
          <w:sz w:val="24"/>
          <w:szCs w:val="24"/>
        </w:rPr>
        <w:t>（4）保证工期专项技术方案</w:t>
      </w:r>
      <w:bookmarkEnd w:id="466"/>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参考资料：发包人提供的进度节点，总工期要求。</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要求：①、因本项目施工工期较紧，特别是对于优先区的工期较紧，要求施工单位报送工期保证措施，明确具体周转材料投入，人力、设备投入情况；②、提供一级控制节点的深化计划，保证按期完成的措施。确保一、二级节点工期实现，含明确夜间赶工期间人员的管理措施和相应的设备投入情况。</w:t>
      </w:r>
    </w:p>
    <w:p>
      <w:pPr>
        <w:topLinePunct/>
        <w:adjustRightInd w:val="0"/>
        <w:snapToGrid w:val="0"/>
        <w:spacing w:line="360" w:lineRule="auto"/>
        <w:ind w:firstLine="496" w:firstLineChars="200"/>
        <w:jc w:val="left"/>
        <w:rPr>
          <w:snapToGrid w:val="0"/>
          <w:spacing w:val="4"/>
          <w:kern w:val="0"/>
          <w:sz w:val="24"/>
          <w:szCs w:val="24"/>
        </w:rPr>
      </w:pPr>
      <w:bookmarkStart w:id="467" w:name="_Toc49347739"/>
      <w:r>
        <w:rPr>
          <w:rFonts w:hint="eastAsia"/>
          <w:snapToGrid w:val="0"/>
          <w:spacing w:val="4"/>
          <w:kern w:val="0"/>
          <w:sz w:val="24"/>
          <w:szCs w:val="24"/>
        </w:rPr>
        <w:t>（5）雨天及其它不利条件下的施工措施</w:t>
      </w:r>
      <w:bookmarkEnd w:id="467"/>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要求：承包单位必须参考《地质勘察报告》及天气，充分考虑在台风、珠江天文潮、暴雨、疫情及其它不利条件下会遇到影响施工进度时需采取的施工措施。例如桩机或其它机械出现陷机，桩施工遇到不明障碍物等情况，承包单位需自行采取清障，填砖渣等措施，该项费用由竞价人综合考虑，均包含在竞价人的报价中。</w:t>
      </w:r>
    </w:p>
    <w:p>
      <w:pPr>
        <w:topLinePunct/>
        <w:adjustRightInd w:val="0"/>
        <w:snapToGrid w:val="0"/>
        <w:spacing w:line="360" w:lineRule="auto"/>
        <w:ind w:firstLine="496" w:firstLineChars="200"/>
        <w:jc w:val="left"/>
        <w:rPr>
          <w:snapToGrid w:val="0"/>
          <w:spacing w:val="4"/>
          <w:kern w:val="0"/>
          <w:sz w:val="24"/>
          <w:szCs w:val="24"/>
        </w:rPr>
      </w:pPr>
      <w:bookmarkStart w:id="468" w:name="_Toc49347740"/>
      <w:r>
        <w:rPr>
          <w:rFonts w:hint="eastAsia"/>
          <w:snapToGrid w:val="0"/>
          <w:spacing w:val="4"/>
          <w:kern w:val="0"/>
          <w:sz w:val="24"/>
          <w:szCs w:val="24"/>
        </w:rPr>
        <w:t>（6）总包施工管理制度</w:t>
      </w:r>
      <w:bookmarkEnd w:id="468"/>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参考资料：穗建规字〔2019〕10号文。</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要求：①、制定管理制度，按建委要求在各单位进场施工前签订总分包管理协议，制定管理协议的范本。②、针对本工程的特点，对专业分包的总承包管理等方面提出详细的总承包管理及配合服务措施，针对移交问题，要建立移交制度，委派专职质检员跟进，事前制定质量控制的具体措施，特别是控制墙体轴线位置、墙体裂缝、空鼓、天花结构标高、批荡平整度，要有专项的防治措施（墙体裂缝），事中做好控制，事后配合装修单位分阶段检查，发现存在问题及时整改，以便保证工程进度；③、制定工地现场的防盗、产品保护相应措施，制定治安管理制度。④、对装修、机电、园林、市政等专业单位的管理制度。⑤、及对各单位进场施工收取其管理配合费、施工水、电费等收费制度。</w:t>
      </w:r>
    </w:p>
    <w:p>
      <w:pPr>
        <w:topLinePunct/>
        <w:adjustRightInd w:val="0"/>
        <w:snapToGrid w:val="0"/>
        <w:spacing w:line="360" w:lineRule="auto"/>
        <w:ind w:firstLine="496" w:firstLineChars="200"/>
        <w:jc w:val="left"/>
        <w:rPr>
          <w:snapToGrid w:val="0"/>
          <w:spacing w:val="4"/>
          <w:kern w:val="0"/>
          <w:sz w:val="24"/>
          <w:szCs w:val="24"/>
        </w:rPr>
      </w:pPr>
      <w:bookmarkStart w:id="469" w:name="_Toc49347741"/>
      <w:r>
        <w:rPr>
          <w:rFonts w:hint="eastAsia"/>
          <w:snapToGrid w:val="0"/>
          <w:spacing w:val="4"/>
          <w:kern w:val="0"/>
          <w:sz w:val="24"/>
          <w:szCs w:val="24"/>
        </w:rPr>
        <w:t>（7）工地实名制和工人工资分帐管理方案</w:t>
      </w:r>
      <w:bookmarkEnd w:id="469"/>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方案要求：明晰总包、劳务公司、个人的合同关系；信息录入制度；考勤制度（包括人面识别系统的应用）；工资支付方式（足额发放情况）明确工地实名制和工人工资分帐管理设备的使用、维护以及人员使用管理。</w:t>
      </w:r>
    </w:p>
    <w:p>
      <w:pPr>
        <w:topLinePunct/>
        <w:adjustRightInd w:val="0"/>
        <w:snapToGrid w:val="0"/>
        <w:spacing w:line="360" w:lineRule="auto"/>
        <w:ind w:firstLine="496" w:firstLineChars="200"/>
        <w:jc w:val="left"/>
        <w:rPr>
          <w:snapToGrid w:val="0"/>
          <w:spacing w:val="4"/>
          <w:kern w:val="0"/>
          <w:sz w:val="24"/>
          <w:szCs w:val="24"/>
        </w:rPr>
      </w:pPr>
      <w:bookmarkStart w:id="470" w:name="_Toc49347743"/>
      <w:r>
        <w:rPr>
          <w:rFonts w:hint="eastAsia"/>
          <w:snapToGrid w:val="0"/>
          <w:spacing w:val="4"/>
          <w:kern w:val="0"/>
          <w:sz w:val="24"/>
          <w:szCs w:val="24"/>
        </w:rPr>
        <w:t>（8）安全生产专项施工方案</w:t>
      </w:r>
      <w:bookmarkEnd w:id="470"/>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要求：A、提供安全生产责任制度（含考核办法）；提供安全生产教育、培训、交底制度；提供安全检查、验收制度；提供设备运行、维修、保养管理制度；提供安全生产操作规程；提供班前安全活动制度；提供消防管理制度（含临时动火管理）；提供治安保卫（含门卫）制度；提供工地生活区管理制度等。</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B、考虑到本项目的建筑高度，同时，在施工过程中也采用了大量的大型机械设备存在大量高空坠落的安全隐患，因此，安全生产专项施工方案中必须包括对所有重大危险源的完善的安全防护措施。</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C、安全生产专项施工方案中应包括吊装安全措施、高支模、脚手架施工安全措施、塔吊使用安全措施、洞口及临边围蔽防护专项方案、防止高空坠物专项方案（包括塔楼安全水平挡板的设置方法）、施工现场照明设施布置方案、事故应急救援预案等。</w:t>
      </w:r>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D、承包人须根据《危险性较大的分部分项工程安全管理规定》（住房和城乡建设部令第37））以表格形式列出所有危险性较大以及超过一定规模危险性较大的分部分项工程，列明是否需要组织专家论证。</w:t>
      </w:r>
    </w:p>
    <w:p>
      <w:pPr>
        <w:topLinePunct/>
        <w:adjustRightInd w:val="0"/>
        <w:snapToGrid w:val="0"/>
        <w:spacing w:line="360" w:lineRule="auto"/>
        <w:ind w:firstLine="496" w:firstLineChars="200"/>
        <w:jc w:val="left"/>
        <w:rPr>
          <w:snapToGrid w:val="0"/>
          <w:spacing w:val="4"/>
          <w:kern w:val="0"/>
          <w:sz w:val="24"/>
          <w:szCs w:val="24"/>
        </w:rPr>
      </w:pPr>
      <w:bookmarkStart w:id="471" w:name="_Toc49347744"/>
      <w:r>
        <w:rPr>
          <w:rFonts w:hint="eastAsia"/>
          <w:snapToGrid w:val="0"/>
          <w:spacing w:val="4"/>
          <w:kern w:val="0"/>
          <w:sz w:val="24"/>
          <w:szCs w:val="24"/>
        </w:rPr>
        <w:t>（9）样板引路的专项方案</w:t>
      </w:r>
      <w:bookmarkEnd w:id="471"/>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根据本项目的特点，列出“样板”制作的部位、数量级形式；项目现场拟建集中展示区“样板”的布置，布置要求包括实物形式展示内容及展板展示内容；展示样板施工方法及工艺；拟定“样板引路”组织架构、施工进度计划、保证措施、劳动力投入、材料供应计划、质量保证体系及措施。</w:t>
      </w:r>
    </w:p>
    <w:p>
      <w:pPr>
        <w:topLinePunct/>
        <w:adjustRightInd w:val="0"/>
        <w:snapToGrid w:val="0"/>
        <w:spacing w:line="360" w:lineRule="auto"/>
        <w:ind w:firstLine="496" w:firstLineChars="200"/>
        <w:jc w:val="left"/>
        <w:rPr>
          <w:snapToGrid w:val="0"/>
          <w:spacing w:val="4"/>
          <w:kern w:val="0"/>
          <w:sz w:val="24"/>
          <w:szCs w:val="24"/>
        </w:rPr>
      </w:pPr>
      <w:bookmarkStart w:id="472" w:name="_Toc49347745"/>
      <w:r>
        <w:rPr>
          <w:rFonts w:hint="eastAsia"/>
          <w:snapToGrid w:val="0"/>
          <w:spacing w:val="4"/>
          <w:kern w:val="0"/>
          <w:sz w:val="24"/>
          <w:szCs w:val="24"/>
        </w:rPr>
        <w:t>（10）防疫专项方案</w:t>
      </w:r>
      <w:bookmarkEnd w:id="472"/>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按国家和广东省卫生主管部门的要求，拟定相应的防疫管理制度；要求建立防疫检查工作台账和应急预案，确保防疫管控的保证措施。</w:t>
      </w:r>
    </w:p>
    <w:p>
      <w:pPr>
        <w:topLinePunct/>
        <w:adjustRightInd w:val="0"/>
        <w:snapToGrid w:val="0"/>
        <w:spacing w:line="360" w:lineRule="auto"/>
        <w:ind w:firstLine="496" w:firstLineChars="200"/>
        <w:jc w:val="left"/>
        <w:rPr>
          <w:snapToGrid w:val="0"/>
          <w:spacing w:val="4"/>
          <w:kern w:val="0"/>
          <w:sz w:val="24"/>
          <w:szCs w:val="24"/>
        </w:rPr>
      </w:pPr>
      <w:bookmarkStart w:id="473" w:name="_Toc49347746"/>
      <w:r>
        <w:rPr>
          <w:rFonts w:hint="eastAsia"/>
          <w:snapToGrid w:val="0"/>
          <w:spacing w:val="4"/>
          <w:kern w:val="0"/>
          <w:sz w:val="24"/>
          <w:szCs w:val="24"/>
        </w:rPr>
        <w:t>（11）事故应急救援预案</w:t>
      </w:r>
      <w:bookmarkEnd w:id="473"/>
    </w:p>
    <w:p>
      <w:pPr>
        <w:topLinePunct/>
        <w:adjustRightInd w:val="0"/>
        <w:snapToGrid w:val="0"/>
        <w:spacing w:line="360" w:lineRule="auto"/>
        <w:ind w:firstLine="496" w:firstLineChars="200"/>
        <w:jc w:val="left"/>
        <w:rPr>
          <w:snapToGrid w:val="0"/>
          <w:spacing w:val="4"/>
          <w:kern w:val="0"/>
          <w:sz w:val="24"/>
          <w:szCs w:val="24"/>
        </w:rPr>
      </w:pPr>
      <w:r>
        <w:rPr>
          <w:rFonts w:hint="eastAsia"/>
          <w:snapToGrid w:val="0"/>
          <w:spacing w:val="4"/>
          <w:kern w:val="0"/>
          <w:sz w:val="24"/>
          <w:szCs w:val="24"/>
        </w:rPr>
        <w:t>要求：按广州市质量安全监督部门的要求编制；包括以下内容：安全管理机构的设置（要求由总包单位组织，建立由总包单位公司领导为首的事故应急小组），危险源的分析、确定及分布，突发事故发生的应急处理方法，防止违章和事故的安全规定，急救技术及常备药品安全技术措施，高处坠落事故的预防及其应急预案，物体打击事故的预防及其应急预案，机械伤害事故的预防及其应急预案，坍塌事故的预防及其应急预案，触电事故的预防及其应急预案，支模安装工程事故应急预案支模拆除工程事故应急预案，外用电梯使用、装、拆应急预案，塔式起重机使用、装、拆应急预案，火灾事故的预防及应急预案，中暑事故的预防及应急预案，中毒事故的预防及应急预案，发生粉尘事故应急预案，交通事故的预防及其应急预案等。</w:t>
      </w:r>
    </w:p>
    <w:p>
      <w:pPr>
        <w:pStyle w:val="7"/>
        <w:adjustRightInd w:val="0"/>
        <w:snapToGrid w:val="0"/>
        <w:spacing w:line="360" w:lineRule="auto"/>
        <w:rPr>
          <w:color w:val="auto"/>
          <w:sz w:val="30"/>
          <w:szCs w:val="30"/>
        </w:rPr>
      </w:pPr>
      <w:bookmarkStart w:id="474" w:name="_Toc31199"/>
      <w:bookmarkStart w:id="475" w:name="_Toc55581810"/>
      <w:bookmarkStart w:id="476" w:name="_Toc159596201"/>
      <w:bookmarkStart w:id="477" w:name="_Toc15198"/>
      <w:bookmarkStart w:id="478" w:name="_Toc19865"/>
      <w:bookmarkStart w:id="479" w:name="_Toc56444460"/>
      <w:bookmarkStart w:id="480" w:name="_Toc7437"/>
      <w:bookmarkStart w:id="481" w:name="_Toc16353"/>
      <w:bookmarkStart w:id="482" w:name="_Toc23301"/>
      <w:r>
        <w:rPr>
          <w:rFonts w:hint="eastAsia"/>
          <w:color w:val="auto"/>
          <w:sz w:val="30"/>
          <w:szCs w:val="30"/>
        </w:rPr>
        <w:t>（二十三）智慧工地平台</w:t>
      </w:r>
      <w:r>
        <w:rPr>
          <w:color w:val="auto"/>
          <w:sz w:val="30"/>
          <w:szCs w:val="30"/>
        </w:rPr>
        <w:t>要求</w:t>
      </w:r>
      <w:bookmarkEnd w:id="474"/>
      <w:bookmarkEnd w:id="475"/>
      <w:bookmarkEnd w:id="476"/>
      <w:bookmarkEnd w:id="477"/>
      <w:bookmarkEnd w:id="478"/>
      <w:bookmarkEnd w:id="479"/>
      <w:bookmarkEnd w:id="480"/>
      <w:bookmarkEnd w:id="481"/>
      <w:bookmarkEnd w:id="482"/>
    </w:p>
    <w:p>
      <w:pPr>
        <w:adjustRightInd w:val="0"/>
        <w:snapToGrid w:val="0"/>
        <w:spacing w:line="360" w:lineRule="auto"/>
        <w:ind w:firstLine="424" w:firstLineChars="171"/>
        <w:rPr>
          <w:snapToGrid w:val="0"/>
          <w:spacing w:val="4"/>
          <w:kern w:val="0"/>
          <w:sz w:val="24"/>
          <w:szCs w:val="24"/>
        </w:rPr>
      </w:pPr>
      <w:r>
        <w:rPr>
          <w:rFonts w:hint="eastAsia"/>
          <w:snapToGrid w:val="0"/>
          <w:spacing w:val="4"/>
          <w:kern w:val="0"/>
          <w:sz w:val="24"/>
          <w:szCs w:val="24"/>
        </w:rPr>
        <w:t>本项目承包人需建设智慧工地平台，并需完全接入到广州市重点公共建设项目管理中心相关线上平台，相关费用由承包人报价时综合考虑，发包人不再单独支付相关费用。具体要求如下：</w:t>
      </w:r>
    </w:p>
    <w:p>
      <w:pPr>
        <w:pStyle w:val="8"/>
        <w:adjustRightInd w:val="0"/>
        <w:snapToGrid w:val="0"/>
        <w:spacing w:line="360" w:lineRule="auto"/>
        <w:rPr>
          <w:b/>
          <w:bCs/>
        </w:rPr>
      </w:pPr>
      <w:bookmarkStart w:id="483" w:name="_Toc55581811"/>
      <w:bookmarkStart w:id="484" w:name="_Toc46597518"/>
      <w:bookmarkStart w:id="485" w:name="_Toc56444461"/>
      <w:r>
        <w:rPr>
          <w:rFonts w:hint="eastAsia"/>
          <w:b/>
          <w:bCs/>
        </w:rPr>
        <w:t>1、</w:t>
      </w:r>
      <w:bookmarkEnd w:id="483"/>
      <w:bookmarkEnd w:id="484"/>
      <w:bookmarkEnd w:id="485"/>
      <w:r>
        <w:rPr>
          <w:rFonts w:hint="eastAsia"/>
          <w:b/>
          <w:bCs/>
        </w:rPr>
        <w:t>广州市住建局关于智慧工地要求</w:t>
      </w:r>
    </w:p>
    <w:p>
      <w:pPr>
        <w:adjustRightInd w:val="0"/>
        <w:snapToGrid w:val="0"/>
        <w:spacing w:line="360" w:lineRule="auto"/>
        <w:ind w:firstLine="496" w:firstLineChars="200"/>
        <w:rPr>
          <w:snapToGrid w:val="0"/>
          <w:spacing w:val="4"/>
          <w:kern w:val="0"/>
          <w:sz w:val="24"/>
          <w:szCs w:val="24"/>
        </w:rPr>
      </w:pPr>
      <w:r>
        <w:rPr>
          <w:rFonts w:hint="eastAsia"/>
          <w:snapToGrid w:val="0"/>
          <w:spacing w:val="4"/>
          <w:kern w:val="0"/>
          <w:sz w:val="24"/>
          <w:szCs w:val="24"/>
        </w:rPr>
        <w:t>（1）、广州市住建局文件要求</w:t>
      </w:r>
    </w:p>
    <w:p>
      <w:pPr>
        <w:adjustRightInd w:val="0"/>
        <w:snapToGrid w:val="0"/>
        <w:spacing w:line="360" w:lineRule="auto"/>
        <w:ind w:firstLine="496" w:firstLineChars="200"/>
        <w:rPr>
          <w:snapToGrid w:val="0"/>
          <w:spacing w:val="4"/>
          <w:kern w:val="0"/>
          <w:sz w:val="24"/>
          <w:szCs w:val="24"/>
        </w:rPr>
      </w:pPr>
      <w:r>
        <w:rPr>
          <w:rFonts w:hint="eastAsia"/>
          <w:snapToGrid w:val="0"/>
          <w:spacing w:val="4"/>
          <w:kern w:val="0"/>
          <w:sz w:val="24"/>
          <w:szCs w:val="24"/>
        </w:rPr>
        <w:t>1）根据广州市住建局文件《关于进一步推进全市房屋建筑工程智慧工地建设的通知（试行）》（穗建质[2023]683号）要求，本项目属于改造工程，需创建二星级智慧工地，智慧工地评价指标评分总分≥70 分，并采用智能穿戴、高清全景成像测距、物联网监测、智能起重设备、BIM 全过程应用、项目级 CIM 应用、BIM模型在CIM平台落图、建筑机器人、测量机器人或智能测量工具、AI 视频图像识别、无人机、移动视频监控设备、施工档案数字化、政企互联等应用等14项前沿技术。</w:t>
      </w:r>
    </w:p>
    <w:p>
      <w:pPr>
        <w:adjustRightInd w:val="0"/>
        <w:snapToGrid w:val="0"/>
        <w:spacing w:line="360" w:lineRule="auto"/>
        <w:ind w:firstLine="496" w:firstLineChars="200"/>
        <w:rPr>
          <w:snapToGrid w:val="0"/>
          <w:spacing w:val="4"/>
          <w:kern w:val="0"/>
          <w:sz w:val="24"/>
          <w:szCs w:val="24"/>
        </w:rPr>
      </w:pPr>
      <w:r>
        <w:rPr>
          <w:rFonts w:hint="eastAsia"/>
          <w:snapToGrid w:val="0"/>
          <w:spacing w:val="4"/>
          <w:kern w:val="0"/>
          <w:sz w:val="24"/>
          <w:szCs w:val="24"/>
        </w:rPr>
        <w:t>2）自2024年1月1日起，广州市地区房屋建筑工程智慧工地建设应按照地方规范《建筑工程智慧工地技术规程DB4401T 235—2023》执行。</w:t>
      </w:r>
    </w:p>
    <w:p>
      <w:pPr>
        <w:adjustRightInd w:val="0"/>
        <w:snapToGrid w:val="0"/>
        <w:spacing w:line="360" w:lineRule="auto"/>
        <w:ind w:firstLine="496" w:firstLineChars="200"/>
        <w:rPr>
          <w:snapToGrid w:val="0"/>
          <w:spacing w:val="4"/>
          <w:kern w:val="0"/>
          <w:sz w:val="24"/>
          <w:szCs w:val="24"/>
        </w:rPr>
      </w:pPr>
      <w:r>
        <w:rPr>
          <w:rFonts w:hint="eastAsia"/>
          <w:snapToGrid w:val="0"/>
          <w:spacing w:val="4"/>
          <w:kern w:val="0"/>
          <w:sz w:val="24"/>
          <w:szCs w:val="24"/>
        </w:rPr>
        <w:t>3）根据广州市住房和城乡建设委员会文件的要求，有5项内容必须纳入广州市建设工程智能监管平台进行管理，包括实名制信息管理系统、视频监控系统、车辆识别系统、环境监测系统、起重机械监测系统，并将5项内容对接广州市智慧建造监管平台。</w:t>
      </w:r>
    </w:p>
    <w:p>
      <w:pPr>
        <w:adjustRightInd w:val="0"/>
        <w:snapToGrid w:val="0"/>
        <w:spacing w:line="360" w:lineRule="auto"/>
        <w:rPr>
          <w:snapToGrid w:val="0"/>
          <w:spacing w:val="4"/>
          <w:kern w:val="0"/>
          <w:sz w:val="24"/>
          <w:szCs w:val="24"/>
        </w:rPr>
      </w:pPr>
    </w:p>
    <w:p>
      <w:pPr>
        <w:adjustRightInd w:val="0"/>
        <w:snapToGrid w:val="0"/>
        <w:spacing w:line="360" w:lineRule="auto"/>
        <w:rPr>
          <w:snapToGrid w:val="0"/>
          <w:spacing w:val="4"/>
          <w:kern w:val="0"/>
          <w:sz w:val="24"/>
          <w:szCs w:val="24"/>
        </w:rPr>
      </w:pPr>
      <w:r>
        <w:rPr>
          <w:snapToGrid w:val="0"/>
          <w:spacing w:val="4"/>
          <w:kern w:val="0"/>
          <w:sz w:val="24"/>
          <w:szCs w:val="24"/>
        </w:rPr>
        <w:drawing>
          <wp:inline distT="0" distB="0" distL="114300" distR="114300">
            <wp:extent cx="5026660" cy="2389505"/>
            <wp:effectExtent l="0" t="0" r="2540" b="3175"/>
            <wp:docPr id="59" name="图片 64" descr="53b2dd4d5c05cfdef56dc8adf8a03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4" descr="53b2dd4d5c05cfdef56dc8adf8a03da"/>
                    <pic:cNvPicPr>
                      <a:picLocks noChangeAspect="1"/>
                    </pic:cNvPicPr>
                  </pic:nvPicPr>
                  <pic:blipFill>
                    <a:blip r:embed="rId60"/>
                    <a:srcRect l="3850" t="2318" r="2258" b="-1"/>
                    <a:stretch>
                      <a:fillRect/>
                    </a:stretch>
                  </pic:blipFill>
                  <pic:spPr>
                    <a:xfrm>
                      <a:off x="0" y="0"/>
                      <a:ext cx="5031607" cy="2392076"/>
                    </a:xfrm>
                    <a:prstGeom prst="rect">
                      <a:avLst/>
                    </a:prstGeom>
                    <a:noFill/>
                    <a:ln>
                      <a:noFill/>
                    </a:ln>
                  </pic:spPr>
                </pic:pic>
              </a:graphicData>
            </a:graphic>
          </wp:inline>
        </w:drawing>
      </w:r>
    </w:p>
    <w:p>
      <w:pPr>
        <w:adjustRightInd w:val="0"/>
        <w:snapToGrid w:val="0"/>
        <w:spacing w:line="360" w:lineRule="auto"/>
        <w:rPr>
          <w:snapToGrid w:val="0"/>
          <w:spacing w:val="4"/>
          <w:kern w:val="0"/>
          <w:sz w:val="24"/>
          <w:szCs w:val="24"/>
        </w:rPr>
      </w:pPr>
      <w:r>
        <w:drawing>
          <wp:inline distT="0" distB="0" distL="114300" distR="114300">
            <wp:extent cx="4981575" cy="4795520"/>
            <wp:effectExtent l="0" t="0" r="1905" b="508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61"/>
                    <a:stretch>
                      <a:fillRect/>
                    </a:stretch>
                  </pic:blipFill>
                  <pic:spPr>
                    <a:xfrm>
                      <a:off x="0" y="0"/>
                      <a:ext cx="4981575" cy="4795520"/>
                    </a:xfrm>
                    <a:prstGeom prst="rect">
                      <a:avLst/>
                    </a:prstGeom>
                    <a:noFill/>
                    <a:ln>
                      <a:noFill/>
                    </a:ln>
                  </pic:spPr>
                </pic:pic>
              </a:graphicData>
            </a:graphic>
          </wp:inline>
        </w:drawing>
      </w:r>
    </w:p>
    <w:p>
      <w:pPr>
        <w:adjustRightInd w:val="0"/>
        <w:snapToGrid w:val="0"/>
        <w:spacing w:line="360" w:lineRule="auto"/>
        <w:ind w:firstLine="496" w:firstLineChars="200"/>
        <w:rPr>
          <w:snapToGrid w:val="0"/>
          <w:spacing w:val="4"/>
          <w:kern w:val="0"/>
          <w:sz w:val="24"/>
          <w:szCs w:val="24"/>
        </w:rPr>
      </w:pPr>
      <w:r>
        <w:rPr>
          <w:rFonts w:hint="eastAsia"/>
          <w:snapToGrid w:val="0"/>
          <w:spacing w:val="4"/>
          <w:kern w:val="0"/>
          <w:sz w:val="24"/>
          <w:szCs w:val="24"/>
        </w:rPr>
        <w:t>（2）、评价分为过程应用评价和最终结果评价</w:t>
      </w:r>
    </w:p>
    <w:p>
      <w:pPr>
        <w:adjustRightInd w:val="0"/>
        <w:snapToGrid w:val="0"/>
        <w:spacing w:line="360" w:lineRule="auto"/>
        <w:ind w:firstLine="496" w:firstLineChars="200"/>
        <w:rPr>
          <w:snapToGrid w:val="0"/>
          <w:spacing w:val="4"/>
          <w:kern w:val="0"/>
          <w:sz w:val="24"/>
          <w:szCs w:val="24"/>
        </w:rPr>
      </w:pPr>
      <w:r>
        <w:rPr>
          <w:rFonts w:hint="eastAsia"/>
          <w:snapToGrid w:val="0"/>
          <w:spacing w:val="4"/>
          <w:kern w:val="0"/>
          <w:sz w:val="24"/>
          <w:szCs w:val="24"/>
        </w:rPr>
        <w:t>取得智慧工地过程应用评价证书的项目，在完成安全监督评价后，可申请智慧工地最终结果评价。有下列情形之一的项目不得进行最终结果评价：</w:t>
      </w:r>
    </w:p>
    <w:p>
      <w:pPr>
        <w:adjustRightInd w:val="0"/>
        <w:snapToGrid w:val="0"/>
        <w:spacing w:line="360" w:lineRule="auto"/>
        <w:ind w:firstLine="496" w:firstLineChars="200"/>
        <w:rPr>
          <w:snapToGrid w:val="0"/>
          <w:spacing w:val="4"/>
          <w:kern w:val="0"/>
          <w:sz w:val="24"/>
          <w:szCs w:val="24"/>
        </w:rPr>
      </w:pPr>
      <w:r>
        <w:rPr>
          <w:rFonts w:hint="eastAsia"/>
          <w:snapToGrid w:val="0"/>
          <w:spacing w:val="4"/>
          <w:kern w:val="0"/>
          <w:sz w:val="24"/>
          <w:szCs w:val="24"/>
        </w:rPr>
        <w:t>①项目自发放“星级智慧工地电子证书”起至完成安全监督评价结束，“星级智慧工地电子证书”有效时间少于总时间的50%。有效时间是指在监管部门动态管理过程中，电子证书未被暂扣的实际时间。</w:t>
      </w:r>
    </w:p>
    <w:p>
      <w:pPr>
        <w:adjustRightInd w:val="0"/>
        <w:snapToGrid w:val="0"/>
        <w:spacing w:line="360" w:lineRule="auto"/>
        <w:ind w:firstLine="496" w:firstLineChars="200"/>
        <w:rPr>
          <w:snapToGrid w:val="0"/>
          <w:spacing w:val="4"/>
          <w:kern w:val="0"/>
          <w:sz w:val="24"/>
          <w:szCs w:val="24"/>
        </w:rPr>
      </w:pPr>
      <w:r>
        <w:rPr>
          <w:rFonts w:hint="eastAsia"/>
          <w:snapToGrid w:val="0"/>
          <w:spacing w:val="4"/>
          <w:kern w:val="0"/>
          <w:sz w:val="24"/>
          <w:szCs w:val="24"/>
        </w:rPr>
        <w:t>②施工期间发生过较大及以上质量、安全责任事故。</w:t>
      </w:r>
    </w:p>
    <w:p>
      <w:pPr>
        <w:adjustRightInd w:val="0"/>
        <w:snapToGrid w:val="0"/>
        <w:spacing w:line="360" w:lineRule="auto"/>
        <w:ind w:firstLine="496" w:firstLineChars="200"/>
        <w:rPr>
          <w:snapToGrid w:val="0"/>
          <w:spacing w:val="4"/>
          <w:kern w:val="0"/>
          <w:sz w:val="24"/>
          <w:szCs w:val="24"/>
        </w:rPr>
      </w:pPr>
      <w:r>
        <w:rPr>
          <w:rFonts w:hint="eastAsia"/>
          <w:snapToGrid w:val="0"/>
          <w:spacing w:val="4"/>
          <w:kern w:val="0"/>
          <w:sz w:val="24"/>
          <w:szCs w:val="24"/>
        </w:rPr>
        <w:t>③智慧工地应用过程中，数据造假的。</w:t>
      </w:r>
    </w:p>
    <w:p>
      <w:pPr>
        <w:adjustRightInd w:val="0"/>
        <w:snapToGrid w:val="0"/>
        <w:spacing w:line="360" w:lineRule="auto"/>
        <w:ind w:firstLine="496" w:firstLineChars="200"/>
        <w:rPr>
          <w:snapToGrid w:val="0"/>
          <w:spacing w:val="4"/>
          <w:kern w:val="0"/>
          <w:sz w:val="24"/>
          <w:szCs w:val="24"/>
        </w:rPr>
      </w:pPr>
      <w:r>
        <w:rPr>
          <w:rFonts w:hint="eastAsia"/>
          <w:snapToGrid w:val="0"/>
          <w:spacing w:val="4"/>
          <w:kern w:val="0"/>
          <w:sz w:val="24"/>
          <w:szCs w:val="24"/>
        </w:rPr>
        <w:t>④恶意欠薪并造成不良社会影响的。</w:t>
      </w:r>
    </w:p>
    <w:p>
      <w:pPr>
        <w:adjustRightInd w:val="0"/>
        <w:snapToGrid w:val="0"/>
        <w:spacing w:line="360" w:lineRule="auto"/>
        <w:ind w:firstLine="496" w:firstLineChars="200"/>
        <w:rPr>
          <w:snapToGrid w:val="0"/>
          <w:spacing w:val="4"/>
          <w:kern w:val="0"/>
          <w:sz w:val="24"/>
          <w:szCs w:val="24"/>
        </w:rPr>
      </w:pPr>
      <w:r>
        <w:rPr>
          <w:rFonts w:hint="eastAsia"/>
          <w:snapToGrid w:val="0"/>
          <w:spacing w:val="4"/>
          <w:kern w:val="0"/>
          <w:sz w:val="24"/>
          <w:szCs w:val="24"/>
        </w:rPr>
        <w:t>⑤违反国家法律法规、规章制度的其他情形。</w:t>
      </w:r>
    </w:p>
    <w:p>
      <w:pPr>
        <w:adjustRightInd w:val="0"/>
        <w:snapToGrid w:val="0"/>
        <w:spacing w:line="360" w:lineRule="auto"/>
        <w:ind w:firstLine="496" w:firstLineChars="200"/>
        <w:rPr>
          <w:snapToGrid w:val="0"/>
          <w:spacing w:val="4"/>
          <w:kern w:val="0"/>
          <w:sz w:val="24"/>
          <w:szCs w:val="24"/>
        </w:rPr>
      </w:pPr>
      <w:r>
        <w:rPr>
          <w:rFonts w:hint="eastAsia"/>
          <w:snapToGrid w:val="0"/>
          <w:spacing w:val="4"/>
          <w:kern w:val="0"/>
          <w:sz w:val="24"/>
          <w:szCs w:val="24"/>
        </w:rPr>
        <w:t>最终结果评价由各区（空港委）住建部门或市安监站、市质监站进行初审，市住房城乡建设局组织复审后最终确定。对“星级智慧工地电子证书”有效时间少于总时间70%的，视情况降低最终结果评价级别。</w:t>
      </w:r>
    </w:p>
    <w:p>
      <w:pPr>
        <w:adjustRightInd w:val="0"/>
        <w:snapToGrid w:val="0"/>
        <w:spacing w:line="360" w:lineRule="auto"/>
        <w:ind w:firstLine="496" w:firstLineChars="200"/>
        <w:rPr>
          <w:snapToGrid w:val="0"/>
          <w:spacing w:val="4"/>
          <w:kern w:val="0"/>
          <w:sz w:val="24"/>
          <w:szCs w:val="24"/>
        </w:rPr>
      </w:pPr>
      <w:r>
        <w:rPr>
          <w:rFonts w:hint="eastAsia"/>
          <w:snapToGrid w:val="0"/>
          <w:spacing w:val="4"/>
          <w:kern w:val="0"/>
          <w:sz w:val="24"/>
          <w:szCs w:val="24"/>
        </w:rPr>
        <w:t>（3）、相关智慧工地评价内容</w:t>
      </w:r>
    </w:p>
    <w:p>
      <w:pPr>
        <w:adjustRightInd w:val="0"/>
        <w:snapToGrid w:val="0"/>
        <w:spacing w:line="360" w:lineRule="auto"/>
        <w:ind w:firstLine="496" w:firstLineChars="200"/>
        <w:rPr>
          <w:snapToGrid w:val="0"/>
          <w:spacing w:val="4"/>
          <w:kern w:val="0"/>
          <w:sz w:val="24"/>
          <w:szCs w:val="24"/>
        </w:rPr>
      </w:pPr>
      <w:r>
        <w:rPr>
          <w:rFonts w:hint="eastAsia"/>
          <w:snapToGrid w:val="0"/>
          <w:spacing w:val="4"/>
          <w:kern w:val="0"/>
          <w:sz w:val="24"/>
          <w:szCs w:val="24"/>
        </w:rPr>
        <w:t>相关评价内容参见附件：《智慧评价推荐项建设内容表》和《智慧施工前沿技术建设内容表》。</w:t>
      </w:r>
    </w:p>
    <w:p>
      <w:pPr>
        <w:pStyle w:val="8"/>
        <w:adjustRightInd w:val="0"/>
        <w:snapToGrid w:val="0"/>
        <w:spacing w:line="360" w:lineRule="auto"/>
        <w:rPr>
          <w:b/>
          <w:bCs/>
        </w:rPr>
      </w:pPr>
      <w:bookmarkStart w:id="486" w:name="_Toc55581813"/>
      <w:bookmarkStart w:id="487" w:name="_Toc56444463"/>
      <w:bookmarkStart w:id="488" w:name="_Toc46597520"/>
      <w:r>
        <w:rPr>
          <w:rFonts w:hint="eastAsia"/>
          <w:b/>
          <w:bCs/>
        </w:rPr>
        <w:t>2、智慧工地平台数据接入标准</w:t>
      </w:r>
      <w:bookmarkEnd w:id="486"/>
      <w:bookmarkEnd w:id="487"/>
      <w:bookmarkEnd w:id="488"/>
    </w:p>
    <w:p>
      <w:pPr>
        <w:adjustRightInd w:val="0"/>
        <w:snapToGrid w:val="0"/>
        <w:spacing w:line="360" w:lineRule="auto"/>
        <w:ind w:firstLine="359" w:firstLineChars="145"/>
        <w:rPr>
          <w:snapToGrid w:val="0"/>
          <w:spacing w:val="4"/>
          <w:kern w:val="0"/>
          <w:sz w:val="24"/>
          <w:szCs w:val="24"/>
        </w:rPr>
      </w:pPr>
      <w:r>
        <w:rPr>
          <w:rFonts w:hint="eastAsia"/>
          <w:snapToGrid w:val="0"/>
          <w:spacing w:val="4"/>
          <w:kern w:val="0"/>
          <w:sz w:val="24"/>
          <w:szCs w:val="24"/>
        </w:rPr>
        <w:t>（1）智慧工地平台由“一个平台，十七个子系统，多方对接”组成，由基础设施层、信息资源层、应用支撑层、应用系统层、服务渠道层五个层次和运维监控服务体系、安全保障体系组成。</w:t>
      </w:r>
    </w:p>
    <w:p>
      <w:pPr>
        <w:adjustRightInd w:val="0"/>
        <w:snapToGrid w:val="0"/>
        <w:spacing w:line="360" w:lineRule="auto"/>
        <w:ind w:firstLine="359" w:firstLineChars="145"/>
        <w:rPr>
          <w:snapToGrid w:val="0"/>
          <w:spacing w:val="4"/>
          <w:kern w:val="0"/>
          <w:sz w:val="24"/>
          <w:szCs w:val="24"/>
        </w:rPr>
      </w:pPr>
      <w:r>
        <w:rPr>
          <w:rFonts w:hint="eastAsia"/>
          <w:snapToGrid w:val="0"/>
          <w:spacing w:val="4"/>
          <w:kern w:val="0"/>
          <w:sz w:val="24"/>
          <w:szCs w:val="24"/>
        </w:rPr>
        <w:t>（2）以BIM管理信息化为主线，强化顶层设计，智慧工地平台功能（为保证智慧工地平台实用性与接入能力，平台软硬件的选型必须满足发包人、BIM顾问方提供的参数标准，保证有效数据能接入发包人的BIM项目协同管理平台。发包人、BIM顾问方对智慧工地平台的所有内容有最终的解析权。）</w:t>
      </w:r>
    </w:p>
    <w:p>
      <w:pPr>
        <w:adjustRightInd w:val="0"/>
        <w:snapToGrid w:val="0"/>
        <w:spacing w:line="360" w:lineRule="auto"/>
        <w:ind w:firstLine="359" w:firstLineChars="145"/>
        <w:rPr>
          <w:snapToGrid w:val="0"/>
          <w:spacing w:val="4"/>
          <w:kern w:val="0"/>
          <w:sz w:val="24"/>
          <w:szCs w:val="24"/>
        </w:rPr>
      </w:pPr>
      <w:r>
        <w:rPr>
          <w:rFonts w:hint="eastAsia"/>
          <w:snapToGrid w:val="0"/>
          <w:spacing w:val="4"/>
          <w:kern w:val="0"/>
          <w:sz w:val="24"/>
          <w:szCs w:val="24"/>
        </w:rPr>
        <w:t>（3）为保证智慧工地平台实用性与接入能力，云平台必须支持与第三方应用系统或设备进行数据交换，提供各子系统项目版数据接入的标准接口，不得设立技术壁垒。</w:t>
      </w:r>
      <w:r>
        <w:rPr>
          <w:rFonts w:ascii="宋体" w:hAnsi="宋体" w:cs="宋体"/>
        </w:rPr>
        <w:t>发包人</w:t>
      </w:r>
      <w:r>
        <w:rPr>
          <w:rFonts w:hint="eastAsia"/>
          <w:snapToGrid w:val="0"/>
          <w:spacing w:val="4"/>
          <w:kern w:val="0"/>
          <w:sz w:val="24"/>
          <w:szCs w:val="24"/>
        </w:rPr>
        <w:t>方或施工方可自行选择子系统，平台方应开放接口，并配合进行对接。</w:t>
      </w:r>
    </w:p>
    <w:p>
      <w:pPr>
        <w:pStyle w:val="8"/>
        <w:adjustRightInd w:val="0"/>
        <w:snapToGrid w:val="0"/>
        <w:spacing w:line="360" w:lineRule="auto"/>
        <w:rPr>
          <w:b/>
          <w:bCs/>
        </w:rPr>
      </w:pPr>
      <w:bookmarkStart w:id="489" w:name="_Toc56444464"/>
      <w:bookmarkStart w:id="490" w:name="_Toc55581814"/>
      <w:bookmarkStart w:id="491" w:name="_Toc46597521"/>
      <w:r>
        <w:rPr>
          <w:rFonts w:hint="eastAsia"/>
          <w:b/>
          <w:bCs/>
        </w:rPr>
        <w:t>3、智慧工地平台所需功能</w:t>
      </w:r>
      <w:bookmarkEnd w:id="489"/>
      <w:bookmarkEnd w:id="490"/>
      <w:bookmarkEnd w:id="491"/>
    </w:p>
    <w:p>
      <w:pPr>
        <w:adjustRightInd w:val="0"/>
        <w:snapToGrid w:val="0"/>
        <w:spacing w:line="360" w:lineRule="auto"/>
        <w:ind w:firstLine="496" w:firstLineChars="200"/>
        <w:rPr>
          <w:snapToGrid w:val="0"/>
          <w:spacing w:val="4"/>
          <w:kern w:val="0"/>
          <w:sz w:val="24"/>
          <w:szCs w:val="24"/>
        </w:rPr>
      </w:pPr>
      <w:r>
        <w:rPr>
          <w:rFonts w:hint="eastAsia"/>
          <w:snapToGrid w:val="0"/>
          <w:spacing w:val="4"/>
          <w:kern w:val="0"/>
          <w:sz w:val="24"/>
          <w:szCs w:val="24"/>
        </w:rPr>
        <w:t>智慧工地平台所需功能及说明如下表所示：</w:t>
      </w:r>
    </w:p>
    <w:tbl>
      <w:tblPr>
        <w:tblStyle w:val="16"/>
        <w:tblW w:w="0" w:type="auto"/>
        <w:tblInd w:w="4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6"/>
        <w:gridCol w:w="1558"/>
        <w:gridCol w:w="1267"/>
        <w:gridCol w:w="4926"/>
        <w:gridCol w:w="85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8" w:hRule="atLeast"/>
          <w:tblHeader/>
        </w:trPr>
        <w:tc>
          <w:tcPr>
            <w:tcW w:w="706" w:type="dxa"/>
            <w:tcBorders>
              <w:top w:val="single" w:color="000000" w:sz="10" w:space="0"/>
              <w:left w:val="single" w:color="000000" w:sz="10" w:space="0"/>
            </w:tcBorders>
            <w:shd w:val="clear" w:color="auto" w:fill="BFBFBF"/>
          </w:tcPr>
          <w:p>
            <w:pPr>
              <w:pStyle w:val="25"/>
              <w:spacing w:before="208" w:line="222" w:lineRule="auto"/>
              <w:ind w:left="133"/>
            </w:pPr>
            <w:r>
              <w:rPr>
                <w:spacing w:val="-2"/>
              </w:rPr>
              <w:t>序号</w:t>
            </w:r>
          </w:p>
        </w:tc>
        <w:tc>
          <w:tcPr>
            <w:tcW w:w="1558" w:type="dxa"/>
            <w:tcBorders>
              <w:top w:val="single" w:color="000000" w:sz="10" w:space="0"/>
            </w:tcBorders>
            <w:shd w:val="clear" w:color="auto" w:fill="BFBFBF"/>
          </w:tcPr>
          <w:p>
            <w:pPr>
              <w:pStyle w:val="25"/>
              <w:spacing w:before="208" w:line="221" w:lineRule="auto"/>
              <w:ind w:left="351"/>
            </w:pPr>
            <w:r>
              <w:rPr>
                <w:spacing w:val="-1"/>
              </w:rPr>
              <w:t>模块名称</w:t>
            </w:r>
          </w:p>
        </w:tc>
        <w:tc>
          <w:tcPr>
            <w:tcW w:w="1267" w:type="dxa"/>
            <w:tcBorders>
              <w:top w:val="single" w:color="000000" w:sz="10" w:space="0"/>
            </w:tcBorders>
            <w:shd w:val="clear" w:color="auto" w:fill="BFBFBF"/>
          </w:tcPr>
          <w:p>
            <w:pPr>
              <w:pStyle w:val="25"/>
              <w:spacing w:before="208" w:line="221" w:lineRule="auto"/>
              <w:ind w:left="212"/>
            </w:pPr>
            <w:r>
              <w:rPr>
                <w:spacing w:val="-2"/>
              </w:rPr>
              <w:t>使用部位</w:t>
            </w:r>
          </w:p>
        </w:tc>
        <w:tc>
          <w:tcPr>
            <w:tcW w:w="4926" w:type="dxa"/>
            <w:tcBorders>
              <w:top w:val="single" w:color="000000" w:sz="10" w:space="0"/>
            </w:tcBorders>
            <w:shd w:val="clear" w:color="auto" w:fill="BFBFBF"/>
          </w:tcPr>
          <w:p>
            <w:pPr>
              <w:pStyle w:val="25"/>
              <w:spacing w:before="208" w:line="222" w:lineRule="auto"/>
              <w:ind w:left="2051"/>
            </w:pPr>
            <w:r>
              <w:rPr>
                <w:spacing w:val="-2"/>
              </w:rPr>
              <w:t>主要功能</w:t>
            </w:r>
          </w:p>
        </w:tc>
        <w:tc>
          <w:tcPr>
            <w:tcW w:w="855" w:type="dxa"/>
            <w:tcBorders>
              <w:top w:val="single" w:color="000000" w:sz="10" w:space="0"/>
            </w:tcBorders>
            <w:shd w:val="clear" w:color="auto" w:fill="BFBFBF"/>
          </w:tcPr>
          <w:p>
            <w:pPr>
              <w:pStyle w:val="25"/>
              <w:spacing w:before="208" w:line="222" w:lineRule="auto"/>
              <w:ind w:left="134"/>
            </w:pPr>
            <w:r>
              <w:rPr>
                <w:spacing w:val="-3"/>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45" w:hRule="atLeast"/>
        </w:trPr>
        <w:tc>
          <w:tcPr>
            <w:tcW w:w="706" w:type="dxa"/>
            <w:tcBorders>
              <w:left w:val="single" w:color="000000" w:sz="10" w:space="0"/>
              <w:bottom w:val="nil"/>
            </w:tcBorders>
            <w:shd w:val="clear" w:color="auto" w:fill="BFBFBF"/>
          </w:tcPr>
          <w:p>
            <w:pPr>
              <w:spacing w:line="349" w:lineRule="auto"/>
              <w:rPr>
                <w:rFonts w:ascii="Arial"/>
              </w:rPr>
            </w:pPr>
          </w:p>
          <w:p>
            <w:pPr>
              <w:spacing w:line="350" w:lineRule="auto"/>
              <w:rPr>
                <w:rFonts w:ascii="Arial"/>
              </w:rPr>
            </w:pPr>
          </w:p>
          <w:p>
            <w:pPr>
              <w:pStyle w:val="25"/>
              <w:spacing w:before="68" w:line="183" w:lineRule="auto"/>
              <w:ind w:left="306"/>
            </w:pPr>
            <w:r>
              <w:t>1</w:t>
            </w:r>
          </w:p>
        </w:tc>
        <w:tc>
          <w:tcPr>
            <w:tcW w:w="1558" w:type="dxa"/>
            <w:tcBorders>
              <w:bottom w:val="single" w:color="000000" w:sz="10" w:space="0"/>
            </w:tcBorders>
          </w:tcPr>
          <w:p>
            <w:pPr>
              <w:spacing w:line="326" w:lineRule="auto"/>
              <w:rPr>
                <w:rFonts w:ascii="Arial"/>
              </w:rPr>
            </w:pPr>
          </w:p>
          <w:p>
            <w:pPr>
              <w:pStyle w:val="25"/>
              <w:spacing w:before="69" w:line="221" w:lineRule="auto"/>
              <w:ind w:left="299"/>
            </w:pPr>
            <w:r>
              <w:rPr>
                <w:spacing w:val="-1"/>
              </w:rPr>
              <w:t>视频监控+</w:t>
            </w:r>
          </w:p>
          <w:p>
            <w:pPr>
              <w:pStyle w:val="25"/>
              <w:spacing w:before="65" w:line="222" w:lineRule="auto"/>
              <w:ind w:left="110"/>
            </w:pPr>
            <w:r>
              <w:rPr>
                <w:spacing w:val="-2"/>
              </w:rPr>
              <w:t>AI</w:t>
            </w:r>
            <w:r>
              <w:rPr>
                <w:spacing w:val="-39"/>
              </w:rPr>
              <w:t xml:space="preserve"> </w:t>
            </w:r>
            <w:r>
              <w:rPr>
                <w:spacing w:val="-2"/>
              </w:rPr>
              <w:t>安全隐患智</w:t>
            </w:r>
          </w:p>
          <w:p>
            <w:pPr>
              <w:pStyle w:val="25"/>
              <w:spacing w:before="66" w:line="221" w:lineRule="auto"/>
              <w:ind w:left="466"/>
            </w:pPr>
            <w:r>
              <w:rPr>
                <w:spacing w:val="-3"/>
              </w:rPr>
              <w:t>能识别</w:t>
            </w:r>
          </w:p>
        </w:tc>
        <w:tc>
          <w:tcPr>
            <w:tcW w:w="1267" w:type="dxa"/>
            <w:tcBorders>
              <w:bottom w:val="single" w:color="000000" w:sz="10" w:space="0"/>
            </w:tcBorders>
          </w:tcPr>
          <w:p>
            <w:pPr>
              <w:spacing w:line="332" w:lineRule="auto"/>
              <w:rPr>
                <w:rFonts w:ascii="Arial"/>
              </w:rPr>
            </w:pPr>
          </w:p>
          <w:p>
            <w:pPr>
              <w:spacing w:line="333" w:lineRule="auto"/>
              <w:rPr>
                <w:rFonts w:ascii="Arial"/>
              </w:rPr>
            </w:pPr>
          </w:p>
          <w:p>
            <w:pPr>
              <w:pStyle w:val="25"/>
              <w:spacing w:before="68" w:line="221" w:lineRule="auto"/>
              <w:ind w:left="210"/>
            </w:pPr>
            <w:r>
              <w:rPr>
                <w:spacing w:val="-1"/>
              </w:rPr>
              <w:t>施工现场</w:t>
            </w:r>
          </w:p>
        </w:tc>
        <w:tc>
          <w:tcPr>
            <w:tcW w:w="4926" w:type="dxa"/>
            <w:tcBorders>
              <w:bottom w:val="single" w:color="000000" w:sz="10" w:space="0"/>
            </w:tcBorders>
          </w:tcPr>
          <w:p>
            <w:pPr>
              <w:pStyle w:val="25"/>
              <w:spacing w:before="32" w:line="360" w:lineRule="auto"/>
              <w:ind w:left="107" w:right="86"/>
              <w:jc w:val="both"/>
            </w:pPr>
            <w:r>
              <w:rPr>
                <w:spacing w:val="4"/>
              </w:rPr>
              <w:t>通过在建筑工地施工现场、工作区及生活区各监控</w:t>
            </w:r>
            <w:r>
              <w:rPr>
                <w:spacing w:val="3"/>
              </w:rPr>
              <w:t xml:space="preserve"> </w:t>
            </w:r>
            <w:r>
              <w:rPr>
                <w:spacing w:val="-1"/>
              </w:rPr>
              <w:t>点布设的智慧工地</w:t>
            </w:r>
            <w:r>
              <w:rPr>
                <w:spacing w:val="-45"/>
              </w:rPr>
              <w:t xml:space="preserve"> </w:t>
            </w:r>
            <w:r>
              <w:rPr>
                <w:spacing w:val="-1"/>
              </w:rPr>
              <w:t>AI</w:t>
            </w:r>
            <w:r>
              <w:rPr>
                <w:spacing w:val="-44"/>
              </w:rPr>
              <w:t xml:space="preserve"> </w:t>
            </w:r>
            <w:r>
              <w:rPr>
                <w:spacing w:val="-1"/>
              </w:rPr>
              <w:t>视频监控系统，及时预警危险</w:t>
            </w:r>
            <w:r>
              <w:t xml:space="preserve"> 源，管理人员可使用智慧工地云平台 Web</w:t>
            </w:r>
            <w:r>
              <w:rPr>
                <w:spacing w:val="-1"/>
              </w:rPr>
              <w:t xml:space="preserve"> 界面或手</w:t>
            </w:r>
          </w:p>
          <w:p>
            <w:pPr>
              <w:pStyle w:val="25"/>
              <w:spacing w:line="219" w:lineRule="auto"/>
              <w:ind w:left="107"/>
            </w:pPr>
            <w:r>
              <w:rPr>
                <w:spacing w:val="-4"/>
              </w:rPr>
              <w:t xml:space="preserve">机 APP 直观掌控施工现场实时状况， </w:t>
            </w:r>
            <w:r>
              <w:rPr>
                <w:spacing w:val="-5"/>
              </w:rPr>
              <w:t>并将数据上传</w:t>
            </w:r>
          </w:p>
        </w:tc>
        <w:tc>
          <w:tcPr>
            <w:tcW w:w="855" w:type="dxa"/>
            <w:tcBorders>
              <w:bottom w:val="single" w:color="000000" w:sz="10" w:space="0"/>
              <w:right w:val="single" w:color="000000" w:sz="10" w:space="0"/>
            </w:tcBorders>
          </w:tcPr>
          <w:p>
            <w:pPr>
              <w:spacing w:line="371" w:lineRule="auto"/>
              <w:rPr>
                <w:rFonts w:ascii="Arial"/>
              </w:rPr>
            </w:pPr>
          </w:p>
          <w:p>
            <w:pPr>
              <w:pStyle w:val="25"/>
              <w:spacing w:before="69" w:line="410" w:lineRule="exact"/>
              <w:ind w:left="124"/>
            </w:pPr>
            <w:r>
              <w:rPr>
                <w:spacing w:val="-2"/>
                <w:position w:val="15"/>
              </w:rPr>
              <w:t>现场</w:t>
            </w:r>
          </w:p>
          <w:p>
            <w:pPr>
              <w:pStyle w:val="25"/>
              <w:spacing w:line="220" w:lineRule="auto"/>
              <w:ind w:left="126"/>
            </w:pP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5" w:hRule="atLeast"/>
        </w:trPr>
        <w:tc>
          <w:tcPr>
            <w:tcW w:w="706" w:type="dxa"/>
            <w:tcBorders>
              <w:left w:val="single" w:color="000000" w:sz="10" w:space="0"/>
            </w:tcBorders>
            <w:shd w:val="clear" w:color="auto" w:fill="BFBFBF"/>
          </w:tcPr>
          <w:p>
            <w:pPr>
              <w:spacing w:line="361" w:lineRule="auto"/>
              <w:rPr>
                <w:rFonts w:ascii="Arial"/>
              </w:rPr>
            </w:pPr>
          </w:p>
          <w:p>
            <w:pPr>
              <w:pStyle w:val="25"/>
              <w:spacing w:before="69" w:line="182" w:lineRule="auto"/>
              <w:ind w:left="292"/>
            </w:pPr>
            <w:r>
              <w:t>2</w:t>
            </w:r>
          </w:p>
        </w:tc>
        <w:tc>
          <w:tcPr>
            <w:tcW w:w="1558" w:type="dxa"/>
          </w:tcPr>
          <w:p>
            <w:pPr>
              <w:spacing w:line="326" w:lineRule="auto"/>
              <w:rPr>
                <w:rFonts w:ascii="Arial"/>
              </w:rPr>
            </w:pPr>
          </w:p>
          <w:p>
            <w:pPr>
              <w:pStyle w:val="25"/>
              <w:spacing w:before="68" w:line="221" w:lineRule="auto"/>
              <w:ind w:left="142"/>
            </w:pPr>
            <w:r>
              <w:rPr>
                <w:spacing w:val="-1"/>
              </w:rPr>
              <w:t>进出车辆管理</w:t>
            </w:r>
          </w:p>
        </w:tc>
        <w:tc>
          <w:tcPr>
            <w:tcW w:w="1267" w:type="dxa"/>
          </w:tcPr>
          <w:p>
            <w:pPr>
              <w:spacing w:line="327" w:lineRule="auto"/>
              <w:rPr>
                <w:rFonts w:ascii="Arial"/>
              </w:rPr>
            </w:pPr>
          </w:p>
          <w:p>
            <w:pPr>
              <w:pStyle w:val="25"/>
              <w:spacing w:before="68" w:line="221" w:lineRule="auto"/>
              <w:ind w:left="210"/>
            </w:pPr>
            <w:r>
              <w:rPr>
                <w:rFonts w:hint="eastAsia"/>
                <w:spacing w:val="-1"/>
              </w:rPr>
              <w:t>办公区</w:t>
            </w:r>
          </w:p>
        </w:tc>
        <w:tc>
          <w:tcPr>
            <w:tcW w:w="4926" w:type="dxa"/>
          </w:tcPr>
          <w:p>
            <w:pPr>
              <w:pStyle w:val="25"/>
              <w:spacing w:before="77" w:line="257" w:lineRule="auto"/>
              <w:ind w:left="107" w:right="86" w:firstLine="1"/>
              <w:jc w:val="both"/>
            </w:pPr>
            <w:r>
              <w:rPr>
                <w:spacing w:val="4"/>
              </w:rPr>
              <w:t>使项部院内形成一个相对封闭的场所，瞬时完成</w:t>
            </w:r>
            <w:r>
              <w:rPr>
                <w:spacing w:val="3"/>
              </w:rPr>
              <w:t xml:space="preserve"> </w:t>
            </w:r>
            <w:r>
              <w:rPr>
                <w:spacing w:val="-10"/>
              </w:rPr>
              <w:t>车辆出入检验、记录等工作，</w:t>
            </w:r>
            <w:r>
              <w:rPr>
                <w:spacing w:val="-57"/>
              </w:rPr>
              <w:t xml:space="preserve"> </w:t>
            </w:r>
            <w:r>
              <w:rPr>
                <w:spacing w:val="-10"/>
              </w:rPr>
              <w:t>挡车道闸自动启闭，</w:t>
            </w:r>
            <w:r>
              <w:rPr>
                <w:spacing w:val="-33"/>
              </w:rPr>
              <w:t xml:space="preserve"> </w:t>
            </w:r>
            <w:r>
              <w:rPr>
                <w:spacing w:val="-10"/>
              </w:rPr>
              <w:t>以</w:t>
            </w:r>
            <w:r>
              <w:rPr>
                <w:spacing w:val="-2"/>
              </w:rPr>
              <w:t>及用于办公区生活区停车管理。</w:t>
            </w:r>
          </w:p>
        </w:tc>
        <w:tc>
          <w:tcPr>
            <w:tcW w:w="855" w:type="dxa"/>
            <w:tcBorders>
              <w:right w:val="single" w:color="000000" w:sz="10" w:space="0"/>
            </w:tcBorders>
          </w:tcPr>
          <w:p>
            <w:pPr>
              <w:pStyle w:val="25"/>
              <w:spacing w:before="235" w:line="252" w:lineRule="auto"/>
              <w:ind w:left="126" w:right="94" w:hanging="2"/>
            </w:pPr>
            <w:r>
              <w:rPr>
                <w:spacing w:val="7"/>
              </w:rPr>
              <w:t>现场</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29" w:hRule="atLeast"/>
        </w:trPr>
        <w:tc>
          <w:tcPr>
            <w:tcW w:w="706" w:type="dxa"/>
            <w:tcBorders>
              <w:left w:val="single" w:color="000000" w:sz="10" w:space="0"/>
            </w:tcBorders>
            <w:shd w:val="clear" w:color="auto" w:fill="BFBFBF"/>
          </w:tcPr>
          <w:p>
            <w:pPr>
              <w:spacing w:line="247" w:lineRule="auto"/>
              <w:rPr>
                <w:rFonts w:ascii="Arial"/>
              </w:rPr>
            </w:pPr>
          </w:p>
          <w:p>
            <w:pPr>
              <w:spacing w:line="247" w:lineRule="auto"/>
              <w:rPr>
                <w:rFonts w:ascii="Arial"/>
              </w:rPr>
            </w:pPr>
          </w:p>
          <w:p>
            <w:pPr>
              <w:pStyle w:val="25"/>
              <w:spacing w:before="69" w:line="182" w:lineRule="auto"/>
              <w:ind w:left="294"/>
            </w:pPr>
            <w:r>
              <w:t>3</w:t>
            </w:r>
          </w:p>
        </w:tc>
        <w:tc>
          <w:tcPr>
            <w:tcW w:w="1558" w:type="dxa"/>
          </w:tcPr>
          <w:p>
            <w:pPr>
              <w:spacing w:line="459" w:lineRule="auto"/>
              <w:rPr>
                <w:rFonts w:ascii="Arial"/>
              </w:rPr>
            </w:pPr>
          </w:p>
          <w:p>
            <w:pPr>
              <w:pStyle w:val="25"/>
              <w:spacing w:before="68" w:line="221" w:lineRule="auto"/>
              <w:ind w:left="148"/>
            </w:pPr>
            <w:r>
              <w:rPr>
                <w:spacing w:val="-2"/>
              </w:rPr>
              <w:t>智能门禁系统</w:t>
            </w:r>
          </w:p>
        </w:tc>
        <w:tc>
          <w:tcPr>
            <w:tcW w:w="1267" w:type="dxa"/>
          </w:tcPr>
          <w:p>
            <w:pPr>
              <w:spacing w:line="460" w:lineRule="auto"/>
              <w:rPr>
                <w:rFonts w:ascii="Arial"/>
              </w:rPr>
            </w:pPr>
          </w:p>
          <w:p>
            <w:pPr>
              <w:pStyle w:val="25"/>
              <w:spacing w:before="68" w:line="221" w:lineRule="auto"/>
              <w:ind w:left="210"/>
            </w:pPr>
            <w:r>
              <w:rPr>
                <w:rFonts w:hint="eastAsia"/>
                <w:spacing w:val="-1"/>
              </w:rPr>
              <w:t>办公区、</w:t>
            </w:r>
            <w:r>
              <w:rPr>
                <w:spacing w:val="-1"/>
              </w:rPr>
              <w:t>施工现场</w:t>
            </w:r>
          </w:p>
        </w:tc>
        <w:tc>
          <w:tcPr>
            <w:tcW w:w="4926" w:type="dxa"/>
          </w:tcPr>
          <w:p>
            <w:pPr>
              <w:pStyle w:val="25"/>
              <w:spacing w:before="31" w:line="408" w:lineRule="exact"/>
              <w:ind w:left="110"/>
            </w:pPr>
            <w:r>
              <w:rPr>
                <w:spacing w:val="-1"/>
                <w:position w:val="14"/>
              </w:rPr>
              <w:t>为真实录入施工现场人员的信息以及加强对工人的</w:t>
            </w:r>
          </w:p>
          <w:p>
            <w:pPr>
              <w:pStyle w:val="25"/>
              <w:spacing w:line="220" w:lineRule="auto"/>
              <w:ind w:left="112"/>
            </w:pPr>
            <w:r>
              <w:rPr>
                <w:spacing w:val="-8"/>
              </w:rPr>
              <w:t>管理，设置一卡通系统和</w:t>
            </w:r>
            <w:r>
              <w:rPr>
                <w:spacing w:val="-52"/>
              </w:rPr>
              <w:t xml:space="preserve"> </w:t>
            </w:r>
            <w:r>
              <w:rPr>
                <w:spacing w:val="-8"/>
              </w:rPr>
              <w:t>AI 口罩人脸识别系统，</w:t>
            </w:r>
          </w:p>
          <w:p>
            <w:pPr>
              <w:pStyle w:val="25"/>
              <w:spacing w:before="157" w:line="221" w:lineRule="auto"/>
              <w:ind w:left="109"/>
            </w:pPr>
            <w:r>
              <w:rPr>
                <w:spacing w:val="-5"/>
              </w:rPr>
              <w:t>增加人员行程监控二维码系统， 保证疫情防控。</w:t>
            </w:r>
          </w:p>
        </w:tc>
        <w:tc>
          <w:tcPr>
            <w:tcW w:w="855" w:type="dxa"/>
            <w:tcBorders>
              <w:right w:val="single" w:color="000000" w:sz="10" w:space="0"/>
            </w:tcBorders>
          </w:tcPr>
          <w:p>
            <w:pPr>
              <w:pStyle w:val="25"/>
              <w:spacing w:before="235" w:line="408" w:lineRule="exact"/>
              <w:ind w:left="124"/>
            </w:pPr>
            <w:r>
              <w:rPr>
                <w:spacing w:val="-2"/>
                <w:position w:val="15"/>
              </w:rPr>
              <w:t>现场</w:t>
            </w:r>
          </w:p>
          <w:p>
            <w:pPr>
              <w:pStyle w:val="25"/>
              <w:spacing w:line="220" w:lineRule="auto"/>
              <w:ind w:left="126"/>
            </w:pP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81" w:hRule="atLeast"/>
        </w:trPr>
        <w:tc>
          <w:tcPr>
            <w:tcW w:w="706" w:type="dxa"/>
            <w:tcBorders>
              <w:left w:val="single" w:color="000000" w:sz="10" w:space="0"/>
            </w:tcBorders>
            <w:shd w:val="clear" w:color="auto" w:fill="BFBFBF"/>
          </w:tcPr>
          <w:p>
            <w:pPr>
              <w:spacing w:line="261" w:lineRule="auto"/>
              <w:rPr>
                <w:rFonts w:ascii="Arial"/>
              </w:rPr>
            </w:pPr>
          </w:p>
          <w:p>
            <w:pPr>
              <w:spacing w:line="262" w:lineRule="auto"/>
              <w:rPr>
                <w:rFonts w:ascii="Arial"/>
              </w:rPr>
            </w:pPr>
          </w:p>
          <w:p>
            <w:pPr>
              <w:pStyle w:val="25"/>
              <w:spacing w:before="68" w:line="182" w:lineRule="auto"/>
              <w:ind w:left="289"/>
            </w:pPr>
            <w:r>
              <w:t>4</w:t>
            </w:r>
          </w:p>
        </w:tc>
        <w:tc>
          <w:tcPr>
            <w:tcW w:w="1558" w:type="dxa"/>
          </w:tcPr>
          <w:p>
            <w:pPr>
              <w:spacing w:line="307" w:lineRule="auto"/>
              <w:rPr>
                <w:rFonts w:ascii="Arial"/>
              </w:rPr>
            </w:pPr>
          </w:p>
          <w:p>
            <w:pPr>
              <w:pStyle w:val="25"/>
              <w:spacing w:before="68" w:line="415" w:lineRule="exact"/>
              <w:ind w:left="357"/>
            </w:pPr>
            <w:r>
              <w:rPr>
                <w:spacing w:val="-3"/>
                <w:position w:val="15"/>
              </w:rPr>
              <w:t>智能体温</w:t>
            </w:r>
          </w:p>
          <w:p>
            <w:pPr>
              <w:pStyle w:val="25"/>
              <w:spacing w:line="220" w:lineRule="auto"/>
              <w:ind w:left="352"/>
            </w:pPr>
            <w:r>
              <w:rPr>
                <w:spacing w:val="-2"/>
              </w:rPr>
              <w:t>检测系统</w:t>
            </w:r>
          </w:p>
        </w:tc>
        <w:tc>
          <w:tcPr>
            <w:tcW w:w="1267" w:type="dxa"/>
          </w:tcPr>
          <w:p>
            <w:pPr>
              <w:spacing w:line="244" w:lineRule="auto"/>
              <w:rPr>
                <w:rFonts w:ascii="Arial"/>
              </w:rPr>
            </w:pPr>
          </w:p>
          <w:p>
            <w:pPr>
              <w:spacing w:line="244" w:lineRule="auto"/>
              <w:rPr>
                <w:rFonts w:ascii="Arial"/>
              </w:rPr>
            </w:pPr>
          </w:p>
          <w:p>
            <w:pPr>
              <w:pStyle w:val="25"/>
              <w:spacing w:before="68" w:line="221" w:lineRule="auto"/>
              <w:ind w:left="210"/>
            </w:pPr>
            <w:r>
              <w:rPr>
                <w:rFonts w:hint="eastAsia"/>
                <w:spacing w:val="-1"/>
              </w:rPr>
              <w:t>办公区、</w:t>
            </w:r>
            <w:r>
              <w:rPr>
                <w:spacing w:val="-1"/>
              </w:rPr>
              <w:t>施工现场</w:t>
            </w:r>
          </w:p>
        </w:tc>
        <w:tc>
          <w:tcPr>
            <w:tcW w:w="4926" w:type="dxa"/>
          </w:tcPr>
          <w:p>
            <w:pPr>
              <w:pStyle w:val="25"/>
              <w:spacing w:before="78" w:line="262" w:lineRule="auto"/>
              <w:ind w:left="109" w:right="86"/>
              <w:jc w:val="both"/>
            </w:pPr>
            <w:r>
              <w:rPr>
                <w:spacing w:val="-5"/>
              </w:rPr>
              <w:t>利用红外热成像及人脸识别等技术，快速、精准对项</w:t>
            </w:r>
            <w:r>
              <w:rPr>
                <w:spacing w:val="3"/>
              </w:rPr>
              <w:t xml:space="preserve"> </w:t>
            </w:r>
            <w:r>
              <w:rPr>
                <w:spacing w:val="-5"/>
              </w:rPr>
              <w:t>目入场人员群体快速测温，毫秒级响应， 37.3 度以</w:t>
            </w:r>
            <w:r>
              <w:rPr>
                <w:spacing w:val="18"/>
              </w:rPr>
              <w:t xml:space="preserve"> </w:t>
            </w:r>
            <w:r>
              <w:rPr>
                <w:spacing w:val="-5"/>
              </w:rPr>
              <w:t>上自动报警，与考勤系统绑定数据，助力疫情防控工</w:t>
            </w:r>
            <w:r>
              <w:t xml:space="preserve"> </w:t>
            </w:r>
            <w:r>
              <w:rPr>
                <w:spacing w:val="-10"/>
              </w:rPr>
              <w:t>作。</w:t>
            </w:r>
          </w:p>
        </w:tc>
        <w:tc>
          <w:tcPr>
            <w:tcW w:w="855" w:type="dxa"/>
            <w:tcBorders>
              <w:right w:val="single" w:color="000000" w:sz="10" w:space="0"/>
            </w:tcBorders>
          </w:tcPr>
          <w:p>
            <w:pPr>
              <w:spacing w:line="327" w:lineRule="auto"/>
              <w:rPr>
                <w:rFonts w:ascii="Arial"/>
              </w:rPr>
            </w:pPr>
          </w:p>
          <w:p>
            <w:pPr>
              <w:pStyle w:val="25"/>
              <w:spacing w:before="68" w:line="251" w:lineRule="auto"/>
              <w:ind w:left="126" w:right="94" w:hanging="3"/>
            </w:pPr>
            <w:r>
              <w:rPr>
                <w:spacing w:val="7"/>
              </w:rPr>
              <w:t>疫情</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3" w:hRule="atLeast"/>
        </w:trPr>
        <w:tc>
          <w:tcPr>
            <w:tcW w:w="706" w:type="dxa"/>
            <w:tcBorders>
              <w:left w:val="single" w:color="000000" w:sz="10" w:space="0"/>
            </w:tcBorders>
            <w:shd w:val="clear" w:color="auto" w:fill="BFBFBF"/>
          </w:tcPr>
          <w:p>
            <w:pPr>
              <w:spacing w:line="369" w:lineRule="auto"/>
              <w:rPr>
                <w:rFonts w:ascii="Arial"/>
              </w:rPr>
            </w:pPr>
          </w:p>
          <w:p>
            <w:pPr>
              <w:pStyle w:val="25"/>
              <w:spacing w:before="69" w:line="181" w:lineRule="auto"/>
              <w:ind w:left="294"/>
            </w:pPr>
            <w:r>
              <w:t>5</w:t>
            </w:r>
          </w:p>
        </w:tc>
        <w:tc>
          <w:tcPr>
            <w:tcW w:w="1558" w:type="dxa"/>
          </w:tcPr>
          <w:p>
            <w:pPr>
              <w:spacing w:line="333" w:lineRule="auto"/>
              <w:rPr>
                <w:rFonts w:ascii="Arial"/>
              </w:rPr>
            </w:pPr>
          </w:p>
          <w:p>
            <w:pPr>
              <w:pStyle w:val="25"/>
              <w:spacing w:before="68" w:line="220" w:lineRule="auto"/>
              <w:ind w:left="252"/>
            </w:pPr>
            <w:r>
              <w:rPr>
                <w:spacing w:val="-2"/>
              </w:rPr>
              <w:t>智能安全帽</w:t>
            </w:r>
          </w:p>
        </w:tc>
        <w:tc>
          <w:tcPr>
            <w:tcW w:w="1267" w:type="dxa"/>
          </w:tcPr>
          <w:p>
            <w:pPr>
              <w:spacing w:line="333" w:lineRule="auto"/>
              <w:rPr>
                <w:rFonts w:ascii="Arial"/>
              </w:rPr>
            </w:pPr>
          </w:p>
          <w:p>
            <w:pPr>
              <w:pStyle w:val="25"/>
              <w:spacing w:before="69" w:line="221" w:lineRule="auto"/>
              <w:ind w:left="210"/>
            </w:pPr>
            <w:r>
              <w:rPr>
                <w:spacing w:val="-1"/>
              </w:rPr>
              <w:t>施工现场</w:t>
            </w:r>
          </w:p>
        </w:tc>
        <w:tc>
          <w:tcPr>
            <w:tcW w:w="4926" w:type="dxa"/>
          </w:tcPr>
          <w:p>
            <w:pPr>
              <w:pStyle w:val="25"/>
              <w:spacing w:before="82" w:line="255" w:lineRule="auto"/>
              <w:ind w:left="108" w:right="87"/>
              <w:jc w:val="both"/>
            </w:pPr>
            <w:r>
              <w:rPr>
                <w:spacing w:val="-5"/>
              </w:rPr>
              <w:t>利用物联网、移动通讯、空间定位、云计算、大数据</w:t>
            </w:r>
            <w:r>
              <w:t xml:space="preserve"> </w:t>
            </w:r>
            <w:r>
              <w:rPr>
                <w:spacing w:val="-5"/>
              </w:rPr>
              <w:t>等技术，为企业提供具备定位、感知、预警、音视频</w:t>
            </w:r>
            <w:r>
              <w:rPr>
                <w:spacing w:val="4"/>
              </w:rPr>
              <w:t xml:space="preserve"> </w:t>
            </w:r>
            <w:r>
              <w:rPr>
                <w:spacing w:val="-1"/>
              </w:rPr>
              <w:t>通讯功能的一体化智能穿戴产品。</w:t>
            </w:r>
          </w:p>
        </w:tc>
        <w:tc>
          <w:tcPr>
            <w:tcW w:w="855" w:type="dxa"/>
            <w:tcBorders>
              <w:right w:val="single" w:color="000000" w:sz="10" w:space="0"/>
            </w:tcBorders>
          </w:tcPr>
          <w:p>
            <w:pPr>
              <w:pStyle w:val="25"/>
              <w:spacing w:before="242" w:line="251" w:lineRule="auto"/>
              <w:ind w:left="126" w:right="94" w:hanging="2"/>
            </w:pPr>
            <w:r>
              <w:rPr>
                <w:spacing w:val="7"/>
              </w:rPr>
              <w:t>现场</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41" w:hRule="atLeast"/>
        </w:trPr>
        <w:tc>
          <w:tcPr>
            <w:tcW w:w="706" w:type="dxa"/>
            <w:tcBorders>
              <w:left w:val="single" w:color="000000" w:sz="10" w:space="0"/>
            </w:tcBorders>
            <w:shd w:val="clear" w:color="auto" w:fill="BFBFBF"/>
          </w:tcPr>
          <w:p>
            <w:pPr>
              <w:spacing w:line="358" w:lineRule="auto"/>
              <w:rPr>
                <w:rFonts w:ascii="Arial"/>
              </w:rPr>
            </w:pPr>
          </w:p>
          <w:p>
            <w:pPr>
              <w:pStyle w:val="25"/>
              <w:spacing w:before="68" w:line="182" w:lineRule="auto"/>
              <w:ind w:left="292"/>
            </w:pPr>
            <w:r>
              <w:t>6</w:t>
            </w:r>
          </w:p>
        </w:tc>
        <w:tc>
          <w:tcPr>
            <w:tcW w:w="1558" w:type="dxa"/>
          </w:tcPr>
          <w:p>
            <w:pPr>
              <w:pStyle w:val="25"/>
              <w:spacing w:before="138" w:line="469" w:lineRule="exact"/>
              <w:ind w:left="148"/>
            </w:pPr>
            <w:r>
              <w:rPr>
                <w:spacing w:val="-2"/>
                <w:position w:val="19"/>
              </w:rPr>
              <w:t>智能机器人应</w:t>
            </w:r>
          </w:p>
          <w:p>
            <w:pPr>
              <w:pStyle w:val="25"/>
              <w:spacing w:line="222" w:lineRule="auto"/>
              <w:ind w:left="668"/>
            </w:pPr>
            <w:r>
              <w:t>用</w:t>
            </w:r>
          </w:p>
        </w:tc>
        <w:tc>
          <w:tcPr>
            <w:tcW w:w="1267" w:type="dxa"/>
          </w:tcPr>
          <w:p>
            <w:pPr>
              <w:spacing w:line="323" w:lineRule="auto"/>
              <w:rPr>
                <w:rFonts w:ascii="Arial"/>
              </w:rPr>
            </w:pPr>
          </w:p>
          <w:p>
            <w:pPr>
              <w:pStyle w:val="25"/>
              <w:spacing w:before="68" w:line="221" w:lineRule="auto"/>
              <w:ind w:left="210"/>
            </w:pPr>
            <w:r>
              <w:rPr>
                <w:spacing w:val="-1"/>
              </w:rPr>
              <w:t>施工现场</w:t>
            </w:r>
          </w:p>
        </w:tc>
        <w:tc>
          <w:tcPr>
            <w:tcW w:w="4926" w:type="dxa"/>
          </w:tcPr>
          <w:p>
            <w:pPr>
              <w:pStyle w:val="25"/>
              <w:spacing w:before="233" w:line="251" w:lineRule="auto"/>
              <w:ind w:left="108" w:right="92"/>
            </w:pPr>
            <w:r>
              <w:rPr>
                <w:spacing w:val="-5"/>
              </w:rPr>
              <w:t>包括地坪整平机器人，钢筋自动加工数控机器人、巡</w:t>
            </w:r>
            <w:r>
              <w:t xml:space="preserve"> </w:t>
            </w:r>
            <w:r>
              <w:rPr>
                <w:spacing w:val="-1"/>
              </w:rPr>
              <w:t>检机器人等高度智能化施工操作机械设备应用。</w:t>
            </w:r>
          </w:p>
        </w:tc>
        <w:tc>
          <w:tcPr>
            <w:tcW w:w="855" w:type="dxa"/>
            <w:tcBorders>
              <w:right w:val="single" w:color="000000" w:sz="10" w:space="0"/>
            </w:tcBorders>
          </w:tcPr>
          <w:p>
            <w:pPr>
              <w:pStyle w:val="25"/>
              <w:spacing w:before="231" w:line="252" w:lineRule="auto"/>
              <w:ind w:left="126" w:right="94" w:hanging="2"/>
            </w:pPr>
            <w:r>
              <w:rPr>
                <w:spacing w:val="7"/>
              </w:rPr>
              <w:t>现场</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9" w:hRule="atLeast"/>
        </w:trPr>
        <w:tc>
          <w:tcPr>
            <w:tcW w:w="706" w:type="dxa"/>
            <w:tcBorders>
              <w:left w:val="single" w:color="000000" w:sz="10" w:space="0"/>
            </w:tcBorders>
            <w:shd w:val="clear" w:color="auto" w:fill="BFBFBF"/>
          </w:tcPr>
          <w:p>
            <w:pPr>
              <w:spacing w:line="359" w:lineRule="auto"/>
              <w:rPr>
                <w:rFonts w:ascii="Arial"/>
              </w:rPr>
            </w:pPr>
          </w:p>
          <w:p>
            <w:pPr>
              <w:pStyle w:val="25"/>
              <w:spacing w:before="68" w:line="181" w:lineRule="auto"/>
              <w:ind w:left="295"/>
            </w:pPr>
            <w:r>
              <w:t>7</w:t>
            </w:r>
          </w:p>
        </w:tc>
        <w:tc>
          <w:tcPr>
            <w:tcW w:w="1558" w:type="dxa"/>
          </w:tcPr>
          <w:p>
            <w:pPr>
              <w:pStyle w:val="25"/>
              <w:spacing w:before="138" w:line="468" w:lineRule="exact"/>
              <w:ind w:left="147"/>
            </w:pPr>
            <w:r>
              <w:rPr>
                <w:spacing w:val="-2"/>
                <w:position w:val="19"/>
              </w:rPr>
              <w:t>行为安全之星</w:t>
            </w:r>
          </w:p>
          <w:p>
            <w:pPr>
              <w:pStyle w:val="25"/>
              <w:spacing w:line="221" w:lineRule="auto"/>
              <w:ind w:left="354"/>
            </w:pPr>
            <w:r>
              <w:rPr>
                <w:spacing w:val="-2"/>
              </w:rPr>
              <w:t>辅助系统</w:t>
            </w:r>
          </w:p>
        </w:tc>
        <w:tc>
          <w:tcPr>
            <w:tcW w:w="1267" w:type="dxa"/>
          </w:tcPr>
          <w:p>
            <w:pPr>
              <w:spacing w:line="323" w:lineRule="auto"/>
              <w:rPr>
                <w:rFonts w:ascii="Arial"/>
              </w:rPr>
            </w:pPr>
          </w:p>
          <w:p>
            <w:pPr>
              <w:pStyle w:val="25"/>
              <w:spacing w:before="68" w:line="221" w:lineRule="auto"/>
              <w:ind w:left="210"/>
            </w:pPr>
            <w:r>
              <w:rPr>
                <w:spacing w:val="-1"/>
              </w:rPr>
              <w:t>施工现场</w:t>
            </w:r>
          </w:p>
        </w:tc>
        <w:tc>
          <w:tcPr>
            <w:tcW w:w="4926" w:type="dxa"/>
          </w:tcPr>
          <w:p>
            <w:pPr>
              <w:pStyle w:val="25"/>
              <w:spacing w:before="235" w:line="250" w:lineRule="auto"/>
              <w:ind w:left="111" w:right="14"/>
            </w:pPr>
            <w:r>
              <w:rPr>
                <w:spacing w:val="-6"/>
              </w:rPr>
              <w:t xml:space="preserve">行为安全观察，以杜邦安全管理理论为依据，用以纠 </w:t>
            </w:r>
            <w:r>
              <w:rPr>
                <w:spacing w:val="-11"/>
              </w:rPr>
              <w:t>正违章、加强教育、鼓励表扬，达到安全管理的目的。</w:t>
            </w:r>
          </w:p>
        </w:tc>
        <w:tc>
          <w:tcPr>
            <w:tcW w:w="855" w:type="dxa"/>
            <w:tcBorders>
              <w:right w:val="single" w:color="000000" w:sz="10" w:space="0"/>
            </w:tcBorders>
          </w:tcPr>
          <w:p>
            <w:pPr>
              <w:pStyle w:val="25"/>
              <w:spacing w:before="233" w:line="251" w:lineRule="auto"/>
              <w:ind w:left="126" w:right="94" w:hanging="2"/>
            </w:pPr>
            <w:r>
              <w:rPr>
                <w:spacing w:val="7"/>
              </w:rPr>
              <w:t>现场</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9" w:hRule="atLeast"/>
        </w:trPr>
        <w:tc>
          <w:tcPr>
            <w:tcW w:w="706" w:type="dxa"/>
            <w:tcBorders>
              <w:left w:val="single" w:color="000000" w:sz="10" w:space="0"/>
            </w:tcBorders>
            <w:shd w:val="clear" w:color="auto" w:fill="BFBFBF"/>
          </w:tcPr>
          <w:p>
            <w:pPr>
              <w:spacing w:line="359" w:lineRule="auto"/>
              <w:rPr>
                <w:rFonts w:ascii="Arial"/>
              </w:rPr>
            </w:pPr>
          </w:p>
          <w:p>
            <w:pPr>
              <w:pStyle w:val="25"/>
              <w:spacing w:before="68" w:line="182" w:lineRule="auto"/>
              <w:ind w:left="291"/>
            </w:pPr>
            <w:r>
              <w:t>8</w:t>
            </w:r>
          </w:p>
        </w:tc>
        <w:tc>
          <w:tcPr>
            <w:tcW w:w="1558" w:type="dxa"/>
          </w:tcPr>
          <w:p>
            <w:pPr>
              <w:pStyle w:val="25"/>
              <w:spacing w:before="139" w:line="468" w:lineRule="exact"/>
              <w:ind w:left="143"/>
            </w:pPr>
            <w:r>
              <w:rPr>
                <w:spacing w:val="-1"/>
                <w:position w:val="19"/>
              </w:rPr>
              <w:t>施工区域人员</w:t>
            </w:r>
          </w:p>
          <w:p>
            <w:pPr>
              <w:pStyle w:val="25"/>
              <w:spacing w:line="221" w:lineRule="auto"/>
              <w:ind w:left="357"/>
            </w:pPr>
            <w:r>
              <w:rPr>
                <w:spacing w:val="-3"/>
              </w:rPr>
              <w:t>定位系统</w:t>
            </w:r>
          </w:p>
        </w:tc>
        <w:tc>
          <w:tcPr>
            <w:tcW w:w="1267" w:type="dxa"/>
          </w:tcPr>
          <w:p>
            <w:pPr>
              <w:spacing w:line="324" w:lineRule="auto"/>
              <w:rPr>
                <w:rFonts w:ascii="Arial"/>
              </w:rPr>
            </w:pPr>
          </w:p>
          <w:p>
            <w:pPr>
              <w:pStyle w:val="25"/>
              <w:spacing w:before="68" w:line="221" w:lineRule="auto"/>
              <w:ind w:left="210"/>
            </w:pPr>
            <w:r>
              <w:rPr>
                <w:spacing w:val="-1"/>
              </w:rPr>
              <w:t>施工现场</w:t>
            </w:r>
          </w:p>
        </w:tc>
        <w:tc>
          <w:tcPr>
            <w:tcW w:w="4926" w:type="dxa"/>
          </w:tcPr>
          <w:p>
            <w:pPr>
              <w:pStyle w:val="25"/>
              <w:spacing w:before="234" w:line="255" w:lineRule="auto"/>
              <w:ind w:left="108" w:right="94" w:firstLine="1"/>
            </w:pPr>
            <w:r>
              <w:rPr>
                <w:spacing w:val="4"/>
              </w:rPr>
              <w:t>可对施工现场的人员进行定位，保障人员和区域安</w:t>
            </w:r>
            <w:r>
              <w:rPr>
                <w:spacing w:val="2"/>
              </w:rPr>
              <w:t xml:space="preserve"> </w:t>
            </w:r>
            <w:r>
              <w:rPr>
                <w:spacing w:val="-10"/>
              </w:rPr>
              <w:t>全。</w:t>
            </w:r>
          </w:p>
        </w:tc>
        <w:tc>
          <w:tcPr>
            <w:tcW w:w="855" w:type="dxa"/>
            <w:tcBorders>
              <w:right w:val="single" w:color="000000" w:sz="10" w:space="0"/>
            </w:tcBorders>
          </w:tcPr>
          <w:p>
            <w:pPr>
              <w:pStyle w:val="25"/>
              <w:spacing w:before="235" w:line="251" w:lineRule="auto"/>
              <w:ind w:left="126" w:right="94" w:hanging="2"/>
            </w:pPr>
            <w:r>
              <w:rPr>
                <w:spacing w:val="7"/>
              </w:rPr>
              <w:t>现场</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706" w:type="dxa"/>
            <w:tcBorders>
              <w:left w:val="single" w:color="000000" w:sz="10" w:space="0"/>
            </w:tcBorders>
            <w:shd w:val="clear" w:color="auto" w:fill="BFBFBF"/>
          </w:tcPr>
          <w:p>
            <w:pPr>
              <w:pStyle w:val="25"/>
              <w:spacing w:before="284" w:line="182" w:lineRule="auto"/>
              <w:ind w:left="291"/>
            </w:pPr>
            <w:r>
              <w:t>9</w:t>
            </w:r>
          </w:p>
        </w:tc>
        <w:tc>
          <w:tcPr>
            <w:tcW w:w="1558" w:type="dxa"/>
          </w:tcPr>
          <w:p>
            <w:pPr>
              <w:pStyle w:val="25"/>
              <w:spacing w:before="227" w:line="220" w:lineRule="auto"/>
              <w:ind w:left="143"/>
            </w:pPr>
            <w:r>
              <w:rPr>
                <w:spacing w:val="-1"/>
              </w:rPr>
              <w:t>视频会议系统</w:t>
            </w:r>
          </w:p>
        </w:tc>
        <w:tc>
          <w:tcPr>
            <w:tcW w:w="1267" w:type="dxa"/>
          </w:tcPr>
          <w:p>
            <w:pPr>
              <w:pStyle w:val="25"/>
              <w:spacing w:before="248" w:line="221" w:lineRule="auto"/>
              <w:ind w:left="318"/>
            </w:pPr>
            <w:r>
              <w:rPr>
                <w:spacing w:val="-2"/>
              </w:rPr>
              <w:t>办公区</w:t>
            </w:r>
          </w:p>
        </w:tc>
        <w:tc>
          <w:tcPr>
            <w:tcW w:w="4926" w:type="dxa"/>
          </w:tcPr>
          <w:p>
            <w:pPr>
              <w:pStyle w:val="25"/>
              <w:spacing w:before="88"/>
              <w:ind w:left="109" w:right="87" w:firstLine="1"/>
            </w:pPr>
            <w:r>
              <w:rPr>
                <w:spacing w:val="-5"/>
              </w:rPr>
              <w:t>项目会议室可作为分会场，可与公司、分公司视频会</w:t>
            </w:r>
            <w:r>
              <w:rPr>
                <w:spacing w:val="1"/>
              </w:rPr>
              <w:t xml:space="preserve"> </w:t>
            </w:r>
            <w:r>
              <w:rPr>
                <w:spacing w:val="-2"/>
              </w:rPr>
              <w:t>议设备连通。</w:t>
            </w:r>
          </w:p>
        </w:tc>
        <w:tc>
          <w:tcPr>
            <w:tcW w:w="855" w:type="dxa"/>
            <w:tcBorders>
              <w:right w:val="single" w:color="000000" w:sz="10" w:space="0"/>
            </w:tcBorders>
          </w:tcPr>
          <w:p>
            <w:pPr>
              <w:pStyle w:val="25"/>
              <w:spacing w:before="88"/>
              <w:ind w:left="126" w:right="94" w:hanging="2"/>
            </w:pPr>
            <w:r>
              <w:rPr>
                <w:spacing w:val="7"/>
              </w:rPr>
              <w:t>现场</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84" w:hRule="atLeast"/>
        </w:trPr>
        <w:tc>
          <w:tcPr>
            <w:tcW w:w="706" w:type="dxa"/>
            <w:tcBorders>
              <w:left w:val="single" w:color="000000" w:sz="10" w:space="0"/>
            </w:tcBorders>
            <w:shd w:val="clear" w:color="auto" w:fill="BFBFBF"/>
          </w:tcPr>
          <w:p>
            <w:pPr>
              <w:spacing w:line="266" w:lineRule="auto"/>
              <w:rPr>
                <w:rFonts w:ascii="Arial"/>
              </w:rPr>
            </w:pPr>
          </w:p>
          <w:p>
            <w:pPr>
              <w:spacing w:line="267" w:lineRule="auto"/>
              <w:rPr>
                <w:rFonts w:ascii="Arial"/>
              </w:rPr>
            </w:pPr>
          </w:p>
          <w:p>
            <w:pPr>
              <w:pStyle w:val="25"/>
              <w:spacing w:before="68" w:line="183" w:lineRule="auto"/>
              <w:ind w:left="253"/>
            </w:pPr>
            <w:r>
              <w:rPr>
                <w:spacing w:val="-6"/>
              </w:rPr>
              <w:t>10</w:t>
            </w:r>
          </w:p>
        </w:tc>
        <w:tc>
          <w:tcPr>
            <w:tcW w:w="1558" w:type="dxa"/>
          </w:tcPr>
          <w:p>
            <w:pPr>
              <w:spacing w:line="246" w:lineRule="auto"/>
              <w:rPr>
                <w:rFonts w:ascii="Arial"/>
              </w:rPr>
            </w:pPr>
          </w:p>
          <w:p>
            <w:pPr>
              <w:pStyle w:val="25"/>
              <w:spacing w:before="68" w:line="468" w:lineRule="exact"/>
              <w:ind w:left="145"/>
            </w:pPr>
            <w:r>
              <w:rPr>
                <w:spacing w:val="-2"/>
                <w:position w:val="19"/>
              </w:rPr>
              <w:t>生活区物业化</w:t>
            </w:r>
          </w:p>
          <w:p>
            <w:pPr>
              <w:pStyle w:val="25"/>
              <w:spacing w:line="220" w:lineRule="auto"/>
              <w:ind w:left="356"/>
            </w:pPr>
            <w:r>
              <w:rPr>
                <w:spacing w:val="-3"/>
              </w:rPr>
              <w:t>管理系统</w:t>
            </w:r>
          </w:p>
        </w:tc>
        <w:tc>
          <w:tcPr>
            <w:tcW w:w="1267" w:type="dxa"/>
          </w:tcPr>
          <w:p>
            <w:pPr>
              <w:spacing w:line="249" w:lineRule="auto"/>
              <w:rPr>
                <w:rFonts w:ascii="Arial"/>
              </w:rPr>
            </w:pPr>
          </w:p>
          <w:p>
            <w:pPr>
              <w:spacing w:line="250" w:lineRule="auto"/>
              <w:rPr>
                <w:rFonts w:ascii="Arial"/>
              </w:rPr>
            </w:pPr>
          </w:p>
          <w:p>
            <w:pPr>
              <w:pStyle w:val="25"/>
              <w:spacing w:before="68" w:line="221" w:lineRule="auto"/>
              <w:ind w:left="214"/>
            </w:pPr>
            <w:r>
              <w:rPr>
                <w:spacing w:val="-3"/>
              </w:rPr>
              <w:t>项目范围</w:t>
            </w:r>
          </w:p>
        </w:tc>
        <w:tc>
          <w:tcPr>
            <w:tcW w:w="4926" w:type="dxa"/>
          </w:tcPr>
          <w:p>
            <w:pPr>
              <w:pStyle w:val="25"/>
              <w:spacing w:before="90" w:line="260" w:lineRule="auto"/>
              <w:ind w:left="107" w:right="15" w:firstLine="2"/>
              <w:jc w:val="both"/>
            </w:pPr>
            <w:r>
              <w:rPr>
                <w:spacing w:val="3"/>
              </w:rPr>
              <w:t xml:space="preserve">生活区物业化管理包括多方面，如物业分专业管理 </w:t>
            </w:r>
            <w:r>
              <w:rPr>
                <w:spacing w:val="-11"/>
              </w:rPr>
              <w:t>（保安、保卫、炊事、维修等</w:t>
            </w:r>
            <w:r>
              <w:rPr>
                <w:spacing w:val="-9"/>
              </w:rPr>
              <w:t>），</w:t>
            </w:r>
            <w:r>
              <w:rPr>
                <w:spacing w:val="-11"/>
              </w:rPr>
              <w:t>入住系统分配</w:t>
            </w:r>
            <w:r>
              <w:rPr>
                <w:spacing w:val="-12"/>
              </w:rPr>
              <w:t>管理，</w:t>
            </w:r>
            <w:r>
              <w:t xml:space="preserve"> </w:t>
            </w:r>
            <w:r>
              <w:rPr>
                <w:spacing w:val="-6"/>
              </w:rPr>
              <w:t>场地一卡通，自助服务管理，</w:t>
            </w:r>
            <w:r>
              <w:rPr>
                <w:spacing w:val="-5"/>
              </w:rPr>
              <w:t xml:space="preserve"> </w:t>
            </w:r>
            <w:r>
              <w:rPr>
                <w:spacing w:val="-6"/>
              </w:rPr>
              <w:t>工会工作管理，理发、</w:t>
            </w:r>
            <w:r>
              <w:t xml:space="preserve"> </w:t>
            </w:r>
            <w:r>
              <w:rPr>
                <w:spacing w:val="-3"/>
              </w:rPr>
              <w:t>医务、休闲管理等。</w:t>
            </w:r>
          </w:p>
        </w:tc>
        <w:tc>
          <w:tcPr>
            <w:tcW w:w="855" w:type="dxa"/>
            <w:tcBorders>
              <w:right w:val="single" w:color="000000" w:sz="10" w:space="0"/>
            </w:tcBorders>
          </w:tcPr>
          <w:p>
            <w:pPr>
              <w:spacing w:line="340" w:lineRule="auto"/>
              <w:rPr>
                <w:rFonts w:ascii="Arial"/>
              </w:rPr>
            </w:pPr>
          </w:p>
          <w:p>
            <w:pPr>
              <w:pStyle w:val="25"/>
              <w:spacing w:before="68" w:line="251" w:lineRule="auto"/>
              <w:ind w:left="126" w:right="94" w:hanging="2"/>
            </w:pPr>
            <w:r>
              <w:rPr>
                <w:spacing w:val="7"/>
              </w:rPr>
              <w:t>现场</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06" w:hRule="atLeast"/>
        </w:trPr>
        <w:tc>
          <w:tcPr>
            <w:tcW w:w="706" w:type="dxa"/>
            <w:tcBorders>
              <w:left w:val="single" w:color="000000" w:sz="10" w:space="0"/>
            </w:tcBorders>
            <w:shd w:val="clear" w:color="auto" w:fill="BFBFBF"/>
          </w:tcPr>
          <w:p>
            <w:pPr>
              <w:spacing w:line="298" w:lineRule="auto"/>
              <w:rPr>
                <w:rFonts w:ascii="Arial"/>
              </w:rPr>
            </w:pPr>
          </w:p>
          <w:p>
            <w:pPr>
              <w:spacing w:line="299" w:lineRule="auto"/>
              <w:rPr>
                <w:rFonts w:ascii="Arial"/>
              </w:rPr>
            </w:pPr>
          </w:p>
          <w:p>
            <w:pPr>
              <w:pStyle w:val="25"/>
              <w:spacing w:before="68" w:line="183" w:lineRule="auto"/>
              <w:ind w:left="253"/>
            </w:pPr>
            <w:r>
              <w:rPr>
                <w:spacing w:val="-6"/>
              </w:rPr>
              <w:t>11</w:t>
            </w:r>
          </w:p>
        </w:tc>
        <w:tc>
          <w:tcPr>
            <w:tcW w:w="1558" w:type="dxa"/>
          </w:tcPr>
          <w:p>
            <w:pPr>
              <w:pStyle w:val="25"/>
              <w:spacing w:before="145" w:line="221" w:lineRule="auto"/>
              <w:ind w:left="143"/>
            </w:pPr>
            <w:r>
              <w:rPr>
                <w:spacing w:val="-1"/>
              </w:rPr>
              <w:t>环境监测系统</w:t>
            </w:r>
          </w:p>
          <w:p>
            <w:pPr>
              <w:pStyle w:val="25"/>
              <w:spacing w:before="216" w:line="219" w:lineRule="auto"/>
              <w:ind w:left="197"/>
            </w:pPr>
            <w:r>
              <w:rPr>
                <w:spacing w:val="-2"/>
              </w:rPr>
              <w:t>+自动喷淋系</w:t>
            </w:r>
          </w:p>
          <w:p>
            <w:pPr>
              <w:pStyle w:val="25"/>
              <w:spacing w:before="218" w:line="222" w:lineRule="auto"/>
              <w:ind w:left="672"/>
            </w:pPr>
            <w:r>
              <w:t>统</w:t>
            </w:r>
          </w:p>
        </w:tc>
        <w:tc>
          <w:tcPr>
            <w:tcW w:w="1267" w:type="dxa"/>
          </w:tcPr>
          <w:p>
            <w:pPr>
              <w:spacing w:line="281" w:lineRule="auto"/>
              <w:rPr>
                <w:rFonts w:ascii="Arial"/>
              </w:rPr>
            </w:pPr>
          </w:p>
          <w:p>
            <w:pPr>
              <w:spacing w:line="282" w:lineRule="auto"/>
              <w:rPr>
                <w:rFonts w:ascii="Arial"/>
              </w:rPr>
            </w:pPr>
          </w:p>
          <w:p>
            <w:pPr>
              <w:pStyle w:val="25"/>
              <w:spacing w:before="68" w:line="221" w:lineRule="auto"/>
              <w:ind w:left="210"/>
            </w:pPr>
            <w:r>
              <w:rPr>
                <w:spacing w:val="-1"/>
              </w:rPr>
              <w:t>施工现场</w:t>
            </w:r>
          </w:p>
        </w:tc>
        <w:tc>
          <w:tcPr>
            <w:tcW w:w="4926" w:type="dxa"/>
          </w:tcPr>
          <w:p>
            <w:pPr>
              <w:pStyle w:val="25"/>
              <w:spacing w:before="153" w:line="266" w:lineRule="auto"/>
              <w:ind w:left="107" w:right="87" w:firstLine="5"/>
              <w:jc w:val="both"/>
            </w:pPr>
            <w:r>
              <w:rPr>
                <w:spacing w:val="4"/>
              </w:rPr>
              <w:t>实现硬件终端实时、自动监控数据，数据通网</w:t>
            </w:r>
            <w:r>
              <w:rPr>
                <w:spacing w:val="3"/>
              </w:rPr>
              <w:t>络传</w:t>
            </w:r>
            <w:r>
              <w:t xml:space="preserve"> </w:t>
            </w:r>
            <w:r>
              <w:rPr>
                <w:spacing w:val="-7"/>
              </w:rPr>
              <w:t>输，</w:t>
            </w:r>
            <w:r>
              <w:rPr>
                <w:spacing w:val="-51"/>
              </w:rPr>
              <w:t xml:space="preserve"> </w:t>
            </w:r>
            <w:r>
              <w:rPr>
                <w:spacing w:val="-7"/>
              </w:rPr>
              <w:t>可以在电脑、手机、平板等多个终端访问</w:t>
            </w:r>
            <w:r>
              <w:rPr>
                <w:spacing w:val="-8"/>
              </w:rPr>
              <w:t>。利用</w:t>
            </w:r>
            <w:r>
              <w:t xml:space="preserve"> </w:t>
            </w:r>
            <w:r>
              <w:rPr>
                <w:spacing w:val="4"/>
              </w:rPr>
              <w:t xml:space="preserve">配套相关降尘设备即可构成完整的自动降尘控制喷 </w:t>
            </w:r>
            <w:r>
              <w:rPr>
                <w:spacing w:val="-1"/>
              </w:rPr>
              <w:t>淋系统。</w:t>
            </w:r>
          </w:p>
        </w:tc>
        <w:tc>
          <w:tcPr>
            <w:tcW w:w="855" w:type="dxa"/>
            <w:tcBorders>
              <w:right w:val="single" w:color="000000" w:sz="10" w:space="0"/>
            </w:tcBorders>
          </w:tcPr>
          <w:p>
            <w:pPr>
              <w:spacing w:line="402" w:lineRule="auto"/>
              <w:rPr>
                <w:rFonts w:ascii="Arial"/>
              </w:rPr>
            </w:pPr>
          </w:p>
          <w:p>
            <w:pPr>
              <w:pStyle w:val="25"/>
              <w:spacing w:before="68" w:line="251" w:lineRule="auto"/>
              <w:ind w:left="126" w:right="94" w:hanging="2"/>
            </w:pPr>
            <w:r>
              <w:rPr>
                <w:spacing w:val="7"/>
              </w:rPr>
              <w:t>现场</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82" w:hRule="atLeast"/>
        </w:trPr>
        <w:tc>
          <w:tcPr>
            <w:tcW w:w="706" w:type="dxa"/>
            <w:tcBorders>
              <w:left w:val="single" w:color="000000" w:sz="10" w:space="0"/>
            </w:tcBorders>
            <w:shd w:val="clear" w:color="auto" w:fill="BFBFBF"/>
          </w:tcPr>
          <w:p>
            <w:pPr>
              <w:spacing w:line="268" w:lineRule="auto"/>
              <w:rPr>
                <w:rFonts w:ascii="Arial"/>
              </w:rPr>
            </w:pPr>
          </w:p>
          <w:p>
            <w:pPr>
              <w:spacing w:line="269" w:lineRule="auto"/>
              <w:rPr>
                <w:rFonts w:ascii="Arial"/>
              </w:rPr>
            </w:pPr>
          </w:p>
          <w:p>
            <w:pPr>
              <w:pStyle w:val="25"/>
              <w:spacing w:before="68" w:line="183" w:lineRule="auto"/>
              <w:ind w:left="253"/>
            </w:pPr>
            <w:r>
              <w:rPr>
                <w:spacing w:val="-6"/>
              </w:rPr>
              <w:t>12</w:t>
            </w:r>
          </w:p>
        </w:tc>
        <w:tc>
          <w:tcPr>
            <w:tcW w:w="1558" w:type="dxa"/>
          </w:tcPr>
          <w:p>
            <w:pPr>
              <w:spacing w:line="250" w:lineRule="auto"/>
              <w:rPr>
                <w:rFonts w:ascii="Arial"/>
              </w:rPr>
            </w:pPr>
          </w:p>
          <w:p>
            <w:pPr>
              <w:pStyle w:val="25"/>
              <w:spacing w:before="68" w:line="469" w:lineRule="exact"/>
              <w:ind w:left="247"/>
            </w:pPr>
            <w:r>
              <w:rPr>
                <w:spacing w:val="-1"/>
                <w:position w:val="19"/>
              </w:rPr>
              <w:t>配电箱监测</w:t>
            </w:r>
          </w:p>
          <w:p>
            <w:pPr>
              <w:pStyle w:val="25"/>
              <w:spacing w:line="222" w:lineRule="auto"/>
              <w:ind w:left="568"/>
            </w:pPr>
            <w:r>
              <w:rPr>
                <w:spacing w:val="-3"/>
              </w:rPr>
              <w:t>系统</w:t>
            </w:r>
          </w:p>
        </w:tc>
        <w:tc>
          <w:tcPr>
            <w:tcW w:w="1267" w:type="dxa"/>
          </w:tcPr>
          <w:p>
            <w:pPr>
              <w:spacing w:line="251" w:lineRule="auto"/>
              <w:rPr>
                <w:rFonts w:ascii="Arial"/>
              </w:rPr>
            </w:pPr>
          </w:p>
          <w:p>
            <w:pPr>
              <w:spacing w:line="252" w:lineRule="auto"/>
              <w:rPr>
                <w:rFonts w:ascii="Arial"/>
              </w:rPr>
            </w:pPr>
          </w:p>
          <w:p>
            <w:pPr>
              <w:pStyle w:val="25"/>
              <w:spacing w:before="69" w:line="221" w:lineRule="auto"/>
              <w:ind w:left="210"/>
            </w:pPr>
            <w:r>
              <w:rPr>
                <w:spacing w:val="-1"/>
              </w:rPr>
              <w:t>施工现场</w:t>
            </w:r>
          </w:p>
        </w:tc>
        <w:tc>
          <w:tcPr>
            <w:tcW w:w="4926" w:type="dxa"/>
          </w:tcPr>
          <w:p>
            <w:pPr>
              <w:pStyle w:val="25"/>
              <w:spacing w:before="95" w:line="250" w:lineRule="auto"/>
              <w:ind w:left="109" w:right="29" w:firstLine="3"/>
            </w:pPr>
            <w:r>
              <w:rPr>
                <w:spacing w:val="-3"/>
              </w:rPr>
              <w:t>实时监测电箱的漏电值、环境温度、三相电缆温度，</w:t>
            </w:r>
            <w:r>
              <w:rPr>
                <w:spacing w:val="10"/>
              </w:rPr>
              <w:t xml:space="preserve"> </w:t>
            </w:r>
            <w:r>
              <w:rPr>
                <w:spacing w:val="-4"/>
              </w:rPr>
              <w:t>数据自动上传至平台，异常/超标情况报警。</w:t>
            </w:r>
            <w:r>
              <w:rPr>
                <w:spacing w:val="82"/>
              </w:rPr>
              <w:t xml:space="preserve"> </w:t>
            </w:r>
            <w:r>
              <w:rPr>
                <w:spacing w:val="-4"/>
              </w:rPr>
              <w:t>漏</w:t>
            </w:r>
          </w:p>
          <w:p>
            <w:pPr>
              <w:pStyle w:val="25"/>
              <w:spacing w:before="71" w:line="236" w:lineRule="auto"/>
              <w:ind w:left="108" w:right="90" w:firstLine="24"/>
            </w:pPr>
            <w:r>
              <w:rPr>
                <w:spacing w:val="-10"/>
              </w:rPr>
              <w:t>电、电缆温度、环境温度监测； 办公区、生</w:t>
            </w:r>
            <w:r>
              <w:rPr>
                <w:spacing w:val="-11"/>
              </w:rPr>
              <w:t>活区、材</w:t>
            </w:r>
            <w:r>
              <w:t xml:space="preserve"> </w:t>
            </w:r>
            <w:r>
              <w:rPr>
                <w:spacing w:val="-2"/>
              </w:rPr>
              <w:t>料堆放区二级电箱均需要配备。</w:t>
            </w:r>
          </w:p>
        </w:tc>
        <w:tc>
          <w:tcPr>
            <w:tcW w:w="855" w:type="dxa"/>
            <w:tcBorders>
              <w:right w:val="single" w:color="000000" w:sz="10" w:space="0"/>
            </w:tcBorders>
          </w:tcPr>
          <w:p>
            <w:pPr>
              <w:spacing w:line="342" w:lineRule="auto"/>
              <w:rPr>
                <w:rFonts w:ascii="Arial"/>
              </w:rPr>
            </w:pPr>
          </w:p>
          <w:p>
            <w:pPr>
              <w:pStyle w:val="25"/>
              <w:spacing w:before="69" w:line="252" w:lineRule="auto"/>
              <w:ind w:left="126" w:right="94"/>
            </w:pPr>
            <w:r>
              <w:rPr>
                <w:spacing w:val="5"/>
              </w:rPr>
              <w:t>安全</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68" w:hRule="atLeast"/>
        </w:trPr>
        <w:tc>
          <w:tcPr>
            <w:tcW w:w="706" w:type="dxa"/>
            <w:tcBorders>
              <w:left w:val="single" w:color="000000" w:sz="10" w:space="0"/>
              <w:bottom w:val="nil"/>
            </w:tcBorders>
            <w:shd w:val="clear" w:color="auto" w:fill="BFBFBF"/>
          </w:tcPr>
          <w:p>
            <w:pPr>
              <w:pStyle w:val="25"/>
              <w:spacing w:before="291" w:line="183" w:lineRule="auto"/>
              <w:ind w:left="253"/>
            </w:pPr>
            <w:r>
              <w:rPr>
                <w:spacing w:val="-6"/>
              </w:rPr>
              <w:t>13</w:t>
            </w:r>
          </w:p>
        </w:tc>
        <w:tc>
          <w:tcPr>
            <w:tcW w:w="1558" w:type="dxa"/>
            <w:tcBorders>
              <w:bottom w:val="single" w:color="000000" w:sz="10" w:space="0"/>
            </w:tcBorders>
          </w:tcPr>
          <w:p>
            <w:pPr>
              <w:pStyle w:val="25"/>
              <w:spacing w:before="238" w:line="222" w:lineRule="auto"/>
              <w:ind w:left="143"/>
            </w:pPr>
            <w:r>
              <w:rPr>
                <w:spacing w:val="-1"/>
              </w:rPr>
              <w:t>塔吊安全监测</w:t>
            </w:r>
          </w:p>
        </w:tc>
        <w:tc>
          <w:tcPr>
            <w:tcW w:w="1267" w:type="dxa"/>
            <w:tcBorders>
              <w:bottom w:val="single" w:color="000000" w:sz="10" w:space="0"/>
            </w:tcBorders>
          </w:tcPr>
          <w:p>
            <w:pPr>
              <w:pStyle w:val="25"/>
              <w:spacing w:before="257" w:line="221" w:lineRule="auto"/>
              <w:ind w:left="210"/>
            </w:pPr>
            <w:r>
              <w:rPr>
                <w:spacing w:val="-1"/>
              </w:rPr>
              <w:t>施工现场</w:t>
            </w:r>
          </w:p>
        </w:tc>
        <w:tc>
          <w:tcPr>
            <w:tcW w:w="4926" w:type="dxa"/>
            <w:tcBorders>
              <w:bottom w:val="single" w:color="000000" w:sz="10" w:space="0"/>
            </w:tcBorders>
          </w:tcPr>
          <w:p>
            <w:pPr>
              <w:pStyle w:val="25"/>
              <w:spacing w:before="98" w:line="246" w:lineRule="auto"/>
              <w:ind w:left="108" w:right="13" w:firstLine="5"/>
            </w:pPr>
            <w:r>
              <w:rPr>
                <w:spacing w:val="-11"/>
              </w:rPr>
              <w:t>实时监测塔吊的大臂回转角、幅度、载重数据、高度、</w:t>
            </w:r>
            <w:r>
              <w:rPr>
                <w:spacing w:val="-9"/>
              </w:rPr>
              <w:t>倾角、风速等，</w:t>
            </w:r>
            <w:r>
              <w:rPr>
                <w:spacing w:val="-54"/>
              </w:rPr>
              <w:t xml:space="preserve"> </w:t>
            </w:r>
            <w:r>
              <w:rPr>
                <w:spacing w:val="-9"/>
              </w:rPr>
              <w:t>对司机进行人脸识别，</w:t>
            </w:r>
            <w:r>
              <w:rPr>
                <w:spacing w:val="-60"/>
              </w:rPr>
              <w:t xml:space="preserve"> </w:t>
            </w:r>
            <w:r>
              <w:rPr>
                <w:spacing w:val="-9"/>
              </w:rPr>
              <w:t>对塔机间碰撞</w:t>
            </w:r>
            <w:r>
              <w:rPr>
                <w:spacing w:val="-3"/>
              </w:rPr>
              <w:t>提供实时预警，并在可能碰撞时自动进行制动控制，</w:t>
            </w:r>
            <w:r>
              <w:rPr>
                <w:spacing w:val="-5"/>
              </w:rPr>
              <w:t>包括：高度、风速、吊重、回转、变幅监测，操作司</w:t>
            </w:r>
            <w:r>
              <w:rPr>
                <w:spacing w:val="4"/>
              </w:rPr>
              <w:t xml:space="preserve"> </w:t>
            </w:r>
            <w:r>
              <w:rPr>
                <w:spacing w:val="-1"/>
              </w:rPr>
              <w:t>机人脸识别。</w:t>
            </w:r>
          </w:p>
        </w:tc>
        <w:tc>
          <w:tcPr>
            <w:tcW w:w="855" w:type="dxa"/>
            <w:tcBorders>
              <w:bottom w:val="single" w:color="000000" w:sz="10" w:space="0"/>
              <w:right w:val="single" w:color="000000" w:sz="10" w:space="0"/>
            </w:tcBorders>
          </w:tcPr>
          <w:p>
            <w:pPr>
              <w:pStyle w:val="25"/>
              <w:spacing w:before="98" w:line="246" w:lineRule="auto"/>
              <w:ind w:left="126" w:right="94"/>
            </w:pPr>
            <w:r>
              <w:rPr>
                <w:spacing w:val="5"/>
              </w:rPr>
              <w:t>安全</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5" w:hRule="atLeast"/>
        </w:trPr>
        <w:tc>
          <w:tcPr>
            <w:tcW w:w="706" w:type="dxa"/>
            <w:tcBorders>
              <w:left w:val="single" w:color="000000" w:sz="10" w:space="0"/>
            </w:tcBorders>
            <w:shd w:val="clear" w:color="auto" w:fill="BFBFBF"/>
          </w:tcPr>
          <w:p>
            <w:pPr>
              <w:spacing w:line="361" w:lineRule="auto"/>
              <w:rPr>
                <w:rFonts w:ascii="Arial"/>
              </w:rPr>
            </w:pPr>
          </w:p>
          <w:p>
            <w:pPr>
              <w:pStyle w:val="25"/>
              <w:spacing w:before="68" w:line="183" w:lineRule="auto"/>
              <w:ind w:left="253"/>
            </w:pPr>
            <w:r>
              <w:rPr>
                <w:spacing w:val="-6"/>
              </w:rPr>
              <w:t>14</w:t>
            </w:r>
          </w:p>
        </w:tc>
        <w:tc>
          <w:tcPr>
            <w:tcW w:w="1558" w:type="dxa"/>
          </w:tcPr>
          <w:p>
            <w:pPr>
              <w:pStyle w:val="25"/>
              <w:spacing w:before="142" w:line="468" w:lineRule="exact"/>
              <w:ind w:left="143"/>
            </w:pPr>
            <w:r>
              <w:rPr>
                <w:spacing w:val="-1"/>
                <w:position w:val="19"/>
              </w:rPr>
              <w:t>塔吊驾驶室监</w:t>
            </w:r>
          </w:p>
          <w:p>
            <w:pPr>
              <w:pStyle w:val="25"/>
              <w:spacing w:line="221" w:lineRule="auto"/>
              <w:ind w:left="666"/>
            </w:pPr>
            <w:r>
              <w:t>控</w:t>
            </w:r>
          </w:p>
        </w:tc>
        <w:tc>
          <w:tcPr>
            <w:tcW w:w="1267" w:type="dxa"/>
          </w:tcPr>
          <w:p>
            <w:pPr>
              <w:spacing w:line="327" w:lineRule="auto"/>
              <w:rPr>
                <w:rFonts w:ascii="Arial"/>
              </w:rPr>
            </w:pPr>
          </w:p>
          <w:p>
            <w:pPr>
              <w:pStyle w:val="25"/>
              <w:spacing w:before="68" w:line="221" w:lineRule="auto"/>
              <w:ind w:left="210"/>
            </w:pPr>
            <w:r>
              <w:rPr>
                <w:spacing w:val="-1"/>
              </w:rPr>
              <w:t>施工现场</w:t>
            </w:r>
          </w:p>
        </w:tc>
        <w:tc>
          <w:tcPr>
            <w:tcW w:w="4926" w:type="dxa"/>
          </w:tcPr>
          <w:p>
            <w:pPr>
              <w:pStyle w:val="25"/>
              <w:spacing w:before="77" w:line="257" w:lineRule="auto"/>
              <w:ind w:left="107" w:right="94"/>
              <w:jc w:val="both"/>
            </w:pPr>
            <w:r>
              <w:rPr>
                <w:spacing w:val="4"/>
              </w:rPr>
              <w:t>通过在塔吊等大型设备操作室内安装半球机，通过</w:t>
            </w:r>
            <w:r>
              <w:rPr>
                <w:spacing w:val="3"/>
              </w:rPr>
              <w:t xml:space="preserve"> </w:t>
            </w:r>
            <w:r>
              <w:rPr>
                <w:spacing w:val="4"/>
              </w:rPr>
              <w:t xml:space="preserve">对特种作业人员工作状态的实时监控，以减少疲劳 </w:t>
            </w:r>
            <w:r>
              <w:rPr>
                <w:spacing w:val="-2"/>
              </w:rPr>
              <w:t>驾驶和违规操作的风险。</w:t>
            </w:r>
          </w:p>
        </w:tc>
        <w:tc>
          <w:tcPr>
            <w:tcW w:w="855" w:type="dxa"/>
            <w:tcBorders>
              <w:right w:val="single" w:color="000000" w:sz="10" w:space="0"/>
            </w:tcBorders>
          </w:tcPr>
          <w:p>
            <w:pPr>
              <w:pStyle w:val="25"/>
              <w:spacing w:before="235" w:line="252" w:lineRule="auto"/>
              <w:ind w:left="126" w:right="94"/>
            </w:pPr>
            <w:r>
              <w:rPr>
                <w:spacing w:val="5"/>
              </w:rPr>
              <w:t>安全</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00" w:hRule="atLeast"/>
        </w:trPr>
        <w:tc>
          <w:tcPr>
            <w:tcW w:w="706" w:type="dxa"/>
            <w:tcBorders>
              <w:left w:val="single" w:color="000000" w:sz="10" w:space="0"/>
            </w:tcBorders>
            <w:shd w:val="clear" w:color="auto" w:fill="BFBFBF"/>
          </w:tcPr>
          <w:p>
            <w:pPr>
              <w:spacing w:line="339" w:lineRule="auto"/>
              <w:rPr>
                <w:rFonts w:ascii="Arial"/>
              </w:rPr>
            </w:pPr>
          </w:p>
          <w:p>
            <w:pPr>
              <w:spacing w:line="339" w:lineRule="auto"/>
              <w:rPr>
                <w:rFonts w:ascii="Arial"/>
              </w:rPr>
            </w:pPr>
          </w:p>
          <w:p>
            <w:pPr>
              <w:pStyle w:val="25"/>
              <w:spacing w:before="68" w:line="183" w:lineRule="auto"/>
              <w:ind w:left="253"/>
            </w:pPr>
            <w:r>
              <w:rPr>
                <w:spacing w:val="-6"/>
              </w:rPr>
              <w:t>15</w:t>
            </w:r>
          </w:p>
        </w:tc>
        <w:tc>
          <w:tcPr>
            <w:tcW w:w="1558" w:type="dxa"/>
          </w:tcPr>
          <w:p>
            <w:pPr>
              <w:spacing w:line="312" w:lineRule="auto"/>
              <w:rPr>
                <w:rFonts w:ascii="Arial"/>
              </w:rPr>
            </w:pPr>
          </w:p>
          <w:p>
            <w:pPr>
              <w:spacing w:line="313" w:lineRule="auto"/>
              <w:rPr>
                <w:rFonts w:ascii="Arial"/>
              </w:rPr>
            </w:pPr>
          </w:p>
          <w:p>
            <w:pPr>
              <w:pStyle w:val="25"/>
              <w:spacing w:before="68" w:line="221" w:lineRule="auto"/>
              <w:ind w:left="143"/>
            </w:pPr>
            <w:r>
              <w:rPr>
                <w:spacing w:val="-1"/>
              </w:rPr>
              <w:t>施工电梯监控</w:t>
            </w:r>
          </w:p>
        </w:tc>
        <w:tc>
          <w:tcPr>
            <w:tcW w:w="1267" w:type="dxa"/>
          </w:tcPr>
          <w:p>
            <w:pPr>
              <w:spacing w:line="322" w:lineRule="auto"/>
              <w:rPr>
                <w:rFonts w:ascii="Arial"/>
              </w:rPr>
            </w:pPr>
          </w:p>
          <w:p>
            <w:pPr>
              <w:spacing w:line="322" w:lineRule="auto"/>
              <w:rPr>
                <w:rFonts w:ascii="Arial"/>
              </w:rPr>
            </w:pPr>
          </w:p>
          <w:p>
            <w:pPr>
              <w:pStyle w:val="25"/>
              <w:spacing w:before="68" w:line="221" w:lineRule="auto"/>
              <w:ind w:left="210"/>
            </w:pPr>
            <w:r>
              <w:rPr>
                <w:spacing w:val="-1"/>
              </w:rPr>
              <w:t>施工现场</w:t>
            </w:r>
          </w:p>
        </w:tc>
        <w:tc>
          <w:tcPr>
            <w:tcW w:w="4926" w:type="dxa"/>
          </w:tcPr>
          <w:p>
            <w:pPr>
              <w:pStyle w:val="25"/>
              <w:spacing w:before="77" w:line="266" w:lineRule="auto"/>
              <w:ind w:left="107" w:right="12"/>
              <w:jc w:val="both"/>
            </w:pPr>
            <w:r>
              <w:rPr>
                <w:spacing w:val="4"/>
              </w:rPr>
              <w:t>通过智能传感器及智能摄像头，对施工电梯运</w:t>
            </w:r>
            <w:r>
              <w:rPr>
                <w:spacing w:val="3"/>
              </w:rPr>
              <w:t xml:space="preserve">行情 </w:t>
            </w:r>
            <w:r>
              <w:rPr>
                <w:spacing w:val="-2"/>
              </w:rPr>
              <w:t>况及人员情况进行数据监控（实时监控载重、高度、</w:t>
            </w:r>
            <w:r>
              <w:rPr>
                <w:spacing w:val="10"/>
              </w:rPr>
              <w:t xml:space="preserve"> </w:t>
            </w:r>
            <w:r>
              <w:rPr>
                <w:spacing w:val="-5"/>
              </w:rPr>
              <w:t xml:space="preserve">速度、楼层）。操作司机人脸识别，每个梯笼一套安 </w:t>
            </w:r>
            <w:r>
              <w:rPr>
                <w:spacing w:val="4"/>
              </w:rPr>
              <w:t>全监测系统。杜绝非备案人员危险操作施工电</w:t>
            </w:r>
            <w:r>
              <w:rPr>
                <w:spacing w:val="3"/>
              </w:rPr>
              <w:t xml:space="preserve">梯造 </w:t>
            </w:r>
            <w:r>
              <w:rPr>
                <w:spacing w:val="-1"/>
              </w:rPr>
              <w:t>成隐患。</w:t>
            </w:r>
          </w:p>
        </w:tc>
        <w:tc>
          <w:tcPr>
            <w:tcW w:w="855" w:type="dxa"/>
            <w:tcBorders>
              <w:right w:val="single" w:color="000000" w:sz="10" w:space="0"/>
            </w:tcBorders>
          </w:tcPr>
          <w:p>
            <w:pPr>
              <w:spacing w:line="243" w:lineRule="auto"/>
              <w:rPr>
                <w:rFonts w:ascii="Arial"/>
              </w:rPr>
            </w:pPr>
          </w:p>
          <w:p>
            <w:pPr>
              <w:spacing w:line="243" w:lineRule="auto"/>
              <w:rPr>
                <w:rFonts w:ascii="Arial"/>
              </w:rPr>
            </w:pPr>
          </w:p>
          <w:p>
            <w:pPr>
              <w:pStyle w:val="25"/>
              <w:spacing w:before="68" w:line="251" w:lineRule="auto"/>
              <w:ind w:left="126" w:right="94"/>
            </w:pPr>
            <w:r>
              <w:rPr>
                <w:spacing w:val="5"/>
              </w:rPr>
              <w:t>安全</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9" w:hRule="atLeast"/>
        </w:trPr>
        <w:tc>
          <w:tcPr>
            <w:tcW w:w="706" w:type="dxa"/>
            <w:tcBorders>
              <w:left w:val="single" w:color="000000" w:sz="10" w:space="0"/>
            </w:tcBorders>
            <w:shd w:val="clear" w:color="auto" w:fill="BFBFBF"/>
          </w:tcPr>
          <w:p>
            <w:pPr>
              <w:spacing w:line="356" w:lineRule="auto"/>
              <w:rPr>
                <w:rFonts w:ascii="Arial"/>
              </w:rPr>
            </w:pPr>
          </w:p>
          <w:p>
            <w:pPr>
              <w:pStyle w:val="25"/>
              <w:spacing w:before="68" w:line="183" w:lineRule="auto"/>
              <w:ind w:left="253"/>
            </w:pPr>
            <w:r>
              <w:rPr>
                <w:spacing w:val="-6"/>
              </w:rPr>
              <w:t>1</w:t>
            </w:r>
            <w:r>
              <w:rPr>
                <w:rFonts w:hint="eastAsia"/>
                <w:spacing w:val="-6"/>
              </w:rPr>
              <w:t>6</w:t>
            </w:r>
          </w:p>
        </w:tc>
        <w:tc>
          <w:tcPr>
            <w:tcW w:w="1558" w:type="dxa"/>
          </w:tcPr>
          <w:p>
            <w:pPr>
              <w:pStyle w:val="25"/>
              <w:spacing w:before="135" w:line="468" w:lineRule="exact"/>
              <w:ind w:left="247"/>
            </w:pPr>
            <w:r>
              <w:rPr>
                <w:spacing w:val="-2"/>
                <w:position w:val="19"/>
              </w:rPr>
              <w:t>标养室监控</w:t>
            </w:r>
          </w:p>
          <w:p>
            <w:pPr>
              <w:pStyle w:val="25"/>
              <w:spacing w:line="222" w:lineRule="auto"/>
              <w:ind w:left="568"/>
            </w:pPr>
            <w:r>
              <w:rPr>
                <w:spacing w:val="-3"/>
              </w:rPr>
              <w:t>系统</w:t>
            </w:r>
          </w:p>
        </w:tc>
        <w:tc>
          <w:tcPr>
            <w:tcW w:w="1267" w:type="dxa"/>
          </w:tcPr>
          <w:p>
            <w:pPr>
              <w:spacing w:line="322" w:lineRule="auto"/>
              <w:rPr>
                <w:rFonts w:ascii="Arial"/>
              </w:rPr>
            </w:pPr>
          </w:p>
          <w:p>
            <w:pPr>
              <w:pStyle w:val="25"/>
              <w:spacing w:before="68" w:line="221" w:lineRule="auto"/>
              <w:ind w:left="210"/>
            </w:pPr>
            <w:r>
              <w:rPr>
                <w:spacing w:val="-1"/>
              </w:rPr>
              <w:t>施工现场</w:t>
            </w:r>
          </w:p>
        </w:tc>
        <w:tc>
          <w:tcPr>
            <w:tcW w:w="4926" w:type="dxa"/>
          </w:tcPr>
          <w:p>
            <w:pPr>
              <w:pStyle w:val="25"/>
              <w:spacing w:before="230" w:line="251" w:lineRule="auto"/>
              <w:ind w:left="111" w:right="92" w:firstLine="1"/>
            </w:pPr>
            <w:r>
              <w:rPr>
                <w:spacing w:val="14"/>
              </w:rPr>
              <w:t>实现了现场试块养护环境的实时监测以及超限报</w:t>
            </w:r>
            <w:r>
              <w:rPr>
                <w:spacing w:val="4"/>
              </w:rPr>
              <w:t xml:space="preserve"> </w:t>
            </w:r>
            <w:r>
              <w:rPr>
                <w:spacing w:val="-1"/>
              </w:rPr>
              <w:t>警、自动生成养护记录、试块到期提醒等功能。</w:t>
            </w:r>
          </w:p>
        </w:tc>
        <w:tc>
          <w:tcPr>
            <w:tcW w:w="855" w:type="dxa"/>
            <w:tcBorders>
              <w:right w:val="single" w:color="000000" w:sz="10" w:space="0"/>
            </w:tcBorders>
          </w:tcPr>
          <w:p>
            <w:pPr>
              <w:pStyle w:val="25"/>
              <w:spacing w:before="230" w:line="251" w:lineRule="auto"/>
              <w:ind w:left="126" w:right="94" w:hanging="3"/>
            </w:pPr>
            <w:r>
              <w:rPr>
                <w:spacing w:val="7"/>
              </w:rPr>
              <w:t>质量</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6" w:hRule="atLeast"/>
        </w:trPr>
        <w:tc>
          <w:tcPr>
            <w:tcW w:w="706" w:type="dxa"/>
            <w:tcBorders>
              <w:left w:val="single" w:color="000000" w:sz="10" w:space="0"/>
            </w:tcBorders>
            <w:shd w:val="clear" w:color="auto" w:fill="BFBFBF"/>
          </w:tcPr>
          <w:p>
            <w:pPr>
              <w:spacing w:line="375" w:lineRule="auto"/>
              <w:rPr>
                <w:rFonts w:ascii="Arial"/>
              </w:rPr>
            </w:pPr>
          </w:p>
          <w:p>
            <w:pPr>
              <w:pStyle w:val="25"/>
              <w:spacing w:before="69" w:line="182" w:lineRule="auto"/>
              <w:ind w:left="240"/>
            </w:pPr>
            <w:r>
              <w:rPr>
                <w:rFonts w:hint="eastAsia"/>
                <w:spacing w:val="-3"/>
              </w:rPr>
              <w:t>17</w:t>
            </w:r>
          </w:p>
        </w:tc>
        <w:tc>
          <w:tcPr>
            <w:tcW w:w="1558" w:type="dxa"/>
          </w:tcPr>
          <w:p>
            <w:pPr>
              <w:spacing w:line="318" w:lineRule="auto"/>
              <w:rPr>
                <w:rFonts w:ascii="Arial"/>
              </w:rPr>
            </w:pPr>
          </w:p>
          <w:p>
            <w:pPr>
              <w:pStyle w:val="25"/>
              <w:spacing w:before="68" w:line="221" w:lineRule="auto"/>
              <w:ind w:left="144"/>
            </w:pPr>
            <w:r>
              <w:rPr>
                <w:spacing w:val="-2"/>
              </w:rPr>
              <w:t>移动巡检系统</w:t>
            </w:r>
          </w:p>
        </w:tc>
        <w:tc>
          <w:tcPr>
            <w:tcW w:w="1267" w:type="dxa"/>
          </w:tcPr>
          <w:p>
            <w:pPr>
              <w:spacing w:line="340" w:lineRule="auto"/>
              <w:rPr>
                <w:rFonts w:ascii="Arial"/>
              </w:rPr>
            </w:pPr>
          </w:p>
          <w:p>
            <w:pPr>
              <w:pStyle w:val="25"/>
              <w:spacing w:before="69" w:line="221" w:lineRule="auto"/>
              <w:ind w:left="210"/>
            </w:pPr>
            <w:r>
              <w:rPr>
                <w:spacing w:val="-1"/>
              </w:rPr>
              <w:t>施工现场</w:t>
            </w:r>
          </w:p>
        </w:tc>
        <w:tc>
          <w:tcPr>
            <w:tcW w:w="4926" w:type="dxa"/>
          </w:tcPr>
          <w:p>
            <w:pPr>
              <w:pStyle w:val="25"/>
              <w:spacing w:before="92" w:line="253" w:lineRule="auto"/>
              <w:ind w:left="111" w:right="87" w:hanging="3"/>
              <w:jc w:val="both"/>
            </w:pPr>
            <w:r>
              <w:rPr>
                <w:spacing w:val="-5"/>
              </w:rPr>
              <w:t>通过平台设置好对应的巡更路线，生成二维码，把二</w:t>
            </w:r>
            <w:r>
              <w:rPr>
                <w:spacing w:val="4"/>
              </w:rPr>
              <w:t xml:space="preserve"> 维码贴在需要巡更的位置，相关人员巡更来巡查签</w:t>
            </w:r>
            <w:r>
              <w:t xml:space="preserve"> </w:t>
            </w:r>
            <w:r>
              <w:rPr>
                <w:spacing w:val="-3"/>
              </w:rPr>
              <w:t>到，通过手机</w:t>
            </w:r>
            <w:r>
              <w:rPr>
                <w:spacing w:val="-36"/>
              </w:rPr>
              <w:t xml:space="preserve"> </w:t>
            </w:r>
            <w:r>
              <w:rPr>
                <w:spacing w:val="-3"/>
              </w:rPr>
              <w:t>APP</w:t>
            </w:r>
            <w:r>
              <w:rPr>
                <w:spacing w:val="-29"/>
              </w:rPr>
              <w:t xml:space="preserve"> </w:t>
            </w:r>
            <w:r>
              <w:rPr>
                <w:spacing w:val="-3"/>
              </w:rPr>
              <w:t>即可完成操作。</w:t>
            </w:r>
          </w:p>
        </w:tc>
        <w:tc>
          <w:tcPr>
            <w:tcW w:w="855" w:type="dxa"/>
            <w:tcBorders>
              <w:right w:val="single" w:color="000000" w:sz="10" w:space="0"/>
            </w:tcBorders>
          </w:tcPr>
          <w:p>
            <w:pPr>
              <w:pStyle w:val="25"/>
              <w:spacing w:before="249" w:line="252" w:lineRule="auto"/>
              <w:ind w:left="126" w:right="94"/>
            </w:pPr>
            <w:r>
              <w:rPr>
                <w:spacing w:val="5"/>
              </w:rPr>
              <w:t>安全</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81" w:hRule="atLeast"/>
        </w:trPr>
        <w:tc>
          <w:tcPr>
            <w:tcW w:w="706" w:type="dxa"/>
            <w:tcBorders>
              <w:left w:val="single" w:color="000000" w:sz="10" w:space="0"/>
            </w:tcBorders>
            <w:shd w:val="clear" w:color="auto" w:fill="BFBFBF"/>
          </w:tcPr>
          <w:p>
            <w:pPr>
              <w:spacing w:line="266" w:lineRule="auto"/>
              <w:rPr>
                <w:rFonts w:ascii="Arial"/>
              </w:rPr>
            </w:pPr>
          </w:p>
          <w:p>
            <w:pPr>
              <w:spacing w:line="267" w:lineRule="auto"/>
              <w:rPr>
                <w:rFonts w:ascii="Arial"/>
              </w:rPr>
            </w:pPr>
          </w:p>
          <w:p>
            <w:pPr>
              <w:pStyle w:val="25"/>
              <w:spacing w:before="68" w:line="183" w:lineRule="auto"/>
              <w:ind w:left="240"/>
            </w:pPr>
            <w:r>
              <w:rPr>
                <w:rFonts w:hint="eastAsia"/>
                <w:spacing w:val="-5"/>
              </w:rPr>
              <w:t>18</w:t>
            </w:r>
          </w:p>
        </w:tc>
        <w:tc>
          <w:tcPr>
            <w:tcW w:w="1558" w:type="dxa"/>
          </w:tcPr>
          <w:p>
            <w:pPr>
              <w:spacing w:line="246" w:lineRule="auto"/>
              <w:rPr>
                <w:rFonts w:ascii="Arial"/>
              </w:rPr>
            </w:pPr>
          </w:p>
          <w:p>
            <w:pPr>
              <w:pStyle w:val="25"/>
              <w:spacing w:before="68" w:line="468" w:lineRule="exact"/>
              <w:ind w:left="143"/>
            </w:pPr>
            <w:r>
              <w:rPr>
                <w:spacing w:val="-1"/>
                <w:position w:val="19"/>
              </w:rPr>
              <w:t>地磅自动计量</w:t>
            </w:r>
          </w:p>
          <w:p>
            <w:pPr>
              <w:pStyle w:val="25"/>
              <w:spacing w:line="222" w:lineRule="auto"/>
              <w:ind w:left="568"/>
            </w:pPr>
            <w:r>
              <w:rPr>
                <w:spacing w:val="-3"/>
              </w:rPr>
              <w:t>系统</w:t>
            </w:r>
          </w:p>
        </w:tc>
        <w:tc>
          <w:tcPr>
            <w:tcW w:w="1267" w:type="dxa"/>
          </w:tcPr>
          <w:p>
            <w:pPr>
              <w:spacing w:line="249" w:lineRule="auto"/>
              <w:rPr>
                <w:rFonts w:ascii="Arial"/>
              </w:rPr>
            </w:pPr>
          </w:p>
          <w:p>
            <w:pPr>
              <w:spacing w:line="250" w:lineRule="auto"/>
              <w:rPr>
                <w:rFonts w:ascii="Arial"/>
              </w:rPr>
            </w:pPr>
          </w:p>
          <w:p>
            <w:pPr>
              <w:pStyle w:val="25"/>
              <w:spacing w:before="69" w:line="221" w:lineRule="auto"/>
              <w:ind w:left="210"/>
            </w:pPr>
            <w:r>
              <w:rPr>
                <w:spacing w:val="-1"/>
              </w:rPr>
              <w:t>施工现场</w:t>
            </w:r>
          </w:p>
        </w:tc>
        <w:tc>
          <w:tcPr>
            <w:tcW w:w="4926" w:type="dxa"/>
          </w:tcPr>
          <w:p>
            <w:pPr>
              <w:pStyle w:val="25"/>
              <w:spacing w:before="92" w:line="259" w:lineRule="auto"/>
              <w:ind w:left="108" w:right="91"/>
            </w:pPr>
            <w:r>
              <w:rPr>
                <w:spacing w:val="-5"/>
              </w:rPr>
              <w:t>包括汽车衡、视频监控图片抓拍系统、红外对射系统</w:t>
            </w:r>
            <w:r>
              <w:t xml:space="preserve"> </w:t>
            </w:r>
            <w:r>
              <w:rPr>
                <w:spacing w:val="-2"/>
              </w:rPr>
              <w:t>定位、RFID 电子车牌管理系统及户外</w:t>
            </w:r>
            <w:r>
              <w:rPr>
                <w:spacing w:val="-31"/>
              </w:rPr>
              <w:t xml:space="preserve"> </w:t>
            </w:r>
            <w:r>
              <w:rPr>
                <w:spacing w:val="-2"/>
              </w:rPr>
              <w:t>LE</w:t>
            </w:r>
            <w:r>
              <w:rPr>
                <w:spacing w:val="-3"/>
              </w:rPr>
              <w:t>D</w:t>
            </w:r>
            <w:r>
              <w:rPr>
                <w:spacing w:val="-28"/>
              </w:rPr>
              <w:t xml:space="preserve"> </w:t>
            </w:r>
            <w:r>
              <w:rPr>
                <w:spacing w:val="-3"/>
              </w:rPr>
              <w:t>屏系统，</w:t>
            </w:r>
            <w:r>
              <w:t xml:space="preserve"> </w:t>
            </w:r>
            <w:r>
              <w:rPr>
                <w:spacing w:val="-5"/>
              </w:rPr>
              <w:t>语音指挥等系统，可实现自动过磅，过磅自动记录发</w:t>
            </w:r>
            <w:r>
              <w:t xml:space="preserve"> </w:t>
            </w:r>
            <w:r>
              <w:rPr>
                <w:spacing w:val="-2"/>
              </w:rPr>
              <w:t>货量等。</w:t>
            </w:r>
          </w:p>
        </w:tc>
        <w:tc>
          <w:tcPr>
            <w:tcW w:w="855" w:type="dxa"/>
            <w:tcBorders>
              <w:right w:val="single" w:color="000000" w:sz="10" w:space="0"/>
            </w:tcBorders>
          </w:tcPr>
          <w:p>
            <w:pPr>
              <w:spacing w:line="338" w:lineRule="auto"/>
              <w:rPr>
                <w:rFonts w:ascii="Arial"/>
              </w:rPr>
            </w:pPr>
          </w:p>
          <w:p>
            <w:pPr>
              <w:pStyle w:val="25"/>
              <w:spacing w:before="69" w:line="252" w:lineRule="auto"/>
              <w:ind w:left="126" w:right="94" w:hanging="4"/>
            </w:pPr>
            <w:r>
              <w:rPr>
                <w:spacing w:val="7"/>
              </w:rPr>
              <w:t>物资</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06" w:hRule="atLeast"/>
        </w:trPr>
        <w:tc>
          <w:tcPr>
            <w:tcW w:w="706" w:type="dxa"/>
            <w:tcBorders>
              <w:left w:val="single" w:color="000000" w:sz="10" w:space="0"/>
            </w:tcBorders>
            <w:shd w:val="clear" w:color="auto" w:fill="BFBFBF"/>
          </w:tcPr>
          <w:p>
            <w:pPr>
              <w:spacing w:line="299" w:lineRule="auto"/>
              <w:rPr>
                <w:rFonts w:ascii="Arial"/>
              </w:rPr>
            </w:pPr>
          </w:p>
          <w:p>
            <w:pPr>
              <w:spacing w:line="300" w:lineRule="auto"/>
              <w:rPr>
                <w:rFonts w:ascii="Arial"/>
              </w:rPr>
            </w:pPr>
          </w:p>
          <w:p>
            <w:pPr>
              <w:pStyle w:val="25"/>
              <w:spacing w:before="68" w:line="182" w:lineRule="auto"/>
              <w:ind w:left="240"/>
            </w:pPr>
            <w:r>
              <w:rPr>
                <w:rFonts w:hint="eastAsia"/>
                <w:spacing w:val="-3"/>
              </w:rPr>
              <w:t>19</w:t>
            </w:r>
          </w:p>
        </w:tc>
        <w:tc>
          <w:tcPr>
            <w:tcW w:w="1558" w:type="dxa"/>
          </w:tcPr>
          <w:p>
            <w:pPr>
              <w:pStyle w:val="25"/>
              <w:spacing w:before="145" w:line="221" w:lineRule="auto"/>
              <w:ind w:left="146"/>
            </w:pPr>
            <w:r>
              <w:rPr>
                <w:spacing w:val="-2"/>
              </w:rPr>
              <w:t>水电节能监测</w:t>
            </w:r>
          </w:p>
          <w:p>
            <w:pPr>
              <w:pStyle w:val="25"/>
              <w:spacing w:before="216" w:line="221" w:lineRule="auto"/>
              <w:ind w:left="143"/>
            </w:pPr>
            <w:r>
              <w:rPr>
                <w:spacing w:val="-1"/>
              </w:rPr>
              <w:t>及能效管理系</w:t>
            </w:r>
          </w:p>
          <w:p>
            <w:pPr>
              <w:pStyle w:val="25"/>
              <w:spacing w:before="217" w:line="222" w:lineRule="auto"/>
              <w:ind w:left="672"/>
            </w:pPr>
            <w:r>
              <w:t>统</w:t>
            </w:r>
          </w:p>
        </w:tc>
        <w:tc>
          <w:tcPr>
            <w:tcW w:w="1267" w:type="dxa"/>
          </w:tcPr>
          <w:p>
            <w:pPr>
              <w:spacing w:line="282" w:lineRule="auto"/>
              <w:rPr>
                <w:rFonts w:ascii="Arial"/>
              </w:rPr>
            </w:pPr>
          </w:p>
          <w:p>
            <w:pPr>
              <w:spacing w:line="282" w:lineRule="auto"/>
              <w:rPr>
                <w:rFonts w:ascii="Arial"/>
              </w:rPr>
            </w:pPr>
          </w:p>
          <w:p>
            <w:pPr>
              <w:pStyle w:val="25"/>
              <w:spacing w:before="68" w:line="221" w:lineRule="auto"/>
              <w:ind w:left="210"/>
            </w:pPr>
            <w:r>
              <w:rPr>
                <w:spacing w:val="-1"/>
              </w:rPr>
              <w:t>施工现场</w:t>
            </w:r>
          </w:p>
        </w:tc>
        <w:tc>
          <w:tcPr>
            <w:tcW w:w="4926" w:type="dxa"/>
          </w:tcPr>
          <w:p>
            <w:pPr>
              <w:spacing w:line="247" w:lineRule="auto"/>
              <w:rPr>
                <w:rFonts w:ascii="Arial"/>
              </w:rPr>
            </w:pPr>
          </w:p>
          <w:p>
            <w:pPr>
              <w:pStyle w:val="25"/>
              <w:spacing w:before="69" w:line="261" w:lineRule="auto"/>
              <w:ind w:left="108" w:right="91" w:firstLine="11"/>
              <w:jc w:val="both"/>
            </w:pPr>
            <w:r>
              <w:rPr>
                <w:spacing w:val="-6"/>
              </w:rPr>
              <w:t>随时、随地通过手机或上网的电脑了解项目用电、用</w:t>
            </w:r>
            <w:r>
              <w:rPr>
                <w:spacing w:val="11"/>
              </w:rPr>
              <w:t xml:space="preserve"> </w:t>
            </w:r>
            <w:r>
              <w:rPr>
                <w:spacing w:val="4"/>
              </w:rPr>
              <w:t xml:space="preserve">水情况，对出现的异常能及时通过预警方式向各安 </w:t>
            </w:r>
            <w:r>
              <w:rPr>
                <w:spacing w:val="-1"/>
              </w:rPr>
              <w:t>全负责人员提醒存在的安全隐。</w:t>
            </w:r>
          </w:p>
        </w:tc>
        <w:tc>
          <w:tcPr>
            <w:tcW w:w="855" w:type="dxa"/>
            <w:tcBorders>
              <w:right w:val="single" w:color="000000" w:sz="10" w:space="0"/>
            </w:tcBorders>
          </w:tcPr>
          <w:p>
            <w:pPr>
              <w:spacing w:line="405" w:lineRule="auto"/>
              <w:rPr>
                <w:rFonts w:ascii="Arial"/>
              </w:rPr>
            </w:pPr>
          </w:p>
          <w:p>
            <w:pPr>
              <w:pStyle w:val="25"/>
              <w:spacing w:before="68" w:line="251" w:lineRule="auto"/>
              <w:ind w:left="126" w:right="94" w:hanging="4"/>
            </w:pPr>
            <w:r>
              <w:rPr>
                <w:spacing w:val="7"/>
              </w:rPr>
              <w:t>节能</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08" w:hRule="atLeast"/>
        </w:trPr>
        <w:tc>
          <w:tcPr>
            <w:tcW w:w="706" w:type="dxa"/>
            <w:tcBorders>
              <w:left w:val="single" w:color="000000" w:sz="10" w:space="0"/>
              <w:bottom w:val="nil"/>
            </w:tcBorders>
            <w:shd w:val="clear" w:color="auto" w:fill="BFBFBF"/>
          </w:tcPr>
          <w:p>
            <w:pPr>
              <w:spacing w:line="271" w:lineRule="auto"/>
              <w:rPr>
                <w:rFonts w:ascii="Arial"/>
              </w:rPr>
            </w:pPr>
          </w:p>
          <w:p>
            <w:pPr>
              <w:spacing w:line="271" w:lineRule="auto"/>
              <w:rPr>
                <w:rFonts w:ascii="Arial"/>
              </w:rPr>
            </w:pPr>
          </w:p>
          <w:p>
            <w:pPr>
              <w:pStyle w:val="25"/>
              <w:spacing w:before="68" w:line="182" w:lineRule="auto"/>
              <w:ind w:left="240"/>
            </w:pPr>
            <w:r>
              <w:rPr>
                <w:rFonts w:hint="eastAsia"/>
                <w:spacing w:val="-3"/>
              </w:rPr>
              <w:t>20</w:t>
            </w:r>
          </w:p>
        </w:tc>
        <w:tc>
          <w:tcPr>
            <w:tcW w:w="1558" w:type="dxa"/>
            <w:tcBorders>
              <w:bottom w:val="single" w:color="000000" w:sz="10" w:space="0"/>
            </w:tcBorders>
          </w:tcPr>
          <w:p>
            <w:pPr>
              <w:spacing w:line="251" w:lineRule="auto"/>
              <w:rPr>
                <w:rFonts w:ascii="Arial"/>
              </w:rPr>
            </w:pPr>
          </w:p>
          <w:p>
            <w:pPr>
              <w:pStyle w:val="25"/>
              <w:spacing w:before="69" w:line="468" w:lineRule="exact"/>
              <w:ind w:left="426"/>
            </w:pPr>
            <w:r>
              <w:rPr>
                <w:spacing w:val="-3"/>
                <w:position w:val="19"/>
              </w:rPr>
              <w:t>VR</w:t>
            </w:r>
            <w:r>
              <w:rPr>
                <w:spacing w:val="-37"/>
                <w:position w:val="19"/>
              </w:rPr>
              <w:t xml:space="preserve"> </w:t>
            </w:r>
            <w:r>
              <w:rPr>
                <w:spacing w:val="-3"/>
                <w:position w:val="19"/>
              </w:rPr>
              <w:t>智慧</w:t>
            </w:r>
          </w:p>
          <w:p>
            <w:pPr>
              <w:pStyle w:val="25"/>
              <w:spacing w:line="220" w:lineRule="auto"/>
              <w:ind w:left="356"/>
            </w:pPr>
            <w:r>
              <w:rPr>
                <w:spacing w:val="-3"/>
              </w:rPr>
              <w:t>安全教育</w:t>
            </w:r>
          </w:p>
        </w:tc>
        <w:tc>
          <w:tcPr>
            <w:tcW w:w="1267" w:type="dxa"/>
            <w:tcBorders>
              <w:bottom w:val="single" w:color="000000" w:sz="10" w:space="0"/>
            </w:tcBorders>
          </w:tcPr>
          <w:p>
            <w:pPr>
              <w:spacing w:line="253" w:lineRule="auto"/>
              <w:rPr>
                <w:rFonts w:ascii="Arial"/>
              </w:rPr>
            </w:pPr>
          </w:p>
          <w:p>
            <w:pPr>
              <w:spacing w:line="253" w:lineRule="auto"/>
              <w:rPr>
                <w:rFonts w:ascii="Arial"/>
              </w:rPr>
            </w:pPr>
          </w:p>
          <w:p>
            <w:pPr>
              <w:pStyle w:val="25"/>
              <w:spacing w:before="69" w:line="223" w:lineRule="auto"/>
              <w:ind w:left="421"/>
            </w:pPr>
            <w:r>
              <w:rPr>
                <w:rFonts w:hint="eastAsia"/>
              </w:rPr>
              <w:t>办公区</w:t>
            </w:r>
          </w:p>
        </w:tc>
        <w:tc>
          <w:tcPr>
            <w:tcW w:w="4926" w:type="dxa"/>
            <w:tcBorders>
              <w:bottom w:val="single" w:color="000000" w:sz="10" w:space="0"/>
            </w:tcBorders>
          </w:tcPr>
          <w:p>
            <w:pPr>
              <w:pStyle w:val="25"/>
              <w:spacing w:before="96" w:line="264" w:lineRule="auto"/>
              <w:ind w:left="108" w:right="87" w:firstLine="4"/>
              <w:jc w:val="both"/>
            </w:pPr>
            <w:r>
              <w:rPr>
                <w:spacing w:val="-5"/>
              </w:rPr>
              <w:t>安全教育模块包括高空坠落、机械伤害等模块，虚拟</w:t>
            </w:r>
            <w:r>
              <w:t xml:space="preserve"> </w:t>
            </w:r>
            <w:r>
              <w:rPr>
                <w:spacing w:val="4"/>
              </w:rPr>
              <w:t>现实、增强现实、混合现实是新型的多维可视化沟</w:t>
            </w:r>
            <w:r>
              <w:rPr>
                <w:spacing w:val="3"/>
              </w:rPr>
              <w:t xml:space="preserve"> </w:t>
            </w:r>
            <w:r>
              <w:rPr>
                <w:spacing w:val="-7"/>
              </w:rPr>
              <w:t>通、体验技术，</w:t>
            </w:r>
            <w:r>
              <w:rPr>
                <w:spacing w:val="-55"/>
              </w:rPr>
              <w:t xml:space="preserve"> </w:t>
            </w:r>
            <w:r>
              <w:rPr>
                <w:spacing w:val="-7"/>
              </w:rPr>
              <w:t>在各个领域都有广泛的应用，他们与</w:t>
            </w:r>
            <w:r>
              <w:t xml:space="preserve"> 建筑工程领域的 BIM 技术能融合应用</w:t>
            </w:r>
            <w:r>
              <w:rPr>
                <w:spacing w:val="-1"/>
              </w:rPr>
              <w:t>，发挥出两者</w:t>
            </w:r>
            <w:r>
              <w:rPr>
                <w:spacing w:val="-5"/>
              </w:rPr>
              <w:t>的优势，相辅相成。</w:t>
            </w:r>
          </w:p>
        </w:tc>
        <w:tc>
          <w:tcPr>
            <w:tcW w:w="855" w:type="dxa"/>
            <w:tcBorders>
              <w:bottom w:val="single" w:color="000000" w:sz="10" w:space="0"/>
              <w:right w:val="single" w:color="000000" w:sz="10" w:space="0"/>
            </w:tcBorders>
          </w:tcPr>
          <w:p>
            <w:pPr>
              <w:spacing w:line="259" w:lineRule="auto"/>
              <w:rPr>
                <w:rFonts w:ascii="Arial"/>
              </w:rPr>
            </w:pPr>
          </w:p>
          <w:p>
            <w:pPr>
              <w:pStyle w:val="25"/>
              <w:spacing w:before="68" w:line="453" w:lineRule="exact"/>
              <w:ind w:left="124"/>
            </w:pPr>
            <w:r>
              <w:rPr>
                <w:spacing w:val="-3"/>
                <w:position w:val="18"/>
              </w:rPr>
              <w:t>形象</w:t>
            </w:r>
          </w:p>
          <w:p>
            <w:pPr>
              <w:pStyle w:val="25"/>
              <w:spacing w:line="222" w:lineRule="auto"/>
              <w:ind w:left="124"/>
            </w:pPr>
            <w:r>
              <w:rPr>
                <w:spacing w:val="-2"/>
              </w:rPr>
              <w:t>展示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5" w:hRule="atLeast"/>
        </w:trPr>
        <w:tc>
          <w:tcPr>
            <w:tcW w:w="706" w:type="dxa"/>
            <w:tcBorders>
              <w:left w:val="single" w:color="000000" w:sz="10" w:space="0"/>
            </w:tcBorders>
            <w:shd w:val="clear" w:color="auto" w:fill="BFBFBF"/>
          </w:tcPr>
          <w:p>
            <w:pPr>
              <w:spacing w:line="361" w:lineRule="auto"/>
              <w:rPr>
                <w:rFonts w:ascii="Arial"/>
              </w:rPr>
            </w:pPr>
          </w:p>
          <w:p>
            <w:pPr>
              <w:pStyle w:val="25"/>
              <w:spacing w:before="69" w:line="182" w:lineRule="auto"/>
              <w:ind w:left="240"/>
            </w:pPr>
            <w:r>
              <w:rPr>
                <w:rFonts w:hint="eastAsia"/>
                <w:spacing w:val="-3"/>
              </w:rPr>
              <w:t>21</w:t>
            </w:r>
          </w:p>
        </w:tc>
        <w:tc>
          <w:tcPr>
            <w:tcW w:w="1558" w:type="dxa"/>
          </w:tcPr>
          <w:p>
            <w:pPr>
              <w:spacing w:line="305" w:lineRule="auto"/>
              <w:rPr>
                <w:rFonts w:ascii="Arial"/>
              </w:rPr>
            </w:pPr>
          </w:p>
          <w:p>
            <w:pPr>
              <w:pStyle w:val="25"/>
              <w:spacing w:before="68" w:line="222" w:lineRule="auto"/>
              <w:ind w:left="216"/>
            </w:pPr>
            <w:r>
              <w:rPr>
                <w:spacing w:val="-2"/>
              </w:rPr>
              <w:t>MR</w:t>
            </w:r>
            <w:r>
              <w:rPr>
                <w:spacing w:val="-41"/>
              </w:rPr>
              <w:t xml:space="preserve"> </w:t>
            </w:r>
            <w:r>
              <w:rPr>
                <w:spacing w:val="-2"/>
              </w:rPr>
              <w:t>建造体验</w:t>
            </w:r>
          </w:p>
        </w:tc>
        <w:tc>
          <w:tcPr>
            <w:tcW w:w="1267" w:type="dxa"/>
          </w:tcPr>
          <w:p>
            <w:pPr>
              <w:spacing w:line="326" w:lineRule="auto"/>
              <w:rPr>
                <w:rFonts w:ascii="Arial"/>
              </w:rPr>
            </w:pPr>
          </w:p>
          <w:p>
            <w:pPr>
              <w:pStyle w:val="25"/>
              <w:spacing w:before="68" w:line="223" w:lineRule="auto"/>
              <w:ind w:left="421"/>
            </w:pPr>
            <w:r>
              <w:rPr>
                <w:rFonts w:hint="eastAsia"/>
              </w:rPr>
              <w:t>办公区</w:t>
            </w:r>
          </w:p>
        </w:tc>
        <w:tc>
          <w:tcPr>
            <w:tcW w:w="4926" w:type="dxa"/>
          </w:tcPr>
          <w:p>
            <w:pPr>
              <w:pStyle w:val="25"/>
              <w:spacing w:before="77" w:line="257" w:lineRule="auto"/>
              <w:ind w:left="109" w:right="87"/>
              <w:jc w:val="both"/>
            </w:pPr>
            <w:r>
              <w:rPr>
                <w:spacing w:val="-1"/>
              </w:rPr>
              <w:t>虚拟现实技术、BIM、大数据、物联网、人工智能等</w:t>
            </w:r>
            <w:r>
              <w:rPr>
                <w:spacing w:val="15"/>
              </w:rPr>
              <w:t xml:space="preserve"> </w:t>
            </w:r>
            <w:r>
              <w:rPr>
                <w:spacing w:val="-5"/>
              </w:rPr>
              <w:t>技术结合，做体验延伸，打造直观的工地大数据呈现</w:t>
            </w:r>
            <w:r>
              <w:rPr>
                <w:spacing w:val="3"/>
              </w:rPr>
              <w:t xml:space="preserve"> </w:t>
            </w:r>
            <w:r>
              <w:rPr>
                <w:spacing w:val="-8"/>
              </w:rPr>
              <w:t>方式。</w:t>
            </w:r>
          </w:p>
        </w:tc>
        <w:tc>
          <w:tcPr>
            <w:tcW w:w="855" w:type="dxa"/>
            <w:tcBorders>
              <w:right w:val="single" w:color="000000" w:sz="10" w:space="0"/>
            </w:tcBorders>
          </w:tcPr>
          <w:p>
            <w:pPr>
              <w:rPr>
                <w:rFonts w:ascii="Aria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2" w:hRule="atLeast"/>
        </w:trPr>
        <w:tc>
          <w:tcPr>
            <w:tcW w:w="706" w:type="dxa"/>
            <w:tcBorders>
              <w:left w:val="single" w:color="000000" w:sz="10" w:space="0"/>
            </w:tcBorders>
            <w:shd w:val="clear" w:color="auto" w:fill="BFBFBF"/>
          </w:tcPr>
          <w:p>
            <w:pPr>
              <w:spacing w:line="361" w:lineRule="auto"/>
              <w:rPr>
                <w:rFonts w:ascii="Arial"/>
              </w:rPr>
            </w:pPr>
          </w:p>
          <w:p>
            <w:pPr>
              <w:pStyle w:val="25"/>
              <w:spacing w:before="68" w:line="182" w:lineRule="auto"/>
              <w:ind w:left="240"/>
            </w:pPr>
            <w:r>
              <w:rPr>
                <w:rFonts w:hint="eastAsia"/>
                <w:spacing w:val="-3"/>
              </w:rPr>
              <w:t>22</w:t>
            </w:r>
          </w:p>
        </w:tc>
        <w:tc>
          <w:tcPr>
            <w:tcW w:w="1558" w:type="dxa"/>
          </w:tcPr>
          <w:p>
            <w:pPr>
              <w:spacing w:line="304" w:lineRule="auto"/>
              <w:rPr>
                <w:rFonts w:ascii="Arial"/>
              </w:rPr>
            </w:pPr>
          </w:p>
          <w:p>
            <w:pPr>
              <w:pStyle w:val="25"/>
              <w:spacing w:before="69" w:line="221" w:lineRule="auto"/>
              <w:ind w:left="147"/>
            </w:pPr>
            <w:r>
              <w:rPr>
                <w:spacing w:val="-2"/>
              </w:rPr>
              <w:t>行为安全之星</w:t>
            </w:r>
          </w:p>
        </w:tc>
        <w:tc>
          <w:tcPr>
            <w:tcW w:w="1267" w:type="dxa"/>
          </w:tcPr>
          <w:p>
            <w:pPr>
              <w:spacing w:line="325" w:lineRule="auto"/>
              <w:rPr>
                <w:rFonts w:ascii="Arial"/>
              </w:rPr>
            </w:pPr>
          </w:p>
          <w:p>
            <w:pPr>
              <w:pStyle w:val="25"/>
              <w:spacing w:before="69" w:line="223" w:lineRule="auto"/>
              <w:ind w:left="421"/>
            </w:pPr>
            <w:r>
              <w:rPr>
                <w:rFonts w:hint="eastAsia"/>
              </w:rPr>
              <w:t>办公区</w:t>
            </w:r>
          </w:p>
        </w:tc>
        <w:tc>
          <w:tcPr>
            <w:tcW w:w="4926" w:type="dxa"/>
          </w:tcPr>
          <w:p>
            <w:pPr>
              <w:pStyle w:val="25"/>
              <w:spacing w:before="78" w:line="256" w:lineRule="auto"/>
              <w:ind w:left="109" w:right="87" w:firstLine="3"/>
              <w:jc w:val="both"/>
            </w:pPr>
            <w:r>
              <w:rPr>
                <w:spacing w:val="-5"/>
              </w:rPr>
              <w:t>正向激励、全员参与，利用便捷的小程序操作结合物</w:t>
            </w:r>
            <w:r>
              <w:t xml:space="preserve"> </w:t>
            </w:r>
            <w:r>
              <w:rPr>
                <w:spacing w:val="-5"/>
              </w:rPr>
              <w:t>质奖励、大屏展示，动员全体项目参与者加入到工地</w:t>
            </w:r>
            <w:r>
              <w:rPr>
                <w:spacing w:val="3"/>
              </w:rPr>
              <w:t xml:space="preserve"> </w:t>
            </w:r>
            <w:r>
              <w:rPr>
                <w:spacing w:val="-1"/>
              </w:rPr>
              <w:t>安全建设中。</w:t>
            </w:r>
          </w:p>
        </w:tc>
        <w:tc>
          <w:tcPr>
            <w:tcW w:w="855" w:type="dxa"/>
            <w:tcBorders>
              <w:right w:val="single" w:color="000000" w:sz="10" w:space="0"/>
            </w:tcBorders>
          </w:tcPr>
          <w:p>
            <w:pPr>
              <w:pStyle w:val="25"/>
              <w:spacing w:before="237" w:line="251" w:lineRule="auto"/>
              <w:ind w:left="126" w:right="94"/>
            </w:pPr>
            <w:r>
              <w:rPr>
                <w:spacing w:val="5"/>
              </w:rPr>
              <w:t>安全</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39" w:hRule="atLeast"/>
        </w:trPr>
        <w:tc>
          <w:tcPr>
            <w:tcW w:w="706" w:type="dxa"/>
            <w:tcBorders>
              <w:left w:val="single" w:color="000000" w:sz="10" w:space="0"/>
            </w:tcBorders>
            <w:shd w:val="clear" w:color="auto" w:fill="BFBFBF"/>
          </w:tcPr>
          <w:p>
            <w:pPr>
              <w:spacing w:line="352" w:lineRule="auto"/>
              <w:rPr>
                <w:rFonts w:ascii="Arial"/>
              </w:rPr>
            </w:pPr>
          </w:p>
          <w:p>
            <w:pPr>
              <w:pStyle w:val="25"/>
              <w:spacing w:before="68" w:line="182" w:lineRule="auto"/>
              <w:ind w:left="240"/>
            </w:pPr>
            <w:r>
              <w:rPr>
                <w:rFonts w:hint="eastAsia"/>
                <w:spacing w:val="-3"/>
              </w:rPr>
              <w:t>23</w:t>
            </w:r>
          </w:p>
        </w:tc>
        <w:tc>
          <w:tcPr>
            <w:tcW w:w="1558" w:type="dxa"/>
          </w:tcPr>
          <w:p>
            <w:pPr>
              <w:pStyle w:val="25"/>
              <w:spacing w:before="132" w:line="468" w:lineRule="exact"/>
              <w:ind w:left="143"/>
            </w:pPr>
            <w:r>
              <w:rPr>
                <w:spacing w:val="-1"/>
                <w:position w:val="19"/>
              </w:rPr>
              <w:t>滑轨屏展现系</w:t>
            </w:r>
          </w:p>
          <w:p>
            <w:pPr>
              <w:pStyle w:val="25"/>
              <w:spacing w:line="222" w:lineRule="auto"/>
              <w:ind w:left="672"/>
            </w:pPr>
            <w:r>
              <w:t>统</w:t>
            </w:r>
          </w:p>
        </w:tc>
        <w:tc>
          <w:tcPr>
            <w:tcW w:w="1267" w:type="dxa"/>
          </w:tcPr>
          <w:p>
            <w:pPr>
              <w:spacing w:line="316" w:lineRule="auto"/>
              <w:rPr>
                <w:rFonts w:ascii="Arial"/>
              </w:rPr>
            </w:pPr>
          </w:p>
          <w:p>
            <w:pPr>
              <w:pStyle w:val="25"/>
              <w:spacing w:before="69" w:line="223" w:lineRule="auto"/>
              <w:ind w:left="421"/>
            </w:pPr>
            <w:r>
              <w:rPr>
                <w:rFonts w:hint="eastAsia"/>
              </w:rPr>
              <w:t>办公区</w:t>
            </w:r>
          </w:p>
        </w:tc>
        <w:tc>
          <w:tcPr>
            <w:tcW w:w="4926" w:type="dxa"/>
          </w:tcPr>
          <w:p>
            <w:pPr>
              <w:pStyle w:val="25"/>
              <w:spacing w:before="229" w:line="250" w:lineRule="auto"/>
              <w:ind w:left="107" w:right="90"/>
            </w:pPr>
            <w:r>
              <w:rPr>
                <w:spacing w:val="4"/>
              </w:rPr>
              <w:t>在展现上通过屏幕的移动，循序渐进的对项目进行</w:t>
            </w:r>
            <w:r>
              <w:rPr>
                <w:spacing w:val="9"/>
              </w:rPr>
              <w:t xml:space="preserve"> </w:t>
            </w:r>
            <w:r>
              <w:rPr>
                <w:spacing w:val="-8"/>
              </w:rPr>
              <w:t>介绍。</w:t>
            </w:r>
          </w:p>
        </w:tc>
        <w:tc>
          <w:tcPr>
            <w:tcW w:w="855" w:type="dxa"/>
            <w:tcBorders>
              <w:right w:val="single" w:color="000000" w:sz="10" w:space="0"/>
            </w:tcBorders>
          </w:tcPr>
          <w:p>
            <w:pPr>
              <w:pStyle w:val="25"/>
              <w:spacing w:before="137" w:line="456" w:lineRule="exact"/>
              <w:ind w:left="124"/>
            </w:pPr>
            <w:r>
              <w:rPr>
                <w:spacing w:val="-3"/>
                <w:position w:val="18"/>
              </w:rPr>
              <w:t>形象</w:t>
            </w:r>
          </w:p>
          <w:p>
            <w:pPr>
              <w:pStyle w:val="25"/>
              <w:spacing w:line="222" w:lineRule="auto"/>
              <w:ind w:left="124"/>
            </w:pPr>
            <w:r>
              <w:rPr>
                <w:spacing w:val="-2"/>
              </w:rPr>
              <w:t>展示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62" w:hRule="atLeast"/>
        </w:trPr>
        <w:tc>
          <w:tcPr>
            <w:tcW w:w="706" w:type="dxa"/>
            <w:tcBorders>
              <w:left w:val="single" w:color="000000" w:sz="10" w:space="0"/>
            </w:tcBorders>
            <w:shd w:val="clear" w:color="auto" w:fill="BFBFBF"/>
          </w:tcPr>
          <w:p>
            <w:pPr>
              <w:spacing w:line="368" w:lineRule="auto"/>
              <w:rPr>
                <w:rFonts w:ascii="Arial"/>
              </w:rPr>
            </w:pPr>
          </w:p>
          <w:p>
            <w:pPr>
              <w:pStyle w:val="25"/>
              <w:spacing w:before="68" w:line="182" w:lineRule="auto"/>
              <w:ind w:left="240"/>
            </w:pPr>
            <w:r>
              <w:rPr>
                <w:rFonts w:hint="eastAsia"/>
                <w:spacing w:val="-3"/>
              </w:rPr>
              <w:t>24</w:t>
            </w:r>
          </w:p>
        </w:tc>
        <w:tc>
          <w:tcPr>
            <w:tcW w:w="1558" w:type="dxa"/>
          </w:tcPr>
          <w:p>
            <w:pPr>
              <w:spacing w:line="311" w:lineRule="auto"/>
              <w:rPr>
                <w:rFonts w:ascii="Arial"/>
              </w:rPr>
            </w:pPr>
          </w:p>
          <w:p>
            <w:pPr>
              <w:pStyle w:val="25"/>
              <w:spacing w:before="68" w:line="220" w:lineRule="auto"/>
              <w:ind w:left="144"/>
            </w:pPr>
            <w:r>
              <w:rPr>
                <w:spacing w:val="-1"/>
              </w:rPr>
              <w:t>质量样板系统</w:t>
            </w:r>
          </w:p>
        </w:tc>
        <w:tc>
          <w:tcPr>
            <w:tcW w:w="1267" w:type="dxa"/>
          </w:tcPr>
          <w:p>
            <w:pPr>
              <w:spacing w:line="333" w:lineRule="auto"/>
              <w:rPr>
                <w:rFonts w:ascii="Arial"/>
              </w:rPr>
            </w:pPr>
          </w:p>
          <w:p>
            <w:pPr>
              <w:pStyle w:val="25"/>
              <w:spacing w:before="68" w:line="221" w:lineRule="auto"/>
              <w:ind w:left="160"/>
            </w:pPr>
            <w:r>
              <w:rPr>
                <w:spacing w:val="-1"/>
              </w:rPr>
              <w:t>施工现场</w:t>
            </w:r>
          </w:p>
        </w:tc>
        <w:tc>
          <w:tcPr>
            <w:tcW w:w="4926" w:type="dxa"/>
          </w:tcPr>
          <w:p>
            <w:pPr>
              <w:pStyle w:val="25"/>
              <w:spacing w:before="81" w:line="255" w:lineRule="auto"/>
              <w:ind w:left="108" w:right="87" w:hanging="1"/>
              <w:jc w:val="both"/>
            </w:pPr>
            <w:r>
              <w:rPr>
                <w:spacing w:val="-5"/>
              </w:rPr>
              <w:t>在触摸式显示屏终端，录入动态样板引路系统，展示</w:t>
            </w:r>
            <w:r>
              <w:t xml:space="preserve"> </w:t>
            </w:r>
            <w:r>
              <w:rPr>
                <w:spacing w:val="-5"/>
              </w:rPr>
              <w:t>重要的施工节点、工序等，可让项目劳务人员现场操</w:t>
            </w:r>
            <w:r>
              <w:rPr>
                <w:spacing w:val="3"/>
              </w:rPr>
              <w:t xml:space="preserve"> </w:t>
            </w:r>
            <w:r>
              <w:rPr>
                <w:spacing w:val="-2"/>
              </w:rPr>
              <w:t>作，有利于现场施工质量把控。</w:t>
            </w:r>
          </w:p>
        </w:tc>
        <w:tc>
          <w:tcPr>
            <w:tcW w:w="855" w:type="dxa"/>
            <w:tcBorders>
              <w:right w:val="single" w:color="000000" w:sz="10" w:space="0"/>
            </w:tcBorders>
          </w:tcPr>
          <w:p>
            <w:pPr>
              <w:pStyle w:val="25"/>
              <w:spacing w:before="241" w:line="251" w:lineRule="auto"/>
              <w:ind w:left="126" w:right="94" w:hanging="3"/>
            </w:pPr>
            <w:r>
              <w:rPr>
                <w:spacing w:val="7"/>
              </w:rPr>
              <w:t>质量</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706" w:type="dxa"/>
            <w:tcBorders>
              <w:left w:val="single" w:color="000000" w:sz="10" w:space="0"/>
            </w:tcBorders>
            <w:shd w:val="clear" w:color="auto" w:fill="BFBFBF"/>
          </w:tcPr>
          <w:p>
            <w:pPr>
              <w:pStyle w:val="25"/>
              <w:spacing w:before="280" w:line="182" w:lineRule="auto"/>
              <w:ind w:left="240"/>
            </w:pPr>
            <w:r>
              <w:rPr>
                <w:rFonts w:hint="eastAsia"/>
                <w:spacing w:val="-3"/>
              </w:rPr>
              <w:t>25</w:t>
            </w:r>
          </w:p>
        </w:tc>
        <w:tc>
          <w:tcPr>
            <w:tcW w:w="1558" w:type="dxa"/>
          </w:tcPr>
          <w:p>
            <w:pPr>
              <w:pStyle w:val="25"/>
              <w:spacing w:before="222" w:line="221" w:lineRule="auto"/>
              <w:ind w:left="250"/>
            </w:pPr>
            <w:r>
              <w:rPr>
                <w:spacing w:val="-2"/>
              </w:rPr>
              <w:t>二维码技术</w:t>
            </w:r>
          </w:p>
        </w:tc>
        <w:tc>
          <w:tcPr>
            <w:tcW w:w="1267" w:type="dxa"/>
          </w:tcPr>
          <w:p>
            <w:pPr>
              <w:pStyle w:val="25"/>
              <w:spacing w:before="245" w:line="221" w:lineRule="auto"/>
              <w:ind w:left="160"/>
            </w:pPr>
            <w:r>
              <w:rPr>
                <w:spacing w:val="-1"/>
              </w:rPr>
              <w:t>施工现场</w:t>
            </w:r>
          </w:p>
        </w:tc>
        <w:tc>
          <w:tcPr>
            <w:tcW w:w="4926" w:type="dxa"/>
          </w:tcPr>
          <w:p>
            <w:pPr>
              <w:pStyle w:val="25"/>
              <w:spacing w:before="85" w:line="241" w:lineRule="auto"/>
              <w:ind w:left="109" w:right="89" w:hanging="6"/>
            </w:pPr>
            <w:r>
              <w:rPr>
                <w:spacing w:val="-3"/>
              </w:rPr>
              <w:t>BIM</w:t>
            </w:r>
            <w:r>
              <w:rPr>
                <w:spacing w:val="-37"/>
              </w:rPr>
              <w:t xml:space="preserve"> </w:t>
            </w:r>
            <w:r>
              <w:rPr>
                <w:spacing w:val="-3"/>
              </w:rPr>
              <w:t>模型、技术、安全交底等资料、物资进场资料生</w:t>
            </w:r>
            <w:r>
              <w:t xml:space="preserve"> </w:t>
            </w:r>
            <w:r>
              <w:rPr>
                <w:spacing w:val="-1"/>
              </w:rPr>
              <w:t>成独有的二维码信息，提高管理效率。</w:t>
            </w:r>
          </w:p>
        </w:tc>
        <w:tc>
          <w:tcPr>
            <w:tcW w:w="855" w:type="dxa"/>
            <w:tcBorders>
              <w:right w:val="single" w:color="000000" w:sz="10" w:space="0"/>
            </w:tcBorders>
          </w:tcPr>
          <w:p>
            <w:pPr>
              <w:pStyle w:val="25"/>
              <w:spacing w:before="85" w:line="241" w:lineRule="auto"/>
              <w:ind w:left="126" w:right="94" w:firstLine="4"/>
            </w:pPr>
            <w:r>
              <w:rPr>
                <w:spacing w:val="3"/>
              </w:rPr>
              <w:t>资料</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283" w:hRule="atLeast"/>
        </w:trPr>
        <w:tc>
          <w:tcPr>
            <w:tcW w:w="706" w:type="dxa"/>
            <w:tcBorders>
              <w:left w:val="single" w:color="000000" w:sz="10" w:space="0"/>
            </w:tcBorders>
            <w:shd w:val="clear" w:color="auto" w:fill="BFBFBF"/>
          </w:tcPr>
          <w:p>
            <w:pPr>
              <w:spacing w:line="265" w:lineRule="auto"/>
              <w:rPr>
                <w:rFonts w:ascii="Arial"/>
              </w:rPr>
            </w:pPr>
          </w:p>
          <w:p>
            <w:pPr>
              <w:spacing w:line="266" w:lineRule="auto"/>
              <w:rPr>
                <w:rFonts w:ascii="Arial"/>
              </w:rPr>
            </w:pPr>
          </w:p>
          <w:p>
            <w:pPr>
              <w:pStyle w:val="25"/>
              <w:spacing w:before="69" w:line="182" w:lineRule="auto"/>
              <w:ind w:left="240"/>
            </w:pPr>
            <w:r>
              <w:rPr>
                <w:spacing w:val="-3"/>
              </w:rPr>
              <w:t>2</w:t>
            </w:r>
            <w:r>
              <w:rPr>
                <w:rFonts w:hint="eastAsia"/>
                <w:spacing w:val="-3"/>
              </w:rPr>
              <w:t>6</w:t>
            </w:r>
          </w:p>
        </w:tc>
        <w:tc>
          <w:tcPr>
            <w:tcW w:w="1558" w:type="dxa"/>
          </w:tcPr>
          <w:p>
            <w:pPr>
              <w:spacing w:line="474" w:lineRule="auto"/>
              <w:rPr>
                <w:rFonts w:ascii="Arial"/>
              </w:rPr>
            </w:pPr>
          </w:p>
          <w:p>
            <w:pPr>
              <w:pStyle w:val="25"/>
              <w:spacing w:before="68" w:line="221" w:lineRule="auto"/>
              <w:ind w:left="252"/>
            </w:pPr>
            <w:r>
              <w:rPr>
                <w:spacing w:val="-3"/>
              </w:rPr>
              <w:t>云存储技术</w:t>
            </w:r>
          </w:p>
        </w:tc>
        <w:tc>
          <w:tcPr>
            <w:tcW w:w="1267" w:type="dxa"/>
          </w:tcPr>
          <w:p>
            <w:pPr>
              <w:spacing w:line="336" w:lineRule="auto"/>
              <w:rPr>
                <w:rFonts w:ascii="Arial"/>
              </w:rPr>
            </w:pPr>
          </w:p>
          <w:p>
            <w:pPr>
              <w:pStyle w:val="25"/>
              <w:spacing w:before="69" w:line="251" w:lineRule="auto"/>
              <w:ind w:left="420" w:right="158" w:hanging="260"/>
            </w:pPr>
            <w:r>
              <w:rPr>
                <w:spacing w:val="-2"/>
              </w:rPr>
              <w:t>现场+远程</w:t>
            </w:r>
            <w:r>
              <w:rPr>
                <w:spacing w:val="2"/>
              </w:rPr>
              <w:t xml:space="preserve"> </w:t>
            </w:r>
            <w:r>
              <w:rPr>
                <w:spacing w:val="-2"/>
              </w:rPr>
              <w:t>协作</w:t>
            </w:r>
          </w:p>
        </w:tc>
        <w:tc>
          <w:tcPr>
            <w:tcW w:w="4926" w:type="dxa"/>
          </w:tcPr>
          <w:p>
            <w:pPr>
              <w:pStyle w:val="25"/>
              <w:spacing w:before="85" w:line="261" w:lineRule="auto"/>
              <w:ind w:left="108" w:right="87"/>
              <w:jc w:val="both"/>
            </w:pPr>
            <w:r>
              <w:rPr>
                <w:spacing w:val="4"/>
              </w:rPr>
              <w:t>利用私有云服务器建立项目资料共享盘，可以不受</w:t>
            </w:r>
            <w:r>
              <w:rPr>
                <w:spacing w:val="3"/>
              </w:rPr>
              <w:t xml:space="preserve"> </w:t>
            </w:r>
            <w:r>
              <w:rPr>
                <w:spacing w:val="-5"/>
              </w:rPr>
              <w:t>硬盘空间的限制；共享资料、设定访问权限、减少项</w:t>
            </w:r>
            <w:r>
              <w:rPr>
                <w:spacing w:val="4"/>
              </w:rPr>
              <w:t xml:space="preserve"> 目人员流动造成的项目文件交接不齐等问题；施工</w:t>
            </w:r>
            <w:r>
              <w:rPr>
                <w:spacing w:val="3"/>
              </w:rPr>
              <w:t xml:space="preserve"> </w:t>
            </w:r>
            <w:r>
              <w:rPr>
                <w:spacing w:val="-4"/>
              </w:rPr>
              <w:t>现场图片上传云盘，</w:t>
            </w:r>
            <w:r>
              <w:rPr>
                <w:spacing w:val="-25"/>
              </w:rPr>
              <w:t xml:space="preserve"> </w:t>
            </w:r>
            <w:r>
              <w:rPr>
                <w:spacing w:val="-4"/>
              </w:rPr>
              <w:t>在疫情期间实现远程协作。</w:t>
            </w:r>
          </w:p>
        </w:tc>
        <w:tc>
          <w:tcPr>
            <w:tcW w:w="855" w:type="dxa"/>
            <w:tcBorders>
              <w:right w:val="single" w:color="000000" w:sz="10" w:space="0"/>
            </w:tcBorders>
          </w:tcPr>
          <w:p>
            <w:pPr>
              <w:spacing w:line="335" w:lineRule="auto"/>
              <w:rPr>
                <w:rFonts w:ascii="Arial"/>
              </w:rPr>
            </w:pPr>
          </w:p>
          <w:p>
            <w:pPr>
              <w:pStyle w:val="25"/>
              <w:spacing w:before="69" w:line="251" w:lineRule="auto"/>
              <w:ind w:left="126" w:right="94" w:firstLine="4"/>
            </w:pPr>
            <w:r>
              <w:rPr>
                <w:spacing w:val="3"/>
              </w:rPr>
              <w:t>资料</w:t>
            </w:r>
            <w:r>
              <w:t xml:space="preserve"> </w:t>
            </w:r>
            <w:r>
              <w:rPr>
                <w:spacing w:val="-3"/>
              </w:rPr>
              <w:t>管理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706" w:type="dxa"/>
            <w:tcBorders>
              <w:left w:val="single" w:color="000000" w:sz="10" w:space="0"/>
            </w:tcBorders>
            <w:shd w:val="clear" w:color="auto" w:fill="BFBFBF"/>
          </w:tcPr>
          <w:p>
            <w:pPr>
              <w:pStyle w:val="25"/>
              <w:spacing w:before="284" w:line="182" w:lineRule="auto"/>
              <w:ind w:left="241"/>
            </w:pPr>
            <w:r>
              <w:rPr>
                <w:rFonts w:hint="eastAsia"/>
                <w:spacing w:val="-3"/>
              </w:rPr>
              <w:t>27</w:t>
            </w:r>
          </w:p>
        </w:tc>
        <w:tc>
          <w:tcPr>
            <w:tcW w:w="1558" w:type="dxa"/>
          </w:tcPr>
          <w:p>
            <w:pPr>
              <w:pStyle w:val="25"/>
              <w:spacing w:before="228" w:line="221" w:lineRule="auto"/>
              <w:ind w:left="146"/>
            </w:pPr>
            <w:r>
              <w:rPr>
                <w:spacing w:val="-2"/>
              </w:rPr>
              <w:t>大屏展示系统</w:t>
            </w:r>
          </w:p>
        </w:tc>
        <w:tc>
          <w:tcPr>
            <w:tcW w:w="1267" w:type="dxa"/>
          </w:tcPr>
          <w:p>
            <w:pPr>
              <w:pStyle w:val="25"/>
              <w:spacing w:before="249" w:line="223" w:lineRule="auto"/>
              <w:ind w:left="421"/>
            </w:pPr>
            <w:r>
              <w:rPr>
                <w:rFonts w:hint="eastAsia"/>
                <w:spacing w:val="-2"/>
              </w:rPr>
              <w:t>办公区</w:t>
            </w:r>
          </w:p>
        </w:tc>
        <w:tc>
          <w:tcPr>
            <w:tcW w:w="4926" w:type="dxa"/>
          </w:tcPr>
          <w:p>
            <w:pPr>
              <w:pStyle w:val="25"/>
              <w:spacing w:before="88"/>
              <w:ind w:left="108" w:right="27"/>
            </w:pPr>
            <w:r>
              <w:rPr>
                <w:spacing w:val="-3"/>
              </w:rPr>
              <w:t>根据项目对外展示的需求，搭设智慧工地展示大屏，</w:t>
            </w:r>
            <w:r>
              <w:rPr>
                <w:spacing w:val="18"/>
              </w:rPr>
              <w:t xml:space="preserve"> </w:t>
            </w:r>
            <w:r>
              <w:rPr>
                <w:spacing w:val="-1"/>
              </w:rPr>
              <w:t>提高项目及企业形象。</w:t>
            </w:r>
          </w:p>
        </w:tc>
        <w:tc>
          <w:tcPr>
            <w:tcW w:w="855" w:type="dxa"/>
            <w:tcBorders>
              <w:right w:val="single" w:color="000000" w:sz="10" w:space="0"/>
            </w:tcBorders>
          </w:tcPr>
          <w:p>
            <w:pPr>
              <w:pStyle w:val="25"/>
              <w:spacing w:before="88"/>
              <w:ind w:left="124" w:right="94"/>
            </w:pPr>
            <w:r>
              <w:rPr>
                <w:spacing w:val="6"/>
              </w:rPr>
              <w:t>形象</w:t>
            </w:r>
            <w:r>
              <w:t xml:space="preserve"> </w:t>
            </w:r>
            <w:r>
              <w:rPr>
                <w:spacing w:val="-2"/>
              </w:rPr>
              <w:t>展示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706" w:type="dxa"/>
            <w:tcBorders>
              <w:left w:val="single" w:color="000000" w:sz="10" w:space="0"/>
            </w:tcBorders>
            <w:shd w:val="clear" w:color="auto" w:fill="BFBFBF"/>
          </w:tcPr>
          <w:p>
            <w:pPr>
              <w:pStyle w:val="25"/>
              <w:spacing w:before="284" w:line="183" w:lineRule="auto"/>
              <w:ind w:left="241"/>
            </w:pPr>
            <w:r>
              <w:rPr>
                <w:rFonts w:hint="eastAsia"/>
                <w:spacing w:val="-3"/>
              </w:rPr>
              <w:t>28</w:t>
            </w:r>
          </w:p>
        </w:tc>
        <w:tc>
          <w:tcPr>
            <w:tcW w:w="1558" w:type="dxa"/>
          </w:tcPr>
          <w:p>
            <w:pPr>
              <w:pStyle w:val="25"/>
              <w:spacing w:before="228" w:line="222" w:lineRule="auto"/>
              <w:ind w:left="436"/>
            </w:pPr>
            <w:r>
              <w:rPr>
                <w:spacing w:val="-5"/>
              </w:rPr>
              <w:t>5G</w:t>
            </w:r>
            <w:r>
              <w:rPr>
                <w:spacing w:val="-40"/>
              </w:rPr>
              <w:t xml:space="preserve"> </w:t>
            </w:r>
            <w:r>
              <w:rPr>
                <w:spacing w:val="-5"/>
              </w:rPr>
              <w:t>赋能</w:t>
            </w:r>
          </w:p>
        </w:tc>
        <w:tc>
          <w:tcPr>
            <w:tcW w:w="1267" w:type="dxa"/>
          </w:tcPr>
          <w:p>
            <w:pPr>
              <w:pStyle w:val="25"/>
              <w:spacing w:before="250" w:line="221" w:lineRule="auto"/>
              <w:ind w:left="160" w:firstLine="206" w:firstLineChars="100"/>
            </w:pPr>
            <w:r>
              <w:rPr>
                <w:rFonts w:hint="eastAsia"/>
                <w:spacing w:val="-2"/>
              </w:rPr>
              <w:t>办公区</w:t>
            </w:r>
          </w:p>
        </w:tc>
        <w:tc>
          <w:tcPr>
            <w:tcW w:w="4926" w:type="dxa"/>
          </w:tcPr>
          <w:p>
            <w:pPr>
              <w:pStyle w:val="25"/>
              <w:spacing w:before="250" w:line="220" w:lineRule="auto"/>
              <w:ind w:left="132"/>
            </w:pPr>
            <w:r>
              <w:rPr>
                <w:spacing w:val="-3"/>
              </w:rPr>
              <w:t>以</w:t>
            </w:r>
            <w:r>
              <w:rPr>
                <w:spacing w:val="-39"/>
              </w:rPr>
              <w:t xml:space="preserve"> </w:t>
            </w:r>
            <w:r>
              <w:rPr>
                <w:spacing w:val="-3"/>
              </w:rPr>
              <w:t>5G</w:t>
            </w:r>
            <w:r>
              <w:rPr>
                <w:spacing w:val="-48"/>
              </w:rPr>
              <w:t xml:space="preserve"> </w:t>
            </w:r>
            <w:r>
              <w:rPr>
                <w:spacing w:val="-3"/>
              </w:rPr>
              <w:t>传输技术为基础的项目运用。</w:t>
            </w:r>
          </w:p>
        </w:tc>
        <w:tc>
          <w:tcPr>
            <w:tcW w:w="855" w:type="dxa"/>
            <w:tcBorders>
              <w:right w:val="single" w:color="000000" w:sz="10" w:space="0"/>
            </w:tcBorders>
          </w:tcPr>
          <w:p>
            <w:pPr>
              <w:pStyle w:val="25"/>
              <w:spacing w:before="90" w:line="239" w:lineRule="auto"/>
              <w:ind w:left="122" w:right="94" w:firstLine="16"/>
            </w:pPr>
            <w:r>
              <w:rPr>
                <w:spacing w:val="-1"/>
              </w:rPr>
              <w:t>网络</w:t>
            </w:r>
            <w:r>
              <w:t xml:space="preserve"> </w:t>
            </w:r>
            <w:r>
              <w:rPr>
                <w:spacing w:val="-2"/>
              </w:rPr>
              <w:t>配置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8" w:hRule="atLeast"/>
        </w:trPr>
        <w:tc>
          <w:tcPr>
            <w:tcW w:w="706" w:type="dxa"/>
            <w:tcBorders>
              <w:left w:val="single" w:color="000000" w:sz="10" w:space="0"/>
            </w:tcBorders>
            <w:shd w:val="clear" w:color="auto" w:fill="BFBFBF"/>
          </w:tcPr>
          <w:p>
            <w:pPr>
              <w:spacing w:line="305" w:lineRule="auto"/>
              <w:rPr>
                <w:rFonts w:ascii="Arial"/>
              </w:rPr>
            </w:pPr>
          </w:p>
          <w:p>
            <w:pPr>
              <w:pStyle w:val="25"/>
              <w:spacing w:before="69" w:line="182" w:lineRule="auto"/>
              <w:ind w:left="241"/>
            </w:pPr>
            <w:r>
              <w:rPr>
                <w:rFonts w:hint="eastAsia"/>
                <w:spacing w:val="-3"/>
              </w:rPr>
              <w:t>29</w:t>
            </w:r>
          </w:p>
        </w:tc>
        <w:tc>
          <w:tcPr>
            <w:tcW w:w="1558" w:type="dxa"/>
          </w:tcPr>
          <w:p>
            <w:pPr>
              <w:spacing w:line="270" w:lineRule="auto"/>
              <w:rPr>
                <w:rFonts w:ascii="Arial"/>
              </w:rPr>
            </w:pPr>
          </w:p>
          <w:p>
            <w:pPr>
              <w:pStyle w:val="25"/>
              <w:spacing w:before="69" w:line="221" w:lineRule="auto"/>
              <w:ind w:left="352"/>
            </w:pPr>
            <w:r>
              <w:rPr>
                <w:spacing w:val="-2"/>
              </w:rPr>
              <w:t>全息投影</w:t>
            </w:r>
          </w:p>
        </w:tc>
        <w:tc>
          <w:tcPr>
            <w:tcW w:w="1267" w:type="dxa"/>
          </w:tcPr>
          <w:p>
            <w:pPr>
              <w:spacing w:line="270" w:lineRule="auto"/>
              <w:rPr>
                <w:rFonts w:ascii="Arial"/>
              </w:rPr>
            </w:pPr>
          </w:p>
          <w:p>
            <w:pPr>
              <w:pStyle w:val="25"/>
              <w:spacing w:before="68" w:line="223" w:lineRule="auto"/>
              <w:ind w:left="421"/>
            </w:pPr>
            <w:r>
              <w:rPr>
                <w:rFonts w:hint="eastAsia"/>
                <w:spacing w:val="-2"/>
              </w:rPr>
              <w:t>办公区</w:t>
            </w:r>
          </w:p>
        </w:tc>
        <w:tc>
          <w:tcPr>
            <w:tcW w:w="4926" w:type="dxa"/>
          </w:tcPr>
          <w:p>
            <w:pPr>
              <w:pStyle w:val="25"/>
              <w:spacing w:before="45" w:line="408" w:lineRule="exact"/>
              <w:ind w:left="108"/>
            </w:pPr>
            <w:r>
              <w:rPr>
                <w:spacing w:val="-1"/>
                <w:position w:val="15"/>
              </w:rPr>
              <w:t>立体模拟项目建设过程中重点、难点以及建筑</w:t>
            </w:r>
          </w:p>
          <w:p>
            <w:pPr>
              <w:pStyle w:val="25"/>
              <w:spacing w:line="220" w:lineRule="auto"/>
              <w:ind w:left="107"/>
            </w:pPr>
            <w:r>
              <w:rPr>
                <w:spacing w:val="-2"/>
              </w:rPr>
              <w:t>亮点。</w:t>
            </w:r>
          </w:p>
        </w:tc>
        <w:tc>
          <w:tcPr>
            <w:tcW w:w="855" w:type="dxa"/>
            <w:tcBorders>
              <w:right w:val="single" w:color="000000" w:sz="10" w:space="0"/>
            </w:tcBorders>
          </w:tcPr>
          <w:p>
            <w:pPr>
              <w:pStyle w:val="25"/>
              <w:spacing w:before="180" w:line="251" w:lineRule="auto"/>
              <w:ind w:left="124" w:right="115"/>
            </w:pPr>
            <w:r>
              <w:rPr>
                <w:spacing w:val="-5"/>
              </w:rPr>
              <w:t>形象</w:t>
            </w:r>
            <w:r>
              <w:t xml:space="preserve"> </w:t>
            </w:r>
            <w:r>
              <w:rPr>
                <w:spacing w:val="-4"/>
              </w:rPr>
              <w:t>展示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1" w:hRule="atLeast"/>
        </w:trPr>
        <w:tc>
          <w:tcPr>
            <w:tcW w:w="706" w:type="dxa"/>
            <w:tcBorders>
              <w:left w:val="single" w:color="000000" w:sz="10" w:space="0"/>
            </w:tcBorders>
            <w:shd w:val="clear" w:color="auto" w:fill="BFBFBF"/>
          </w:tcPr>
          <w:p>
            <w:pPr>
              <w:spacing w:line="308" w:lineRule="auto"/>
              <w:rPr>
                <w:rFonts w:ascii="Arial"/>
              </w:rPr>
            </w:pPr>
          </w:p>
          <w:p>
            <w:pPr>
              <w:pStyle w:val="25"/>
              <w:spacing w:before="69" w:line="182" w:lineRule="auto"/>
              <w:ind w:left="241"/>
            </w:pPr>
            <w:r>
              <w:rPr>
                <w:rFonts w:hint="eastAsia"/>
                <w:spacing w:val="-3"/>
              </w:rPr>
              <w:t>30</w:t>
            </w:r>
          </w:p>
        </w:tc>
        <w:tc>
          <w:tcPr>
            <w:tcW w:w="1558" w:type="dxa"/>
          </w:tcPr>
          <w:p>
            <w:pPr>
              <w:spacing w:line="273" w:lineRule="auto"/>
              <w:rPr>
                <w:rFonts w:ascii="Arial"/>
              </w:rPr>
            </w:pPr>
          </w:p>
          <w:p>
            <w:pPr>
              <w:pStyle w:val="25"/>
              <w:spacing w:before="68" w:line="221" w:lineRule="auto"/>
              <w:ind w:left="247"/>
            </w:pPr>
            <w:r>
              <w:rPr>
                <w:spacing w:val="-1"/>
              </w:rPr>
              <w:t>物体识别桌</w:t>
            </w:r>
          </w:p>
        </w:tc>
        <w:tc>
          <w:tcPr>
            <w:tcW w:w="1267" w:type="dxa"/>
          </w:tcPr>
          <w:p>
            <w:pPr>
              <w:spacing w:line="273" w:lineRule="auto"/>
              <w:rPr>
                <w:rFonts w:ascii="Arial"/>
              </w:rPr>
            </w:pPr>
          </w:p>
          <w:p>
            <w:pPr>
              <w:pStyle w:val="25"/>
              <w:spacing w:before="68" w:line="223" w:lineRule="auto"/>
              <w:ind w:left="421"/>
            </w:pPr>
            <w:r>
              <w:rPr>
                <w:rFonts w:hint="eastAsia"/>
                <w:spacing w:val="-2"/>
              </w:rPr>
              <w:t>办公区</w:t>
            </w:r>
          </w:p>
        </w:tc>
        <w:tc>
          <w:tcPr>
            <w:tcW w:w="4926" w:type="dxa"/>
          </w:tcPr>
          <w:p>
            <w:pPr>
              <w:pStyle w:val="25"/>
              <w:spacing w:before="50" w:line="408" w:lineRule="exact"/>
              <w:ind w:left="108"/>
            </w:pPr>
            <w:r>
              <w:rPr>
                <w:spacing w:val="-5"/>
                <w:position w:val="15"/>
              </w:rPr>
              <w:t>通过移动桌面物体，</w:t>
            </w:r>
            <w:r>
              <w:rPr>
                <w:spacing w:val="-4"/>
                <w:position w:val="15"/>
              </w:rPr>
              <w:t xml:space="preserve"> </w:t>
            </w:r>
            <w:r>
              <w:rPr>
                <w:spacing w:val="-5"/>
                <w:position w:val="15"/>
              </w:rPr>
              <w:t>详细查看项目的技术创新成</w:t>
            </w:r>
          </w:p>
          <w:p>
            <w:pPr>
              <w:pStyle w:val="25"/>
              <w:spacing w:line="221" w:lineRule="auto"/>
              <w:ind w:left="112"/>
            </w:pPr>
            <w:r>
              <w:rPr>
                <w:spacing w:val="-11"/>
              </w:rPr>
              <w:t>果。</w:t>
            </w:r>
          </w:p>
        </w:tc>
        <w:tc>
          <w:tcPr>
            <w:tcW w:w="855" w:type="dxa"/>
            <w:tcBorders>
              <w:right w:val="single" w:color="000000" w:sz="10" w:space="0"/>
            </w:tcBorders>
          </w:tcPr>
          <w:p>
            <w:pPr>
              <w:pStyle w:val="25"/>
              <w:spacing w:before="183" w:line="252" w:lineRule="auto"/>
              <w:ind w:left="124" w:right="115"/>
            </w:pPr>
            <w:r>
              <w:rPr>
                <w:spacing w:val="-5"/>
              </w:rPr>
              <w:t>形象</w:t>
            </w:r>
            <w:r>
              <w:t xml:space="preserve"> </w:t>
            </w:r>
            <w:r>
              <w:rPr>
                <w:spacing w:val="-4"/>
              </w:rPr>
              <w:t>展示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42" w:hRule="atLeast"/>
        </w:trPr>
        <w:tc>
          <w:tcPr>
            <w:tcW w:w="706" w:type="dxa"/>
            <w:tcBorders>
              <w:left w:val="single" w:color="000000" w:sz="10" w:space="0"/>
              <w:bottom w:val="single" w:color="000000" w:sz="10" w:space="0"/>
            </w:tcBorders>
            <w:shd w:val="clear" w:color="auto" w:fill="BFBFBF"/>
          </w:tcPr>
          <w:p>
            <w:pPr>
              <w:spacing w:line="310" w:lineRule="auto"/>
              <w:rPr>
                <w:rFonts w:ascii="Arial"/>
              </w:rPr>
            </w:pPr>
          </w:p>
          <w:p>
            <w:pPr>
              <w:pStyle w:val="25"/>
              <w:spacing w:before="68" w:line="182" w:lineRule="auto"/>
              <w:ind w:left="241"/>
            </w:pPr>
            <w:r>
              <w:rPr>
                <w:rFonts w:hint="eastAsia"/>
                <w:spacing w:val="-3"/>
              </w:rPr>
              <w:t>31</w:t>
            </w:r>
          </w:p>
        </w:tc>
        <w:tc>
          <w:tcPr>
            <w:tcW w:w="1558" w:type="dxa"/>
            <w:tcBorders>
              <w:bottom w:val="single" w:color="000000" w:sz="10" w:space="0"/>
            </w:tcBorders>
          </w:tcPr>
          <w:p>
            <w:pPr>
              <w:pStyle w:val="25"/>
              <w:spacing w:before="184" w:line="322" w:lineRule="exact"/>
              <w:ind w:left="352"/>
            </w:pPr>
            <w:r>
              <w:rPr>
                <w:spacing w:val="-2"/>
                <w:position w:val="8"/>
              </w:rPr>
              <w:t>通电玻璃</w:t>
            </w:r>
          </w:p>
          <w:p>
            <w:pPr>
              <w:pStyle w:val="25"/>
              <w:spacing w:line="221" w:lineRule="auto"/>
              <w:ind w:left="482"/>
            </w:pPr>
            <w:r>
              <w:rPr>
                <w:spacing w:val="-7"/>
              </w:rPr>
              <w:t>电动门</w:t>
            </w:r>
          </w:p>
        </w:tc>
        <w:tc>
          <w:tcPr>
            <w:tcW w:w="1267" w:type="dxa"/>
            <w:tcBorders>
              <w:bottom w:val="single" w:color="000000" w:sz="10" w:space="0"/>
            </w:tcBorders>
          </w:tcPr>
          <w:p>
            <w:pPr>
              <w:spacing w:line="275" w:lineRule="auto"/>
              <w:rPr>
                <w:rFonts w:ascii="Arial"/>
              </w:rPr>
            </w:pPr>
          </w:p>
          <w:p>
            <w:pPr>
              <w:pStyle w:val="25"/>
              <w:spacing w:before="68" w:line="223" w:lineRule="auto"/>
              <w:ind w:left="421"/>
            </w:pPr>
            <w:r>
              <w:rPr>
                <w:rFonts w:hint="eastAsia"/>
                <w:spacing w:val="-2"/>
              </w:rPr>
              <w:t>办公区</w:t>
            </w:r>
          </w:p>
        </w:tc>
        <w:tc>
          <w:tcPr>
            <w:tcW w:w="4926" w:type="dxa"/>
            <w:tcBorders>
              <w:bottom w:val="single" w:color="000000" w:sz="10" w:space="0"/>
            </w:tcBorders>
          </w:tcPr>
          <w:p>
            <w:pPr>
              <w:pStyle w:val="25"/>
              <w:spacing w:before="50" w:line="410" w:lineRule="exact"/>
              <w:ind w:left="319"/>
            </w:pPr>
            <w:r>
              <w:rPr>
                <w:spacing w:val="-1"/>
                <w:position w:val="15"/>
              </w:rPr>
              <w:t>通电后玻璃门由雾状变透明并自动向左右两边移</w:t>
            </w:r>
          </w:p>
          <w:p>
            <w:pPr>
              <w:pStyle w:val="25"/>
              <w:spacing w:line="219" w:lineRule="auto"/>
              <w:ind w:left="109"/>
            </w:pPr>
            <w:r>
              <w:rPr>
                <w:spacing w:val="-1"/>
              </w:rPr>
              <w:t>动，电动门开启，可当屏幕使用。</w:t>
            </w:r>
          </w:p>
        </w:tc>
        <w:tc>
          <w:tcPr>
            <w:tcW w:w="855" w:type="dxa"/>
            <w:tcBorders>
              <w:bottom w:val="single" w:color="000000" w:sz="10" w:space="0"/>
              <w:right w:val="single" w:color="000000" w:sz="10" w:space="0"/>
            </w:tcBorders>
          </w:tcPr>
          <w:p>
            <w:pPr>
              <w:pStyle w:val="25"/>
              <w:spacing w:before="141" w:line="231" w:lineRule="auto"/>
              <w:ind w:left="124" w:right="115"/>
            </w:pPr>
            <w:r>
              <w:rPr>
                <w:spacing w:val="-5"/>
              </w:rPr>
              <w:t>形象</w:t>
            </w:r>
            <w:r>
              <w:t xml:space="preserve"> </w:t>
            </w:r>
            <w:r>
              <w:rPr>
                <w:spacing w:val="-4"/>
              </w:rPr>
              <w:t>展示</w:t>
            </w:r>
          </w:p>
        </w:tc>
      </w:tr>
    </w:tbl>
    <w:p>
      <w:pPr>
        <w:widowControl/>
        <w:shd w:val="clear" w:color="auto" w:fill="FFFFFF"/>
        <w:tabs>
          <w:tab w:val="left" w:pos="0"/>
        </w:tabs>
        <w:adjustRightInd w:val="0"/>
        <w:snapToGrid w:val="0"/>
        <w:spacing w:line="360" w:lineRule="auto"/>
        <w:rPr>
          <w:rFonts w:hAnsi="宋体"/>
          <w:kern w:val="0"/>
          <w:szCs w:val="21"/>
        </w:rPr>
      </w:pPr>
    </w:p>
    <w:p>
      <w:pPr>
        <w:widowControl/>
        <w:shd w:val="clear" w:color="auto" w:fill="FFFFFF"/>
        <w:tabs>
          <w:tab w:val="left" w:pos="0"/>
        </w:tabs>
        <w:adjustRightInd w:val="0"/>
        <w:snapToGrid w:val="0"/>
        <w:spacing w:line="360" w:lineRule="auto"/>
        <w:rPr>
          <w:rFonts w:hAnsi="宋体"/>
          <w:kern w:val="0"/>
          <w:szCs w:val="21"/>
        </w:rPr>
      </w:pPr>
      <w:r>
        <w:rPr>
          <w:rFonts w:hint="eastAsia" w:hAnsi="宋体"/>
          <w:kern w:val="0"/>
          <w:szCs w:val="21"/>
        </w:rPr>
        <w:t>注</w:t>
      </w:r>
      <w:r>
        <w:rPr>
          <w:rFonts w:hAnsi="宋体"/>
          <w:kern w:val="0"/>
          <w:szCs w:val="21"/>
        </w:rPr>
        <w:t>：</w:t>
      </w:r>
      <w:r>
        <w:rPr>
          <w:rFonts w:hint="eastAsia" w:hAnsi="宋体"/>
          <w:kern w:val="0"/>
          <w:szCs w:val="21"/>
        </w:rPr>
        <w:t>模块</w:t>
      </w:r>
      <w:r>
        <w:rPr>
          <w:rFonts w:hAnsi="宋体"/>
          <w:kern w:val="0"/>
          <w:szCs w:val="21"/>
        </w:rPr>
        <w:t>数量按照项目</w:t>
      </w:r>
      <w:r>
        <w:rPr>
          <w:rFonts w:hint="eastAsia" w:hAnsi="宋体"/>
          <w:kern w:val="0"/>
          <w:szCs w:val="21"/>
        </w:rPr>
        <w:t>规模</w:t>
      </w:r>
      <w:r>
        <w:rPr>
          <w:rFonts w:hAnsi="宋体"/>
          <w:kern w:val="0"/>
          <w:szCs w:val="21"/>
        </w:rPr>
        <w:t>来</w:t>
      </w:r>
      <w:r>
        <w:rPr>
          <w:rFonts w:hint="eastAsia" w:hAnsi="宋体"/>
          <w:kern w:val="0"/>
          <w:szCs w:val="21"/>
        </w:rPr>
        <w:t>调整</w:t>
      </w:r>
    </w:p>
    <w:p>
      <w:pPr>
        <w:widowControl/>
        <w:shd w:val="clear" w:color="auto" w:fill="FFFFFF"/>
        <w:tabs>
          <w:tab w:val="left" w:pos="0"/>
        </w:tabs>
        <w:adjustRightInd w:val="0"/>
        <w:snapToGrid w:val="0"/>
        <w:spacing w:line="360" w:lineRule="auto"/>
        <w:jc w:val="center"/>
        <w:rPr>
          <w:rFonts w:hAnsi="宋体"/>
          <w:kern w:val="0"/>
          <w:szCs w:val="21"/>
        </w:rPr>
      </w:pPr>
      <w:r>
        <w:rPr>
          <w:rFonts w:hAnsi="宋体"/>
          <w:kern w:val="0"/>
          <w:szCs w:val="21"/>
        </w:rPr>
        <w:drawing>
          <wp:inline distT="0" distB="0" distL="0" distR="0">
            <wp:extent cx="3733800" cy="1952625"/>
            <wp:effectExtent l="0" t="0" r="0" b="13335"/>
            <wp:docPr id="19591973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97304" name="图片 1"/>
                    <pic:cNvPicPr>
                      <a:picLocks noChangeAspect="1"/>
                    </pic:cNvPicPr>
                  </pic:nvPicPr>
                  <pic:blipFill>
                    <a:blip r:embed="rId62"/>
                    <a:stretch>
                      <a:fillRect/>
                    </a:stretch>
                  </pic:blipFill>
                  <pic:spPr>
                    <a:xfrm>
                      <a:off x="0" y="0"/>
                      <a:ext cx="3742362" cy="1957238"/>
                    </a:xfrm>
                    <a:prstGeom prst="rect">
                      <a:avLst/>
                    </a:prstGeom>
                  </pic:spPr>
                </pic:pic>
              </a:graphicData>
            </a:graphic>
          </wp:inline>
        </w:drawing>
      </w:r>
      <w:r>
        <w:rPr>
          <w:rFonts w:hint="eastAsia" w:hAnsi="宋体"/>
          <w:kern w:val="0"/>
          <w:szCs w:val="21"/>
        </w:rPr>
        <w:t xml:space="preserve">  </w:t>
      </w:r>
    </w:p>
    <w:p>
      <w:pPr>
        <w:widowControl/>
        <w:shd w:val="clear" w:color="auto" w:fill="FFFFFF"/>
        <w:tabs>
          <w:tab w:val="left" w:pos="0"/>
        </w:tabs>
        <w:adjustRightInd w:val="0"/>
        <w:snapToGrid w:val="0"/>
        <w:spacing w:line="360" w:lineRule="auto"/>
        <w:jc w:val="center"/>
        <w:rPr>
          <w:rFonts w:hAnsi="宋体"/>
          <w:kern w:val="0"/>
          <w:szCs w:val="21"/>
        </w:rPr>
      </w:pPr>
      <w:r>
        <w:rPr>
          <w:rFonts w:hint="eastAsia" w:hAnsi="宋体"/>
          <w:b/>
          <w:bCs/>
          <w:kern w:val="0"/>
          <w:szCs w:val="21"/>
        </w:rPr>
        <w:t>作战指挥中心智慧大屏实例图</w:t>
      </w:r>
    </w:p>
    <w:p>
      <w:pPr>
        <w:widowControl/>
        <w:shd w:val="clear" w:color="auto" w:fill="FFFFFF"/>
        <w:tabs>
          <w:tab w:val="left" w:pos="0"/>
        </w:tabs>
        <w:adjustRightInd w:val="0"/>
        <w:snapToGrid w:val="0"/>
        <w:spacing w:line="360" w:lineRule="auto"/>
        <w:jc w:val="center"/>
        <w:rPr>
          <w:rFonts w:hint="eastAsia" w:eastAsia="宋体"/>
          <w:lang w:eastAsia="zh-CN"/>
        </w:rPr>
      </w:pPr>
      <w:r>
        <w:rPr>
          <w:rFonts w:hint="eastAsia" w:eastAsia="宋体"/>
          <w:lang w:eastAsia="zh-CN"/>
        </w:rPr>
        <w:drawing>
          <wp:inline distT="0" distB="0" distL="114300" distR="114300">
            <wp:extent cx="3659505" cy="2001520"/>
            <wp:effectExtent l="0" t="0" r="13335" b="10160"/>
            <wp:docPr id="49" name="图片 49" descr="c71c28479a22cc59528b488738465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71c28479a22cc59528b4887384659c"/>
                    <pic:cNvPicPr>
                      <a:picLocks noChangeAspect="1"/>
                    </pic:cNvPicPr>
                  </pic:nvPicPr>
                  <pic:blipFill>
                    <a:blip r:embed="rId63"/>
                    <a:stretch>
                      <a:fillRect/>
                    </a:stretch>
                  </pic:blipFill>
                  <pic:spPr>
                    <a:xfrm>
                      <a:off x="0" y="0"/>
                      <a:ext cx="3659505" cy="2001520"/>
                    </a:xfrm>
                    <a:prstGeom prst="rect">
                      <a:avLst/>
                    </a:prstGeom>
                  </pic:spPr>
                </pic:pic>
              </a:graphicData>
            </a:graphic>
          </wp:inline>
        </w:drawing>
      </w:r>
    </w:p>
    <w:p>
      <w:pPr>
        <w:widowControl/>
        <w:shd w:val="clear" w:color="auto" w:fill="FFFFFF"/>
        <w:tabs>
          <w:tab w:val="left" w:pos="0"/>
        </w:tabs>
        <w:adjustRightInd w:val="0"/>
        <w:snapToGrid w:val="0"/>
        <w:spacing w:line="360" w:lineRule="auto"/>
        <w:jc w:val="center"/>
        <w:rPr>
          <w:rFonts w:hAnsi="宋体"/>
          <w:kern w:val="0"/>
          <w:szCs w:val="21"/>
        </w:rPr>
      </w:pPr>
      <w:r>
        <w:rPr>
          <w:rFonts w:hint="eastAsia" w:hAnsi="宋体"/>
          <w:b/>
          <w:bCs/>
          <w:kern w:val="0"/>
          <w:szCs w:val="21"/>
        </w:rPr>
        <w:t>作战指挥中心智慧大屏示意图</w:t>
      </w:r>
    </w:p>
    <w:p>
      <w:pPr>
        <w:pStyle w:val="8"/>
        <w:adjustRightInd w:val="0"/>
        <w:snapToGrid w:val="0"/>
        <w:spacing w:line="360" w:lineRule="auto"/>
        <w:rPr>
          <w:b/>
          <w:bCs/>
        </w:rPr>
      </w:pPr>
      <w:bookmarkStart w:id="492" w:name="_Toc46597522"/>
      <w:bookmarkStart w:id="493" w:name="_Toc55581815"/>
      <w:bookmarkStart w:id="494" w:name="_Toc56444465"/>
      <w:r>
        <w:rPr>
          <w:rFonts w:hint="eastAsia"/>
          <w:b/>
          <w:bCs/>
        </w:rPr>
        <w:t>4、</w:t>
      </w:r>
      <w:bookmarkEnd w:id="492"/>
      <w:bookmarkEnd w:id="493"/>
      <w:bookmarkEnd w:id="494"/>
      <w:r>
        <w:rPr>
          <w:rFonts w:hint="eastAsia"/>
          <w:b/>
          <w:bCs/>
        </w:rPr>
        <w:t>智慧工地平台不达标要求</w:t>
      </w:r>
    </w:p>
    <w:p>
      <w:pPr>
        <w:adjustRightInd w:val="0"/>
        <w:snapToGrid w:val="0"/>
        <w:spacing w:line="360" w:lineRule="auto"/>
        <w:ind w:left="360"/>
        <w:rPr>
          <w:snapToGrid w:val="0"/>
          <w:spacing w:val="4"/>
          <w:kern w:val="0"/>
          <w:sz w:val="24"/>
          <w:szCs w:val="24"/>
        </w:rPr>
      </w:pPr>
      <w:r>
        <w:rPr>
          <w:rFonts w:hint="eastAsia"/>
          <w:snapToGrid w:val="0"/>
          <w:spacing w:val="4"/>
          <w:kern w:val="0"/>
          <w:sz w:val="24"/>
          <w:szCs w:val="24"/>
        </w:rPr>
        <w:t>（1）整体</w:t>
      </w:r>
      <w:r>
        <w:rPr>
          <w:snapToGrid w:val="0"/>
          <w:spacing w:val="4"/>
          <w:kern w:val="0"/>
          <w:sz w:val="24"/>
          <w:szCs w:val="24"/>
        </w:rPr>
        <w:t>要求：</w:t>
      </w:r>
    </w:p>
    <w:p>
      <w:pPr>
        <w:widowControl/>
        <w:shd w:val="clear" w:color="auto" w:fill="FFFFFF"/>
        <w:tabs>
          <w:tab w:val="left" w:pos="0"/>
        </w:tabs>
        <w:adjustRightInd w:val="0"/>
        <w:snapToGrid w:val="0"/>
        <w:spacing w:line="360" w:lineRule="auto"/>
        <w:ind w:left="360" w:firstLine="496" w:firstLineChars="200"/>
        <w:rPr>
          <w:snapToGrid w:val="0"/>
          <w:spacing w:val="4"/>
          <w:kern w:val="0"/>
          <w:sz w:val="24"/>
          <w:szCs w:val="24"/>
        </w:rPr>
      </w:pPr>
      <w:r>
        <w:rPr>
          <w:rFonts w:hint="eastAsia"/>
          <w:snapToGrid w:val="0"/>
          <w:spacing w:val="4"/>
          <w:kern w:val="0"/>
          <w:sz w:val="24"/>
          <w:szCs w:val="24"/>
        </w:rPr>
        <w:t>劳务实名制系统供应商必须为实施当年《广州市住房和城乡建设局关于公布广州市建设领域管理应用信息平台考勤设备供应商名录》内的单位。</w:t>
      </w:r>
    </w:p>
    <w:p>
      <w:pPr>
        <w:widowControl/>
        <w:shd w:val="clear" w:color="auto" w:fill="FFFFFF"/>
        <w:tabs>
          <w:tab w:val="left" w:pos="0"/>
        </w:tabs>
        <w:adjustRightInd w:val="0"/>
        <w:snapToGrid w:val="0"/>
        <w:spacing w:line="360" w:lineRule="auto"/>
        <w:ind w:left="360" w:firstLine="496" w:firstLineChars="200"/>
        <w:rPr>
          <w:snapToGrid w:val="0"/>
          <w:spacing w:val="4"/>
          <w:kern w:val="0"/>
          <w:sz w:val="24"/>
          <w:szCs w:val="24"/>
        </w:rPr>
      </w:pPr>
      <w:r>
        <w:rPr>
          <w:rFonts w:hint="eastAsia"/>
          <w:snapToGrid w:val="0"/>
          <w:spacing w:val="4"/>
          <w:kern w:val="0"/>
          <w:sz w:val="24"/>
          <w:szCs w:val="24"/>
        </w:rPr>
        <w:t>如项目未按规定建设，未达到智慧工地云平台质量验收标准，或验收后数据对接及传送达不到要求，可由发包人督促或指定服务单位整改，整改产生的相关费用由承包人承担。</w:t>
      </w:r>
    </w:p>
    <w:p>
      <w:pPr>
        <w:widowControl/>
        <w:shd w:val="clear" w:color="auto" w:fill="FFFFFF"/>
        <w:tabs>
          <w:tab w:val="left" w:pos="0"/>
        </w:tabs>
        <w:adjustRightInd w:val="0"/>
        <w:snapToGrid w:val="0"/>
        <w:spacing w:line="360" w:lineRule="auto"/>
        <w:ind w:left="360" w:firstLine="496" w:firstLineChars="200"/>
        <w:rPr>
          <w:snapToGrid w:val="0"/>
          <w:spacing w:val="4"/>
          <w:kern w:val="0"/>
          <w:sz w:val="24"/>
          <w:szCs w:val="24"/>
        </w:rPr>
      </w:pPr>
      <w:r>
        <w:rPr>
          <w:rFonts w:hint="eastAsia"/>
          <w:snapToGrid w:val="0"/>
          <w:spacing w:val="4"/>
          <w:kern w:val="0"/>
          <w:sz w:val="24"/>
          <w:szCs w:val="24"/>
        </w:rPr>
        <w:t>平台接口不开放，</w:t>
      </w:r>
      <w:r>
        <w:rPr>
          <w:snapToGrid w:val="0"/>
          <w:spacing w:val="4"/>
          <w:kern w:val="0"/>
          <w:sz w:val="24"/>
          <w:szCs w:val="24"/>
        </w:rPr>
        <w:t>或者开放不全者</w:t>
      </w:r>
      <w:r>
        <w:rPr>
          <w:rFonts w:hint="eastAsia"/>
          <w:snapToGrid w:val="0"/>
          <w:spacing w:val="4"/>
          <w:kern w:val="0"/>
          <w:sz w:val="24"/>
          <w:szCs w:val="24"/>
        </w:rPr>
        <w:t>，</w:t>
      </w:r>
      <w:r>
        <w:rPr>
          <w:snapToGrid w:val="0"/>
          <w:spacing w:val="4"/>
          <w:kern w:val="0"/>
          <w:sz w:val="24"/>
          <w:szCs w:val="24"/>
        </w:rPr>
        <w:t>发包</w:t>
      </w:r>
      <w:r>
        <w:rPr>
          <w:rFonts w:hint="eastAsia"/>
          <w:snapToGrid w:val="0"/>
          <w:spacing w:val="4"/>
          <w:kern w:val="0"/>
          <w:sz w:val="24"/>
          <w:szCs w:val="24"/>
        </w:rPr>
        <w:t>人</w:t>
      </w:r>
      <w:r>
        <w:rPr>
          <w:snapToGrid w:val="0"/>
          <w:spacing w:val="4"/>
          <w:kern w:val="0"/>
          <w:sz w:val="24"/>
          <w:szCs w:val="24"/>
        </w:rPr>
        <w:t>有权将接口开发或者整个</w:t>
      </w:r>
      <w:r>
        <w:rPr>
          <w:rFonts w:hint="eastAsia"/>
          <w:snapToGrid w:val="0"/>
          <w:spacing w:val="4"/>
          <w:kern w:val="0"/>
          <w:sz w:val="24"/>
          <w:szCs w:val="24"/>
        </w:rPr>
        <w:t>模块交由</w:t>
      </w:r>
      <w:r>
        <w:rPr>
          <w:snapToGrid w:val="0"/>
          <w:spacing w:val="4"/>
          <w:kern w:val="0"/>
          <w:sz w:val="24"/>
          <w:szCs w:val="24"/>
        </w:rPr>
        <w:t>其他方</w:t>
      </w:r>
      <w:r>
        <w:rPr>
          <w:rFonts w:hint="eastAsia"/>
          <w:snapToGrid w:val="0"/>
          <w:spacing w:val="4"/>
          <w:kern w:val="0"/>
          <w:sz w:val="24"/>
          <w:szCs w:val="24"/>
        </w:rPr>
        <w:t>按照</w:t>
      </w:r>
      <w:r>
        <w:rPr>
          <w:snapToGrid w:val="0"/>
          <w:spacing w:val="4"/>
          <w:kern w:val="0"/>
          <w:sz w:val="24"/>
          <w:szCs w:val="24"/>
        </w:rPr>
        <w:t>要求完成，以便本项目顺利实施。</w:t>
      </w:r>
      <w:r>
        <w:rPr>
          <w:rFonts w:hint="eastAsia"/>
          <w:snapToGrid w:val="0"/>
          <w:spacing w:val="4"/>
          <w:kern w:val="0"/>
          <w:sz w:val="24"/>
          <w:szCs w:val="24"/>
        </w:rPr>
        <w:t>费用</w:t>
      </w:r>
      <w:r>
        <w:rPr>
          <w:snapToGrid w:val="0"/>
          <w:spacing w:val="4"/>
          <w:kern w:val="0"/>
          <w:sz w:val="24"/>
          <w:szCs w:val="24"/>
        </w:rPr>
        <w:t>由</w:t>
      </w:r>
      <w:r>
        <w:rPr>
          <w:rFonts w:hint="eastAsia"/>
          <w:snapToGrid w:val="0"/>
          <w:spacing w:val="4"/>
          <w:kern w:val="0"/>
          <w:sz w:val="24"/>
          <w:szCs w:val="24"/>
        </w:rPr>
        <w:t>承包人</w:t>
      </w:r>
      <w:r>
        <w:rPr>
          <w:snapToGrid w:val="0"/>
          <w:spacing w:val="4"/>
          <w:kern w:val="0"/>
          <w:sz w:val="24"/>
          <w:szCs w:val="24"/>
        </w:rPr>
        <w:t>承担。</w:t>
      </w:r>
      <w:r>
        <w:rPr>
          <w:rFonts w:hint="eastAsia"/>
          <w:snapToGrid w:val="0"/>
          <w:spacing w:val="4"/>
          <w:kern w:val="0"/>
          <w:sz w:val="24"/>
          <w:szCs w:val="24"/>
        </w:rPr>
        <w:t>智慧</w:t>
      </w:r>
      <w:r>
        <w:rPr>
          <w:snapToGrid w:val="0"/>
          <w:spacing w:val="4"/>
          <w:kern w:val="0"/>
          <w:sz w:val="24"/>
          <w:szCs w:val="24"/>
        </w:rPr>
        <w:t>工地平台</w:t>
      </w:r>
      <w:r>
        <w:rPr>
          <w:rFonts w:hint="eastAsia"/>
          <w:snapToGrid w:val="0"/>
          <w:spacing w:val="4"/>
          <w:kern w:val="0"/>
          <w:sz w:val="24"/>
          <w:szCs w:val="24"/>
        </w:rPr>
        <w:t>各模块</w:t>
      </w:r>
      <w:r>
        <w:rPr>
          <w:snapToGrid w:val="0"/>
          <w:spacing w:val="4"/>
          <w:kern w:val="0"/>
          <w:sz w:val="24"/>
          <w:szCs w:val="24"/>
        </w:rPr>
        <w:t>接口集将</w:t>
      </w:r>
      <w:r>
        <w:rPr>
          <w:rFonts w:hint="eastAsia"/>
          <w:snapToGrid w:val="0"/>
          <w:spacing w:val="4"/>
          <w:kern w:val="0"/>
          <w:sz w:val="24"/>
          <w:szCs w:val="24"/>
        </w:rPr>
        <w:t>依据</w:t>
      </w:r>
      <w:r>
        <w:rPr>
          <w:snapToGrid w:val="0"/>
          <w:spacing w:val="4"/>
          <w:kern w:val="0"/>
          <w:sz w:val="24"/>
          <w:szCs w:val="24"/>
        </w:rPr>
        <w:t>具体项目</w:t>
      </w:r>
      <w:r>
        <w:rPr>
          <w:rFonts w:hint="eastAsia"/>
          <w:snapToGrid w:val="0"/>
          <w:spacing w:val="4"/>
          <w:kern w:val="0"/>
          <w:sz w:val="24"/>
          <w:szCs w:val="24"/>
        </w:rPr>
        <w:t>具体</w:t>
      </w:r>
      <w:r>
        <w:rPr>
          <w:snapToGrid w:val="0"/>
          <w:spacing w:val="4"/>
          <w:kern w:val="0"/>
          <w:sz w:val="24"/>
          <w:szCs w:val="24"/>
        </w:rPr>
        <w:t>设定。</w:t>
      </w:r>
    </w:p>
    <w:p>
      <w:pPr>
        <w:widowControl/>
        <w:shd w:val="clear" w:color="auto" w:fill="FFFFFF"/>
        <w:tabs>
          <w:tab w:val="left" w:pos="0"/>
        </w:tabs>
        <w:adjustRightInd w:val="0"/>
        <w:snapToGrid w:val="0"/>
        <w:spacing w:line="360" w:lineRule="auto"/>
        <w:ind w:left="360" w:firstLine="496" w:firstLineChars="200"/>
        <w:rPr>
          <w:snapToGrid w:val="0"/>
          <w:spacing w:val="4"/>
          <w:kern w:val="0"/>
          <w:sz w:val="24"/>
          <w:szCs w:val="24"/>
        </w:rPr>
      </w:pPr>
      <w:r>
        <w:rPr>
          <w:rFonts w:hint="eastAsia"/>
          <w:snapToGrid w:val="0"/>
          <w:spacing w:val="4"/>
          <w:kern w:val="0"/>
          <w:sz w:val="24"/>
          <w:szCs w:val="24"/>
        </w:rPr>
        <w:t>若</w:t>
      </w:r>
      <w:r>
        <w:rPr>
          <w:snapToGrid w:val="0"/>
          <w:spacing w:val="4"/>
          <w:kern w:val="0"/>
          <w:sz w:val="24"/>
          <w:szCs w:val="24"/>
        </w:rPr>
        <w:t>平台</w:t>
      </w:r>
      <w:r>
        <w:rPr>
          <w:rFonts w:hint="eastAsia"/>
          <w:snapToGrid w:val="0"/>
          <w:spacing w:val="4"/>
          <w:kern w:val="0"/>
          <w:sz w:val="24"/>
          <w:szCs w:val="24"/>
        </w:rPr>
        <w:t>要求</w:t>
      </w:r>
      <w:r>
        <w:rPr>
          <w:snapToGrid w:val="0"/>
          <w:spacing w:val="4"/>
          <w:kern w:val="0"/>
          <w:sz w:val="24"/>
          <w:szCs w:val="24"/>
        </w:rPr>
        <w:t>不达标</w:t>
      </w:r>
      <w:r>
        <w:rPr>
          <w:rFonts w:hint="eastAsia"/>
          <w:snapToGrid w:val="0"/>
          <w:spacing w:val="4"/>
          <w:kern w:val="0"/>
          <w:sz w:val="24"/>
          <w:szCs w:val="24"/>
        </w:rPr>
        <w:t>，</w:t>
      </w:r>
      <w:r>
        <w:rPr>
          <w:snapToGrid w:val="0"/>
          <w:spacing w:val="4"/>
          <w:kern w:val="0"/>
          <w:sz w:val="24"/>
          <w:szCs w:val="24"/>
        </w:rPr>
        <w:t>对外接口缺失等，将按照不同情况</w:t>
      </w:r>
      <w:r>
        <w:rPr>
          <w:rFonts w:hint="eastAsia"/>
          <w:snapToGrid w:val="0"/>
          <w:spacing w:val="4"/>
          <w:kern w:val="0"/>
          <w:sz w:val="24"/>
          <w:szCs w:val="24"/>
        </w:rPr>
        <w:t>处罚</w:t>
      </w:r>
      <w:r>
        <w:rPr>
          <w:snapToGrid w:val="0"/>
          <w:spacing w:val="4"/>
          <w:kern w:val="0"/>
          <w:sz w:val="24"/>
          <w:szCs w:val="24"/>
        </w:rPr>
        <w:t>，如分为书面警告</w:t>
      </w:r>
      <w:r>
        <w:rPr>
          <w:rFonts w:hint="eastAsia"/>
          <w:snapToGrid w:val="0"/>
          <w:spacing w:val="4"/>
          <w:kern w:val="0"/>
          <w:sz w:val="24"/>
          <w:szCs w:val="24"/>
        </w:rPr>
        <w:t>、</w:t>
      </w:r>
      <w:r>
        <w:rPr>
          <w:snapToGrid w:val="0"/>
          <w:spacing w:val="4"/>
          <w:kern w:val="0"/>
          <w:sz w:val="24"/>
          <w:szCs w:val="24"/>
        </w:rPr>
        <w:t>一般违约责任</w:t>
      </w:r>
      <w:r>
        <w:rPr>
          <w:rFonts w:hint="eastAsia"/>
          <w:snapToGrid w:val="0"/>
          <w:spacing w:val="4"/>
          <w:kern w:val="0"/>
          <w:sz w:val="24"/>
          <w:szCs w:val="24"/>
        </w:rPr>
        <w:t>、</w:t>
      </w:r>
      <w:r>
        <w:rPr>
          <w:snapToGrid w:val="0"/>
          <w:spacing w:val="4"/>
          <w:kern w:val="0"/>
          <w:sz w:val="24"/>
          <w:szCs w:val="24"/>
        </w:rPr>
        <w:t>严重违约责任</w:t>
      </w:r>
      <w:r>
        <w:rPr>
          <w:rFonts w:hint="eastAsia"/>
          <w:snapToGrid w:val="0"/>
          <w:spacing w:val="4"/>
          <w:kern w:val="0"/>
          <w:sz w:val="24"/>
          <w:szCs w:val="24"/>
        </w:rPr>
        <w:t>，</w:t>
      </w:r>
      <w:r>
        <w:rPr>
          <w:snapToGrid w:val="0"/>
          <w:spacing w:val="4"/>
          <w:kern w:val="0"/>
          <w:sz w:val="24"/>
          <w:szCs w:val="24"/>
        </w:rPr>
        <w:t>首次发现问题警告，三次警告即为一</w:t>
      </w:r>
      <w:r>
        <w:rPr>
          <w:rFonts w:hint="eastAsia"/>
          <w:snapToGrid w:val="0"/>
          <w:spacing w:val="4"/>
          <w:kern w:val="0"/>
          <w:sz w:val="24"/>
          <w:szCs w:val="24"/>
        </w:rPr>
        <w:t>般</w:t>
      </w:r>
      <w:r>
        <w:rPr>
          <w:snapToGrid w:val="0"/>
          <w:spacing w:val="4"/>
          <w:kern w:val="0"/>
          <w:sz w:val="24"/>
          <w:szCs w:val="24"/>
        </w:rPr>
        <w:t>违约责任，三次一般违约责任即为严重违约责任</w:t>
      </w:r>
      <w:r>
        <w:rPr>
          <w:rFonts w:hint="eastAsia"/>
          <w:snapToGrid w:val="0"/>
          <w:spacing w:val="4"/>
          <w:kern w:val="0"/>
          <w:sz w:val="24"/>
          <w:szCs w:val="24"/>
        </w:rPr>
        <w:t>。</w:t>
      </w:r>
    </w:p>
    <w:p>
      <w:pPr>
        <w:widowControl/>
        <w:shd w:val="clear" w:color="auto" w:fill="FFFFFF"/>
        <w:tabs>
          <w:tab w:val="left" w:pos="0"/>
        </w:tabs>
        <w:adjustRightInd w:val="0"/>
        <w:snapToGrid w:val="0"/>
        <w:spacing w:line="360" w:lineRule="auto"/>
        <w:ind w:firstLine="248" w:firstLineChars="100"/>
        <w:rPr>
          <w:snapToGrid w:val="0"/>
          <w:spacing w:val="4"/>
          <w:kern w:val="0"/>
          <w:sz w:val="24"/>
          <w:szCs w:val="24"/>
        </w:rPr>
      </w:pPr>
      <w:r>
        <w:rPr>
          <w:rFonts w:hint="eastAsia"/>
          <w:snapToGrid w:val="0"/>
          <w:spacing w:val="4"/>
          <w:kern w:val="0"/>
          <w:sz w:val="24"/>
          <w:szCs w:val="24"/>
        </w:rPr>
        <w:t>（2）智慧</w:t>
      </w:r>
      <w:r>
        <w:rPr>
          <w:snapToGrid w:val="0"/>
          <w:spacing w:val="4"/>
          <w:kern w:val="0"/>
          <w:sz w:val="24"/>
          <w:szCs w:val="24"/>
        </w:rPr>
        <w:t>工地平台</w:t>
      </w:r>
      <w:r>
        <w:rPr>
          <w:rFonts w:hint="eastAsia"/>
          <w:snapToGrid w:val="0"/>
          <w:spacing w:val="4"/>
          <w:kern w:val="0"/>
          <w:sz w:val="24"/>
          <w:szCs w:val="24"/>
        </w:rPr>
        <w:t>主要</w:t>
      </w:r>
      <w:r>
        <w:rPr>
          <w:snapToGrid w:val="0"/>
          <w:spacing w:val="4"/>
          <w:kern w:val="0"/>
          <w:sz w:val="24"/>
          <w:szCs w:val="24"/>
        </w:rPr>
        <w:t>要求如下：</w:t>
      </w:r>
    </w:p>
    <w:p>
      <w:pPr>
        <w:widowControl/>
        <w:shd w:val="clear" w:color="auto" w:fill="FFFFFF"/>
        <w:tabs>
          <w:tab w:val="left" w:pos="0"/>
        </w:tabs>
        <w:adjustRightInd w:val="0"/>
        <w:snapToGrid w:val="0"/>
        <w:spacing w:line="360" w:lineRule="auto"/>
        <w:ind w:firstLine="496" w:firstLineChars="200"/>
        <w:rPr>
          <w:snapToGrid w:val="0"/>
          <w:spacing w:val="4"/>
          <w:kern w:val="0"/>
          <w:sz w:val="24"/>
          <w:szCs w:val="24"/>
        </w:rPr>
      </w:pPr>
      <w:r>
        <w:rPr>
          <w:snapToGrid w:val="0"/>
          <w:spacing w:val="4"/>
          <w:kern w:val="0"/>
          <w:sz w:val="24"/>
          <w:szCs w:val="24"/>
        </w:rPr>
        <w:t>1）平台模块工作状况稳定</w:t>
      </w:r>
      <w:r>
        <w:rPr>
          <w:rFonts w:hint="eastAsia"/>
          <w:snapToGrid w:val="0"/>
          <w:spacing w:val="4"/>
          <w:kern w:val="0"/>
          <w:sz w:val="24"/>
          <w:szCs w:val="24"/>
        </w:rPr>
        <w:t>，</w:t>
      </w:r>
      <w:r>
        <w:rPr>
          <w:snapToGrid w:val="0"/>
          <w:spacing w:val="4"/>
          <w:kern w:val="0"/>
          <w:sz w:val="24"/>
          <w:szCs w:val="24"/>
        </w:rPr>
        <w:t>各个模块需保证24小时正常工作，若因客观因素导致无法工作，须24小时内恢复正常工作。广州</w:t>
      </w:r>
      <w:r>
        <w:rPr>
          <w:rFonts w:hint="eastAsia"/>
          <w:snapToGrid w:val="0"/>
          <w:spacing w:val="4"/>
          <w:kern w:val="0"/>
          <w:sz w:val="24"/>
          <w:szCs w:val="24"/>
        </w:rPr>
        <w:t>市</w:t>
      </w:r>
      <w:r>
        <w:rPr>
          <w:snapToGrid w:val="0"/>
          <w:spacing w:val="4"/>
          <w:kern w:val="0"/>
          <w:sz w:val="24"/>
          <w:szCs w:val="24"/>
        </w:rPr>
        <w:t>住建局要求的三项（劳务，环境，视频）须8小时内恢复正常工作。</w:t>
      </w:r>
    </w:p>
    <w:p>
      <w:pPr>
        <w:widowControl/>
        <w:shd w:val="clear" w:color="auto" w:fill="FFFFFF"/>
        <w:tabs>
          <w:tab w:val="left" w:pos="0"/>
        </w:tabs>
        <w:adjustRightInd w:val="0"/>
        <w:snapToGrid w:val="0"/>
        <w:spacing w:line="360" w:lineRule="auto"/>
        <w:ind w:firstLine="496" w:firstLineChars="200"/>
        <w:rPr>
          <w:snapToGrid w:val="0"/>
          <w:spacing w:val="4"/>
          <w:kern w:val="0"/>
          <w:sz w:val="24"/>
          <w:szCs w:val="24"/>
        </w:rPr>
      </w:pPr>
      <w:r>
        <w:rPr>
          <w:snapToGrid w:val="0"/>
          <w:spacing w:val="4"/>
          <w:kern w:val="0"/>
          <w:sz w:val="24"/>
          <w:szCs w:val="24"/>
        </w:rPr>
        <w:t>2）平台模块数据</w:t>
      </w:r>
      <w:r>
        <w:rPr>
          <w:rFonts w:hint="eastAsia"/>
          <w:snapToGrid w:val="0"/>
          <w:spacing w:val="4"/>
          <w:kern w:val="0"/>
          <w:sz w:val="24"/>
          <w:szCs w:val="24"/>
        </w:rPr>
        <w:t>需</w:t>
      </w:r>
      <w:r>
        <w:rPr>
          <w:snapToGrid w:val="0"/>
          <w:spacing w:val="4"/>
          <w:kern w:val="0"/>
          <w:sz w:val="24"/>
          <w:szCs w:val="24"/>
        </w:rPr>
        <w:t>正常上传</w:t>
      </w:r>
      <w:r>
        <w:rPr>
          <w:rFonts w:hint="eastAsia"/>
          <w:snapToGrid w:val="0"/>
          <w:spacing w:val="4"/>
          <w:kern w:val="0"/>
          <w:sz w:val="24"/>
          <w:szCs w:val="24"/>
        </w:rPr>
        <w:t>。</w:t>
      </w:r>
    </w:p>
    <w:p>
      <w:pPr>
        <w:widowControl/>
        <w:shd w:val="clear" w:color="auto" w:fill="FFFFFF"/>
        <w:tabs>
          <w:tab w:val="left" w:pos="0"/>
        </w:tabs>
        <w:adjustRightInd w:val="0"/>
        <w:snapToGrid w:val="0"/>
        <w:spacing w:line="360" w:lineRule="auto"/>
        <w:ind w:firstLine="496" w:firstLineChars="200"/>
        <w:rPr>
          <w:snapToGrid w:val="0"/>
          <w:spacing w:val="4"/>
          <w:kern w:val="0"/>
          <w:sz w:val="24"/>
          <w:szCs w:val="24"/>
        </w:rPr>
      </w:pPr>
      <w:r>
        <w:rPr>
          <w:snapToGrid w:val="0"/>
          <w:spacing w:val="4"/>
          <w:kern w:val="0"/>
          <w:sz w:val="24"/>
          <w:szCs w:val="24"/>
        </w:rPr>
        <w:t>3）平台接口</w:t>
      </w:r>
      <w:r>
        <w:rPr>
          <w:rFonts w:hint="eastAsia"/>
          <w:snapToGrid w:val="0"/>
          <w:spacing w:val="4"/>
          <w:kern w:val="0"/>
          <w:sz w:val="24"/>
          <w:szCs w:val="24"/>
        </w:rPr>
        <w:t>需</w:t>
      </w:r>
      <w:r>
        <w:rPr>
          <w:snapToGrid w:val="0"/>
          <w:spacing w:val="4"/>
          <w:kern w:val="0"/>
          <w:sz w:val="24"/>
          <w:szCs w:val="24"/>
        </w:rPr>
        <w:t>按照</w:t>
      </w:r>
      <w:r>
        <w:rPr>
          <w:rFonts w:hint="eastAsia"/>
          <w:snapToGrid w:val="0"/>
          <w:spacing w:val="4"/>
          <w:kern w:val="0"/>
          <w:sz w:val="24"/>
          <w:szCs w:val="24"/>
        </w:rPr>
        <w:t>要求</w:t>
      </w:r>
      <w:r>
        <w:rPr>
          <w:snapToGrid w:val="0"/>
          <w:spacing w:val="4"/>
          <w:kern w:val="0"/>
          <w:sz w:val="24"/>
          <w:szCs w:val="24"/>
        </w:rPr>
        <w:t>开放</w:t>
      </w:r>
      <w:r>
        <w:rPr>
          <w:rFonts w:hint="eastAsia"/>
          <w:snapToGrid w:val="0"/>
          <w:spacing w:val="4"/>
          <w:kern w:val="0"/>
          <w:sz w:val="24"/>
          <w:szCs w:val="24"/>
        </w:rPr>
        <w:t>。</w:t>
      </w:r>
    </w:p>
    <w:p>
      <w:pPr>
        <w:widowControl/>
        <w:shd w:val="clear" w:color="auto" w:fill="FFFFFF"/>
        <w:tabs>
          <w:tab w:val="left" w:pos="0"/>
        </w:tabs>
        <w:adjustRightInd w:val="0"/>
        <w:snapToGrid w:val="0"/>
        <w:spacing w:line="360" w:lineRule="auto"/>
        <w:ind w:firstLine="496" w:firstLineChars="200"/>
        <w:rPr>
          <w:snapToGrid w:val="0"/>
          <w:spacing w:val="4"/>
          <w:kern w:val="0"/>
          <w:sz w:val="24"/>
          <w:szCs w:val="24"/>
        </w:rPr>
        <w:sectPr>
          <w:footerReference r:id="rId7" w:type="first"/>
          <w:headerReference r:id="rId5" w:type="default"/>
          <w:footerReference r:id="rId6" w:type="default"/>
          <w:pgSz w:w="11906" w:h="16838"/>
          <w:pgMar w:top="1440" w:right="1800" w:bottom="1440" w:left="1800" w:header="851" w:footer="992" w:gutter="0"/>
          <w:pgNumType w:start="1"/>
          <w:cols w:space="720" w:num="1"/>
          <w:titlePg/>
          <w:docGrid w:type="lines" w:linePitch="312" w:charSpace="0"/>
        </w:sectPr>
      </w:pPr>
      <w:r>
        <w:rPr>
          <w:rFonts w:hint="eastAsia"/>
          <w:snapToGrid w:val="0"/>
          <w:spacing w:val="4"/>
          <w:kern w:val="0"/>
          <w:sz w:val="24"/>
          <w:szCs w:val="24"/>
        </w:rPr>
        <w:t>4）</w:t>
      </w:r>
      <w:r>
        <w:rPr>
          <w:snapToGrid w:val="0"/>
          <w:spacing w:val="4"/>
          <w:kern w:val="0"/>
          <w:sz w:val="24"/>
          <w:szCs w:val="24"/>
        </w:rPr>
        <w:t>智慧工地对外接口必须完全按照智慧工地平台对外接口文档，此文档将不断调整，以招标前的最新版为准。</w:t>
      </w:r>
      <w:r>
        <w:rPr>
          <w:rFonts w:hint="eastAsia"/>
          <w:snapToGrid w:val="0"/>
          <w:spacing w:val="4"/>
          <w:kern w:val="0"/>
          <w:sz w:val="24"/>
          <w:szCs w:val="24"/>
        </w:rPr>
        <w:t>发包人</w:t>
      </w:r>
      <w:r>
        <w:rPr>
          <w:snapToGrid w:val="0"/>
          <w:spacing w:val="4"/>
          <w:kern w:val="0"/>
          <w:sz w:val="24"/>
          <w:szCs w:val="24"/>
        </w:rPr>
        <w:t>具有最终解释权。</w:t>
      </w:r>
    </w:p>
    <w:p>
      <w:pPr>
        <w:spacing w:before="65" w:line="225" w:lineRule="auto"/>
        <w:ind w:left="5000"/>
        <w:outlineLvl w:val="0"/>
        <w:rPr>
          <w:rFonts w:ascii="宋体" w:hAnsi="宋体" w:cs="宋体"/>
          <w:sz w:val="20"/>
          <w:szCs w:val="20"/>
        </w:rPr>
      </w:pPr>
      <w:bookmarkStart w:id="495" w:name="_Toc27167"/>
      <w:bookmarkStart w:id="496" w:name="_Toc12747"/>
      <w:bookmarkStart w:id="497" w:name="_Toc26389"/>
      <w:bookmarkStart w:id="498" w:name="_Toc28431"/>
      <w:bookmarkStart w:id="499" w:name="_Toc159596202"/>
      <w:bookmarkStart w:id="500" w:name="_Toc5951"/>
      <w:bookmarkStart w:id="501" w:name="_Toc5251"/>
      <w:r>
        <w:rPr>
          <w:rFonts w:ascii="宋体" w:hAnsi="宋体" w:cs="宋体"/>
          <w:spacing w:val="7"/>
          <w:sz w:val="20"/>
          <w:szCs w:val="20"/>
        </w:rPr>
        <w:t>表</w:t>
      </w:r>
      <w:r>
        <w:rPr>
          <w:rFonts w:ascii="宋体" w:hAnsi="宋体" w:cs="宋体"/>
          <w:spacing w:val="-11"/>
          <w:sz w:val="20"/>
          <w:szCs w:val="20"/>
        </w:rPr>
        <w:t xml:space="preserve"> </w:t>
      </w:r>
      <w:r>
        <w:rPr>
          <w:rFonts w:ascii="宋体" w:hAnsi="宋体" w:cs="宋体"/>
          <w:spacing w:val="7"/>
          <w:sz w:val="20"/>
          <w:szCs w:val="20"/>
        </w:rPr>
        <w:t>1 智慧评价推荐项建设内容表</w:t>
      </w:r>
      <w:bookmarkEnd w:id="495"/>
      <w:bookmarkEnd w:id="496"/>
      <w:bookmarkEnd w:id="497"/>
      <w:bookmarkEnd w:id="498"/>
      <w:bookmarkEnd w:id="499"/>
      <w:bookmarkEnd w:id="500"/>
      <w:bookmarkEnd w:id="501"/>
    </w:p>
    <w:p>
      <w:pPr>
        <w:spacing w:line="139" w:lineRule="exact"/>
      </w:pPr>
    </w:p>
    <w:tbl>
      <w:tblPr>
        <w:tblStyle w:val="16"/>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23"/>
        <w:gridCol w:w="677"/>
        <w:gridCol w:w="7597"/>
        <w:gridCol w:w="991"/>
        <w:gridCol w:w="807"/>
        <w:gridCol w:w="996"/>
        <w:gridCol w:w="68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jc w:val="center"/>
        </w:trPr>
        <w:tc>
          <w:tcPr>
            <w:tcW w:w="1223" w:type="dxa"/>
          </w:tcPr>
          <w:p>
            <w:pPr>
              <w:spacing w:before="153" w:line="219" w:lineRule="auto"/>
              <w:ind w:left="255"/>
              <w:rPr>
                <w:rFonts w:ascii="宋体" w:hAnsi="宋体" w:cs="宋体"/>
                <w:sz w:val="18"/>
                <w:szCs w:val="18"/>
              </w:rPr>
            </w:pPr>
            <w:r>
              <w:rPr>
                <w:rFonts w:ascii="宋体" w:hAnsi="宋体" w:cs="宋体"/>
                <w:spacing w:val="-2"/>
                <w:sz w:val="18"/>
                <w:szCs w:val="18"/>
              </w:rPr>
              <w:t>指标要素</w:t>
            </w:r>
          </w:p>
        </w:tc>
        <w:tc>
          <w:tcPr>
            <w:tcW w:w="677" w:type="dxa"/>
          </w:tcPr>
          <w:p>
            <w:pPr>
              <w:spacing w:before="154" w:line="220" w:lineRule="auto"/>
              <w:ind w:left="159"/>
              <w:rPr>
                <w:rFonts w:ascii="宋体" w:hAnsi="宋体" w:cs="宋体"/>
                <w:sz w:val="18"/>
                <w:szCs w:val="18"/>
              </w:rPr>
            </w:pPr>
            <w:r>
              <w:rPr>
                <w:rFonts w:ascii="宋体" w:hAnsi="宋体" w:cs="宋体"/>
                <w:spacing w:val="-4"/>
                <w:sz w:val="18"/>
                <w:szCs w:val="18"/>
              </w:rPr>
              <w:t>序号</w:t>
            </w:r>
          </w:p>
        </w:tc>
        <w:tc>
          <w:tcPr>
            <w:tcW w:w="7597" w:type="dxa"/>
          </w:tcPr>
          <w:p>
            <w:pPr>
              <w:spacing w:before="153" w:line="219" w:lineRule="auto"/>
              <w:ind w:left="3442"/>
              <w:rPr>
                <w:rFonts w:ascii="宋体" w:hAnsi="宋体" w:cs="宋体"/>
                <w:sz w:val="18"/>
                <w:szCs w:val="18"/>
              </w:rPr>
            </w:pPr>
            <w:r>
              <w:rPr>
                <w:rFonts w:ascii="宋体" w:hAnsi="宋体" w:cs="宋体"/>
                <w:spacing w:val="-1"/>
                <w:sz w:val="18"/>
                <w:szCs w:val="18"/>
              </w:rPr>
              <w:t>评分内容</w:t>
            </w:r>
          </w:p>
        </w:tc>
        <w:tc>
          <w:tcPr>
            <w:tcW w:w="991" w:type="dxa"/>
          </w:tcPr>
          <w:p>
            <w:pPr>
              <w:spacing w:before="154" w:line="217" w:lineRule="auto"/>
              <w:ind w:left="139"/>
              <w:rPr>
                <w:rFonts w:ascii="宋体" w:hAnsi="宋体" w:cs="宋体"/>
                <w:sz w:val="18"/>
                <w:szCs w:val="18"/>
              </w:rPr>
            </w:pPr>
            <w:r>
              <w:rPr>
                <w:rFonts w:ascii="宋体" w:hAnsi="宋体" w:cs="宋体"/>
                <w:spacing w:val="-1"/>
                <w:sz w:val="18"/>
                <w:szCs w:val="18"/>
              </w:rPr>
              <w:t>评价分值</w:t>
            </w:r>
          </w:p>
        </w:tc>
        <w:tc>
          <w:tcPr>
            <w:tcW w:w="807" w:type="dxa"/>
          </w:tcPr>
          <w:p>
            <w:pPr>
              <w:spacing w:before="154" w:line="219" w:lineRule="auto"/>
              <w:ind w:left="173"/>
              <w:rPr>
                <w:rFonts w:ascii="宋体" w:hAnsi="宋体" w:cs="宋体"/>
                <w:sz w:val="18"/>
                <w:szCs w:val="18"/>
              </w:rPr>
            </w:pPr>
            <w:r>
              <w:rPr>
                <w:rFonts w:ascii="宋体" w:hAnsi="宋体" w:cs="宋体"/>
                <w:spacing w:val="-14"/>
                <w:sz w:val="18"/>
                <w:szCs w:val="18"/>
              </w:rPr>
              <w:t>自评分</w:t>
            </w:r>
          </w:p>
        </w:tc>
        <w:tc>
          <w:tcPr>
            <w:tcW w:w="996" w:type="dxa"/>
          </w:tcPr>
          <w:p>
            <w:pPr>
              <w:spacing w:before="154" w:line="219" w:lineRule="auto"/>
              <w:ind w:left="180"/>
              <w:rPr>
                <w:rFonts w:ascii="宋体" w:hAnsi="宋体" w:cs="宋体"/>
                <w:sz w:val="18"/>
                <w:szCs w:val="18"/>
              </w:rPr>
            </w:pPr>
            <w:r>
              <w:rPr>
                <w:rFonts w:ascii="宋体" w:hAnsi="宋体" w:cs="宋体"/>
                <w:spacing w:val="-10"/>
                <w:sz w:val="18"/>
                <w:szCs w:val="18"/>
              </w:rPr>
              <w:t>自评总分</w:t>
            </w:r>
          </w:p>
        </w:tc>
        <w:tc>
          <w:tcPr>
            <w:tcW w:w="682" w:type="dxa"/>
          </w:tcPr>
          <w:p>
            <w:pPr>
              <w:spacing w:before="154" w:line="220" w:lineRule="auto"/>
              <w:ind w:left="166"/>
              <w:rPr>
                <w:rFonts w:ascii="宋体" w:hAnsi="宋体" w:cs="宋体"/>
                <w:sz w:val="18"/>
                <w:szCs w:val="18"/>
              </w:rPr>
            </w:pPr>
            <w:r>
              <w:rPr>
                <w:rFonts w:ascii="宋体" w:hAnsi="宋体" w:cs="宋体"/>
                <w:spacing w:val="-5"/>
                <w:sz w:val="18"/>
                <w:szCs w:val="18"/>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jc w:val="center"/>
        </w:trPr>
        <w:tc>
          <w:tcPr>
            <w:tcW w:w="1223" w:type="dxa"/>
            <w:vMerge w:val="restart"/>
            <w:tcBorders>
              <w:bottom w:val="nil"/>
            </w:tcBorders>
          </w:tcPr>
          <w:p>
            <w:pPr>
              <w:spacing w:line="349" w:lineRule="auto"/>
              <w:rPr>
                <w:rFonts w:ascii="Arial"/>
              </w:rPr>
            </w:pPr>
          </w:p>
          <w:p>
            <w:pPr>
              <w:spacing w:line="350" w:lineRule="auto"/>
              <w:rPr>
                <w:rFonts w:ascii="Arial"/>
              </w:rPr>
            </w:pPr>
          </w:p>
          <w:p>
            <w:pPr>
              <w:spacing w:before="58" w:line="218" w:lineRule="auto"/>
              <w:ind w:left="254"/>
              <w:rPr>
                <w:rFonts w:ascii="宋体" w:hAnsi="宋体" w:cs="宋体"/>
                <w:sz w:val="18"/>
                <w:szCs w:val="18"/>
              </w:rPr>
            </w:pPr>
            <w:r>
              <w:rPr>
                <w:rFonts w:ascii="宋体" w:hAnsi="宋体" w:cs="宋体"/>
                <w:spacing w:val="-2"/>
                <w:sz w:val="18"/>
                <w:szCs w:val="18"/>
              </w:rPr>
              <w:t>基本规定</w:t>
            </w:r>
          </w:p>
        </w:tc>
        <w:tc>
          <w:tcPr>
            <w:tcW w:w="677" w:type="dxa"/>
          </w:tcPr>
          <w:p>
            <w:pPr>
              <w:spacing w:before="95" w:line="184" w:lineRule="auto"/>
              <w:ind w:left="310"/>
              <w:rPr>
                <w:rFonts w:ascii="宋体" w:hAnsi="宋体" w:cs="宋体"/>
                <w:sz w:val="18"/>
                <w:szCs w:val="18"/>
              </w:rPr>
            </w:pPr>
            <w:r>
              <w:rPr>
                <w:rFonts w:ascii="宋体" w:hAnsi="宋体" w:cs="宋体"/>
                <w:sz w:val="18"/>
                <w:szCs w:val="18"/>
              </w:rPr>
              <w:t>1</w:t>
            </w:r>
          </w:p>
        </w:tc>
        <w:tc>
          <w:tcPr>
            <w:tcW w:w="7597" w:type="dxa"/>
          </w:tcPr>
          <w:p>
            <w:pPr>
              <w:spacing w:before="68" w:line="218" w:lineRule="auto"/>
              <w:ind w:left="115"/>
              <w:rPr>
                <w:rFonts w:ascii="宋体" w:hAnsi="宋体" w:cs="宋体"/>
                <w:sz w:val="18"/>
                <w:szCs w:val="18"/>
              </w:rPr>
            </w:pPr>
            <w:r>
              <w:rPr>
                <w:rFonts w:ascii="宋体" w:hAnsi="宋体" w:cs="宋体"/>
                <w:spacing w:val="-1"/>
                <w:sz w:val="18"/>
                <w:szCs w:val="18"/>
              </w:rPr>
              <w:t>具备独立的控制中心或数据中心机房或展厅（1</w:t>
            </w:r>
            <w:r>
              <w:rPr>
                <w:rFonts w:ascii="宋体" w:hAnsi="宋体" w:cs="宋体"/>
                <w:spacing w:val="-34"/>
                <w:sz w:val="18"/>
                <w:szCs w:val="18"/>
              </w:rPr>
              <w:t xml:space="preserve"> </w:t>
            </w:r>
            <w:r>
              <w:rPr>
                <w:rFonts w:ascii="宋体" w:hAnsi="宋体" w:cs="宋体"/>
                <w:spacing w:val="-1"/>
                <w:sz w:val="18"/>
                <w:szCs w:val="18"/>
              </w:rPr>
              <w:t>分）</w:t>
            </w:r>
          </w:p>
        </w:tc>
        <w:tc>
          <w:tcPr>
            <w:tcW w:w="991" w:type="dxa"/>
            <w:vMerge w:val="restart"/>
            <w:tcBorders>
              <w:bottom w:val="nil"/>
            </w:tcBorders>
          </w:tcPr>
          <w:p>
            <w:pPr>
              <w:spacing w:line="242" w:lineRule="auto"/>
              <w:rPr>
                <w:rFonts w:ascii="Arial"/>
              </w:rPr>
            </w:pPr>
          </w:p>
          <w:p>
            <w:pPr>
              <w:spacing w:line="242" w:lineRule="auto"/>
              <w:rPr>
                <w:rFonts w:ascii="Arial"/>
              </w:rPr>
            </w:pPr>
          </w:p>
          <w:p>
            <w:pPr>
              <w:spacing w:line="242" w:lineRule="auto"/>
              <w:rPr>
                <w:rFonts w:ascii="Arial"/>
              </w:rPr>
            </w:pPr>
          </w:p>
          <w:p>
            <w:pPr>
              <w:spacing w:before="59" w:line="183" w:lineRule="auto"/>
              <w:ind w:left="454"/>
              <w:rPr>
                <w:rFonts w:ascii="宋体" w:hAnsi="宋体" w:cs="宋体"/>
                <w:sz w:val="18"/>
                <w:szCs w:val="18"/>
              </w:rPr>
            </w:pPr>
            <w:r>
              <w:rPr>
                <w:rFonts w:ascii="宋体" w:hAnsi="宋体" w:cs="宋体"/>
                <w:sz w:val="18"/>
                <w:szCs w:val="18"/>
              </w:rPr>
              <w:t>4</w:t>
            </w:r>
          </w:p>
        </w:tc>
        <w:tc>
          <w:tcPr>
            <w:tcW w:w="807" w:type="dxa"/>
          </w:tcPr>
          <w:p>
            <w:pPr>
              <w:jc w:val="center"/>
              <w:rPr>
                <w:rFonts w:ascii="Arial"/>
              </w:rPr>
            </w:pPr>
            <w:r>
              <w:rPr>
                <w:rFonts w:hint="eastAsia" w:ascii="Arial"/>
              </w:rPr>
              <w:t>1</w:t>
            </w:r>
          </w:p>
        </w:tc>
        <w:tc>
          <w:tcPr>
            <w:tcW w:w="996" w:type="dxa"/>
            <w:vMerge w:val="restart"/>
            <w:tcBorders>
              <w:bottom w:val="nil"/>
            </w:tcBorders>
          </w:tcPr>
          <w:p>
            <w:pPr>
              <w:jc w:val="center"/>
              <w:rPr>
                <w:rFonts w:ascii="Arial"/>
              </w:rPr>
            </w:pPr>
            <w:r>
              <w:rPr>
                <w:rFonts w:hint="eastAsia" w:ascii="Arial"/>
              </w:rPr>
              <w:t>4</w:t>
            </w:r>
          </w:p>
        </w:tc>
        <w:tc>
          <w:tcPr>
            <w:tcW w:w="682" w:type="dxa"/>
            <w:vMerge w:val="restart"/>
            <w:tcBorders>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jc w:val="center"/>
        </w:trPr>
        <w:tc>
          <w:tcPr>
            <w:tcW w:w="1223" w:type="dxa"/>
            <w:vMerge w:val="continue"/>
            <w:tcBorders>
              <w:top w:val="nil"/>
              <w:bottom w:val="nil"/>
            </w:tcBorders>
          </w:tcPr>
          <w:p>
            <w:pPr>
              <w:rPr>
                <w:rFonts w:ascii="Arial"/>
              </w:rPr>
            </w:pPr>
          </w:p>
        </w:tc>
        <w:tc>
          <w:tcPr>
            <w:tcW w:w="677" w:type="dxa"/>
          </w:tcPr>
          <w:p>
            <w:pPr>
              <w:spacing w:before="97" w:line="183" w:lineRule="auto"/>
              <w:ind w:left="298"/>
              <w:rPr>
                <w:rFonts w:ascii="宋体" w:hAnsi="宋体" w:cs="宋体"/>
                <w:sz w:val="18"/>
                <w:szCs w:val="18"/>
              </w:rPr>
            </w:pPr>
            <w:r>
              <w:rPr>
                <w:rFonts w:ascii="宋体" w:hAnsi="宋体" w:cs="宋体"/>
                <w:sz w:val="18"/>
                <w:szCs w:val="18"/>
              </w:rPr>
              <w:t>2</w:t>
            </w:r>
          </w:p>
        </w:tc>
        <w:tc>
          <w:tcPr>
            <w:tcW w:w="7597" w:type="dxa"/>
          </w:tcPr>
          <w:p>
            <w:pPr>
              <w:spacing w:before="69" w:line="219" w:lineRule="auto"/>
              <w:ind w:left="111"/>
              <w:rPr>
                <w:rFonts w:ascii="宋体" w:hAnsi="宋体" w:cs="宋体"/>
                <w:sz w:val="18"/>
                <w:szCs w:val="18"/>
              </w:rPr>
            </w:pPr>
            <w:r>
              <w:rPr>
                <w:rFonts w:ascii="宋体" w:hAnsi="宋体" w:cs="宋体"/>
                <w:spacing w:val="-1"/>
                <w:sz w:val="18"/>
                <w:szCs w:val="18"/>
              </w:rPr>
              <w:t>通过电子沙盘展示工程信息（2</w:t>
            </w:r>
            <w:r>
              <w:rPr>
                <w:rFonts w:ascii="宋体" w:hAnsi="宋体" w:cs="宋体"/>
                <w:spacing w:val="-37"/>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jc w:val="cente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jc w:val="center"/>
        </w:trPr>
        <w:tc>
          <w:tcPr>
            <w:tcW w:w="1223" w:type="dxa"/>
            <w:vMerge w:val="continue"/>
            <w:tcBorders>
              <w:top w:val="nil"/>
              <w:bottom w:val="nil"/>
            </w:tcBorders>
          </w:tcPr>
          <w:p>
            <w:pPr>
              <w:rPr>
                <w:rFonts w:ascii="Arial"/>
              </w:rPr>
            </w:pPr>
          </w:p>
        </w:tc>
        <w:tc>
          <w:tcPr>
            <w:tcW w:w="677" w:type="dxa"/>
          </w:tcPr>
          <w:p>
            <w:pPr>
              <w:spacing w:before="96" w:line="183" w:lineRule="auto"/>
              <w:ind w:left="300"/>
              <w:rPr>
                <w:rFonts w:ascii="宋体" w:hAnsi="宋体" w:cs="宋体"/>
                <w:sz w:val="18"/>
                <w:szCs w:val="18"/>
              </w:rPr>
            </w:pPr>
            <w:r>
              <w:rPr>
                <w:rFonts w:ascii="宋体" w:hAnsi="宋体" w:cs="宋体"/>
                <w:sz w:val="18"/>
                <w:szCs w:val="18"/>
              </w:rPr>
              <w:t>3</w:t>
            </w:r>
          </w:p>
        </w:tc>
        <w:tc>
          <w:tcPr>
            <w:tcW w:w="7597" w:type="dxa"/>
          </w:tcPr>
          <w:p>
            <w:pPr>
              <w:spacing w:before="68" w:line="219" w:lineRule="auto"/>
              <w:ind w:left="111"/>
              <w:rPr>
                <w:rFonts w:ascii="宋体" w:hAnsi="宋体" w:cs="宋体"/>
                <w:sz w:val="18"/>
                <w:szCs w:val="18"/>
              </w:rPr>
            </w:pPr>
            <w:r>
              <w:rPr>
                <w:rFonts w:ascii="宋体" w:hAnsi="宋体" w:cs="宋体"/>
                <w:sz w:val="18"/>
                <w:szCs w:val="18"/>
              </w:rPr>
              <w:t>通过集成管理平台实现四个或四个以上不同管理系</w:t>
            </w:r>
            <w:r>
              <w:rPr>
                <w:rFonts w:ascii="宋体" w:hAnsi="宋体" w:cs="宋体"/>
                <w:spacing w:val="-1"/>
                <w:sz w:val="18"/>
                <w:szCs w:val="18"/>
              </w:rPr>
              <w:t>统的信息整合、交换和联动（2</w:t>
            </w:r>
            <w:r>
              <w:rPr>
                <w:rFonts w:ascii="宋体" w:hAnsi="宋体" w:cs="宋体"/>
                <w:spacing w:val="-37"/>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jc w:val="cente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jc w:val="center"/>
        </w:trPr>
        <w:tc>
          <w:tcPr>
            <w:tcW w:w="1223" w:type="dxa"/>
            <w:vMerge w:val="continue"/>
            <w:tcBorders>
              <w:top w:val="nil"/>
              <w:bottom w:val="nil"/>
            </w:tcBorders>
          </w:tcPr>
          <w:p>
            <w:pPr>
              <w:rPr>
                <w:rFonts w:ascii="Arial"/>
              </w:rPr>
            </w:pPr>
          </w:p>
        </w:tc>
        <w:tc>
          <w:tcPr>
            <w:tcW w:w="677" w:type="dxa"/>
          </w:tcPr>
          <w:p>
            <w:pPr>
              <w:spacing w:before="98" w:line="183" w:lineRule="auto"/>
              <w:ind w:left="296"/>
              <w:rPr>
                <w:rFonts w:ascii="宋体" w:hAnsi="宋体" w:cs="宋体"/>
                <w:sz w:val="18"/>
                <w:szCs w:val="18"/>
              </w:rPr>
            </w:pPr>
            <w:r>
              <w:rPr>
                <w:rFonts w:ascii="宋体" w:hAnsi="宋体" w:cs="宋体"/>
                <w:sz w:val="18"/>
                <w:szCs w:val="18"/>
              </w:rPr>
              <w:t>4</w:t>
            </w:r>
          </w:p>
        </w:tc>
        <w:tc>
          <w:tcPr>
            <w:tcW w:w="7597" w:type="dxa"/>
          </w:tcPr>
          <w:p>
            <w:pPr>
              <w:spacing w:before="69" w:line="219" w:lineRule="auto"/>
              <w:ind w:left="115"/>
              <w:rPr>
                <w:rFonts w:ascii="宋体" w:hAnsi="宋体" w:cs="宋体"/>
                <w:sz w:val="18"/>
                <w:szCs w:val="18"/>
              </w:rPr>
            </w:pPr>
            <w:r>
              <w:rPr>
                <w:rFonts w:ascii="宋体" w:hAnsi="宋体" w:cs="宋体"/>
                <w:spacing w:val="-2"/>
                <w:sz w:val="18"/>
                <w:szCs w:val="18"/>
              </w:rPr>
              <w:t>具备物料管理、进度管理、质量管理信息化模块（每项</w:t>
            </w:r>
            <w:r>
              <w:rPr>
                <w:rFonts w:ascii="宋体" w:hAnsi="宋体" w:cs="宋体"/>
                <w:spacing w:val="-22"/>
                <w:sz w:val="18"/>
                <w:szCs w:val="18"/>
              </w:rPr>
              <w:t xml:space="preserve"> </w:t>
            </w:r>
            <w:r>
              <w:rPr>
                <w:rFonts w:ascii="宋体" w:hAnsi="宋体" w:cs="宋体"/>
                <w:spacing w:val="-2"/>
                <w:sz w:val="18"/>
                <w:szCs w:val="18"/>
              </w:rPr>
              <w:t>1</w:t>
            </w:r>
            <w:r>
              <w:rPr>
                <w:rFonts w:ascii="宋体" w:hAnsi="宋体" w:cs="宋体"/>
                <w:spacing w:val="-34"/>
                <w:sz w:val="18"/>
                <w:szCs w:val="18"/>
              </w:rPr>
              <w:t xml:space="preserve"> </w:t>
            </w:r>
            <w:r>
              <w:rPr>
                <w:rFonts w:ascii="宋体" w:hAnsi="宋体" w:cs="宋体"/>
                <w:spacing w:val="-2"/>
                <w:sz w:val="18"/>
                <w:szCs w:val="18"/>
              </w:rPr>
              <w:t>分，最高</w:t>
            </w:r>
            <w:r>
              <w:rPr>
                <w:rFonts w:ascii="宋体" w:hAnsi="宋体" w:cs="宋体"/>
                <w:spacing w:val="-37"/>
                <w:sz w:val="18"/>
                <w:szCs w:val="18"/>
              </w:rPr>
              <w:t xml:space="preserve"> </w:t>
            </w:r>
            <w:r>
              <w:rPr>
                <w:rFonts w:ascii="宋体" w:hAnsi="宋体" w:cs="宋体"/>
                <w:spacing w:val="-2"/>
                <w:sz w:val="18"/>
                <w:szCs w:val="18"/>
              </w:rPr>
              <w:t>2</w:t>
            </w:r>
            <w:r>
              <w:rPr>
                <w:rFonts w:ascii="宋体" w:hAnsi="宋体" w:cs="宋体"/>
                <w:spacing w:val="-34"/>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jc w:val="cente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jc w:val="center"/>
        </w:trPr>
        <w:tc>
          <w:tcPr>
            <w:tcW w:w="1223" w:type="dxa"/>
            <w:vMerge w:val="continue"/>
            <w:tcBorders>
              <w:top w:val="nil"/>
            </w:tcBorders>
          </w:tcPr>
          <w:p>
            <w:pPr>
              <w:rPr>
                <w:rFonts w:ascii="Arial"/>
              </w:rPr>
            </w:pPr>
          </w:p>
        </w:tc>
        <w:tc>
          <w:tcPr>
            <w:tcW w:w="677" w:type="dxa"/>
          </w:tcPr>
          <w:p>
            <w:pPr>
              <w:spacing w:before="138" w:line="182" w:lineRule="auto"/>
              <w:ind w:left="300"/>
              <w:rPr>
                <w:rFonts w:ascii="宋体" w:hAnsi="宋体" w:cs="宋体"/>
                <w:sz w:val="18"/>
                <w:szCs w:val="18"/>
              </w:rPr>
            </w:pPr>
            <w:r>
              <w:rPr>
                <w:rFonts w:ascii="宋体" w:hAnsi="宋体" w:cs="宋体"/>
                <w:sz w:val="18"/>
                <w:szCs w:val="18"/>
              </w:rPr>
              <w:t>5</w:t>
            </w:r>
          </w:p>
        </w:tc>
        <w:tc>
          <w:tcPr>
            <w:tcW w:w="7597" w:type="dxa"/>
          </w:tcPr>
          <w:p>
            <w:pPr>
              <w:spacing w:before="62" w:line="237" w:lineRule="auto"/>
              <w:ind w:left="111"/>
              <w:rPr>
                <w:rFonts w:ascii="宋体" w:hAnsi="宋体" w:cs="宋体"/>
                <w:sz w:val="18"/>
                <w:szCs w:val="18"/>
              </w:rPr>
            </w:pPr>
            <w:r>
              <w:rPr>
                <w:rFonts w:ascii="宋体" w:hAnsi="宋体" w:cs="宋体"/>
                <w:spacing w:val="-1"/>
                <w:sz w:val="18"/>
                <w:szCs w:val="18"/>
              </w:rPr>
              <w:t>通过企业/集团智慧工地平台，开展与建设行业主管部门的企业级政企互联</w:t>
            </w:r>
            <w:r>
              <w:rPr>
                <w:rFonts w:ascii="宋体" w:hAnsi="宋体" w:cs="宋体"/>
                <w:spacing w:val="-24"/>
                <w:sz w:val="18"/>
                <w:szCs w:val="18"/>
              </w:rPr>
              <w:t xml:space="preserve"> </w:t>
            </w:r>
            <w:r>
              <w:rPr>
                <w:rFonts w:ascii="宋体" w:hAnsi="宋体" w:cs="宋体"/>
                <w:spacing w:val="-1"/>
                <w:position w:val="9"/>
                <w:sz w:val="12"/>
                <w:szCs w:val="12"/>
              </w:rPr>
              <w:t>a</w:t>
            </w:r>
            <w:r>
              <w:rPr>
                <w:rFonts w:ascii="宋体" w:hAnsi="宋体" w:cs="宋体"/>
                <w:spacing w:val="-1"/>
                <w:sz w:val="18"/>
                <w:szCs w:val="18"/>
              </w:rPr>
              <w:t>（2</w:t>
            </w:r>
            <w:r>
              <w:rPr>
                <w:rFonts w:ascii="宋体" w:hAnsi="宋体" w:cs="宋体"/>
                <w:spacing w:val="-36"/>
                <w:sz w:val="18"/>
                <w:szCs w:val="18"/>
              </w:rPr>
              <w:t xml:space="preserve"> </w:t>
            </w:r>
            <w:r>
              <w:rPr>
                <w:rFonts w:ascii="宋体" w:hAnsi="宋体" w:cs="宋体"/>
                <w:spacing w:val="-1"/>
                <w:sz w:val="18"/>
                <w:szCs w:val="18"/>
              </w:rPr>
              <w:t>分）</w:t>
            </w:r>
          </w:p>
        </w:tc>
        <w:tc>
          <w:tcPr>
            <w:tcW w:w="991" w:type="dxa"/>
            <w:vMerge w:val="continue"/>
            <w:tcBorders>
              <w:top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tcBorders>
          </w:tcPr>
          <w:p>
            <w:pPr>
              <w:jc w:val="center"/>
              <w:rPr>
                <w:rFonts w:ascii="Arial"/>
              </w:rPr>
            </w:pPr>
          </w:p>
        </w:tc>
        <w:tc>
          <w:tcPr>
            <w:tcW w:w="682" w:type="dxa"/>
            <w:vMerge w:val="continue"/>
            <w:tcBorders>
              <w:top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jc w:val="center"/>
        </w:trPr>
        <w:tc>
          <w:tcPr>
            <w:tcW w:w="1223" w:type="dxa"/>
            <w:vMerge w:val="restart"/>
            <w:tcBorders>
              <w:bottom w:val="nil"/>
            </w:tcBorders>
          </w:tcPr>
          <w:p>
            <w:pPr>
              <w:spacing w:line="244" w:lineRule="auto"/>
              <w:rPr>
                <w:rFonts w:ascii="Arial"/>
              </w:rPr>
            </w:pPr>
          </w:p>
          <w:p>
            <w:pPr>
              <w:spacing w:line="245" w:lineRule="auto"/>
              <w:rPr>
                <w:rFonts w:ascii="Arial"/>
              </w:rPr>
            </w:pPr>
          </w:p>
          <w:p>
            <w:pPr>
              <w:spacing w:line="245" w:lineRule="auto"/>
              <w:rPr>
                <w:rFonts w:ascii="Arial"/>
              </w:rPr>
            </w:pPr>
          </w:p>
          <w:p>
            <w:pPr>
              <w:spacing w:line="245" w:lineRule="auto"/>
              <w:rPr>
                <w:rFonts w:ascii="Arial"/>
              </w:rPr>
            </w:pPr>
          </w:p>
          <w:p>
            <w:pPr>
              <w:spacing w:before="58" w:line="219" w:lineRule="auto"/>
              <w:ind w:left="255"/>
              <w:rPr>
                <w:rFonts w:ascii="宋体" w:hAnsi="宋体" w:cs="宋体"/>
                <w:sz w:val="18"/>
                <w:szCs w:val="18"/>
              </w:rPr>
            </w:pPr>
            <w:r>
              <w:rPr>
                <w:rFonts w:ascii="宋体" w:hAnsi="宋体" w:cs="宋体"/>
                <w:spacing w:val="-2"/>
                <w:sz w:val="18"/>
                <w:szCs w:val="18"/>
              </w:rPr>
              <w:t>人员管理</w:t>
            </w:r>
          </w:p>
        </w:tc>
        <w:tc>
          <w:tcPr>
            <w:tcW w:w="677" w:type="dxa"/>
          </w:tcPr>
          <w:p>
            <w:pPr>
              <w:spacing w:before="96" w:line="184" w:lineRule="auto"/>
              <w:ind w:left="310"/>
              <w:rPr>
                <w:rFonts w:ascii="宋体" w:hAnsi="宋体" w:cs="宋体"/>
                <w:sz w:val="18"/>
                <w:szCs w:val="18"/>
              </w:rPr>
            </w:pPr>
            <w:r>
              <w:rPr>
                <w:rFonts w:ascii="宋体" w:hAnsi="宋体" w:cs="宋体"/>
                <w:sz w:val="18"/>
                <w:szCs w:val="18"/>
              </w:rPr>
              <w:t>1</w:t>
            </w:r>
          </w:p>
        </w:tc>
        <w:tc>
          <w:tcPr>
            <w:tcW w:w="7597" w:type="dxa"/>
          </w:tcPr>
          <w:p>
            <w:pPr>
              <w:spacing w:before="69" w:line="219" w:lineRule="auto"/>
              <w:ind w:left="111"/>
              <w:rPr>
                <w:rFonts w:ascii="宋体" w:hAnsi="宋体" w:cs="宋体"/>
                <w:sz w:val="18"/>
                <w:szCs w:val="18"/>
              </w:rPr>
            </w:pPr>
            <w:r>
              <w:rPr>
                <w:rFonts w:ascii="宋体" w:hAnsi="宋体" w:cs="宋体"/>
                <w:spacing w:val="-1"/>
                <w:sz w:val="18"/>
                <w:szCs w:val="18"/>
              </w:rPr>
              <w:t>通过门禁系统实现对从业人员进出场管理（1</w:t>
            </w:r>
            <w:r>
              <w:rPr>
                <w:rFonts w:ascii="宋体" w:hAnsi="宋体" w:cs="宋体"/>
                <w:spacing w:val="-31"/>
                <w:sz w:val="18"/>
                <w:szCs w:val="18"/>
              </w:rPr>
              <w:t xml:space="preserve"> </w:t>
            </w:r>
            <w:r>
              <w:rPr>
                <w:rFonts w:ascii="宋体" w:hAnsi="宋体" w:cs="宋体"/>
                <w:spacing w:val="-1"/>
                <w:sz w:val="18"/>
                <w:szCs w:val="18"/>
              </w:rPr>
              <w:t>分）</w:t>
            </w:r>
          </w:p>
        </w:tc>
        <w:tc>
          <w:tcPr>
            <w:tcW w:w="991" w:type="dxa"/>
            <w:vMerge w:val="restart"/>
            <w:tcBorders>
              <w:bottom w:val="nil"/>
            </w:tcBorders>
          </w:tcPr>
          <w:p>
            <w:pPr>
              <w:spacing w:line="251" w:lineRule="auto"/>
              <w:rPr>
                <w:rFonts w:ascii="Arial"/>
              </w:rPr>
            </w:pPr>
          </w:p>
          <w:p>
            <w:pPr>
              <w:spacing w:line="252" w:lineRule="auto"/>
              <w:rPr>
                <w:rFonts w:ascii="Arial"/>
              </w:rPr>
            </w:pPr>
          </w:p>
          <w:p>
            <w:pPr>
              <w:spacing w:line="252" w:lineRule="auto"/>
              <w:rPr>
                <w:rFonts w:ascii="Arial"/>
              </w:rPr>
            </w:pPr>
          </w:p>
          <w:p>
            <w:pPr>
              <w:spacing w:line="252" w:lineRule="auto"/>
              <w:rPr>
                <w:rFonts w:ascii="Arial"/>
              </w:rPr>
            </w:pPr>
          </w:p>
          <w:p>
            <w:pPr>
              <w:spacing w:before="58" w:line="183" w:lineRule="auto"/>
              <w:ind w:left="454"/>
              <w:rPr>
                <w:rFonts w:ascii="宋体" w:hAnsi="宋体" w:cs="宋体"/>
                <w:sz w:val="18"/>
                <w:szCs w:val="18"/>
              </w:rPr>
            </w:pPr>
            <w:r>
              <w:rPr>
                <w:rFonts w:ascii="宋体" w:hAnsi="宋体" w:cs="宋体"/>
                <w:sz w:val="18"/>
                <w:szCs w:val="18"/>
              </w:rPr>
              <w:t>4</w:t>
            </w:r>
          </w:p>
        </w:tc>
        <w:tc>
          <w:tcPr>
            <w:tcW w:w="807" w:type="dxa"/>
          </w:tcPr>
          <w:p>
            <w:pPr>
              <w:jc w:val="center"/>
              <w:rPr>
                <w:rFonts w:ascii="Arial"/>
              </w:rPr>
            </w:pPr>
            <w:r>
              <w:rPr>
                <w:rFonts w:hint="eastAsia" w:ascii="Arial"/>
              </w:rPr>
              <w:t>1</w:t>
            </w:r>
          </w:p>
        </w:tc>
        <w:tc>
          <w:tcPr>
            <w:tcW w:w="996" w:type="dxa"/>
            <w:vMerge w:val="restart"/>
            <w:tcBorders>
              <w:bottom w:val="nil"/>
            </w:tcBorders>
          </w:tcPr>
          <w:p>
            <w:pPr>
              <w:jc w:val="center"/>
              <w:rPr>
                <w:rFonts w:ascii="Arial"/>
              </w:rPr>
            </w:pPr>
            <w:r>
              <w:rPr>
                <w:rFonts w:hint="eastAsia" w:ascii="Arial"/>
              </w:rPr>
              <w:t>4</w:t>
            </w:r>
          </w:p>
        </w:tc>
        <w:tc>
          <w:tcPr>
            <w:tcW w:w="682" w:type="dxa"/>
            <w:vMerge w:val="restart"/>
            <w:tcBorders>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jc w:val="center"/>
        </w:trPr>
        <w:tc>
          <w:tcPr>
            <w:tcW w:w="1223" w:type="dxa"/>
            <w:vMerge w:val="continue"/>
            <w:tcBorders>
              <w:top w:val="nil"/>
              <w:bottom w:val="nil"/>
            </w:tcBorders>
          </w:tcPr>
          <w:p>
            <w:pPr>
              <w:rPr>
                <w:rFonts w:ascii="Arial"/>
              </w:rPr>
            </w:pPr>
          </w:p>
        </w:tc>
        <w:tc>
          <w:tcPr>
            <w:tcW w:w="677" w:type="dxa"/>
            <w:vMerge w:val="restart"/>
            <w:tcBorders>
              <w:bottom w:val="nil"/>
            </w:tcBorders>
          </w:tcPr>
          <w:p>
            <w:pPr>
              <w:spacing w:line="261" w:lineRule="auto"/>
              <w:rPr>
                <w:rFonts w:ascii="Arial"/>
              </w:rPr>
            </w:pPr>
          </w:p>
          <w:p>
            <w:pPr>
              <w:spacing w:line="261" w:lineRule="auto"/>
              <w:rPr>
                <w:rFonts w:ascii="Arial"/>
              </w:rPr>
            </w:pPr>
          </w:p>
          <w:p>
            <w:pPr>
              <w:spacing w:before="58" w:line="183" w:lineRule="auto"/>
              <w:ind w:left="298"/>
              <w:rPr>
                <w:rFonts w:ascii="宋体" w:hAnsi="宋体" w:cs="宋体"/>
                <w:sz w:val="18"/>
                <w:szCs w:val="18"/>
              </w:rPr>
            </w:pPr>
            <w:r>
              <w:rPr>
                <w:rFonts w:ascii="宋体" w:hAnsi="宋体" w:cs="宋体"/>
                <w:sz w:val="18"/>
                <w:szCs w:val="18"/>
              </w:rPr>
              <w:t>2</w:t>
            </w:r>
          </w:p>
        </w:tc>
        <w:tc>
          <w:tcPr>
            <w:tcW w:w="7597" w:type="dxa"/>
          </w:tcPr>
          <w:p>
            <w:pPr>
              <w:spacing w:before="68" w:line="219" w:lineRule="auto"/>
              <w:ind w:left="116"/>
              <w:rPr>
                <w:rFonts w:ascii="宋体" w:hAnsi="宋体" w:cs="宋体"/>
                <w:sz w:val="18"/>
                <w:szCs w:val="18"/>
              </w:rPr>
            </w:pPr>
            <w:r>
              <w:rPr>
                <w:rFonts w:ascii="宋体" w:hAnsi="宋体" w:cs="宋体"/>
                <w:spacing w:val="-1"/>
                <w:sz w:val="18"/>
                <w:szCs w:val="18"/>
              </w:rPr>
              <w:t>劳务实名管理具备以下功能：</w:t>
            </w:r>
          </w:p>
        </w:tc>
        <w:tc>
          <w:tcPr>
            <w:tcW w:w="991" w:type="dxa"/>
            <w:vMerge w:val="continue"/>
            <w:tcBorders>
              <w:top w:val="nil"/>
              <w:bottom w:val="nil"/>
            </w:tcBorders>
          </w:tcPr>
          <w:p>
            <w:pPr>
              <w:rPr>
                <w:rFonts w:ascii="Arial"/>
              </w:rPr>
            </w:pPr>
          </w:p>
        </w:tc>
        <w:tc>
          <w:tcPr>
            <w:tcW w:w="807" w:type="dxa"/>
          </w:tcPr>
          <w:p>
            <w:pPr>
              <w:spacing w:before="39" w:line="208" w:lineRule="auto"/>
              <w:ind w:left="115"/>
              <w:jc w:val="center"/>
              <w:rPr>
                <w:rFonts w:ascii="宋体" w:hAnsi="宋体" w:cs="宋体"/>
                <w:sz w:val="24"/>
                <w:szCs w:val="24"/>
              </w:rPr>
            </w:pPr>
            <w:r>
              <w:rPr>
                <w:rFonts w:ascii="宋体" w:hAnsi="宋体" w:cs="宋体"/>
                <w:sz w:val="24"/>
                <w:szCs w:val="24"/>
              </w:rPr>
              <w:t>/</w:t>
            </w:r>
          </w:p>
        </w:tc>
        <w:tc>
          <w:tcPr>
            <w:tcW w:w="996" w:type="dxa"/>
            <w:vMerge w:val="continue"/>
            <w:tcBorders>
              <w:top w:val="nil"/>
              <w:bottom w:val="nil"/>
            </w:tcBorders>
          </w:tcPr>
          <w:p>
            <w:pPr>
              <w:jc w:val="cente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jc w:val="center"/>
        </w:trPr>
        <w:tc>
          <w:tcPr>
            <w:tcW w:w="1223" w:type="dxa"/>
            <w:vMerge w:val="continue"/>
            <w:tcBorders>
              <w:top w:val="nil"/>
              <w:bottom w:val="nil"/>
            </w:tcBorders>
          </w:tcPr>
          <w:p>
            <w:pPr>
              <w:rPr>
                <w:rFonts w:ascii="Arial"/>
              </w:rPr>
            </w:pPr>
          </w:p>
        </w:tc>
        <w:tc>
          <w:tcPr>
            <w:tcW w:w="677" w:type="dxa"/>
            <w:vMerge w:val="continue"/>
            <w:tcBorders>
              <w:top w:val="nil"/>
              <w:bottom w:val="nil"/>
            </w:tcBorders>
          </w:tcPr>
          <w:p>
            <w:pPr>
              <w:rPr>
                <w:rFonts w:ascii="Arial"/>
              </w:rPr>
            </w:pPr>
          </w:p>
        </w:tc>
        <w:tc>
          <w:tcPr>
            <w:tcW w:w="7597" w:type="dxa"/>
          </w:tcPr>
          <w:p>
            <w:pPr>
              <w:spacing w:before="69" w:line="219" w:lineRule="auto"/>
              <w:ind w:left="112"/>
              <w:rPr>
                <w:rFonts w:ascii="宋体" w:hAnsi="宋体" w:cs="宋体"/>
                <w:sz w:val="18"/>
                <w:szCs w:val="18"/>
              </w:rPr>
            </w:pPr>
            <w:r>
              <w:rPr>
                <w:rFonts w:ascii="宋体" w:hAnsi="宋体" w:cs="宋体"/>
                <w:spacing w:val="-1"/>
                <w:sz w:val="18"/>
                <w:szCs w:val="18"/>
              </w:rPr>
              <w:t>a) 特种作业人员、安全管理人员的信息化管理（1</w:t>
            </w:r>
            <w:r>
              <w:rPr>
                <w:rFonts w:ascii="宋体" w:hAnsi="宋体" w:cs="宋体"/>
                <w:spacing w:val="-30"/>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1</w:t>
            </w:r>
          </w:p>
        </w:tc>
        <w:tc>
          <w:tcPr>
            <w:tcW w:w="996" w:type="dxa"/>
            <w:vMerge w:val="continue"/>
            <w:tcBorders>
              <w:top w:val="nil"/>
              <w:bottom w:val="nil"/>
            </w:tcBorders>
          </w:tcPr>
          <w:p>
            <w:pPr>
              <w:jc w:val="cente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jc w:val="center"/>
        </w:trPr>
        <w:tc>
          <w:tcPr>
            <w:tcW w:w="1223" w:type="dxa"/>
            <w:vMerge w:val="continue"/>
            <w:tcBorders>
              <w:top w:val="nil"/>
              <w:bottom w:val="nil"/>
            </w:tcBorders>
          </w:tcPr>
          <w:p>
            <w:pPr>
              <w:rPr>
                <w:rFonts w:ascii="Arial"/>
              </w:rPr>
            </w:pPr>
          </w:p>
        </w:tc>
        <w:tc>
          <w:tcPr>
            <w:tcW w:w="677" w:type="dxa"/>
            <w:vMerge w:val="continue"/>
            <w:tcBorders>
              <w:top w:val="nil"/>
              <w:bottom w:val="nil"/>
            </w:tcBorders>
          </w:tcPr>
          <w:p>
            <w:pPr>
              <w:rPr>
                <w:rFonts w:ascii="Arial"/>
              </w:rPr>
            </w:pPr>
          </w:p>
        </w:tc>
        <w:tc>
          <w:tcPr>
            <w:tcW w:w="7597" w:type="dxa"/>
          </w:tcPr>
          <w:p>
            <w:pPr>
              <w:spacing w:before="68" w:line="219" w:lineRule="auto"/>
              <w:ind w:left="108"/>
              <w:rPr>
                <w:rFonts w:ascii="宋体" w:hAnsi="宋体" w:cs="宋体"/>
                <w:sz w:val="18"/>
                <w:szCs w:val="18"/>
              </w:rPr>
            </w:pPr>
            <w:r>
              <w:rPr>
                <w:rFonts w:ascii="宋体" w:hAnsi="宋体" w:cs="宋体"/>
                <w:spacing w:val="-1"/>
                <w:sz w:val="18"/>
                <w:szCs w:val="18"/>
              </w:rPr>
              <w:t>b) 具备建筑工人职业资格即将到期预警和过期报警功能（1</w:t>
            </w:r>
            <w:r>
              <w:rPr>
                <w:rFonts w:ascii="宋体" w:hAnsi="宋体" w:cs="宋体"/>
                <w:spacing w:val="-22"/>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1</w:t>
            </w:r>
          </w:p>
        </w:tc>
        <w:tc>
          <w:tcPr>
            <w:tcW w:w="996" w:type="dxa"/>
            <w:vMerge w:val="continue"/>
            <w:tcBorders>
              <w:top w:val="nil"/>
              <w:bottom w:val="nil"/>
            </w:tcBorders>
          </w:tcPr>
          <w:p>
            <w:pPr>
              <w:jc w:val="cente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jc w:val="center"/>
        </w:trPr>
        <w:tc>
          <w:tcPr>
            <w:tcW w:w="1223" w:type="dxa"/>
            <w:vMerge w:val="continue"/>
            <w:tcBorders>
              <w:top w:val="nil"/>
              <w:bottom w:val="nil"/>
            </w:tcBorders>
          </w:tcPr>
          <w:p>
            <w:pPr>
              <w:rPr>
                <w:rFonts w:ascii="Arial"/>
              </w:rPr>
            </w:pPr>
          </w:p>
        </w:tc>
        <w:tc>
          <w:tcPr>
            <w:tcW w:w="677" w:type="dxa"/>
            <w:vMerge w:val="continue"/>
            <w:tcBorders>
              <w:top w:val="nil"/>
            </w:tcBorders>
          </w:tcPr>
          <w:p>
            <w:pPr>
              <w:rPr>
                <w:rFonts w:ascii="Arial"/>
              </w:rPr>
            </w:pPr>
          </w:p>
        </w:tc>
        <w:tc>
          <w:tcPr>
            <w:tcW w:w="7597" w:type="dxa"/>
          </w:tcPr>
          <w:p>
            <w:pPr>
              <w:spacing w:before="67" w:line="219" w:lineRule="auto"/>
              <w:ind w:left="115"/>
              <w:rPr>
                <w:rFonts w:ascii="宋体" w:hAnsi="宋体" w:cs="宋体"/>
                <w:sz w:val="18"/>
                <w:szCs w:val="18"/>
              </w:rPr>
            </w:pPr>
            <w:r>
              <w:rPr>
                <w:rFonts w:ascii="宋体" w:hAnsi="宋体" w:cs="宋体"/>
                <w:spacing w:val="-2"/>
                <w:sz w:val="18"/>
                <w:szCs w:val="18"/>
              </w:rPr>
              <w:t>c) 通过</w:t>
            </w:r>
            <w:r>
              <w:rPr>
                <w:rFonts w:ascii="宋体" w:hAnsi="宋体" w:cs="宋体"/>
                <w:spacing w:val="-27"/>
                <w:sz w:val="18"/>
                <w:szCs w:val="18"/>
              </w:rPr>
              <w:t xml:space="preserve"> </w:t>
            </w:r>
            <w:r>
              <w:rPr>
                <w:rFonts w:ascii="宋体" w:hAnsi="宋体" w:cs="宋体"/>
                <w:spacing w:val="-2"/>
                <w:sz w:val="18"/>
                <w:szCs w:val="18"/>
              </w:rPr>
              <w:t>AI</w:t>
            </w:r>
            <w:r>
              <w:rPr>
                <w:rFonts w:ascii="宋体" w:hAnsi="宋体" w:cs="宋体"/>
                <w:spacing w:val="-36"/>
                <w:sz w:val="18"/>
                <w:szCs w:val="18"/>
              </w:rPr>
              <w:t xml:space="preserve"> </w:t>
            </w:r>
            <w:r>
              <w:rPr>
                <w:rFonts w:ascii="宋体" w:hAnsi="宋体" w:cs="宋体"/>
                <w:spacing w:val="-2"/>
                <w:sz w:val="18"/>
                <w:szCs w:val="18"/>
              </w:rPr>
              <w:t>技术对场内人员进行实名识别（1</w:t>
            </w:r>
            <w:r>
              <w:rPr>
                <w:rFonts w:ascii="宋体" w:hAnsi="宋体" w:cs="宋体"/>
                <w:spacing w:val="-36"/>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1</w:t>
            </w:r>
          </w:p>
        </w:tc>
        <w:tc>
          <w:tcPr>
            <w:tcW w:w="996" w:type="dxa"/>
            <w:vMerge w:val="continue"/>
            <w:tcBorders>
              <w:top w:val="nil"/>
              <w:bottom w:val="nil"/>
            </w:tcBorders>
          </w:tcPr>
          <w:p>
            <w:pPr>
              <w:jc w:val="cente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jc w:val="center"/>
        </w:trPr>
        <w:tc>
          <w:tcPr>
            <w:tcW w:w="1223" w:type="dxa"/>
            <w:vMerge w:val="continue"/>
            <w:tcBorders>
              <w:top w:val="nil"/>
              <w:bottom w:val="nil"/>
            </w:tcBorders>
          </w:tcPr>
          <w:p>
            <w:pPr>
              <w:rPr>
                <w:rFonts w:ascii="Arial"/>
              </w:rPr>
            </w:pPr>
          </w:p>
        </w:tc>
        <w:tc>
          <w:tcPr>
            <w:tcW w:w="677" w:type="dxa"/>
          </w:tcPr>
          <w:p>
            <w:pPr>
              <w:spacing w:before="97" w:line="183" w:lineRule="auto"/>
              <w:ind w:left="300"/>
              <w:rPr>
                <w:rFonts w:ascii="宋体" w:hAnsi="宋体" w:cs="宋体"/>
                <w:sz w:val="18"/>
                <w:szCs w:val="18"/>
              </w:rPr>
            </w:pPr>
            <w:r>
              <w:rPr>
                <w:rFonts w:ascii="宋体" w:hAnsi="宋体" w:cs="宋体"/>
                <w:sz w:val="18"/>
                <w:szCs w:val="18"/>
              </w:rPr>
              <w:t>3</w:t>
            </w:r>
          </w:p>
        </w:tc>
        <w:tc>
          <w:tcPr>
            <w:tcW w:w="7597" w:type="dxa"/>
          </w:tcPr>
          <w:p>
            <w:pPr>
              <w:spacing w:before="69" w:line="219" w:lineRule="auto"/>
              <w:ind w:left="115"/>
              <w:rPr>
                <w:rFonts w:ascii="宋体" w:hAnsi="宋体" w:cs="宋体"/>
                <w:sz w:val="18"/>
                <w:szCs w:val="18"/>
              </w:rPr>
            </w:pPr>
            <w:r>
              <w:rPr>
                <w:rFonts w:ascii="宋体" w:hAnsi="宋体" w:cs="宋体"/>
                <w:spacing w:val="-1"/>
                <w:sz w:val="18"/>
                <w:szCs w:val="18"/>
              </w:rPr>
              <w:t>具备对从业人员相关教育学习、管理、统计功能（2</w:t>
            </w:r>
            <w:r>
              <w:rPr>
                <w:rFonts w:ascii="宋体" w:hAnsi="宋体" w:cs="宋体"/>
                <w:spacing w:val="-32"/>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jc w:val="cente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jc w:val="center"/>
        </w:trPr>
        <w:tc>
          <w:tcPr>
            <w:tcW w:w="1223" w:type="dxa"/>
            <w:vMerge w:val="continue"/>
            <w:tcBorders>
              <w:top w:val="nil"/>
            </w:tcBorders>
          </w:tcPr>
          <w:p>
            <w:pPr>
              <w:rPr>
                <w:rFonts w:ascii="Arial"/>
              </w:rPr>
            </w:pPr>
          </w:p>
        </w:tc>
        <w:tc>
          <w:tcPr>
            <w:tcW w:w="677" w:type="dxa"/>
          </w:tcPr>
          <w:p>
            <w:pPr>
              <w:spacing w:before="96" w:line="183" w:lineRule="auto"/>
              <w:ind w:left="296"/>
              <w:rPr>
                <w:rFonts w:ascii="宋体" w:hAnsi="宋体" w:cs="宋体"/>
                <w:sz w:val="18"/>
                <w:szCs w:val="18"/>
              </w:rPr>
            </w:pPr>
            <w:r>
              <w:rPr>
                <w:rFonts w:ascii="宋体" w:hAnsi="宋体" w:cs="宋体"/>
                <w:sz w:val="18"/>
                <w:szCs w:val="18"/>
              </w:rPr>
              <w:t>4</w:t>
            </w:r>
          </w:p>
        </w:tc>
        <w:tc>
          <w:tcPr>
            <w:tcW w:w="7597" w:type="dxa"/>
          </w:tcPr>
          <w:p>
            <w:pPr>
              <w:spacing w:before="68" w:line="218" w:lineRule="auto"/>
              <w:ind w:left="111"/>
              <w:rPr>
                <w:rFonts w:ascii="宋体" w:hAnsi="宋体" w:cs="宋体"/>
                <w:sz w:val="18"/>
                <w:szCs w:val="18"/>
              </w:rPr>
            </w:pPr>
            <w:r>
              <w:rPr>
                <w:rFonts w:ascii="宋体" w:hAnsi="宋体" w:cs="宋体"/>
                <w:spacing w:val="-1"/>
                <w:sz w:val="18"/>
                <w:szCs w:val="18"/>
              </w:rPr>
              <w:t>对劳务人员不规范行为的记录，并能将相关信息上传到政府监管平台（2</w:t>
            </w:r>
            <w:r>
              <w:rPr>
                <w:rFonts w:ascii="宋体" w:hAnsi="宋体" w:cs="宋体"/>
                <w:spacing w:val="-19"/>
                <w:sz w:val="18"/>
                <w:szCs w:val="18"/>
              </w:rPr>
              <w:t xml:space="preserve"> </w:t>
            </w:r>
            <w:r>
              <w:rPr>
                <w:rFonts w:ascii="宋体" w:hAnsi="宋体" w:cs="宋体"/>
                <w:spacing w:val="-1"/>
                <w:sz w:val="18"/>
                <w:szCs w:val="18"/>
              </w:rPr>
              <w:t>分）</w:t>
            </w:r>
          </w:p>
        </w:tc>
        <w:tc>
          <w:tcPr>
            <w:tcW w:w="991" w:type="dxa"/>
            <w:vMerge w:val="continue"/>
            <w:tcBorders>
              <w:top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tcBorders>
          </w:tcPr>
          <w:p>
            <w:pPr>
              <w:jc w:val="center"/>
              <w:rPr>
                <w:rFonts w:ascii="Arial"/>
              </w:rPr>
            </w:pPr>
          </w:p>
        </w:tc>
        <w:tc>
          <w:tcPr>
            <w:tcW w:w="682" w:type="dxa"/>
            <w:vMerge w:val="continue"/>
            <w:tcBorders>
              <w:top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9" w:hRule="atLeast"/>
          <w:jc w:val="center"/>
        </w:trPr>
        <w:tc>
          <w:tcPr>
            <w:tcW w:w="1223" w:type="dxa"/>
            <w:vMerge w:val="restart"/>
            <w:tcBorders>
              <w:bottom w:val="nil"/>
            </w:tcBorders>
          </w:tcPr>
          <w:p>
            <w:pPr>
              <w:rPr>
                <w:rFonts w:ascii="Arial"/>
              </w:rPr>
            </w:pPr>
          </w:p>
          <w:p>
            <w:pPr>
              <w:spacing w:line="241" w:lineRule="auto"/>
              <w:rPr>
                <w:rFonts w:ascii="Arial"/>
              </w:rPr>
            </w:pPr>
          </w:p>
          <w:p>
            <w:pPr>
              <w:spacing w:line="241" w:lineRule="auto"/>
              <w:rPr>
                <w:rFonts w:ascii="Arial"/>
              </w:rPr>
            </w:pPr>
          </w:p>
          <w:p>
            <w:pPr>
              <w:spacing w:line="241" w:lineRule="auto"/>
              <w:rPr>
                <w:rFonts w:ascii="Arial"/>
              </w:rPr>
            </w:pPr>
          </w:p>
          <w:p>
            <w:pPr>
              <w:spacing w:line="241" w:lineRule="auto"/>
              <w:rPr>
                <w:rFonts w:ascii="Arial"/>
              </w:rPr>
            </w:pPr>
          </w:p>
          <w:p>
            <w:pPr>
              <w:spacing w:before="59" w:line="219" w:lineRule="auto"/>
              <w:ind w:left="254"/>
              <w:rPr>
                <w:rFonts w:ascii="宋体" w:hAnsi="宋体" w:cs="宋体"/>
                <w:sz w:val="18"/>
                <w:szCs w:val="18"/>
              </w:rPr>
            </w:pPr>
            <w:r>
              <w:rPr>
                <w:rFonts w:ascii="宋体" w:hAnsi="宋体" w:cs="宋体"/>
                <w:spacing w:val="-2"/>
                <w:sz w:val="18"/>
                <w:szCs w:val="18"/>
              </w:rPr>
              <w:t>视频监控</w:t>
            </w:r>
          </w:p>
        </w:tc>
        <w:tc>
          <w:tcPr>
            <w:tcW w:w="677" w:type="dxa"/>
          </w:tcPr>
          <w:p>
            <w:pPr>
              <w:spacing w:line="350" w:lineRule="auto"/>
              <w:rPr>
                <w:rFonts w:ascii="Arial"/>
              </w:rPr>
            </w:pPr>
          </w:p>
          <w:p>
            <w:pPr>
              <w:spacing w:before="59" w:line="184" w:lineRule="auto"/>
              <w:ind w:left="310"/>
              <w:rPr>
                <w:rFonts w:ascii="宋体" w:hAnsi="宋体" w:cs="宋体"/>
                <w:sz w:val="18"/>
                <w:szCs w:val="18"/>
              </w:rPr>
            </w:pPr>
            <w:r>
              <w:rPr>
                <w:rFonts w:ascii="宋体" w:hAnsi="宋体" w:cs="宋体"/>
                <w:sz w:val="18"/>
                <w:szCs w:val="18"/>
              </w:rPr>
              <w:t>1</w:t>
            </w:r>
          </w:p>
        </w:tc>
        <w:tc>
          <w:tcPr>
            <w:tcW w:w="7597" w:type="dxa"/>
          </w:tcPr>
          <w:p>
            <w:pPr>
              <w:spacing w:before="69" w:line="288" w:lineRule="auto"/>
              <w:ind w:left="110" w:right="106"/>
              <w:rPr>
                <w:rFonts w:ascii="宋体" w:hAnsi="宋体" w:cs="宋体"/>
                <w:sz w:val="18"/>
                <w:szCs w:val="18"/>
              </w:rPr>
            </w:pPr>
            <w:r>
              <w:rPr>
                <w:rFonts w:ascii="宋体" w:hAnsi="宋体" w:cs="宋体"/>
                <w:spacing w:val="-2"/>
                <w:sz w:val="18"/>
                <w:szCs w:val="18"/>
              </w:rPr>
              <w:t>采用</w:t>
            </w:r>
            <w:r>
              <w:rPr>
                <w:rFonts w:ascii="宋体" w:hAnsi="宋体" w:cs="宋体"/>
                <w:spacing w:val="-45"/>
                <w:sz w:val="18"/>
                <w:szCs w:val="18"/>
              </w:rPr>
              <w:t xml:space="preserve"> </w:t>
            </w:r>
            <w:r>
              <w:rPr>
                <w:rFonts w:ascii="宋体" w:hAnsi="宋体" w:cs="宋体"/>
                <w:spacing w:val="-2"/>
                <w:sz w:val="18"/>
                <w:szCs w:val="18"/>
              </w:rPr>
              <w:t>AI</w:t>
            </w:r>
            <w:r>
              <w:rPr>
                <w:rFonts w:ascii="宋体" w:hAnsi="宋体" w:cs="宋体"/>
                <w:spacing w:val="-35"/>
                <w:sz w:val="18"/>
                <w:szCs w:val="18"/>
              </w:rPr>
              <w:t xml:space="preserve"> </w:t>
            </w:r>
            <w:r>
              <w:rPr>
                <w:rFonts w:ascii="宋体" w:hAnsi="宋体" w:cs="宋体"/>
                <w:spacing w:val="-2"/>
                <w:sz w:val="18"/>
                <w:szCs w:val="18"/>
              </w:rPr>
              <w:t>识别技术，对施工现场进行安全帽</w:t>
            </w:r>
            <w:r>
              <w:rPr>
                <w:rFonts w:ascii="宋体" w:hAnsi="宋体" w:cs="宋体"/>
                <w:spacing w:val="-3"/>
                <w:sz w:val="18"/>
                <w:szCs w:val="18"/>
              </w:rPr>
              <w:t>佩戴、安全带佩戴、反光衣穿着、区域入侵、不良行</w:t>
            </w:r>
            <w:r>
              <w:rPr>
                <w:rFonts w:ascii="宋体" w:hAnsi="宋体" w:cs="宋体"/>
                <w:sz w:val="18"/>
                <w:szCs w:val="18"/>
              </w:rPr>
              <w:t xml:space="preserve"> 为（如抽烟、打架等）、现场明烟明火等人的不安全行为和物的不安全状态进行</w:t>
            </w:r>
            <w:r>
              <w:rPr>
                <w:rFonts w:ascii="宋体" w:hAnsi="宋体" w:cs="宋体"/>
                <w:spacing w:val="-1"/>
                <w:sz w:val="18"/>
                <w:szCs w:val="18"/>
              </w:rPr>
              <w:t>识别、记录和</w:t>
            </w:r>
            <w:r>
              <w:rPr>
                <w:rFonts w:ascii="宋体" w:hAnsi="宋体" w:cs="宋体"/>
                <w:sz w:val="18"/>
                <w:szCs w:val="18"/>
              </w:rPr>
              <w:t xml:space="preserve"> </w:t>
            </w:r>
            <w:r>
              <w:rPr>
                <w:rFonts w:ascii="宋体" w:hAnsi="宋体" w:cs="宋体"/>
                <w:spacing w:val="-2"/>
                <w:sz w:val="18"/>
                <w:szCs w:val="18"/>
              </w:rPr>
              <w:t>报警，并接入政府管理平台（每个</w:t>
            </w:r>
            <w:r>
              <w:rPr>
                <w:rFonts w:ascii="宋体" w:hAnsi="宋体" w:cs="宋体"/>
                <w:spacing w:val="-46"/>
                <w:sz w:val="18"/>
                <w:szCs w:val="18"/>
              </w:rPr>
              <w:t xml:space="preserve"> </w:t>
            </w:r>
            <w:r>
              <w:rPr>
                <w:rFonts w:ascii="宋体" w:hAnsi="宋体" w:cs="宋体"/>
                <w:spacing w:val="-2"/>
                <w:sz w:val="18"/>
                <w:szCs w:val="18"/>
              </w:rPr>
              <w:t>AI</w:t>
            </w:r>
            <w:r>
              <w:rPr>
                <w:rFonts w:ascii="宋体" w:hAnsi="宋体" w:cs="宋体"/>
                <w:spacing w:val="-37"/>
                <w:sz w:val="18"/>
                <w:szCs w:val="18"/>
              </w:rPr>
              <w:t xml:space="preserve"> </w:t>
            </w:r>
            <w:r>
              <w:rPr>
                <w:rFonts w:ascii="宋体" w:hAnsi="宋体" w:cs="宋体"/>
                <w:spacing w:val="-2"/>
                <w:sz w:val="18"/>
                <w:szCs w:val="18"/>
              </w:rPr>
              <w:t>摄像头加</w:t>
            </w:r>
            <w:r>
              <w:rPr>
                <w:rFonts w:ascii="宋体" w:hAnsi="宋体" w:cs="宋体"/>
                <w:spacing w:val="-24"/>
                <w:sz w:val="18"/>
                <w:szCs w:val="18"/>
              </w:rPr>
              <w:t xml:space="preserve"> </w:t>
            </w:r>
            <w:r>
              <w:rPr>
                <w:rFonts w:ascii="宋体" w:hAnsi="宋体" w:cs="宋体"/>
                <w:spacing w:val="-2"/>
                <w:sz w:val="18"/>
                <w:szCs w:val="18"/>
              </w:rPr>
              <w:t>1</w:t>
            </w:r>
            <w:r>
              <w:rPr>
                <w:rFonts w:ascii="宋体" w:hAnsi="宋体" w:cs="宋体"/>
                <w:spacing w:val="-36"/>
                <w:sz w:val="18"/>
                <w:szCs w:val="18"/>
              </w:rPr>
              <w:t xml:space="preserve"> </w:t>
            </w:r>
            <w:r>
              <w:rPr>
                <w:rFonts w:ascii="宋体" w:hAnsi="宋体" w:cs="宋体"/>
                <w:spacing w:val="-2"/>
                <w:sz w:val="18"/>
                <w:szCs w:val="18"/>
              </w:rPr>
              <w:t>分，最高</w:t>
            </w:r>
            <w:r>
              <w:rPr>
                <w:rFonts w:ascii="宋体" w:hAnsi="宋体" w:cs="宋体"/>
                <w:spacing w:val="-38"/>
                <w:sz w:val="18"/>
                <w:szCs w:val="18"/>
              </w:rPr>
              <w:t xml:space="preserve"> </w:t>
            </w:r>
            <w:r>
              <w:rPr>
                <w:rFonts w:ascii="宋体" w:hAnsi="宋体" w:cs="宋体"/>
                <w:spacing w:val="-2"/>
                <w:sz w:val="18"/>
                <w:szCs w:val="18"/>
              </w:rPr>
              <w:t>4</w:t>
            </w:r>
            <w:r>
              <w:rPr>
                <w:rFonts w:ascii="宋体" w:hAnsi="宋体" w:cs="宋体"/>
                <w:spacing w:val="-37"/>
                <w:sz w:val="18"/>
                <w:szCs w:val="18"/>
              </w:rPr>
              <w:t xml:space="preserve"> </w:t>
            </w:r>
            <w:r>
              <w:rPr>
                <w:rFonts w:ascii="宋体" w:hAnsi="宋体" w:cs="宋体"/>
                <w:spacing w:val="-3"/>
                <w:sz w:val="18"/>
                <w:szCs w:val="18"/>
              </w:rPr>
              <w:t>分）</w:t>
            </w:r>
          </w:p>
        </w:tc>
        <w:tc>
          <w:tcPr>
            <w:tcW w:w="991" w:type="dxa"/>
            <w:vMerge w:val="restart"/>
            <w:tcBorders>
              <w:bottom w:val="nil"/>
            </w:tcBorders>
          </w:tcPr>
          <w:p>
            <w:pPr>
              <w:spacing w:line="246" w:lineRule="auto"/>
              <w:rPr>
                <w:rFonts w:ascii="Arial"/>
              </w:rPr>
            </w:pPr>
          </w:p>
          <w:p>
            <w:pPr>
              <w:spacing w:line="246" w:lineRule="auto"/>
              <w:rPr>
                <w:rFonts w:ascii="Arial"/>
              </w:rPr>
            </w:pPr>
          </w:p>
          <w:p>
            <w:pPr>
              <w:spacing w:line="246" w:lineRule="auto"/>
              <w:rPr>
                <w:rFonts w:ascii="Arial"/>
              </w:rPr>
            </w:pPr>
          </w:p>
          <w:p>
            <w:pPr>
              <w:spacing w:line="247" w:lineRule="auto"/>
              <w:rPr>
                <w:rFonts w:ascii="Arial"/>
              </w:rPr>
            </w:pPr>
          </w:p>
          <w:p>
            <w:pPr>
              <w:spacing w:line="247" w:lineRule="auto"/>
              <w:rPr>
                <w:rFonts w:ascii="Arial"/>
              </w:rPr>
            </w:pPr>
          </w:p>
          <w:p>
            <w:pPr>
              <w:spacing w:before="58" w:line="183" w:lineRule="auto"/>
              <w:ind w:left="455"/>
              <w:rPr>
                <w:rFonts w:ascii="宋体" w:hAnsi="宋体" w:cs="宋体"/>
                <w:sz w:val="18"/>
                <w:szCs w:val="18"/>
              </w:rPr>
            </w:pPr>
            <w:r>
              <w:rPr>
                <w:rFonts w:ascii="宋体" w:hAnsi="宋体" w:cs="宋体"/>
                <w:sz w:val="18"/>
                <w:szCs w:val="18"/>
              </w:rPr>
              <w:t>8</w:t>
            </w:r>
          </w:p>
        </w:tc>
        <w:tc>
          <w:tcPr>
            <w:tcW w:w="807" w:type="dxa"/>
          </w:tcPr>
          <w:p>
            <w:pPr>
              <w:jc w:val="center"/>
              <w:rPr>
                <w:rFonts w:ascii="Arial"/>
              </w:rPr>
            </w:pPr>
            <w:r>
              <w:rPr>
                <w:rFonts w:hint="eastAsia" w:ascii="Arial"/>
              </w:rPr>
              <w:t>4</w:t>
            </w:r>
          </w:p>
        </w:tc>
        <w:tc>
          <w:tcPr>
            <w:tcW w:w="996" w:type="dxa"/>
            <w:vMerge w:val="restart"/>
            <w:tcBorders>
              <w:bottom w:val="nil"/>
            </w:tcBorders>
          </w:tcPr>
          <w:p>
            <w:pPr>
              <w:jc w:val="center"/>
              <w:rPr>
                <w:rFonts w:ascii="Arial"/>
              </w:rPr>
            </w:pPr>
            <w:r>
              <w:rPr>
                <w:rFonts w:hint="eastAsia" w:ascii="Arial"/>
              </w:rPr>
              <w:t>8</w:t>
            </w:r>
          </w:p>
        </w:tc>
        <w:tc>
          <w:tcPr>
            <w:tcW w:w="682" w:type="dxa"/>
            <w:vMerge w:val="restart"/>
            <w:tcBorders>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jc w:val="center"/>
        </w:trPr>
        <w:tc>
          <w:tcPr>
            <w:tcW w:w="1223" w:type="dxa"/>
            <w:vMerge w:val="continue"/>
            <w:tcBorders>
              <w:top w:val="nil"/>
              <w:bottom w:val="nil"/>
            </w:tcBorders>
          </w:tcPr>
          <w:p>
            <w:pPr>
              <w:rPr>
                <w:rFonts w:ascii="Arial"/>
              </w:rPr>
            </w:pPr>
          </w:p>
        </w:tc>
        <w:tc>
          <w:tcPr>
            <w:tcW w:w="677" w:type="dxa"/>
          </w:tcPr>
          <w:p>
            <w:pPr>
              <w:spacing w:before="180" w:line="183" w:lineRule="auto"/>
              <w:ind w:left="298"/>
              <w:rPr>
                <w:rFonts w:ascii="宋体" w:hAnsi="宋体" w:cs="宋体"/>
                <w:sz w:val="18"/>
                <w:szCs w:val="18"/>
              </w:rPr>
            </w:pPr>
            <w:r>
              <w:rPr>
                <w:rFonts w:ascii="宋体" w:hAnsi="宋体" w:cs="宋体"/>
                <w:sz w:val="18"/>
                <w:szCs w:val="18"/>
              </w:rPr>
              <w:t>2</w:t>
            </w:r>
          </w:p>
        </w:tc>
        <w:tc>
          <w:tcPr>
            <w:tcW w:w="7597" w:type="dxa"/>
          </w:tcPr>
          <w:p>
            <w:pPr>
              <w:spacing w:before="153" w:line="218" w:lineRule="auto"/>
              <w:ind w:left="111"/>
              <w:rPr>
                <w:rFonts w:ascii="宋体" w:hAnsi="宋体" w:cs="宋体"/>
                <w:sz w:val="18"/>
                <w:szCs w:val="18"/>
              </w:rPr>
            </w:pPr>
            <w:r>
              <w:rPr>
                <w:rFonts w:ascii="宋体" w:hAnsi="宋体" w:cs="宋体"/>
                <w:spacing w:val="-1"/>
                <w:sz w:val="18"/>
                <w:szCs w:val="18"/>
              </w:rPr>
              <w:t>采用</w:t>
            </w:r>
            <w:r>
              <w:rPr>
                <w:rFonts w:ascii="宋体" w:hAnsi="宋体" w:cs="宋体"/>
                <w:spacing w:val="-31"/>
                <w:sz w:val="18"/>
                <w:szCs w:val="18"/>
              </w:rPr>
              <w:t xml:space="preserve"> </w:t>
            </w:r>
            <w:r>
              <w:rPr>
                <w:rFonts w:ascii="宋体" w:hAnsi="宋体" w:cs="宋体"/>
                <w:spacing w:val="-1"/>
                <w:sz w:val="18"/>
                <w:szCs w:val="18"/>
              </w:rPr>
              <w:t>AI</w:t>
            </w:r>
            <w:r>
              <w:rPr>
                <w:rFonts w:ascii="宋体" w:hAnsi="宋体" w:cs="宋体"/>
                <w:spacing w:val="-34"/>
                <w:sz w:val="18"/>
                <w:szCs w:val="18"/>
              </w:rPr>
              <w:t xml:space="preserve"> </w:t>
            </w:r>
            <w:r>
              <w:rPr>
                <w:rFonts w:ascii="宋体" w:hAnsi="宋体" w:cs="宋体"/>
                <w:spacing w:val="-1"/>
                <w:sz w:val="18"/>
                <w:szCs w:val="18"/>
              </w:rPr>
              <w:t>识别技术，对全部塔式起重机司机室内驾驶员不良行为进行识别、记录、报警（2</w:t>
            </w:r>
            <w:r>
              <w:rPr>
                <w:rFonts w:ascii="宋体" w:hAnsi="宋体" w:cs="宋体"/>
                <w:spacing w:val="-37"/>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jc w:val="cente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jc w:val="center"/>
        </w:trPr>
        <w:tc>
          <w:tcPr>
            <w:tcW w:w="1223" w:type="dxa"/>
            <w:vMerge w:val="continue"/>
            <w:tcBorders>
              <w:top w:val="nil"/>
              <w:bottom w:val="nil"/>
            </w:tcBorders>
          </w:tcPr>
          <w:p>
            <w:pPr>
              <w:rPr>
                <w:rFonts w:ascii="Arial"/>
              </w:rPr>
            </w:pPr>
          </w:p>
        </w:tc>
        <w:tc>
          <w:tcPr>
            <w:tcW w:w="677" w:type="dxa"/>
          </w:tcPr>
          <w:p>
            <w:pPr>
              <w:spacing w:before="255" w:line="183" w:lineRule="auto"/>
              <w:ind w:left="300"/>
              <w:rPr>
                <w:rFonts w:ascii="宋体" w:hAnsi="宋体" w:cs="宋体"/>
                <w:sz w:val="18"/>
                <w:szCs w:val="18"/>
              </w:rPr>
            </w:pPr>
            <w:r>
              <w:rPr>
                <w:rFonts w:ascii="宋体" w:hAnsi="宋体" w:cs="宋体"/>
                <w:sz w:val="18"/>
                <w:szCs w:val="18"/>
              </w:rPr>
              <w:t>3</w:t>
            </w:r>
          </w:p>
        </w:tc>
        <w:tc>
          <w:tcPr>
            <w:tcW w:w="7597" w:type="dxa"/>
          </w:tcPr>
          <w:p>
            <w:pPr>
              <w:spacing w:before="70" w:line="271" w:lineRule="auto"/>
              <w:ind w:left="115" w:right="106" w:hanging="4"/>
              <w:rPr>
                <w:rFonts w:ascii="宋体" w:hAnsi="宋体" w:cs="宋体"/>
                <w:sz w:val="18"/>
                <w:szCs w:val="18"/>
              </w:rPr>
            </w:pPr>
            <w:r>
              <w:rPr>
                <w:rFonts w:ascii="宋体" w:hAnsi="宋体" w:cs="宋体"/>
                <w:spacing w:val="-1"/>
                <w:sz w:val="18"/>
                <w:szCs w:val="18"/>
              </w:rPr>
              <w:t>全景成像测距应用，对施工活动面布设一定数量摄像头，实现自动扫描、</w:t>
            </w:r>
            <w:r>
              <w:rPr>
                <w:rFonts w:ascii="宋体" w:hAnsi="宋体" w:cs="宋体"/>
                <w:spacing w:val="-48"/>
                <w:sz w:val="18"/>
                <w:szCs w:val="18"/>
              </w:rPr>
              <w:t xml:space="preserve"> </w:t>
            </w:r>
            <w:r>
              <w:rPr>
                <w:rFonts w:ascii="宋体" w:hAnsi="宋体" w:cs="宋体"/>
                <w:spacing w:val="-2"/>
                <w:sz w:val="18"/>
                <w:szCs w:val="18"/>
              </w:rPr>
              <w:t>自动测量等基本功能</w:t>
            </w:r>
            <w:r>
              <w:rPr>
                <w:rFonts w:ascii="宋体" w:hAnsi="宋体" w:cs="宋体"/>
                <w:sz w:val="18"/>
                <w:szCs w:val="18"/>
              </w:rPr>
              <w:t xml:space="preserve"> </w:t>
            </w:r>
            <w:r>
              <w:rPr>
                <w:rFonts w:ascii="宋体" w:hAnsi="宋体" w:cs="宋体"/>
                <w:spacing w:val="-2"/>
                <w:sz w:val="18"/>
                <w:szCs w:val="18"/>
              </w:rPr>
              <w:t>（2</w:t>
            </w:r>
            <w:r>
              <w:rPr>
                <w:rFonts w:ascii="宋体" w:hAnsi="宋体" w:cs="宋体"/>
                <w:spacing w:val="-36"/>
                <w:sz w:val="18"/>
                <w:szCs w:val="18"/>
              </w:rPr>
              <w:t xml:space="preserve"> </w:t>
            </w:r>
            <w:r>
              <w:rPr>
                <w:rFonts w:ascii="宋体" w:hAnsi="宋体" w:cs="宋体"/>
                <w:spacing w:val="-2"/>
                <w:sz w:val="18"/>
                <w:szCs w:val="18"/>
              </w:rPr>
              <w:t>分</w:t>
            </w:r>
            <w:r>
              <w:rPr>
                <w:rFonts w:ascii="宋体" w:hAnsi="宋体" w:cs="宋体"/>
                <w:spacing w:val="7"/>
                <w:sz w:val="18"/>
                <w:szCs w:val="18"/>
              </w:rPr>
              <w:t>）；</w:t>
            </w:r>
            <w:r>
              <w:rPr>
                <w:rFonts w:ascii="宋体" w:hAnsi="宋体" w:cs="宋体"/>
                <w:spacing w:val="-2"/>
                <w:sz w:val="18"/>
                <w:szCs w:val="18"/>
              </w:rPr>
              <w:t>具备全景拼图、溯源测量等扩展应用（2</w:t>
            </w:r>
            <w:r>
              <w:rPr>
                <w:rFonts w:ascii="宋体" w:hAnsi="宋体" w:cs="宋体"/>
                <w:spacing w:val="-36"/>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bottom w:val="nil"/>
            </w:tcBorders>
          </w:tcPr>
          <w:p>
            <w:pPr>
              <w:jc w:val="cente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jc w:val="center"/>
        </w:trPr>
        <w:tc>
          <w:tcPr>
            <w:tcW w:w="1223" w:type="dxa"/>
            <w:vMerge w:val="continue"/>
            <w:tcBorders>
              <w:top w:val="nil"/>
            </w:tcBorders>
          </w:tcPr>
          <w:p>
            <w:pPr>
              <w:rPr>
                <w:rFonts w:ascii="Arial"/>
              </w:rPr>
            </w:pPr>
          </w:p>
        </w:tc>
        <w:tc>
          <w:tcPr>
            <w:tcW w:w="677" w:type="dxa"/>
          </w:tcPr>
          <w:p>
            <w:pPr>
              <w:spacing w:before="256" w:line="183" w:lineRule="auto"/>
              <w:ind w:left="296"/>
              <w:rPr>
                <w:rFonts w:ascii="宋体" w:hAnsi="宋体" w:cs="宋体"/>
                <w:sz w:val="18"/>
                <w:szCs w:val="18"/>
              </w:rPr>
            </w:pPr>
            <w:r>
              <w:rPr>
                <w:rFonts w:ascii="宋体" w:hAnsi="宋体" w:cs="宋体"/>
                <w:sz w:val="18"/>
                <w:szCs w:val="18"/>
              </w:rPr>
              <w:t>4</w:t>
            </w:r>
          </w:p>
        </w:tc>
        <w:tc>
          <w:tcPr>
            <w:tcW w:w="7597" w:type="dxa"/>
          </w:tcPr>
          <w:p>
            <w:pPr>
              <w:spacing w:before="70" w:line="218" w:lineRule="auto"/>
              <w:ind w:left="114"/>
              <w:rPr>
                <w:rFonts w:ascii="宋体" w:hAnsi="宋体" w:cs="宋体"/>
                <w:sz w:val="18"/>
                <w:szCs w:val="18"/>
              </w:rPr>
            </w:pPr>
            <w:r>
              <w:rPr>
                <w:rFonts w:ascii="宋体" w:hAnsi="宋体" w:cs="宋体"/>
                <w:spacing w:val="-2"/>
                <w:sz w:val="18"/>
                <w:szCs w:val="18"/>
              </w:rPr>
              <w:t>活动施工作业面额外增加视频监控接入政府管理平台。（每增加</w:t>
            </w:r>
            <w:r>
              <w:rPr>
                <w:rFonts w:ascii="宋体" w:hAnsi="宋体" w:cs="宋体"/>
                <w:spacing w:val="-24"/>
                <w:sz w:val="18"/>
                <w:szCs w:val="18"/>
              </w:rPr>
              <w:t xml:space="preserve"> </w:t>
            </w:r>
            <w:r>
              <w:rPr>
                <w:rFonts w:ascii="宋体" w:hAnsi="宋体" w:cs="宋体"/>
                <w:spacing w:val="-2"/>
                <w:sz w:val="18"/>
                <w:szCs w:val="18"/>
              </w:rPr>
              <w:t>1</w:t>
            </w:r>
            <w:r>
              <w:rPr>
                <w:rFonts w:ascii="宋体" w:hAnsi="宋体" w:cs="宋体"/>
                <w:spacing w:val="-38"/>
                <w:sz w:val="18"/>
                <w:szCs w:val="18"/>
              </w:rPr>
              <w:t xml:space="preserve"> </w:t>
            </w:r>
            <w:r>
              <w:rPr>
                <w:rFonts w:ascii="宋体" w:hAnsi="宋体" w:cs="宋体"/>
                <w:spacing w:val="-2"/>
                <w:sz w:val="18"/>
                <w:szCs w:val="18"/>
              </w:rPr>
              <w:t>个摄</w:t>
            </w:r>
            <w:r>
              <w:rPr>
                <w:rFonts w:ascii="宋体" w:hAnsi="宋体" w:cs="宋体"/>
                <w:spacing w:val="-3"/>
                <w:sz w:val="18"/>
                <w:szCs w:val="18"/>
              </w:rPr>
              <w:t>像头加</w:t>
            </w:r>
            <w:r>
              <w:rPr>
                <w:rFonts w:ascii="宋体" w:hAnsi="宋体" w:cs="宋体"/>
                <w:spacing w:val="-36"/>
                <w:sz w:val="18"/>
                <w:szCs w:val="18"/>
              </w:rPr>
              <w:t xml:space="preserve"> </w:t>
            </w:r>
            <w:r>
              <w:rPr>
                <w:rFonts w:ascii="宋体" w:hAnsi="宋体" w:cs="宋体"/>
                <w:spacing w:val="-3"/>
                <w:sz w:val="18"/>
                <w:szCs w:val="18"/>
              </w:rPr>
              <w:t>0.25</w:t>
            </w:r>
            <w:r>
              <w:rPr>
                <w:rFonts w:ascii="宋体" w:hAnsi="宋体" w:cs="宋体"/>
                <w:spacing w:val="-36"/>
                <w:sz w:val="18"/>
                <w:szCs w:val="18"/>
              </w:rPr>
              <w:t xml:space="preserve"> </w:t>
            </w:r>
            <w:r>
              <w:rPr>
                <w:rFonts w:ascii="宋体" w:hAnsi="宋体" w:cs="宋体"/>
                <w:spacing w:val="-3"/>
                <w:sz w:val="18"/>
                <w:szCs w:val="18"/>
              </w:rPr>
              <w:t>分，最高</w:t>
            </w:r>
            <w:r>
              <w:rPr>
                <w:rFonts w:ascii="宋体" w:hAnsi="宋体" w:cs="宋体"/>
                <w:spacing w:val="-38"/>
                <w:sz w:val="18"/>
                <w:szCs w:val="18"/>
              </w:rPr>
              <w:t xml:space="preserve"> </w:t>
            </w:r>
            <w:r>
              <w:rPr>
                <w:rFonts w:ascii="宋体" w:hAnsi="宋体" w:cs="宋体"/>
                <w:spacing w:val="-3"/>
                <w:sz w:val="18"/>
                <w:szCs w:val="18"/>
              </w:rPr>
              <w:t>2</w:t>
            </w:r>
          </w:p>
          <w:p>
            <w:pPr>
              <w:spacing w:before="104" w:line="219" w:lineRule="auto"/>
              <w:ind w:left="114"/>
              <w:rPr>
                <w:rFonts w:ascii="宋体" w:hAnsi="宋体" w:cs="宋体"/>
                <w:sz w:val="18"/>
                <w:szCs w:val="18"/>
              </w:rPr>
            </w:pPr>
            <w:r>
              <w:rPr>
                <w:rFonts w:ascii="宋体" w:hAnsi="宋体" w:cs="宋体"/>
                <w:spacing w:val="-5"/>
                <w:sz w:val="18"/>
                <w:szCs w:val="18"/>
              </w:rPr>
              <w:t>分）</w:t>
            </w:r>
          </w:p>
        </w:tc>
        <w:tc>
          <w:tcPr>
            <w:tcW w:w="991" w:type="dxa"/>
            <w:vMerge w:val="continue"/>
            <w:tcBorders>
              <w:top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tcBorders>
          </w:tcPr>
          <w:p>
            <w:pPr>
              <w:jc w:val="center"/>
              <w:rPr>
                <w:rFonts w:ascii="Arial"/>
              </w:rPr>
            </w:pPr>
          </w:p>
        </w:tc>
        <w:tc>
          <w:tcPr>
            <w:tcW w:w="682" w:type="dxa"/>
            <w:vMerge w:val="continue"/>
            <w:tcBorders>
              <w:top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jc w:val="center"/>
        </w:trPr>
        <w:tc>
          <w:tcPr>
            <w:tcW w:w="1223" w:type="dxa"/>
            <w:vMerge w:val="restart"/>
            <w:tcBorders>
              <w:bottom w:val="nil"/>
            </w:tcBorders>
          </w:tcPr>
          <w:p>
            <w:pPr>
              <w:spacing w:line="338" w:lineRule="auto"/>
              <w:rPr>
                <w:rFonts w:ascii="Arial"/>
              </w:rPr>
            </w:pPr>
          </w:p>
          <w:p>
            <w:pPr>
              <w:spacing w:before="58" w:line="219" w:lineRule="auto"/>
              <w:ind w:left="257"/>
              <w:rPr>
                <w:rFonts w:ascii="宋体" w:hAnsi="宋体" w:cs="宋体"/>
                <w:sz w:val="18"/>
                <w:szCs w:val="18"/>
              </w:rPr>
            </w:pPr>
            <w:r>
              <w:rPr>
                <w:rFonts w:ascii="宋体" w:hAnsi="宋体" w:cs="宋体"/>
                <w:spacing w:val="-3"/>
                <w:sz w:val="18"/>
                <w:szCs w:val="18"/>
              </w:rPr>
              <w:t>设备管理</w:t>
            </w:r>
          </w:p>
        </w:tc>
        <w:tc>
          <w:tcPr>
            <w:tcW w:w="677" w:type="dxa"/>
            <w:vMerge w:val="restart"/>
            <w:tcBorders>
              <w:bottom w:val="nil"/>
            </w:tcBorders>
          </w:tcPr>
          <w:p>
            <w:pPr>
              <w:spacing w:line="365" w:lineRule="auto"/>
              <w:rPr>
                <w:rFonts w:ascii="Arial"/>
              </w:rPr>
            </w:pPr>
          </w:p>
          <w:p>
            <w:pPr>
              <w:spacing w:before="58" w:line="184" w:lineRule="auto"/>
              <w:ind w:left="310"/>
              <w:rPr>
                <w:rFonts w:ascii="宋体" w:hAnsi="宋体" w:cs="宋体"/>
                <w:sz w:val="18"/>
                <w:szCs w:val="18"/>
              </w:rPr>
            </w:pPr>
            <w:r>
              <w:rPr>
                <w:rFonts w:ascii="宋体" w:hAnsi="宋体" w:cs="宋体"/>
                <w:sz w:val="18"/>
                <w:szCs w:val="18"/>
              </w:rPr>
              <w:t>1</w:t>
            </w:r>
          </w:p>
        </w:tc>
        <w:tc>
          <w:tcPr>
            <w:tcW w:w="7597" w:type="dxa"/>
          </w:tcPr>
          <w:p>
            <w:pPr>
              <w:spacing w:before="72" w:line="218" w:lineRule="auto"/>
              <w:ind w:left="111"/>
              <w:rPr>
                <w:rFonts w:ascii="宋体" w:hAnsi="宋体" w:cs="宋体"/>
                <w:sz w:val="18"/>
                <w:szCs w:val="18"/>
              </w:rPr>
            </w:pPr>
            <w:r>
              <w:rPr>
                <w:rFonts w:ascii="宋体" w:hAnsi="宋体" w:cs="宋体"/>
                <w:spacing w:val="-1"/>
                <w:sz w:val="18"/>
                <w:szCs w:val="18"/>
              </w:rPr>
              <w:t>塔式起重机采用以下技术：</w:t>
            </w:r>
          </w:p>
        </w:tc>
        <w:tc>
          <w:tcPr>
            <w:tcW w:w="991" w:type="dxa"/>
            <w:vMerge w:val="restart"/>
            <w:tcBorders>
              <w:bottom w:val="nil"/>
            </w:tcBorders>
          </w:tcPr>
          <w:p>
            <w:pPr>
              <w:spacing w:line="365" w:lineRule="auto"/>
              <w:rPr>
                <w:rFonts w:ascii="Arial"/>
              </w:rPr>
            </w:pPr>
          </w:p>
          <w:p>
            <w:pPr>
              <w:spacing w:before="58" w:line="184" w:lineRule="auto"/>
              <w:ind w:left="425"/>
              <w:rPr>
                <w:rFonts w:ascii="宋体" w:hAnsi="宋体" w:cs="宋体"/>
                <w:sz w:val="18"/>
                <w:szCs w:val="18"/>
              </w:rPr>
            </w:pPr>
            <w:r>
              <w:rPr>
                <w:rFonts w:ascii="宋体" w:hAnsi="宋体" w:cs="宋体"/>
                <w:spacing w:val="-11"/>
                <w:sz w:val="18"/>
                <w:szCs w:val="18"/>
              </w:rPr>
              <w:t>14</w:t>
            </w:r>
          </w:p>
        </w:tc>
        <w:tc>
          <w:tcPr>
            <w:tcW w:w="807" w:type="dxa"/>
          </w:tcPr>
          <w:p>
            <w:pPr>
              <w:spacing w:before="43" w:line="205" w:lineRule="auto"/>
              <w:ind w:left="115"/>
              <w:jc w:val="center"/>
              <w:rPr>
                <w:rFonts w:ascii="宋体" w:hAnsi="宋体" w:cs="宋体"/>
                <w:sz w:val="24"/>
                <w:szCs w:val="24"/>
              </w:rPr>
            </w:pPr>
            <w:r>
              <w:rPr>
                <w:rFonts w:ascii="宋体" w:hAnsi="宋体" w:cs="宋体"/>
                <w:sz w:val="24"/>
                <w:szCs w:val="24"/>
              </w:rPr>
              <w:t>/</w:t>
            </w:r>
          </w:p>
        </w:tc>
        <w:tc>
          <w:tcPr>
            <w:tcW w:w="996" w:type="dxa"/>
            <w:vMerge w:val="restart"/>
            <w:tcBorders>
              <w:bottom w:val="nil"/>
            </w:tcBorders>
          </w:tcPr>
          <w:p>
            <w:pPr>
              <w:jc w:val="center"/>
              <w:rPr>
                <w:rFonts w:ascii="Arial"/>
              </w:rPr>
            </w:pPr>
            <w:r>
              <w:rPr>
                <w:rFonts w:hint="eastAsia" w:ascii="Arial"/>
              </w:rPr>
              <w:t>14</w:t>
            </w:r>
          </w:p>
        </w:tc>
        <w:tc>
          <w:tcPr>
            <w:tcW w:w="682" w:type="dxa"/>
            <w:vMerge w:val="restart"/>
            <w:tcBorders>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1223" w:type="dxa"/>
            <w:vMerge w:val="continue"/>
            <w:tcBorders>
              <w:top w:val="nil"/>
              <w:bottom w:val="nil"/>
            </w:tcBorders>
          </w:tcPr>
          <w:p>
            <w:pPr>
              <w:rPr>
                <w:rFonts w:ascii="Arial"/>
              </w:rPr>
            </w:pPr>
          </w:p>
        </w:tc>
        <w:tc>
          <w:tcPr>
            <w:tcW w:w="677" w:type="dxa"/>
            <w:vMerge w:val="continue"/>
            <w:tcBorders>
              <w:top w:val="nil"/>
              <w:bottom w:val="nil"/>
            </w:tcBorders>
          </w:tcPr>
          <w:p>
            <w:pPr>
              <w:rPr>
                <w:rFonts w:ascii="Arial"/>
              </w:rPr>
            </w:pPr>
          </w:p>
        </w:tc>
        <w:tc>
          <w:tcPr>
            <w:tcW w:w="7597" w:type="dxa"/>
          </w:tcPr>
          <w:p>
            <w:pPr>
              <w:spacing w:before="73" w:line="218" w:lineRule="auto"/>
              <w:ind w:left="112"/>
              <w:rPr>
                <w:rFonts w:ascii="宋体" w:hAnsi="宋体" w:cs="宋体"/>
                <w:sz w:val="18"/>
                <w:szCs w:val="18"/>
              </w:rPr>
            </w:pPr>
            <w:r>
              <w:rPr>
                <w:rFonts w:ascii="宋体" w:hAnsi="宋体" w:cs="宋体"/>
                <w:spacing w:val="-3"/>
                <w:sz w:val="18"/>
                <w:szCs w:val="18"/>
              </w:rPr>
              <w:t>a)</w:t>
            </w:r>
            <w:r>
              <w:rPr>
                <w:rFonts w:ascii="宋体" w:hAnsi="宋体" w:cs="宋体"/>
                <w:spacing w:val="28"/>
                <w:sz w:val="18"/>
                <w:szCs w:val="18"/>
              </w:rPr>
              <w:t xml:space="preserve"> </w:t>
            </w:r>
            <w:r>
              <w:rPr>
                <w:rFonts w:ascii="宋体" w:hAnsi="宋体" w:cs="宋体"/>
                <w:spacing w:val="-3"/>
                <w:sz w:val="18"/>
                <w:szCs w:val="18"/>
              </w:rPr>
              <w:t>吊钩可视化（每个塔机使用加</w:t>
            </w:r>
            <w:r>
              <w:rPr>
                <w:rFonts w:ascii="宋体" w:hAnsi="宋体" w:cs="宋体"/>
                <w:spacing w:val="-36"/>
                <w:sz w:val="18"/>
                <w:szCs w:val="18"/>
              </w:rPr>
              <w:t xml:space="preserve"> </w:t>
            </w:r>
            <w:r>
              <w:rPr>
                <w:rFonts w:ascii="宋体" w:hAnsi="宋体" w:cs="宋体"/>
                <w:spacing w:val="-3"/>
                <w:sz w:val="18"/>
                <w:szCs w:val="18"/>
              </w:rPr>
              <w:t>0.5</w:t>
            </w:r>
            <w:r>
              <w:rPr>
                <w:rFonts w:ascii="宋体" w:hAnsi="宋体" w:cs="宋体"/>
                <w:spacing w:val="-34"/>
                <w:sz w:val="18"/>
                <w:szCs w:val="18"/>
              </w:rPr>
              <w:t xml:space="preserve"> </w:t>
            </w:r>
            <w:r>
              <w:rPr>
                <w:rFonts w:ascii="宋体" w:hAnsi="宋体" w:cs="宋体"/>
                <w:spacing w:val="-3"/>
                <w:sz w:val="18"/>
                <w:szCs w:val="18"/>
              </w:rPr>
              <w:t>分，最多加</w:t>
            </w:r>
            <w:r>
              <w:rPr>
                <w:rFonts w:ascii="宋体" w:hAnsi="宋体" w:cs="宋体"/>
                <w:spacing w:val="-34"/>
                <w:sz w:val="18"/>
                <w:szCs w:val="18"/>
              </w:rPr>
              <w:t xml:space="preserve"> </w:t>
            </w:r>
            <w:r>
              <w:rPr>
                <w:rFonts w:ascii="宋体" w:hAnsi="宋体" w:cs="宋体"/>
                <w:spacing w:val="-3"/>
                <w:sz w:val="18"/>
                <w:szCs w:val="18"/>
              </w:rPr>
              <w:t>3</w:t>
            </w:r>
            <w:r>
              <w:rPr>
                <w:rFonts w:ascii="宋体" w:hAnsi="宋体" w:cs="宋体"/>
                <w:spacing w:val="-36"/>
                <w:sz w:val="18"/>
                <w:szCs w:val="18"/>
              </w:rPr>
              <w:t xml:space="preserve"> </w:t>
            </w:r>
            <w:r>
              <w:rPr>
                <w:rFonts w:ascii="宋体" w:hAnsi="宋体" w:cs="宋体"/>
                <w:spacing w:val="-3"/>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3</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jc w:val="center"/>
        </w:trPr>
        <w:tc>
          <w:tcPr>
            <w:tcW w:w="1223" w:type="dxa"/>
            <w:vMerge w:val="continue"/>
            <w:tcBorders>
              <w:top w:val="nil"/>
            </w:tcBorders>
          </w:tcPr>
          <w:p>
            <w:pPr>
              <w:rPr>
                <w:rFonts w:ascii="Arial"/>
              </w:rPr>
            </w:pPr>
          </w:p>
        </w:tc>
        <w:tc>
          <w:tcPr>
            <w:tcW w:w="677" w:type="dxa"/>
            <w:vMerge w:val="continue"/>
            <w:tcBorders>
              <w:top w:val="nil"/>
            </w:tcBorders>
          </w:tcPr>
          <w:p>
            <w:pPr>
              <w:rPr>
                <w:rFonts w:ascii="Arial"/>
              </w:rPr>
            </w:pPr>
          </w:p>
        </w:tc>
        <w:tc>
          <w:tcPr>
            <w:tcW w:w="7597" w:type="dxa"/>
          </w:tcPr>
          <w:p>
            <w:pPr>
              <w:spacing w:before="72" w:line="218" w:lineRule="auto"/>
              <w:ind w:left="108"/>
              <w:rPr>
                <w:rFonts w:ascii="宋体" w:hAnsi="宋体" w:cs="宋体"/>
                <w:sz w:val="18"/>
                <w:szCs w:val="18"/>
              </w:rPr>
            </w:pPr>
            <w:r>
              <w:rPr>
                <w:rFonts w:ascii="宋体" w:hAnsi="宋体" w:cs="宋体"/>
                <w:spacing w:val="-1"/>
                <w:sz w:val="18"/>
                <w:szCs w:val="18"/>
              </w:rPr>
              <w:t>b) 多机防碰撞或环境防碰撞监测（全部塔机使用</w:t>
            </w:r>
            <w:r>
              <w:rPr>
                <w:rFonts w:ascii="宋体" w:hAnsi="宋体" w:cs="宋体"/>
                <w:spacing w:val="-34"/>
                <w:sz w:val="18"/>
                <w:szCs w:val="18"/>
              </w:rPr>
              <w:t xml:space="preserve"> </w:t>
            </w:r>
            <w:r>
              <w:rPr>
                <w:rFonts w:ascii="宋体" w:hAnsi="宋体" w:cs="宋体"/>
                <w:spacing w:val="-1"/>
                <w:sz w:val="18"/>
                <w:szCs w:val="18"/>
              </w:rPr>
              <w:t>2</w:t>
            </w:r>
            <w:r>
              <w:rPr>
                <w:rFonts w:ascii="宋体" w:hAnsi="宋体" w:cs="宋体"/>
                <w:spacing w:val="-36"/>
                <w:sz w:val="18"/>
                <w:szCs w:val="18"/>
              </w:rPr>
              <w:t xml:space="preserve"> </w:t>
            </w:r>
            <w:r>
              <w:rPr>
                <w:rFonts w:ascii="宋体" w:hAnsi="宋体" w:cs="宋体"/>
                <w:spacing w:val="-1"/>
                <w:sz w:val="18"/>
                <w:szCs w:val="18"/>
              </w:rPr>
              <w:t>分）</w:t>
            </w:r>
          </w:p>
        </w:tc>
        <w:tc>
          <w:tcPr>
            <w:tcW w:w="991" w:type="dxa"/>
            <w:vMerge w:val="continue"/>
            <w:tcBorders>
              <w:top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tcBorders>
          </w:tcPr>
          <w:p>
            <w:pPr>
              <w:rPr>
                <w:rFonts w:ascii="Arial"/>
              </w:rPr>
            </w:pPr>
          </w:p>
        </w:tc>
        <w:tc>
          <w:tcPr>
            <w:tcW w:w="682" w:type="dxa"/>
            <w:vMerge w:val="continue"/>
            <w:tcBorders>
              <w:top w:val="nil"/>
            </w:tcBorders>
          </w:tcPr>
          <w:p>
            <w:pPr>
              <w:rPr>
                <w:rFonts w:ascii="Arial"/>
              </w:rPr>
            </w:pPr>
          </w:p>
        </w:tc>
      </w:tr>
    </w:tbl>
    <w:p>
      <w:pPr>
        <w:pStyle w:val="6"/>
      </w:pPr>
    </w:p>
    <w:p>
      <w:pPr>
        <w:sectPr>
          <w:footerReference r:id="rId8" w:type="default"/>
          <w:pgSz w:w="16840" w:h="11907"/>
          <w:pgMar w:top="1012" w:right="1990" w:bottom="1116" w:left="1871" w:header="0" w:footer="863" w:gutter="0"/>
          <w:pgNumType w:start="66"/>
          <w:cols w:space="720" w:num="1"/>
        </w:sectPr>
      </w:pPr>
    </w:p>
    <w:tbl>
      <w:tblPr>
        <w:tblStyle w:val="16"/>
        <w:tblW w:w="0" w:type="auto"/>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23"/>
        <w:gridCol w:w="677"/>
        <w:gridCol w:w="7597"/>
        <w:gridCol w:w="991"/>
        <w:gridCol w:w="807"/>
        <w:gridCol w:w="996"/>
        <w:gridCol w:w="68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1223" w:type="dxa"/>
          </w:tcPr>
          <w:p>
            <w:pPr>
              <w:spacing w:before="154" w:line="219" w:lineRule="auto"/>
              <w:ind w:left="255"/>
              <w:rPr>
                <w:rFonts w:ascii="宋体" w:hAnsi="宋体" w:cs="宋体"/>
                <w:sz w:val="18"/>
                <w:szCs w:val="18"/>
              </w:rPr>
            </w:pPr>
            <w:r>
              <w:rPr>
                <w:rFonts w:ascii="宋体" w:hAnsi="宋体" w:cs="宋体"/>
                <w:spacing w:val="-2"/>
                <w:sz w:val="18"/>
                <w:szCs w:val="18"/>
              </w:rPr>
              <w:t>指标要素</w:t>
            </w:r>
          </w:p>
        </w:tc>
        <w:tc>
          <w:tcPr>
            <w:tcW w:w="677" w:type="dxa"/>
          </w:tcPr>
          <w:p>
            <w:pPr>
              <w:spacing w:before="154" w:line="220" w:lineRule="auto"/>
              <w:ind w:left="159"/>
              <w:rPr>
                <w:rFonts w:ascii="宋体" w:hAnsi="宋体" w:cs="宋体"/>
                <w:sz w:val="18"/>
                <w:szCs w:val="18"/>
              </w:rPr>
            </w:pPr>
            <w:r>
              <w:rPr>
                <w:rFonts w:ascii="宋体" w:hAnsi="宋体" w:cs="宋体"/>
                <w:spacing w:val="-4"/>
                <w:sz w:val="18"/>
                <w:szCs w:val="18"/>
              </w:rPr>
              <w:t>序号</w:t>
            </w:r>
          </w:p>
        </w:tc>
        <w:tc>
          <w:tcPr>
            <w:tcW w:w="7597" w:type="dxa"/>
          </w:tcPr>
          <w:p>
            <w:pPr>
              <w:spacing w:before="154" w:line="219" w:lineRule="auto"/>
              <w:ind w:left="3442"/>
              <w:rPr>
                <w:rFonts w:ascii="宋体" w:hAnsi="宋体" w:cs="宋体"/>
                <w:sz w:val="18"/>
                <w:szCs w:val="18"/>
              </w:rPr>
            </w:pPr>
            <w:r>
              <w:rPr>
                <w:rFonts w:ascii="宋体" w:hAnsi="宋体" w:cs="宋体"/>
                <w:spacing w:val="-1"/>
                <w:sz w:val="18"/>
                <w:szCs w:val="18"/>
              </w:rPr>
              <w:t>评分内容</w:t>
            </w:r>
          </w:p>
        </w:tc>
        <w:tc>
          <w:tcPr>
            <w:tcW w:w="991" w:type="dxa"/>
          </w:tcPr>
          <w:p>
            <w:pPr>
              <w:spacing w:before="155" w:line="217" w:lineRule="auto"/>
              <w:ind w:left="139"/>
              <w:rPr>
                <w:rFonts w:ascii="宋体" w:hAnsi="宋体" w:cs="宋体"/>
                <w:sz w:val="18"/>
                <w:szCs w:val="18"/>
              </w:rPr>
            </w:pPr>
            <w:r>
              <w:rPr>
                <w:rFonts w:ascii="宋体" w:hAnsi="宋体" w:cs="宋体"/>
                <w:spacing w:val="-1"/>
                <w:sz w:val="18"/>
                <w:szCs w:val="18"/>
              </w:rPr>
              <w:t>评价分值</w:t>
            </w:r>
          </w:p>
        </w:tc>
        <w:tc>
          <w:tcPr>
            <w:tcW w:w="807" w:type="dxa"/>
          </w:tcPr>
          <w:p>
            <w:pPr>
              <w:spacing w:before="155" w:line="219" w:lineRule="auto"/>
              <w:ind w:left="173"/>
              <w:rPr>
                <w:rFonts w:ascii="宋体" w:hAnsi="宋体" w:cs="宋体"/>
                <w:sz w:val="18"/>
                <w:szCs w:val="18"/>
              </w:rPr>
            </w:pPr>
            <w:r>
              <w:rPr>
                <w:rFonts w:ascii="宋体" w:hAnsi="宋体" w:cs="宋体"/>
                <w:spacing w:val="-14"/>
                <w:sz w:val="18"/>
                <w:szCs w:val="18"/>
              </w:rPr>
              <w:t>自评分</w:t>
            </w:r>
          </w:p>
        </w:tc>
        <w:tc>
          <w:tcPr>
            <w:tcW w:w="996" w:type="dxa"/>
          </w:tcPr>
          <w:p>
            <w:pPr>
              <w:spacing w:before="155" w:line="219" w:lineRule="auto"/>
              <w:ind w:left="180"/>
              <w:rPr>
                <w:rFonts w:ascii="宋体" w:hAnsi="宋体" w:cs="宋体"/>
                <w:sz w:val="18"/>
                <w:szCs w:val="18"/>
              </w:rPr>
            </w:pPr>
            <w:r>
              <w:rPr>
                <w:rFonts w:ascii="宋体" w:hAnsi="宋体" w:cs="宋体"/>
                <w:spacing w:val="-10"/>
                <w:sz w:val="18"/>
                <w:szCs w:val="18"/>
              </w:rPr>
              <w:t>自评总分</w:t>
            </w:r>
          </w:p>
        </w:tc>
        <w:tc>
          <w:tcPr>
            <w:tcW w:w="682" w:type="dxa"/>
          </w:tcPr>
          <w:p>
            <w:pPr>
              <w:spacing w:before="154" w:line="220" w:lineRule="auto"/>
              <w:ind w:left="166"/>
              <w:rPr>
                <w:rFonts w:ascii="宋体" w:hAnsi="宋体" w:cs="宋体"/>
                <w:sz w:val="18"/>
                <w:szCs w:val="18"/>
              </w:rPr>
            </w:pPr>
            <w:r>
              <w:rPr>
                <w:rFonts w:ascii="宋体" w:hAnsi="宋体" w:cs="宋体"/>
                <w:spacing w:val="-5"/>
                <w:sz w:val="18"/>
                <w:szCs w:val="18"/>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restart"/>
            <w:tcBorders>
              <w:bottom w:val="nil"/>
            </w:tcBorders>
          </w:tcPr>
          <w:p>
            <w:pPr>
              <w:rPr>
                <w:rFonts w:ascii="Arial"/>
              </w:rPr>
            </w:pPr>
          </w:p>
        </w:tc>
        <w:tc>
          <w:tcPr>
            <w:tcW w:w="677" w:type="dxa"/>
            <w:vMerge w:val="restart"/>
            <w:tcBorders>
              <w:bottom w:val="nil"/>
            </w:tcBorders>
          </w:tcPr>
          <w:p>
            <w:pPr>
              <w:rPr>
                <w:rFonts w:ascii="Arial"/>
              </w:rPr>
            </w:pPr>
          </w:p>
        </w:tc>
        <w:tc>
          <w:tcPr>
            <w:tcW w:w="7597" w:type="dxa"/>
          </w:tcPr>
          <w:p>
            <w:pPr>
              <w:spacing w:before="68" w:line="218" w:lineRule="auto"/>
              <w:ind w:left="115"/>
              <w:rPr>
                <w:rFonts w:ascii="宋体" w:hAnsi="宋体" w:cs="宋体"/>
                <w:sz w:val="18"/>
                <w:szCs w:val="18"/>
              </w:rPr>
            </w:pPr>
            <w:r>
              <w:rPr>
                <w:rFonts w:ascii="宋体" w:hAnsi="宋体" w:cs="宋体"/>
                <w:spacing w:val="-2"/>
                <w:sz w:val="18"/>
                <w:szCs w:val="18"/>
              </w:rPr>
              <w:t>c)</w:t>
            </w:r>
            <w:r>
              <w:rPr>
                <w:rFonts w:ascii="宋体" w:hAnsi="宋体" w:cs="宋体"/>
                <w:spacing w:val="29"/>
                <w:sz w:val="18"/>
                <w:szCs w:val="18"/>
              </w:rPr>
              <w:t xml:space="preserve"> </w:t>
            </w:r>
            <w:r>
              <w:rPr>
                <w:rFonts w:ascii="宋体" w:hAnsi="宋体" w:cs="宋体"/>
                <w:spacing w:val="-2"/>
                <w:sz w:val="18"/>
                <w:szCs w:val="18"/>
              </w:rPr>
              <w:t>吊钩激光定位及接近地面声光报警（每个塔机使用加</w:t>
            </w:r>
            <w:r>
              <w:rPr>
                <w:rFonts w:ascii="宋体" w:hAnsi="宋体" w:cs="宋体"/>
                <w:spacing w:val="-36"/>
                <w:sz w:val="18"/>
                <w:szCs w:val="18"/>
              </w:rPr>
              <w:t xml:space="preserve"> </w:t>
            </w:r>
            <w:r>
              <w:rPr>
                <w:rFonts w:ascii="宋体" w:hAnsi="宋体" w:cs="宋体"/>
                <w:spacing w:val="-2"/>
                <w:sz w:val="18"/>
                <w:szCs w:val="18"/>
              </w:rPr>
              <w:t>0.</w:t>
            </w:r>
            <w:r>
              <w:rPr>
                <w:rFonts w:ascii="宋体" w:hAnsi="宋体" w:cs="宋体"/>
                <w:spacing w:val="-3"/>
                <w:sz w:val="18"/>
                <w:szCs w:val="18"/>
              </w:rPr>
              <w:t>5</w:t>
            </w:r>
            <w:r>
              <w:rPr>
                <w:rFonts w:ascii="宋体" w:hAnsi="宋体" w:cs="宋体"/>
                <w:spacing w:val="-34"/>
                <w:sz w:val="18"/>
                <w:szCs w:val="18"/>
              </w:rPr>
              <w:t xml:space="preserve"> </w:t>
            </w:r>
            <w:r>
              <w:rPr>
                <w:rFonts w:ascii="宋体" w:hAnsi="宋体" w:cs="宋体"/>
                <w:spacing w:val="-3"/>
                <w:sz w:val="18"/>
                <w:szCs w:val="18"/>
              </w:rPr>
              <w:t>分，最多加</w:t>
            </w:r>
            <w:r>
              <w:rPr>
                <w:rFonts w:ascii="宋体" w:hAnsi="宋体" w:cs="宋体"/>
                <w:spacing w:val="-34"/>
                <w:sz w:val="18"/>
                <w:szCs w:val="18"/>
              </w:rPr>
              <w:t xml:space="preserve"> </w:t>
            </w:r>
            <w:r>
              <w:rPr>
                <w:rFonts w:ascii="宋体" w:hAnsi="宋体" w:cs="宋体"/>
                <w:spacing w:val="-3"/>
                <w:sz w:val="18"/>
                <w:szCs w:val="18"/>
              </w:rPr>
              <w:t>3</w:t>
            </w:r>
            <w:r>
              <w:rPr>
                <w:rFonts w:ascii="宋体" w:hAnsi="宋体" w:cs="宋体"/>
                <w:spacing w:val="-37"/>
                <w:sz w:val="18"/>
                <w:szCs w:val="18"/>
              </w:rPr>
              <w:t xml:space="preserve"> </w:t>
            </w:r>
            <w:r>
              <w:rPr>
                <w:rFonts w:ascii="宋体" w:hAnsi="宋体" w:cs="宋体"/>
                <w:spacing w:val="-3"/>
                <w:sz w:val="18"/>
                <w:szCs w:val="18"/>
              </w:rPr>
              <w:t>分）</w:t>
            </w:r>
          </w:p>
        </w:tc>
        <w:tc>
          <w:tcPr>
            <w:tcW w:w="991" w:type="dxa"/>
            <w:vMerge w:val="restart"/>
            <w:tcBorders>
              <w:bottom w:val="nil"/>
            </w:tcBorders>
          </w:tcPr>
          <w:p>
            <w:pPr>
              <w:rPr>
                <w:rFonts w:ascii="Arial"/>
              </w:rPr>
            </w:pPr>
          </w:p>
        </w:tc>
        <w:tc>
          <w:tcPr>
            <w:tcW w:w="807" w:type="dxa"/>
          </w:tcPr>
          <w:p>
            <w:pPr>
              <w:jc w:val="center"/>
              <w:rPr>
                <w:rFonts w:ascii="Arial"/>
              </w:rPr>
            </w:pPr>
            <w:r>
              <w:rPr>
                <w:rFonts w:hint="eastAsia" w:ascii="Arial"/>
              </w:rPr>
              <w:t>3</w:t>
            </w:r>
          </w:p>
        </w:tc>
        <w:tc>
          <w:tcPr>
            <w:tcW w:w="996" w:type="dxa"/>
            <w:vMerge w:val="restart"/>
            <w:tcBorders>
              <w:bottom w:val="nil"/>
            </w:tcBorders>
          </w:tcPr>
          <w:p>
            <w:pPr>
              <w:rPr>
                <w:rFonts w:ascii="Arial"/>
              </w:rPr>
            </w:pPr>
          </w:p>
        </w:tc>
        <w:tc>
          <w:tcPr>
            <w:tcW w:w="682" w:type="dxa"/>
            <w:vMerge w:val="restart"/>
            <w:tcBorders>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vMerge w:val="continue"/>
            <w:tcBorders>
              <w:top w:val="nil"/>
              <w:bottom w:val="nil"/>
            </w:tcBorders>
          </w:tcPr>
          <w:p>
            <w:pPr>
              <w:rPr>
                <w:rFonts w:ascii="Arial"/>
              </w:rPr>
            </w:pPr>
          </w:p>
        </w:tc>
        <w:tc>
          <w:tcPr>
            <w:tcW w:w="7597" w:type="dxa"/>
          </w:tcPr>
          <w:p>
            <w:pPr>
              <w:spacing w:before="67" w:line="218" w:lineRule="auto"/>
              <w:ind w:left="115"/>
              <w:rPr>
                <w:rFonts w:ascii="宋体" w:hAnsi="宋体" w:cs="宋体"/>
                <w:sz w:val="18"/>
                <w:szCs w:val="18"/>
              </w:rPr>
            </w:pPr>
            <w:r>
              <w:rPr>
                <w:rFonts w:ascii="宋体" w:hAnsi="宋体" w:cs="宋体"/>
                <w:spacing w:val="-2"/>
                <w:sz w:val="18"/>
                <w:szCs w:val="18"/>
              </w:rPr>
              <w:t>d) 起重钢绳的磨损情况监控（每个塔机使用加</w:t>
            </w:r>
            <w:r>
              <w:rPr>
                <w:rFonts w:ascii="宋体" w:hAnsi="宋体" w:cs="宋体"/>
                <w:spacing w:val="-22"/>
                <w:sz w:val="18"/>
                <w:szCs w:val="18"/>
              </w:rPr>
              <w:t xml:space="preserve"> </w:t>
            </w:r>
            <w:r>
              <w:rPr>
                <w:rFonts w:ascii="宋体" w:hAnsi="宋体" w:cs="宋体"/>
                <w:spacing w:val="-2"/>
                <w:sz w:val="18"/>
                <w:szCs w:val="18"/>
              </w:rPr>
              <w:t>0.5</w:t>
            </w:r>
            <w:r>
              <w:rPr>
                <w:rFonts w:ascii="宋体" w:hAnsi="宋体" w:cs="宋体"/>
                <w:spacing w:val="-34"/>
                <w:sz w:val="18"/>
                <w:szCs w:val="18"/>
              </w:rPr>
              <w:t xml:space="preserve"> </w:t>
            </w:r>
            <w:r>
              <w:rPr>
                <w:rFonts w:ascii="宋体" w:hAnsi="宋体" w:cs="宋体"/>
                <w:spacing w:val="-2"/>
                <w:sz w:val="18"/>
                <w:szCs w:val="18"/>
              </w:rPr>
              <w:t>分，最多加</w:t>
            </w:r>
            <w:r>
              <w:rPr>
                <w:rFonts w:ascii="宋体" w:hAnsi="宋体" w:cs="宋体"/>
                <w:spacing w:val="-34"/>
                <w:sz w:val="18"/>
                <w:szCs w:val="18"/>
              </w:rPr>
              <w:t xml:space="preserve"> </w:t>
            </w:r>
            <w:r>
              <w:rPr>
                <w:rFonts w:ascii="宋体" w:hAnsi="宋体" w:cs="宋体"/>
                <w:spacing w:val="-2"/>
                <w:sz w:val="18"/>
                <w:szCs w:val="18"/>
              </w:rPr>
              <w:t>3</w:t>
            </w:r>
            <w:r>
              <w:rPr>
                <w:rFonts w:ascii="宋体" w:hAnsi="宋体" w:cs="宋体"/>
                <w:spacing w:val="-37"/>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3</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vMerge w:val="continue"/>
            <w:tcBorders>
              <w:top w:val="nil"/>
            </w:tcBorders>
          </w:tcPr>
          <w:p>
            <w:pPr>
              <w:rPr>
                <w:rFonts w:ascii="Arial"/>
              </w:rPr>
            </w:pPr>
          </w:p>
        </w:tc>
        <w:tc>
          <w:tcPr>
            <w:tcW w:w="7597" w:type="dxa"/>
          </w:tcPr>
          <w:p>
            <w:pPr>
              <w:spacing w:before="69" w:line="218" w:lineRule="auto"/>
              <w:ind w:left="116"/>
              <w:rPr>
                <w:rFonts w:ascii="宋体" w:hAnsi="宋体" w:cs="宋体"/>
                <w:sz w:val="18"/>
                <w:szCs w:val="18"/>
              </w:rPr>
            </w:pPr>
            <w:r>
              <w:rPr>
                <w:rFonts w:ascii="宋体" w:hAnsi="宋体" w:cs="宋体"/>
                <w:spacing w:val="-2"/>
                <w:sz w:val="18"/>
                <w:szCs w:val="18"/>
              </w:rPr>
              <w:t>e) 操作人员识别管控（每个塔机使用加</w:t>
            </w:r>
            <w:r>
              <w:rPr>
                <w:rFonts w:ascii="宋体" w:hAnsi="宋体" w:cs="宋体"/>
                <w:spacing w:val="-29"/>
                <w:sz w:val="18"/>
                <w:szCs w:val="18"/>
              </w:rPr>
              <w:t xml:space="preserve"> </w:t>
            </w:r>
            <w:r>
              <w:rPr>
                <w:rFonts w:ascii="宋体" w:hAnsi="宋体" w:cs="宋体"/>
                <w:spacing w:val="-2"/>
                <w:sz w:val="18"/>
                <w:szCs w:val="18"/>
              </w:rPr>
              <w:t>0.5</w:t>
            </w:r>
            <w:r>
              <w:rPr>
                <w:rFonts w:ascii="宋体" w:hAnsi="宋体" w:cs="宋体"/>
                <w:spacing w:val="-34"/>
                <w:sz w:val="18"/>
                <w:szCs w:val="18"/>
              </w:rPr>
              <w:t xml:space="preserve"> </w:t>
            </w:r>
            <w:r>
              <w:rPr>
                <w:rFonts w:ascii="宋体" w:hAnsi="宋体" w:cs="宋体"/>
                <w:spacing w:val="-2"/>
                <w:sz w:val="18"/>
                <w:szCs w:val="18"/>
              </w:rPr>
              <w:t>分，最多加</w:t>
            </w:r>
            <w:r>
              <w:rPr>
                <w:rFonts w:ascii="宋体" w:hAnsi="宋体" w:cs="宋体"/>
                <w:spacing w:val="-34"/>
                <w:sz w:val="18"/>
                <w:szCs w:val="18"/>
              </w:rPr>
              <w:t xml:space="preserve"> </w:t>
            </w:r>
            <w:r>
              <w:rPr>
                <w:rFonts w:ascii="宋体" w:hAnsi="宋体" w:cs="宋体"/>
                <w:spacing w:val="-2"/>
                <w:sz w:val="18"/>
                <w:szCs w:val="18"/>
              </w:rPr>
              <w:t>3</w:t>
            </w:r>
            <w:r>
              <w:rPr>
                <w:rFonts w:ascii="宋体" w:hAnsi="宋体" w:cs="宋体"/>
                <w:spacing w:val="-36"/>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3</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trPr>
        <w:tc>
          <w:tcPr>
            <w:tcW w:w="1223" w:type="dxa"/>
            <w:vMerge w:val="continue"/>
            <w:tcBorders>
              <w:top w:val="nil"/>
              <w:bottom w:val="nil"/>
            </w:tcBorders>
          </w:tcPr>
          <w:p>
            <w:pPr>
              <w:rPr>
                <w:rFonts w:ascii="Arial"/>
              </w:rPr>
            </w:pPr>
          </w:p>
        </w:tc>
        <w:tc>
          <w:tcPr>
            <w:tcW w:w="677" w:type="dxa"/>
          </w:tcPr>
          <w:p>
            <w:pPr>
              <w:spacing w:before="254" w:line="183" w:lineRule="auto"/>
              <w:ind w:left="298"/>
              <w:rPr>
                <w:rFonts w:ascii="宋体" w:hAnsi="宋体" w:cs="宋体"/>
                <w:sz w:val="18"/>
                <w:szCs w:val="18"/>
              </w:rPr>
            </w:pPr>
            <w:r>
              <w:rPr>
                <w:rFonts w:ascii="宋体" w:hAnsi="宋体" w:cs="宋体"/>
                <w:sz w:val="18"/>
                <w:szCs w:val="18"/>
              </w:rPr>
              <w:t>2</w:t>
            </w:r>
          </w:p>
        </w:tc>
        <w:tc>
          <w:tcPr>
            <w:tcW w:w="7597" w:type="dxa"/>
          </w:tcPr>
          <w:p>
            <w:pPr>
              <w:spacing w:before="68" w:line="272" w:lineRule="auto"/>
              <w:ind w:left="112" w:right="53"/>
              <w:rPr>
                <w:rFonts w:ascii="宋体" w:hAnsi="宋体" w:cs="宋体"/>
                <w:sz w:val="18"/>
                <w:szCs w:val="18"/>
              </w:rPr>
            </w:pPr>
            <w:r>
              <w:rPr>
                <w:rFonts w:ascii="宋体" w:hAnsi="宋体" w:cs="宋体"/>
                <w:spacing w:val="-4"/>
                <w:sz w:val="18"/>
                <w:szCs w:val="18"/>
              </w:rPr>
              <w:t>施工升降机具备笼内人员数量识别预警和电动车载人识别预警功能（每个升降机使用加</w:t>
            </w:r>
            <w:r>
              <w:rPr>
                <w:rFonts w:ascii="宋体" w:hAnsi="宋体" w:cs="宋体"/>
                <w:spacing w:val="-20"/>
                <w:sz w:val="18"/>
                <w:szCs w:val="18"/>
              </w:rPr>
              <w:t xml:space="preserve"> </w:t>
            </w:r>
            <w:r>
              <w:rPr>
                <w:rFonts w:ascii="宋体" w:hAnsi="宋体" w:cs="宋体"/>
                <w:spacing w:val="-4"/>
                <w:sz w:val="18"/>
                <w:szCs w:val="18"/>
              </w:rPr>
              <w:t>0.5</w:t>
            </w:r>
            <w:r>
              <w:rPr>
                <w:rFonts w:ascii="宋体" w:hAnsi="宋体" w:cs="宋体"/>
                <w:spacing w:val="-34"/>
                <w:sz w:val="18"/>
                <w:szCs w:val="18"/>
              </w:rPr>
              <w:t xml:space="preserve"> </w:t>
            </w:r>
            <w:r>
              <w:rPr>
                <w:rFonts w:ascii="宋体" w:hAnsi="宋体" w:cs="宋体"/>
                <w:spacing w:val="-4"/>
                <w:sz w:val="18"/>
                <w:szCs w:val="18"/>
              </w:rPr>
              <w:t>分，</w:t>
            </w:r>
            <w:r>
              <w:rPr>
                <w:rFonts w:ascii="宋体" w:hAnsi="宋体" w:cs="宋体"/>
                <w:sz w:val="18"/>
                <w:szCs w:val="18"/>
              </w:rPr>
              <w:t xml:space="preserve"> </w:t>
            </w:r>
            <w:r>
              <w:rPr>
                <w:rFonts w:ascii="宋体" w:hAnsi="宋体" w:cs="宋体"/>
                <w:spacing w:val="-4"/>
                <w:sz w:val="18"/>
                <w:szCs w:val="18"/>
              </w:rPr>
              <w:t>最多加</w:t>
            </w:r>
            <w:r>
              <w:rPr>
                <w:rFonts w:ascii="宋体" w:hAnsi="宋体" w:cs="宋体"/>
                <w:spacing w:val="-41"/>
                <w:sz w:val="18"/>
                <w:szCs w:val="18"/>
              </w:rPr>
              <w:t xml:space="preserve"> </w:t>
            </w:r>
            <w:r>
              <w:rPr>
                <w:rFonts w:ascii="宋体" w:hAnsi="宋体" w:cs="宋体"/>
                <w:spacing w:val="-4"/>
                <w:sz w:val="18"/>
                <w:szCs w:val="18"/>
              </w:rPr>
              <w:t>4</w:t>
            </w:r>
            <w:r>
              <w:rPr>
                <w:rFonts w:ascii="宋体" w:hAnsi="宋体" w:cs="宋体"/>
                <w:spacing w:val="-34"/>
                <w:sz w:val="18"/>
                <w:szCs w:val="18"/>
              </w:rPr>
              <w:t xml:space="preserve"> </w:t>
            </w:r>
            <w:r>
              <w:rPr>
                <w:rFonts w:ascii="宋体" w:hAnsi="宋体" w:cs="宋体"/>
                <w:spacing w:val="-4"/>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0.5</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trPr>
        <w:tc>
          <w:tcPr>
            <w:tcW w:w="1223" w:type="dxa"/>
            <w:vMerge w:val="continue"/>
            <w:tcBorders>
              <w:top w:val="nil"/>
              <w:bottom w:val="nil"/>
            </w:tcBorders>
          </w:tcPr>
          <w:p>
            <w:pPr>
              <w:rPr>
                <w:rFonts w:ascii="Arial"/>
              </w:rPr>
            </w:pPr>
          </w:p>
        </w:tc>
        <w:tc>
          <w:tcPr>
            <w:tcW w:w="677" w:type="dxa"/>
          </w:tcPr>
          <w:p>
            <w:pPr>
              <w:spacing w:before="179" w:line="183" w:lineRule="auto"/>
              <w:ind w:left="300"/>
              <w:rPr>
                <w:rFonts w:ascii="宋体" w:hAnsi="宋体" w:cs="宋体"/>
                <w:sz w:val="18"/>
                <w:szCs w:val="18"/>
              </w:rPr>
            </w:pPr>
            <w:r>
              <w:rPr>
                <w:rFonts w:ascii="宋体" w:hAnsi="宋体" w:cs="宋体"/>
                <w:sz w:val="18"/>
                <w:szCs w:val="18"/>
              </w:rPr>
              <w:t>3</w:t>
            </w:r>
          </w:p>
        </w:tc>
        <w:tc>
          <w:tcPr>
            <w:tcW w:w="7597" w:type="dxa"/>
          </w:tcPr>
          <w:p>
            <w:pPr>
              <w:spacing w:before="151" w:line="219" w:lineRule="auto"/>
              <w:ind w:left="111"/>
              <w:rPr>
                <w:rFonts w:ascii="宋体" w:hAnsi="宋体" w:cs="宋体"/>
                <w:sz w:val="18"/>
                <w:szCs w:val="18"/>
              </w:rPr>
            </w:pPr>
            <w:r>
              <w:rPr>
                <w:rFonts w:ascii="宋体" w:hAnsi="宋体" w:cs="宋体"/>
                <w:spacing w:val="-1"/>
                <w:sz w:val="18"/>
                <w:szCs w:val="18"/>
              </w:rPr>
              <w:t>物料平台或施工吊篮具备安全监测、报警、记录功能（每台使用加</w:t>
            </w:r>
            <w:r>
              <w:rPr>
                <w:rFonts w:ascii="宋体" w:hAnsi="宋体" w:cs="宋体"/>
                <w:spacing w:val="-38"/>
                <w:sz w:val="18"/>
                <w:szCs w:val="18"/>
              </w:rPr>
              <w:t xml:space="preserve"> </w:t>
            </w:r>
            <w:r>
              <w:rPr>
                <w:rFonts w:ascii="宋体" w:hAnsi="宋体" w:cs="宋体"/>
                <w:spacing w:val="-1"/>
                <w:sz w:val="18"/>
                <w:szCs w:val="18"/>
              </w:rPr>
              <w:t>0.5</w:t>
            </w:r>
            <w:r>
              <w:rPr>
                <w:rFonts w:ascii="宋体" w:hAnsi="宋体" w:cs="宋体"/>
                <w:spacing w:val="-32"/>
                <w:sz w:val="18"/>
                <w:szCs w:val="18"/>
              </w:rPr>
              <w:t xml:space="preserve"> </w:t>
            </w:r>
            <w:r>
              <w:rPr>
                <w:rFonts w:ascii="宋体" w:hAnsi="宋体" w:cs="宋体"/>
                <w:spacing w:val="-1"/>
                <w:sz w:val="18"/>
                <w:szCs w:val="18"/>
              </w:rPr>
              <w:t>分，</w:t>
            </w:r>
            <w:r>
              <w:rPr>
                <w:rFonts w:ascii="宋体" w:hAnsi="宋体" w:cs="宋体"/>
                <w:spacing w:val="-2"/>
                <w:sz w:val="18"/>
                <w:szCs w:val="18"/>
              </w:rPr>
              <w:t>最多加</w:t>
            </w:r>
            <w:r>
              <w:rPr>
                <w:rFonts w:ascii="宋体" w:hAnsi="宋体" w:cs="宋体"/>
                <w:spacing w:val="-38"/>
                <w:sz w:val="18"/>
                <w:szCs w:val="18"/>
              </w:rPr>
              <w:t xml:space="preserve"> </w:t>
            </w:r>
            <w:r>
              <w:rPr>
                <w:rFonts w:ascii="宋体" w:hAnsi="宋体" w:cs="宋体"/>
                <w:spacing w:val="-2"/>
                <w:sz w:val="18"/>
                <w:szCs w:val="18"/>
              </w:rPr>
              <w:t>2</w:t>
            </w:r>
            <w:r>
              <w:rPr>
                <w:rFonts w:ascii="宋体" w:hAnsi="宋体" w:cs="宋体"/>
                <w:spacing w:val="-34"/>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vMerge w:val="restart"/>
            <w:tcBorders>
              <w:bottom w:val="nil"/>
            </w:tcBorders>
          </w:tcPr>
          <w:p>
            <w:pPr>
              <w:spacing w:line="363" w:lineRule="auto"/>
              <w:rPr>
                <w:rFonts w:ascii="Arial"/>
              </w:rPr>
            </w:pPr>
          </w:p>
          <w:p>
            <w:pPr>
              <w:spacing w:before="58" w:line="183" w:lineRule="auto"/>
              <w:ind w:left="296"/>
              <w:rPr>
                <w:rFonts w:ascii="宋体" w:hAnsi="宋体" w:cs="宋体"/>
                <w:sz w:val="18"/>
                <w:szCs w:val="18"/>
              </w:rPr>
            </w:pPr>
            <w:r>
              <w:rPr>
                <w:rFonts w:ascii="宋体" w:hAnsi="宋体" w:cs="宋体"/>
                <w:sz w:val="18"/>
                <w:szCs w:val="18"/>
              </w:rPr>
              <w:t>4</w:t>
            </w:r>
          </w:p>
        </w:tc>
        <w:tc>
          <w:tcPr>
            <w:tcW w:w="7597" w:type="dxa"/>
          </w:tcPr>
          <w:p>
            <w:pPr>
              <w:spacing w:before="69" w:line="218" w:lineRule="auto"/>
              <w:ind w:left="111"/>
              <w:rPr>
                <w:rFonts w:ascii="宋体" w:hAnsi="宋体" w:cs="宋体"/>
                <w:sz w:val="18"/>
                <w:szCs w:val="18"/>
              </w:rPr>
            </w:pPr>
            <w:r>
              <w:rPr>
                <w:rFonts w:ascii="宋体" w:hAnsi="宋体" w:cs="宋体"/>
                <w:spacing w:val="-1"/>
                <w:sz w:val="18"/>
                <w:szCs w:val="18"/>
              </w:rPr>
              <w:t>对全部附着式升降脚手架进行安全监控</w:t>
            </w:r>
          </w:p>
        </w:tc>
        <w:tc>
          <w:tcPr>
            <w:tcW w:w="991" w:type="dxa"/>
            <w:vMerge w:val="continue"/>
            <w:tcBorders>
              <w:top w:val="nil"/>
              <w:bottom w:val="nil"/>
            </w:tcBorders>
          </w:tcPr>
          <w:p>
            <w:pPr>
              <w:rPr>
                <w:rFonts w:ascii="Arial"/>
              </w:rPr>
            </w:pPr>
          </w:p>
        </w:tc>
        <w:tc>
          <w:tcPr>
            <w:tcW w:w="807" w:type="dxa"/>
          </w:tcPr>
          <w:p>
            <w:pPr>
              <w:spacing w:before="40" w:line="207" w:lineRule="auto"/>
              <w:ind w:left="115"/>
              <w:jc w:val="center"/>
              <w:rPr>
                <w:rFonts w:ascii="宋体" w:hAnsi="宋体" w:cs="宋体"/>
                <w:sz w:val="24"/>
                <w:szCs w:val="24"/>
              </w:rPr>
            </w:pPr>
            <w:r>
              <w:rPr>
                <w:rFonts w:ascii="宋体" w:hAnsi="宋体" w:cs="宋体"/>
                <w:sz w:val="24"/>
                <w:szCs w:val="24"/>
              </w:rPr>
              <w:t>/</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vMerge w:val="continue"/>
            <w:tcBorders>
              <w:top w:val="nil"/>
              <w:bottom w:val="nil"/>
            </w:tcBorders>
          </w:tcPr>
          <w:p>
            <w:pPr>
              <w:rPr>
                <w:rFonts w:ascii="Arial"/>
              </w:rPr>
            </w:pPr>
          </w:p>
        </w:tc>
        <w:tc>
          <w:tcPr>
            <w:tcW w:w="7597" w:type="dxa"/>
          </w:tcPr>
          <w:p>
            <w:pPr>
              <w:spacing w:before="71" w:line="219" w:lineRule="auto"/>
              <w:ind w:left="112"/>
              <w:rPr>
                <w:rFonts w:ascii="宋体" w:hAnsi="宋体" w:cs="宋体"/>
                <w:sz w:val="18"/>
                <w:szCs w:val="18"/>
              </w:rPr>
            </w:pPr>
            <w:r>
              <w:rPr>
                <w:rFonts w:ascii="宋体" w:hAnsi="宋体" w:cs="宋体"/>
                <w:spacing w:val="-1"/>
                <w:sz w:val="18"/>
                <w:szCs w:val="18"/>
              </w:rPr>
              <w:t>a) 相关安全监测指标的安全监测、报警、记录功能（2</w:t>
            </w:r>
            <w:r>
              <w:rPr>
                <w:rFonts w:ascii="宋体" w:hAnsi="宋体" w:cs="宋体"/>
                <w:spacing w:val="-27"/>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vMerge w:val="continue"/>
            <w:tcBorders>
              <w:top w:val="nil"/>
            </w:tcBorders>
          </w:tcPr>
          <w:p>
            <w:pPr>
              <w:rPr>
                <w:rFonts w:ascii="Arial"/>
              </w:rPr>
            </w:pPr>
          </w:p>
        </w:tc>
        <w:tc>
          <w:tcPr>
            <w:tcW w:w="7597" w:type="dxa"/>
          </w:tcPr>
          <w:p>
            <w:pPr>
              <w:spacing w:before="70" w:line="218" w:lineRule="auto"/>
              <w:ind w:left="108"/>
              <w:rPr>
                <w:rFonts w:ascii="宋体" w:hAnsi="宋体" w:cs="宋体"/>
                <w:sz w:val="18"/>
                <w:szCs w:val="18"/>
              </w:rPr>
            </w:pPr>
            <w:r>
              <w:rPr>
                <w:rFonts w:ascii="宋体" w:hAnsi="宋体" w:cs="宋体"/>
                <w:spacing w:val="-1"/>
                <w:sz w:val="18"/>
                <w:szCs w:val="18"/>
              </w:rPr>
              <w:t>b) 附着式升降脚手架的安装、升降、拆卸的过程管控记录（2</w:t>
            </w:r>
            <w:r>
              <w:rPr>
                <w:rFonts w:ascii="宋体" w:hAnsi="宋体" w:cs="宋体"/>
                <w:spacing w:val="-21"/>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98" w:line="182" w:lineRule="auto"/>
              <w:ind w:left="300"/>
              <w:rPr>
                <w:rFonts w:ascii="宋体" w:hAnsi="宋体" w:cs="宋体"/>
                <w:sz w:val="18"/>
                <w:szCs w:val="18"/>
              </w:rPr>
            </w:pPr>
            <w:r>
              <w:rPr>
                <w:rFonts w:ascii="宋体" w:hAnsi="宋体" w:cs="宋体"/>
                <w:sz w:val="18"/>
                <w:szCs w:val="18"/>
              </w:rPr>
              <w:t>5</w:t>
            </w:r>
          </w:p>
        </w:tc>
        <w:tc>
          <w:tcPr>
            <w:tcW w:w="7597" w:type="dxa"/>
          </w:tcPr>
          <w:p>
            <w:pPr>
              <w:spacing w:before="69" w:line="218" w:lineRule="auto"/>
              <w:ind w:left="113"/>
              <w:rPr>
                <w:rFonts w:ascii="宋体" w:hAnsi="宋体" w:cs="宋体"/>
                <w:sz w:val="18"/>
                <w:szCs w:val="18"/>
              </w:rPr>
            </w:pPr>
            <w:r>
              <w:rPr>
                <w:rFonts w:ascii="宋体" w:hAnsi="宋体" w:cs="宋体"/>
                <w:spacing w:val="-2"/>
                <w:sz w:val="18"/>
                <w:szCs w:val="18"/>
              </w:rPr>
              <w:t>建筑机器人应用（2</w:t>
            </w:r>
            <w:r>
              <w:rPr>
                <w:rFonts w:ascii="宋体" w:hAnsi="宋体" w:cs="宋体"/>
                <w:spacing w:val="-33"/>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98" w:line="183" w:lineRule="auto"/>
              <w:ind w:left="298"/>
              <w:rPr>
                <w:rFonts w:ascii="宋体" w:hAnsi="宋体" w:cs="宋体"/>
                <w:sz w:val="18"/>
                <w:szCs w:val="18"/>
              </w:rPr>
            </w:pPr>
            <w:r>
              <w:rPr>
                <w:rFonts w:ascii="宋体" w:hAnsi="宋体" w:cs="宋体"/>
                <w:sz w:val="18"/>
                <w:szCs w:val="18"/>
              </w:rPr>
              <w:t>6</w:t>
            </w:r>
          </w:p>
        </w:tc>
        <w:tc>
          <w:tcPr>
            <w:tcW w:w="7597" w:type="dxa"/>
          </w:tcPr>
          <w:p>
            <w:pPr>
              <w:spacing w:before="70" w:line="218" w:lineRule="auto"/>
              <w:ind w:left="112"/>
              <w:rPr>
                <w:rFonts w:ascii="宋体" w:hAnsi="宋体" w:cs="宋体"/>
                <w:sz w:val="18"/>
                <w:szCs w:val="18"/>
              </w:rPr>
            </w:pPr>
            <w:r>
              <w:rPr>
                <w:rFonts w:ascii="宋体" w:hAnsi="宋体" w:cs="宋体"/>
                <w:spacing w:val="-2"/>
                <w:sz w:val="18"/>
                <w:szCs w:val="18"/>
              </w:rPr>
              <w:t>测量机器人应用（2</w:t>
            </w:r>
            <w:r>
              <w:rPr>
                <w:rFonts w:ascii="宋体" w:hAnsi="宋体" w:cs="宋体"/>
                <w:spacing w:val="-33"/>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tcBorders>
          </w:tcPr>
          <w:p>
            <w:pPr>
              <w:rPr>
                <w:rFonts w:ascii="Arial"/>
              </w:rPr>
            </w:pPr>
          </w:p>
        </w:tc>
        <w:tc>
          <w:tcPr>
            <w:tcW w:w="677" w:type="dxa"/>
          </w:tcPr>
          <w:p>
            <w:pPr>
              <w:spacing w:before="98" w:line="182" w:lineRule="auto"/>
              <w:ind w:left="301"/>
              <w:rPr>
                <w:rFonts w:ascii="宋体" w:hAnsi="宋体" w:cs="宋体"/>
                <w:sz w:val="18"/>
                <w:szCs w:val="18"/>
              </w:rPr>
            </w:pPr>
            <w:r>
              <w:rPr>
                <w:rFonts w:ascii="宋体" w:hAnsi="宋体" w:cs="宋体"/>
                <w:sz w:val="18"/>
                <w:szCs w:val="18"/>
              </w:rPr>
              <w:t>7</w:t>
            </w:r>
          </w:p>
        </w:tc>
        <w:tc>
          <w:tcPr>
            <w:tcW w:w="7597" w:type="dxa"/>
          </w:tcPr>
          <w:p>
            <w:pPr>
              <w:spacing w:before="69" w:line="218" w:lineRule="auto"/>
              <w:ind w:left="111"/>
              <w:rPr>
                <w:rFonts w:ascii="宋体" w:hAnsi="宋体" w:cs="宋体"/>
                <w:sz w:val="18"/>
                <w:szCs w:val="18"/>
              </w:rPr>
            </w:pPr>
            <w:r>
              <w:rPr>
                <w:rFonts w:ascii="宋体" w:hAnsi="宋体" w:cs="宋体"/>
                <w:spacing w:val="-2"/>
                <w:sz w:val="18"/>
                <w:szCs w:val="18"/>
              </w:rPr>
              <w:t>造楼机应用（2</w:t>
            </w:r>
            <w:r>
              <w:rPr>
                <w:rFonts w:ascii="宋体" w:hAnsi="宋体" w:cs="宋体"/>
                <w:spacing w:val="-35"/>
                <w:sz w:val="18"/>
                <w:szCs w:val="18"/>
              </w:rPr>
              <w:t xml:space="preserve"> </w:t>
            </w:r>
            <w:r>
              <w:rPr>
                <w:rFonts w:ascii="宋体" w:hAnsi="宋体" w:cs="宋体"/>
                <w:spacing w:val="-2"/>
                <w:sz w:val="18"/>
                <w:szCs w:val="18"/>
              </w:rPr>
              <w:t>分）</w:t>
            </w:r>
          </w:p>
        </w:tc>
        <w:tc>
          <w:tcPr>
            <w:tcW w:w="991" w:type="dxa"/>
            <w:vMerge w:val="continue"/>
            <w:tcBorders>
              <w:top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tcBorders>
          </w:tcPr>
          <w:p>
            <w:pPr>
              <w:rPr>
                <w:rFonts w:ascii="Arial"/>
              </w:rPr>
            </w:pPr>
          </w:p>
        </w:tc>
        <w:tc>
          <w:tcPr>
            <w:tcW w:w="682" w:type="dxa"/>
            <w:vMerge w:val="continue"/>
            <w:tcBorders>
              <w:top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restart"/>
            <w:tcBorders>
              <w:bottom w:val="nil"/>
            </w:tcBorders>
          </w:tcPr>
          <w:p>
            <w:pPr>
              <w:spacing w:line="263" w:lineRule="auto"/>
              <w:rPr>
                <w:rFonts w:ascii="Arial"/>
              </w:rPr>
            </w:pPr>
          </w:p>
          <w:p>
            <w:pPr>
              <w:spacing w:line="263" w:lineRule="auto"/>
              <w:rPr>
                <w:rFonts w:ascii="Arial"/>
              </w:rPr>
            </w:pPr>
          </w:p>
          <w:p>
            <w:pPr>
              <w:spacing w:line="263" w:lineRule="auto"/>
              <w:rPr>
                <w:rFonts w:ascii="Arial"/>
              </w:rPr>
            </w:pPr>
          </w:p>
          <w:p>
            <w:pPr>
              <w:spacing w:line="263" w:lineRule="auto"/>
              <w:rPr>
                <w:rFonts w:ascii="Arial"/>
              </w:rPr>
            </w:pPr>
          </w:p>
          <w:p>
            <w:pPr>
              <w:spacing w:before="59" w:line="219" w:lineRule="auto"/>
              <w:ind w:left="254"/>
              <w:rPr>
                <w:rFonts w:ascii="宋体" w:hAnsi="宋体" w:cs="宋体"/>
                <w:sz w:val="18"/>
                <w:szCs w:val="18"/>
              </w:rPr>
            </w:pPr>
            <w:r>
              <w:rPr>
                <w:rFonts w:ascii="宋体" w:hAnsi="宋体" w:cs="宋体"/>
                <w:spacing w:val="-2"/>
                <w:sz w:val="18"/>
                <w:szCs w:val="18"/>
              </w:rPr>
              <w:t>物料管理</w:t>
            </w:r>
          </w:p>
        </w:tc>
        <w:tc>
          <w:tcPr>
            <w:tcW w:w="677" w:type="dxa"/>
          </w:tcPr>
          <w:p>
            <w:pPr>
              <w:spacing w:before="98" w:line="184" w:lineRule="auto"/>
              <w:ind w:left="310"/>
              <w:rPr>
                <w:rFonts w:ascii="宋体" w:hAnsi="宋体" w:cs="宋体"/>
                <w:sz w:val="18"/>
                <w:szCs w:val="18"/>
              </w:rPr>
            </w:pPr>
            <w:r>
              <w:rPr>
                <w:rFonts w:ascii="宋体" w:hAnsi="宋体" w:cs="宋体"/>
                <w:sz w:val="18"/>
                <w:szCs w:val="18"/>
              </w:rPr>
              <w:t>1</w:t>
            </w:r>
          </w:p>
        </w:tc>
        <w:tc>
          <w:tcPr>
            <w:tcW w:w="7597" w:type="dxa"/>
          </w:tcPr>
          <w:p>
            <w:pPr>
              <w:spacing w:before="71" w:line="219" w:lineRule="auto"/>
              <w:ind w:left="115"/>
              <w:rPr>
                <w:rFonts w:ascii="宋体" w:hAnsi="宋体" w:cs="宋体"/>
                <w:sz w:val="18"/>
                <w:szCs w:val="18"/>
              </w:rPr>
            </w:pPr>
            <w:r>
              <w:rPr>
                <w:rFonts w:ascii="宋体" w:hAnsi="宋体" w:cs="宋体"/>
                <w:spacing w:val="-1"/>
                <w:sz w:val="18"/>
                <w:szCs w:val="18"/>
              </w:rPr>
              <w:t>具备对进出施工现场车辆车牌自动识别和记录功能（2</w:t>
            </w:r>
            <w:r>
              <w:rPr>
                <w:rFonts w:ascii="宋体" w:hAnsi="宋体" w:cs="宋体"/>
                <w:spacing w:val="-31"/>
                <w:sz w:val="18"/>
                <w:szCs w:val="18"/>
              </w:rPr>
              <w:t xml:space="preserve"> </w:t>
            </w:r>
            <w:r>
              <w:rPr>
                <w:rFonts w:ascii="宋体" w:hAnsi="宋体" w:cs="宋体"/>
                <w:spacing w:val="-1"/>
                <w:sz w:val="18"/>
                <w:szCs w:val="18"/>
              </w:rPr>
              <w:t>分）</w:t>
            </w:r>
          </w:p>
        </w:tc>
        <w:tc>
          <w:tcPr>
            <w:tcW w:w="991" w:type="dxa"/>
            <w:vMerge w:val="restart"/>
            <w:tcBorders>
              <w:bottom w:val="nil"/>
            </w:tcBorders>
          </w:tcPr>
          <w:p>
            <w:pPr>
              <w:spacing w:line="270" w:lineRule="auto"/>
              <w:rPr>
                <w:rFonts w:ascii="Arial"/>
              </w:rPr>
            </w:pPr>
          </w:p>
          <w:p>
            <w:pPr>
              <w:spacing w:line="270" w:lineRule="auto"/>
              <w:rPr>
                <w:rFonts w:ascii="Arial"/>
              </w:rPr>
            </w:pPr>
          </w:p>
          <w:p>
            <w:pPr>
              <w:spacing w:line="270" w:lineRule="auto"/>
              <w:rPr>
                <w:rFonts w:ascii="Arial"/>
              </w:rPr>
            </w:pPr>
          </w:p>
          <w:p>
            <w:pPr>
              <w:spacing w:line="270" w:lineRule="auto"/>
              <w:rPr>
                <w:rFonts w:ascii="Arial"/>
              </w:rPr>
            </w:pPr>
          </w:p>
          <w:p>
            <w:pPr>
              <w:spacing w:before="59" w:line="183" w:lineRule="auto"/>
              <w:ind w:left="454"/>
              <w:rPr>
                <w:rFonts w:ascii="宋体" w:hAnsi="宋体" w:cs="宋体"/>
                <w:sz w:val="18"/>
                <w:szCs w:val="18"/>
              </w:rPr>
            </w:pPr>
            <w:r>
              <w:rPr>
                <w:rFonts w:ascii="宋体" w:hAnsi="宋体" w:cs="宋体"/>
                <w:sz w:val="18"/>
                <w:szCs w:val="18"/>
              </w:rPr>
              <w:t>4</w:t>
            </w:r>
          </w:p>
        </w:tc>
        <w:tc>
          <w:tcPr>
            <w:tcW w:w="807" w:type="dxa"/>
          </w:tcPr>
          <w:p>
            <w:pPr>
              <w:jc w:val="center"/>
              <w:rPr>
                <w:rFonts w:ascii="Arial"/>
              </w:rPr>
            </w:pPr>
            <w:r>
              <w:rPr>
                <w:rFonts w:hint="eastAsia" w:ascii="Arial"/>
              </w:rPr>
              <w:t>2</w:t>
            </w:r>
          </w:p>
        </w:tc>
        <w:tc>
          <w:tcPr>
            <w:tcW w:w="996" w:type="dxa"/>
            <w:vMerge w:val="restart"/>
            <w:tcBorders>
              <w:bottom w:val="nil"/>
            </w:tcBorders>
          </w:tcPr>
          <w:p>
            <w:pPr>
              <w:jc w:val="center"/>
              <w:rPr>
                <w:rFonts w:ascii="Arial"/>
              </w:rPr>
            </w:pPr>
            <w:r>
              <w:rPr>
                <w:rFonts w:hint="eastAsia" w:ascii="Arial"/>
              </w:rPr>
              <w:t>4</w:t>
            </w:r>
          </w:p>
        </w:tc>
        <w:tc>
          <w:tcPr>
            <w:tcW w:w="682" w:type="dxa"/>
            <w:vMerge w:val="restart"/>
            <w:tcBorders>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98" w:line="183" w:lineRule="auto"/>
              <w:ind w:left="298"/>
              <w:rPr>
                <w:rFonts w:ascii="宋体" w:hAnsi="宋体" w:cs="宋体"/>
                <w:sz w:val="18"/>
                <w:szCs w:val="18"/>
              </w:rPr>
            </w:pPr>
            <w:r>
              <w:rPr>
                <w:rFonts w:ascii="宋体" w:hAnsi="宋体" w:cs="宋体"/>
                <w:sz w:val="18"/>
                <w:szCs w:val="18"/>
              </w:rPr>
              <w:t>2</w:t>
            </w:r>
          </w:p>
        </w:tc>
        <w:tc>
          <w:tcPr>
            <w:tcW w:w="7597" w:type="dxa"/>
          </w:tcPr>
          <w:p>
            <w:pPr>
              <w:spacing w:before="70" w:line="219" w:lineRule="auto"/>
              <w:ind w:left="115"/>
              <w:rPr>
                <w:rFonts w:ascii="宋体" w:hAnsi="宋体" w:cs="宋体"/>
                <w:sz w:val="18"/>
                <w:szCs w:val="18"/>
              </w:rPr>
            </w:pPr>
            <w:r>
              <w:rPr>
                <w:rFonts w:ascii="宋体" w:hAnsi="宋体" w:cs="宋体"/>
                <w:spacing w:val="-1"/>
                <w:sz w:val="18"/>
                <w:szCs w:val="18"/>
              </w:rPr>
              <w:t>具备对进出施工现场车辆类别（包括渣土运输车辆等）的识别和记录功能（1</w:t>
            </w:r>
            <w:r>
              <w:rPr>
                <w:rFonts w:ascii="宋体" w:hAnsi="宋体" w:cs="宋体"/>
                <w:spacing w:val="-21"/>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1</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trPr>
        <w:tc>
          <w:tcPr>
            <w:tcW w:w="1223" w:type="dxa"/>
            <w:vMerge w:val="continue"/>
            <w:tcBorders>
              <w:top w:val="nil"/>
              <w:bottom w:val="nil"/>
            </w:tcBorders>
          </w:tcPr>
          <w:p>
            <w:pPr>
              <w:rPr>
                <w:rFonts w:ascii="Arial"/>
              </w:rPr>
            </w:pPr>
          </w:p>
        </w:tc>
        <w:tc>
          <w:tcPr>
            <w:tcW w:w="677" w:type="dxa"/>
          </w:tcPr>
          <w:p>
            <w:pPr>
              <w:spacing w:before="255" w:line="183" w:lineRule="auto"/>
              <w:ind w:left="300"/>
              <w:rPr>
                <w:rFonts w:ascii="宋体" w:hAnsi="宋体" w:cs="宋体"/>
                <w:sz w:val="18"/>
                <w:szCs w:val="18"/>
              </w:rPr>
            </w:pPr>
            <w:r>
              <w:rPr>
                <w:rFonts w:ascii="宋体" w:hAnsi="宋体" w:cs="宋体"/>
                <w:sz w:val="18"/>
                <w:szCs w:val="18"/>
              </w:rPr>
              <w:t>3</w:t>
            </w:r>
          </w:p>
        </w:tc>
        <w:tc>
          <w:tcPr>
            <w:tcW w:w="7597" w:type="dxa"/>
          </w:tcPr>
          <w:p>
            <w:pPr>
              <w:spacing w:before="69" w:line="272" w:lineRule="auto"/>
              <w:ind w:left="111" w:right="106" w:firstLine="2"/>
              <w:rPr>
                <w:rFonts w:ascii="宋体" w:hAnsi="宋体" w:cs="宋体"/>
                <w:sz w:val="18"/>
                <w:szCs w:val="18"/>
              </w:rPr>
            </w:pPr>
            <w:r>
              <w:rPr>
                <w:rFonts w:ascii="宋体" w:hAnsi="宋体" w:cs="宋体"/>
                <w:spacing w:val="-1"/>
                <w:sz w:val="18"/>
                <w:szCs w:val="18"/>
              </w:rPr>
              <w:t>智能清点物料，在物料现场验收时，对进入车辆称重，</w:t>
            </w:r>
            <w:r>
              <w:rPr>
                <w:rFonts w:ascii="宋体" w:hAnsi="宋体" w:cs="宋体"/>
                <w:spacing w:val="-49"/>
                <w:sz w:val="18"/>
                <w:szCs w:val="18"/>
              </w:rPr>
              <w:t xml:space="preserve"> </w:t>
            </w:r>
            <w:r>
              <w:rPr>
                <w:rFonts w:ascii="宋体" w:hAnsi="宋体" w:cs="宋体"/>
                <w:spacing w:val="-1"/>
                <w:sz w:val="18"/>
                <w:szCs w:val="18"/>
              </w:rPr>
              <w:t>自动清点货物的</w:t>
            </w:r>
            <w:r>
              <w:rPr>
                <w:rFonts w:ascii="宋体" w:hAnsi="宋体" w:cs="宋体"/>
                <w:spacing w:val="-2"/>
                <w:sz w:val="18"/>
                <w:szCs w:val="18"/>
              </w:rPr>
              <w:t>重量（数量）并上传物</w:t>
            </w:r>
            <w:r>
              <w:rPr>
                <w:rFonts w:ascii="宋体" w:hAnsi="宋体" w:cs="宋体"/>
                <w:sz w:val="18"/>
                <w:szCs w:val="18"/>
              </w:rPr>
              <w:t xml:space="preserve"> </w:t>
            </w:r>
            <w:r>
              <w:rPr>
                <w:rFonts w:ascii="宋体" w:hAnsi="宋体" w:cs="宋体"/>
                <w:spacing w:val="-2"/>
                <w:sz w:val="18"/>
                <w:szCs w:val="18"/>
              </w:rPr>
              <w:t>料管理系统（2</w:t>
            </w:r>
            <w:r>
              <w:rPr>
                <w:rFonts w:ascii="宋体" w:hAnsi="宋体" w:cs="宋体"/>
                <w:spacing w:val="-36"/>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5" w:hRule="atLeast"/>
        </w:trPr>
        <w:tc>
          <w:tcPr>
            <w:tcW w:w="1223" w:type="dxa"/>
            <w:vMerge w:val="continue"/>
            <w:tcBorders>
              <w:top w:val="nil"/>
              <w:bottom w:val="nil"/>
            </w:tcBorders>
          </w:tcPr>
          <w:p>
            <w:pPr>
              <w:rPr>
                <w:rFonts w:ascii="Arial"/>
              </w:rPr>
            </w:pPr>
          </w:p>
        </w:tc>
        <w:tc>
          <w:tcPr>
            <w:tcW w:w="677" w:type="dxa"/>
          </w:tcPr>
          <w:p>
            <w:pPr>
              <w:spacing w:before="180" w:line="183" w:lineRule="auto"/>
              <w:ind w:left="296"/>
              <w:rPr>
                <w:rFonts w:ascii="宋体" w:hAnsi="宋体" w:cs="宋体"/>
                <w:sz w:val="18"/>
                <w:szCs w:val="18"/>
              </w:rPr>
            </w:pPr>
            <w:r>
              <w:rPr>
                <w:rFonts w:ascii="宋体" w:hAnsi="宋体" w:cs="宋体"/>
                <w:sz w:val="18"/>
                <w:szCs w:val="18"/>
              </w:rPr>
              <w:t>4</w:t>
            </w:r>
          </w:p>
        </w:tc>
        <w:tc>
          <w:tcPr>
            <w:tcW w:w="7597" w:type="dxa"/>
          </w:tcPr>
          <w:p>
            <w:pPr>
              <w:spacing w:before="152" w:line="219" w:lineRule="auto"/>
              <w:ind w:left="111"/>
              <w:rPr>
                <w:rFonts w:ascii="宋体" w:hAnsi="宋体" w:cs="宋体"/>
                <w:sz w:val="18"/>
                <w:szCs w:val="18"/>
              </w:rPr>
            </w:pPr>
            <w:r>
              <w:rPr>
                <w:rFonts w:ascii="宋体" w:hAnsi="宋体" w:cs="宋体"/>
                <w:spacing w:val="-2"/>
                <w:sz w:val="18"/>
                <w:szCs w:val="18"/>
              </w:rPr>
              <w:t>根据进场物料的品类、规格、生产批次和数量，</w:t>
            </w:r>
            <w:r>
              <w:rPr>
                <w:rFonts w:ascii="宋体" w:hAnsi="宋体" w:cs="宋体"/>
                <w:spacing w:val="-31"/>
                <w:sz w:val="18"/>
                <w:szCs w:val="18"/>
              </w:rPr>
              <w:t xml:space="preserve"> </w:t>
            </w:r>
            <w:r>
              <w:rPr>
                <w:rFonts w:ascii="宋体" w:hAnsi="宋体" w:cs="宋体"/>
                <w:spacing w:val="-2"/>
                <w:sz w:val="18"/>
                <w:szCs w:val="18"/>
              </w:rPr>
              <w:t>自动计算最优的取样检验数量（2</w:t>
            </w:r>
            <w:r>
              <w:rPr>
                <w:rFonts w:ascii="宋体" w:hAnsi="宋体" w:cs="宋体"/>
                <w:spacing w:val="-36"/>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trPr>
        <w:tc>
          <w:tcPr>
            <w:tcW w:w="1223" w:type="dxa"/>
            <w:vMerge w:val="continue"/>
            <w:tcBorders>
              <w:top w:val="nil"/>
            </w:tcBorders>
          </w:tcPr>
          <w:p>
            <w:pPr>
              <w:rPr>
                <w:rFonts w:ascii="Arial"/>
              </w:rPr>
            </w:pPr>
          </w:p>
        </w:tc>
        <w:tc>
          <w:tcPr>
            <w:tcW w:w="677" w:type="dxa"/>
          </w:tcPr>
          <w:p>
            <w:pPr>
              <w:spacing w:before="258" w:line="182" w:lineRule="auto"/>
              <w:ind w:left="300"/>
              <w:rPr>
                <w:rFonts w:ascii="宋体" w:hAnsi="宋体" w:cs="宋体"/>
                <w:sz w:val="18"/>
                <w:szCs w:val="18"/>
              </w:rPr>
            </w:pPr>
            <w:r>
              <w:rPr>
                <w:rFonts w:ascii="宋体" w:hAnsi="宋体" w:cs="宋体"/>
                <w:sz w:val="18"/>
                <w:szCs w:val="18"/>
              </w:rPr>
              <w:t>5</w:t>
            </w:r>
          </w:p>
        </w:tc>
        <w:tc>
          <w:tcPr>
            <w:tcW w:w="7597" w:type="dxa"/>
          </w:tcPr>
          <w:p>
            <w:pPr>
              <w:spacing w:before="71" w:line="272" w:lineRule="auto"/>
              <w:ind w:left="113" w:right="196" w:hanging="2"/>
              <w:rPr>
                <w:rFonts w:ascii="宋体" w:hAnsi="宋体" w:cs="宋体"/>
                <w:sz w:val="18"/>
                <w:szCs w:val="18"/>
              </w:rPr>
            </w:pPr>
            <w:r>
              <w:rPr>
                <w:rFonts w:ascii="宋体" w:hAnsi="宋体" w:cs="宋体"/>
                <w:sz w:val="18"/>
                <w:szCs w:val="18"/>
              </w:rPr>
              <w:t>采用电子标签、二维码、人脸识别、重力感应等技术手段，对物料进场流转进</w:t>
            </w:r>
            <w:r>
              <w:rPr>
                <w:rFonts w:ascii="宋体" w:hAnsi="宋体" w:cs="宋体"/>
                <w:spacing w:val="-1"/>
                <w:sz w:val="18"/>
                <w:szCs w:val="18"/>
              </w:rPr>
              <w:t>行跟踪管理（1</w:t>
            </w:r>
            <w:r>
              <w:rPr>
                <w:rFonts w:ascii="宋体" w:hAnsi="宋体" w:cs="宋体"/>
                <w:sz w:val="18"/>
                <w:szCs w:val="18"/>
              </w:rPr>
              <w:t xml:space="preserve"> </w:t>
            </w:r>
            <w:r>
              <w:rPr>
                <w:rFonts w:ascii="宋体" w:hAnsi="宋体" w:cs="宋体"/>
                <w:spacing w:val="-5"/>
                <w:sz w:val="18"/>
                <w:szCs w:val="18"/>
              </w:rPr>
              <w:t>分）</w:t>
            </w:r>
          </w:p>
        </w:tc>
        <w:tc>
          <w:tcPr>
            <w:tcW w:w="991" w:type="dxa"/>
            <w:vMerge w:val="continue"/>
            <w:tcBorders>
              <w:top w:val="nil"/>
            </w:tcBorders>
          </w:tcPr>
          <w:p>
            <w:pPr>
              <w:rPr>
                <w:rFonts w:ascii="Arial"/>
              </w:rPr>
            </w:pPr>
          </w:p>
        </w:tc>
        <w:tc>
          <w:tcPr>
            <w:tcW w:w="807" w:type="dxa"/>
          </w:tcPr>
          <w:p>
            <w:pPr>
              <w:jc w:val="center"/>
              <w:rPr>
                <w:rFonts w:ascii="Arial"/>
              </w:rPr>
            </w:pPr>
            <w:r>
              <w:rPr>
                <w:rFonts w:hint="eastAsia" w:ascii="Arial"/>
              </w:rPr>
              <w:t>1</w:t>
            </w:r>
          </w:p>
        </w:tc>
        <w:tc>
          <w:tcPr>
            <w:tcW w:w="996" w:type="dxa"/>
            <w:vMerge w:val="continue"/>
            <w:tcBorders>
              <w:top w:val="nil"/>
            </w:tcBorders>
          </w:tcPr>
          <w:p>
            <w:pPr>
              <w:rPr>
                <w:rFonts w:ascii="Arial"/>
              </w:rPr>
            </w:pPr>
          </w:p>
        </w:tc>
        <w:tc>
          <w:tcPr>
            <w:tcW w:w="682" w:type="dxa"/>
            <w:vMerge w:val="continue"/>
            <w:tcBorders>
              <w:top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restart"/>
            <w:tcBorders>
              <w:bottom w:val="nil"/>
            </w:tcBorders>
          </w:tcPr>
          <w:p>
            <w:pPr>
              <w:spacing w:line="330" w:lineRule="auto"/>
              <w:rPr>
                <w:rFonts w:ascii="Arial"/>
              </w:rPr>
            </w:pPr>
          </w:p>
          <w:p>
            <w:pPr>
              <w:spacing w:line="330" w:lineRule="auto"/>
              <w:rPr>
                <w:rFonts w:ascii="Arial"/>
              </w:rPr>
            </w:pPr>
          </w:p>
          <w:p>
            <w:pPr>
              <w:spacing w:before="59" w:line="220" w:lineRule="auto"/>
              <w:ind w:left="257"/>
              <w:rPr>
                <w:rFonts w:ascii="宋体" w:hAnsi="宋体" w:cs="宋体"/>
                <w:sz w:val="18"/>
                <w:szCs w:val="18"/>
              </w:rPr>
            </w:pPr>
            <w:r>
              <w:rPr>
                <w:rFonts w:ascii="宋体" w:hAnsi="宋体" w:cs="宋体"/>
                <w:spacing w:val="-3"/>
                <w:sz w:val="18"/>
                <w:szCs w:val="18"/>
              </w:rPr>
              <w:t>智慧监测</w:t>
            </w:r>
          </w:p>
        </w:tc>
        <w:tc>
          <w:tcPr>
            <w:tcW w:w="677" w:type="dxa"/>
            <w:vMerge w:val="restart"/>
            <w:tcBorders>
              <w:bottom w:val="nil"/>
            </w:tcBorders>
          </w:tcPr>
          <w:p>
            <w:pPr>
              <w:spacing w:line="262" w:lineRule="auto"/>
              <w:rPr>
                <w:rFonts w:ascii="Arial"/>
              </w:rPr>
            </w:pPr>
          </w:p>
          <w:p>
            <w:pPr>
              <w:spacing w:line="263" w:lineRule="auto"/>
              <w:rPr>
                <w:rFonts w:ascii="Arial"/>
              </w:rPr>
            </w:pPr>
          </w:p>
          <w:p>
            <w:pPr>
              <w:spacing w:before="58" w:line="184" w:lineRule="auto"/>
              <w:ind w:left="310"/>
              <w:rPr>
                <w:rFonts w:ascii="宋体" w:hAnsi="宋体" w:cs="宋体"/>
                <w:sz w:val="18"/>
                <w:szCs w:val="18"/>
              </w:rPr>
            </w:pPr>
            <w:r>
              <w:rPr>
                <w:rFonts w:ascii="宋体" w:hAnsi="宋体" w:cs="宋体"/>
                <w:sz w:val="18"/>
                <w:szCs w:val="18"/>
              </w:rPr>
              <w:t>1</w:t>
            </w:r>
          </w:p>
        </w:tc>
        <w:tc>
          <w:tcPr>
            <w:tcW w:w="7597" w:type="dxa"/>
          </w:tcPr>
          <w:p>
            <w:pPr>
              <w:spacing w:before="73" w:line="219" w:lineRule="auto"/>
              <w:ind w:left="111"/>
              <w:rPr>
                <w:rFonts w:ascii="宋体" w:hAnsi="宋体" w:cs="宋体"/>
                <w:sz w:val="18"/>
                <w:szCs w:val="18"/>
              </w:rPr>
            </w:pPr>
            <w:r>
              <w:rPr>
                <w:rFonts w:ascii="宋体" w:hAnsi="宋体" w:cs="宋体"/>
                <w:spacing w:val="-2"/>
                <w:sz w:val="18"/>
                <w:szCs w:val="18"/>
              </w:rPr>
              <w:t>基坑监测：</w:t>
            </w:r>
          </w:p>
        </w:tc>
        <w:tc>
          <w:tcPr>
            <w:tcW w:w="991" w:type="dxa"/>
            <w:vMerge w:val="restart"/>
            <w:tcBorders>
              <w:bottom w:val="nil"/>
            </w:tcBorders>
          </w:tcPr>
          <w:p>
            <w:pPr>
              <w:spacing w:line="344" w:lineRule="auto"/>
              <w:rPr>
                <w:rFonts w:ascii="Arial"/>
              </w:rPr>
            </w:pPr>
          </w:p>
          <w:p>
            <w:pPr>
              <w:spacing w:line="344" w:lineRule="auto"/>
              <w:rPr>
                <w:rFonts w:ascii="Arial"/>
              </w:rPr>
            </w:pPr>
          </w:p>
          <w:p>
            <w:pPr>
              <w:spacing w:before="58" w:line="183" w:lineRule="auto"/>
              <w:ind w:left="454"/>
              <w:rPr>
                <w:rFonts w:ascii="宋体" w:hAnsi="宋体" w:cs="宋体"/>
                <w:sz w:val="18"/>
                <w:szCs w:val="18"/>
              </w:rPr>
            </w:pPr>
            <w:r>
              <w:rPr>
                <w:rFonts w:ascii="宋体" w:hAnsi="宋体" w:cs="宋体"/>
                <w:sz w:val="18"/>
                <w:szCs w:val="18"/>
              </w:rPr>
              <w:t>4</w:t>
            </w:r>
          </w:p>
        </w:tc>
        <w:tc>
          <w:tcPr>
            <w:tcW w:w="807" w:type="dxa"/>
          </w:tcPr>
          <w:p>
            <w:pPr>
              <w:spacing w:before="43" w:line="205" w:lineRule="auto"/>
              <w:ind w:left="115"/>
              <w:jc w:val="center"/>
              <w:rPr>
                <w:rFonts w:ascii="宋体" w:hAnsi="宋体" w:cs="宋体"/>
                <w:sz w:val="24"/>
                <w:szCs w:val="24"/>
              </w:rPr>
            </w:pPr>
            <w:r>
              <w:rPr>
                <w:rFonts w:ascii="宋体" w:hAnsi="宋体" w:cs="宋体"/>
                <w:sz w:val="24"/>
                <w:szCs w:val="24"/>
              </w:rPr>
              <w:t>/</w:t>
            </w:r>
          </w:p>
        </w:tc>
        <w:tc>
          <w:tcPr>
            <w:tcW w:w="996" w:type="dxa"/>
            <w:vMerge w:val="restart"/>
            <w:tcBorders>
              <w:bottom w:val="nil"/>
            </w:tcBorders>
          </w:tcPr>
          <w:p>
            <w:pPr>
              <w:jc w:val="center"/>
              <w:rPr>
                <w:rFonts w:ascii="Arial"/>
              </w:rPr>
            </w:pPr>
            <w:r>
              <w:rPr>
                <w:rFonts w:hint="eastAsia" w:ascii="Arial"/>
              </w:rPr>
              <w:t>4</w:t>
            </w:r>
          </w:p>
        </w:tc>
        <w:tc>
          <w:tcPr>
            <w:tcW w:w="682" w:type="dxa"/>
            <w:vMerge w:val="restart"/>
            <w:tcBorders>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vMerge w:val="continue"/>
            <w:tcBorders>
              <w:top w:val="nil"/>
              <w:bottom w:val="nil"/>
            </w:tcBorders>
          </w:tcPr>
          <w:p>
            <w:pPr>
              <w:rPr>
                <w:rFonts w:ascii="Arial"/>
              </w:rPr>
            </w:pPr>
          </w:p>
        </w:tc>
        <w:tc>
          <w:tcPr>
            <w:tcW w:w="7597" w:type="dxa"/>
          </w:tcPr>
          <w:p>
            <w:pPr>
              <w:spacing w:before="71" w:line="219" w:lineRule="auto"/>
              <w:ind w:left="112"/>
              <w:rPr>
                <w:rFonts w:ascii="宋体" w:hAnsi="宋体" w:cs="宋体"/>
                <w:sz w:val="18"/>
                <w:szCs w:val="18"/>
              </w:rPr>
            </w:pPr>
            <w:r>
              <w:rPr>
                <w:rFonts w:ascii="宋体" w:hAnsi="宋体" w:cs="宋体"/>
                <w:spacing w:val="-2"/>
                <w:sz w:val="18"/>
                <w:szCs w:val="18"/>
              </w:rPr>
              <w:t>a) 通过</w:t>
            </w:r>
            <w:r>
              <w:rPr>
                <w:rFonts w:ascii="宋体" w:hAnsi="宋体" w:cs="宋体"/>
                <w:spacing w:val="-28"/>
                <w:sz w:val="18"/>
                <w:szCs w:val="18"/>
              </w:rPr>
              <w:t xml:space="preserve"> </w:t>
            </w:r>
            <w:r>
              <w:rPr>
                <w:rFonts w:ascii="宋体" w:hAnsi="宋体" w:cs="宋体"/>
                <w:spacing w:val="-2"/>
                <w:sz w:val="18"/>
                <w:szCs w:val="18"/>
              </w:rPr>
              <w:t>BIM</w:t>
            </w:r>
            <w:r>
              <w:rPr>
                <w:rFonts w:ascii="宋体" w:hAnsi="宋体" w:cs="宋体"/>
                <w:spacing w:val="-37"/>
                <w:sz w:val="18"/>
                <w:szCs w:val="18"/>
              </w:rPr>
              <w:t xml:space="preserve"> </w:t>
            </w:r>
            <w:r>
              <w:rPr>
                <w:rFonts w:ascii="宋体" w:hAnsi="宋体" w:cs="宋体"/>
                <w:spacing w:val="-2"/>
                <w:sz w:val="18"/>
                <w:szCs w:val="18"/>
              </w:rPr>
              <w:t>模型实时显示监测结果（2</w:t>
            </w:r>
            <w:r>
              <w:rPr>
                <w:rFonts w:ascii="宋体" w:hAnsi="宋体" w:cs="宋体"/>
                <w:spacing w:val="-37"/>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vMerge w:val="continue"/>
            <w:tcBorders>
              <w:top w:val="nil"/>
              <w:bottom w:val="nil"/>
            </w:tcBorders>
          </w:tcPr>
          <w:p>
            <w:pPr>
              <w:rPr>
                <w:rFonts w:ascii="Arial"/>
              </w:rPr>
            </w:pPr>
          </w:p>
        </w:tc>
        <w:tc>
          <w:tcPr>
            <w:tcW w:w="7597" w:type="dxa"/>
          </w:tcPr>
          <w:p>
            <w:pPr>
              <w:spacing w:before="73" w:line="219" w:lineRule="auto"/>
              <w:ind w:left="108"/>
              <w:rPr>
                <w:rFonts w:ascii="宋体" w:hAnsi="宋体" w:cs="宋体"/>
                <w:sz w:val="18"/>
                <w:szCs w:val="18"/>
              </w:rPr>
            </w:pPr>
            <w:r>
              <w:rPr>
                <w:rFonts w:ascii="宋体" w:hAnsi="宋体" w:cs="宋体"/>
                <w:spacing w:val="-1"/>
                <w:sz w:val="18"/>
                <w:szCs w:val="18"/>
              </w:rPr>
              <w:t>b) 监测数据实现点组、剖面及趋势分析（1</w:t>
            </w:r>
            <w:r>
              <w:rPr>
                <w:rFonts w:ascii="宋体" w:hAnsi="宋体" w:cs="宋体"/>
                <w:spacing w:val="-29"/>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1</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vMerge w:val="continue"/>
            <w:tcBorders>
              <w:top w:val="nil"/>
            </w:tcBorders>
          </w:tcPr>
          <w:p>
            <w:pPr>
              <w:rPr>
                <w:rFonts w:ascii="Arial"/>
              </w:rPr>
            </w:pPr>
          </w:p>
        </w:tc>
        <w:tc>
          <w:tcPr>
            <w:tcW w:w="7597" w:type="dxa"/>
          </w:tcPr>
          <w:p>
            <w:pPr>
              <w:spacing w:before="72" w:line="219" w:lineRule="auto"/>
              <w:ind w:left="115"/>
              <w:rPr>
                <w:rFonts w:ascii="宋体" w:hAnsi="宋体" w:cs="宋体"/>
                <w:sz w:val="18"/>
                <w:szCs w:val="18"/>
              </w:rPr>
            </w:pPr>
            <w:r>
              <w:rPr>
                <w:rFonts w:ascii="宋体" w:hAnsi="宋体" w:cs="宋体"/>
                <w:spacing w:val="-2"/>
                <w:sz w:val="18"/>
                <w:szCs w:val="18"/>
              </w:rPr>
              <w:t>c) 监测自动化率超过</w:t>
            </w:r>
            <w:r>
              <w:rPr>
                <w:rFonts w:ascii="宋体" w:hAnsi="宋体" w:cs="宋体"/>
                <w:spacing w:val="-32"/>
                <w:sz w:val="18"/>
                <w:szCs w:val="18"/>
              </w:rPr>
              <w:t xml:space="preserve"> </w:t>
            </w:r>
            <w:r>
              <w:rPr>
                <w:rFonts w:ascii="宋体" w:hAnsi="宋体" w:cs="宋体"/>
                <w:spacing w:val="-2"/>
                <w:sz w:val="18"/>
                <w:szCs w:val="18"/>
              </w:rPr>
              <w:t>50%（2</w:t>
            </w:r>
            <w:r>
              <w:rPr>
                <w:rFonts w:ascii="宋体" w:hAnsi="宋体" w:cs="宋体"/>
                <w:spacing w:val="-34"/>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1223" w:type="dxa"/>
            <w:vMerge w:val="continue"/>
            <w:tcBorders>
              <w:top w:val="nil"/>
            </w:tcBorders>
          </w:tcPr>
          <w:p>
            <w:pPr>
              <w:rPr>
                <w:rFonts w:ascii="Arial"/>
              </w:rPr>
            </w:pPr>
          </w:p>
        </w:tc>
        <w:tc>
          <w:tcPr>
            <w:tcW w:w="677" w:type="dxa"/>
          </w:tcPr>
          <w:p>
            <w:pPr>
              <w:spacing w:before="101" w:line="183" w:lineRule="auto"/>
              <w:ind w:left="298"/>
              <w:rPr>
                <w:rFonts w:ascii="宋体" w:hAnsi="宋体" w:cs="宋体"/>
                <w:sz w:val="18"/>
                <w:szCs w:val="18"/>
              </w:rPr>
            </w:pPr>
            <w:r>
              <w:rPr>
                <w:rFonts w:ascii="宋体" w:hAnsi="宋体" w:cs="宋体"/>
                <w:sz w:val="18"/>
                <w:szCs w:val="18"/>
              </w:rPr>
              <w:t>2</w:t>
            </w:r>
          </w:p>
        </w:tc>
        <w:tc>
          <w:tcPr>
            <w:tcW w:w="7597" w:type="dxa"/>
          </w:tcPr>
          <w:p>
            <w:pPr>
              <w:spacing w:before="74" w:line="219" w:lineRule="auto"/>
              <w:ind w:left="111"/>
              <w:rPr>
                <w:rFonts w:ascii="宋体" w:hAnsi="宋体" w:cs="宋体"/>
                <w:sz w:val="18"/>
                <w:szCs w:val="18"/>
              </w:rPr>
            </w:pPr>
            <w:r>
              <w:rPr>
                <w:rFonts w:ascii="宋体" w:hAnsi="宋体" w:cs="宋体"/>
                <w:spacing w:val="-2"/>
                <w:sz w:val="18"/>
                <w:szCs w:val="18"/>
              </w:rPr>
              <w:t>边坡监测：</w:t>
            </w:r>
          </w:p>
        </w:tc>
        <w:tc>
          <w:tcPr>
            <w:tcW w:w="991" w:type="dxa"/>
            <w:vMerge w:val="continue"/>
            <w:tcBorders>
              <w:top w:val="nil"/>
            </w:tcBorders>
          </w:tcPr>
          <w:p>
            <w:pPr>
              <w:rPr>
                <w:rFonts w:ascii="Arial"/>
              </w:rPr>
            </w:pPr>
          </w:p>
        </w:tc>
        <w:tc>
          <w:tcPr>
            <w:tcW w:w="807" w:type="dxa"/>
          </w:tcPr>
          <w:p>
            <w:pPr>
              <w:spacing w:before="41" w:line="208" w:lineRule="auto"/>
              <w:ind w:left="115"/>
              <w:jc w:val="center"/>
              <w:rPr>
                <w:rFonts w:ascii="宋体" w:hAnsi="宋体" w:cs="宋体"/>
                <w:sz w:val="24"/>
                <w:szCs w:val="24"/>
              </w:rPr>
            </w:pPr>
            <w:r>
              <w:rPr>
                <w:rFonts w:ascii="宋体" w:hAnsi="宋体" w:cs="宋体"/>
                <w:sz w:val="24"/>
                <w:szCs w:val="24"/>
              </w:rPr>
              <w:t>/</w:t>
            </w:r>
          </w:p>
        </w:tc>
        <w:tc>
          <w:tcPr>
            <w:tcW w:w="996" w:type="dxa"/>
            <w:vMerge w:val="continue"/>
            <w:tcBorders>
              <w:top w:val="nil"/>
            </w:tcBorders>
          </w:tcPr>
          <w:p>
            <w:pPr>
              <w:rPr>
                <w:rFonts w:ascii="Arial"/>
              </w:rPr>
            </w:pPr>
          </w:p>
        </w:tc>
        <w:tc>
          <w:tcPr>
            <w:tcW w:w="682" w:type="dxa"/>
            <w:vMerge w:val="continue"/>
            <w:tcBorders>
              <w:top w:val="nil"/>
            </w:tcBorders>
          </w:tcPr>
          <w:p>
            <w:pPr>
              <w:rPr>
                <w:rFonts w:ascii="Arial"/>
              </w:rPr>
            </w:pPr>
          </w:p>
        </w:tc>
      </w:tr>
    </w:tbl>
    <w:p>
      <w:pPr>
        <w:spacing w:before="46"/>
      </w:pPr>
    </w:p>
    <w:tbl>
      <w:tblPr>
        <w:tblStyle w:val="16"/>
        <w:tblW w:w="0" w:type="auto"/>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23"/>
        <w:gridCol w:w="677"/>
        <w:gridCol w:w="7597"/>
        <w:gridCol w:w="991"/>
        <w:gridCol w:w="807"/>
        <w:gridCol w:w="996"/>
        <w:gridCol w:w="68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1223" w:type="dxa"/>
          </w:tcPr>
          <w:p>
            <w:pPr>
              <w:spacing w:before="154" w:line="219" w:lineRule="auto"/>
              <w:ind w:left="255"/>
              <w:rPr>
                <w:rFonts w:ascii="宋体" w:hAnsi="宋体" w:cs="宋体"/>
                <w:sz w:val="18"/>
                <w:szCs w:val="18"/>
              </w:rPr>
            </w:pPr>
            <w:r>
              <w:rPr>
                <w:rFonts w:ascii="宋体" w:hAnsi="宋体" w:cs="宋体"/>
                <w:spacing w:val="-2"/>
                <w:sz w:val="18"/>
                <w:szCs w:val="18"/>
              </w:rPr>
              <w:t>指标要素</w:t>
            </w:r>
          </w:p>
        </w:tc>
        <w:tc>
          <w:tcPr>
            <w:tcW w:w="677" w:type="dxa"/>
          </w:tcPr>
          <w:p>
            <w:pPr>
              <w:spacing w:before="154" w:line="220" w:lineRule="auto"/>
              <w:ind w:left="159"/>
              <w:rPr>
                <w:rFonts w:ascii="宋体" w:hAnsi="宋体" w:cs="宋体"/>
                <w:sz w:val="18"/>
                <w:szCs w:val="18"/>
              </w:rPr>
            </w:pPr>
            <w:r>
              <w:rPr>
                <w:rFonts w:ascii="宋体" w:hAnsi="宋体" w:cs="宋体"/>
                <w:spacing w:val="-4"/>
                <w:sz w:val="18"/>
                <w:szCs w:val="18"/>
              </w:rPr>
              <w:t>序号</w:t>
            </w:r>
          </w:p>
        </w:tc>
        <w:tc>
          <w:tcPr>
            <w:tcW w:w="7597" w:type="dxa"/>
          </w:tcPr>
          <w:p>
            <w:pPr>
              <w:spacing w:before="154" w:line="219" w:lineRule="auto"/>
              <w:ind w:left="3442"/>
              <w:rPr>
                <w:rFonts w:ascii="宋体" w:hAnsi="宋体" w:cs="宋体"/>
                <w:sz w:val="18"/>
                <w:szCs w:val="18"/>
              </w:rPr>
            </w:pPr>
            <w:r>
              <w:rPr>
                <w:rFonts w:ascii="宋体" w:hAnsi="宋体" w:cs="宋体"/>
                <w:spacing w:val="-1"/>
                <w:sz w:val="18"/>
                <w:szCs w:val="18"/>
              </w:rPr>
              <w:t>评分内容</w:t>
            </w:r>
          </w:p>
        </w:tc>
        <w:tc>
          <w:tcPr>
            <w:tcW w:w="991" w:type="dxa"/>
          </w:tcPr>
          <w:p>
            <w:pPr>
              <w:spacing w:before="155" w:line="217" w:lineRule="auto"/>
              <w:ind w:left="139"/>
              <w:rPr>
                <w:rFonts w:ascii="宋体" w:hAnsi="宋体" w:cs="宋体"/>
                <w:sz w:val="18"/>
                <w:szCs w:val="18"/>
              </w:rPr>
            </w:pPr>
            <w:r>
              <w:rPr>
                <w:rFonts w:ascii="宋体" w:hAnsi="宋体" w:cs="宋体"/>
                <w:spacing w:val="-1"/>
                <w:sz w:val="18"/>
                <w:szCs w:val="18"/>
              </w:rPr>
              <w:t>评价分值</w:t>
            </w:r>
          </w:p>
        </w:tc>
        <w:tc>
          <w:tcPr>
            <w:tcW w:w="807" w:type="dxa"/>
          </w:tcPr>
          <w:p>
            <w:pPr>
              <w:spacing w:before="155" w:line="219" w:lineRule="auto"/>
              <w:ind w:left="173"/>
              <w:rPr>
                <w:rFonts w:ascii="宋体" w:hAnsi="宋体" w:cs="宋体"/>
                <w:sz w:val="18"/>
                <w:szCs w:val="18"/>
              </w:rPr>
            </w:pPr>
            <w:r>
              <w:rPr>
                <w:rFonts w:ascii="宋体" w:hAnsi="宋体" w:cs="宋体"/>
                <w:spacing w:val="-14"/>
                <w:sz w:val="18"/>
                <w:szCs w:val="18"/>
              </w:rPr>
              <w:t>自评分</w:t>
            </w:r>
          </w:p>
        </w:tc>
        <w:tc>
          <w:tcPr>
            <w:tcW w:w="996" w:type="dxa"/>
          </w:tcPr>
          <w:p>
            <w:pPr>
              <w:spacing w:before="155" w:line="219" w:lineRule="auto"/>
              <w:ind w:left="180"/>
              <w:rPr>
                <w:rFonts w:ascii="宋体" w:hAnsi="宋体" w:cs="宋体"/>
                <w:sz w:val="18"/>
                <w:szCs w:val="18"/>
              </w:rPr>
            </w:pPr>
            <w:r>
              <w:rPr>
                <w:rFonts w:ascii="宋体" w:hAnsi="宋体" w:cs="宋体"/>
                <w:spacing w:val="-10"/>
                <w:sz w:val="18"/>
                <w:szCs w:val="18"/>
              </w:rPr>
              <w:t>自评总分</w:t>
            </w:r>
          </w:p>
        </w:tc>
        <w:tc>
          <w:tcPr>
            <w:tcW w:w="682" w:type="dxa"/>
          </w:tcPr>
          <w:p>
            <w:pPr>
              <w:spacing w:before="154" w:line="220" w:lineRule="auto"/>
              <w:ind w:left="166"/>
              <w:rPr>
                <w:rFonts w:ascii="宋体" w:hAnsi="宋体" w:cs="宋体"/>
                <w:sz w:val="18"/>
                <w:szCs w:val="18"/>
              </w:rPr>
            </w:pPr>
            <w:r>
              <w:rPr>
                <w:rFonts w:ascii="宋体" w:hAnsi="宋体" w:cs="宋体"/>
                <w:spacing w:val="-5"/>
                <w:sz w:val="18"/>
                <w:szCs w:val="18"/>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restart"/>
            <w:tcBorders>
              <w:bottom w:val="nil"/>
            </w:tcBorders>
          </w:tcPr>
          <w:p>
            <w:pPr>
              <w:rPr>
                <w:rFonts w:ascii="Arial"/>
              </w:rPr>
            </w:pPr>
          </w:p>
        </w:tc>
        <w:tc>
          <w:tcPr>
            <w:tcW w:w="677" w:type="dxa"/>
            <w:vMerge w:val="restart"/>
            <w:tcBorders>
              <w:bottom w:val="nil"/>
            </w:tcBorders>
          </w:tcPr>
          <w:p>
            <w:pPr>
              <w:rPr>
                <w:rFonts w:ascii="Arial"/>
              </w:rPr>
            </w:pPr>
          </w:p>
        </w:tc>
        <w:tc>
          <w:tcPr>
            <w:tcW w:w="7597" w:type="dxa"/>
          </w:tcPr>
          <w:p>
            <w:pPr>
              <w:spacing w:before="68" w:line="219" w:lineRule="auto"/>
              <w:ind w:left="112"/>
              <w:rPr>
                <w:rFonts w:ascii="宋体" w:hAnsi="宋体" w:cs="宋体"/>
                <w:sz w:val="18"/>
                <w:szCs w:val="18"/>
              </w:rPr>
            </w:pPr>
            <w:r>
              <w:rPr>
                <w:rFonts w:ascii="宋体" w:hAnsi="宋体" w:cs="宋体"/>
                <w:spacing w:val="-2"/>
                <w:sz w:val="18"/>
                <w:szCs w:val="18"/>
              </w:rPr>
              <w:t>a) 通过</w:t>
            </w:r>
            <w:r>
              <w:rPr>
                <w:rFonts w:ascii="宋体" w:hAnsi="宋体" w:cs="宋体"/>
                <w:spacing w:val="-28"/>
                <w:sz w:val="18"/>
                <w:szCs w:val="18"/>
              </w:rPr>
              <w:t xml:space="preserve"> </w:t>
            </w:r>
            <w:r>
              <w:rPr>
                <w:rFonts w:ascii="宋体" w:hAnsi="宋体" w:cs="宋体"/>
                <w:spacing w:val="-2"/>
                <w:sz w:val="18"/>
                <w:szCs w:val="18"/>
              </w:rPr>
              <w:t>BIM</w:t>
            </w:r>
            <w:r>
              <w:rPr>
                <w:rFonts w:ascii="宋体" w:hAnsi="宋体" w:cs="宋体"/>
                <w:spacing w:val="-37"/>
                <w:sz w:val="18"/>
                <w:szCs w:val="18"/>
              </w:rPr>
              <w:t xml:space="preserve"> </w:t>
            </w:r>
            <w:r>
              <w:rPr>
                <w:rFonts w:ascii="宋体" w:hAnsi="宋体" w:cs="宋体"/>
                <w:spacing w:val="-2"/>
                <w:sz w:val="18"/>
                <w:szCs w:val="18"/>
              </w:rPr>
              <w:t>模型实时显示监测结果（2</w:t>
            </w:r>
            <w:r>
              <w:rPr>
                <w:rFonts w:ascii="宋体" w:hAnsi="宋体" w:cs="宋体"/>
                <w:spacing w:val="-37"/>
                <w:sz w:val="18"/>
                <w:szCs w:val="18"/>
              </w:rPr>
              <w:t xml:space="preserve"> </w:t>
            </w:r>
            <w:r>
              <w:rPr>
                <w:rFonts w:ascii="宋体" w:hAnsi="宋体" w:cs="宋体"/>
                <w:spacing w:val="-2"/>
                <w:sz w:val="18"/>
                <w:szCs w:val="18"/>
              </w:rPr>
              <w:t>分）</w:t>
            </w:r>
          </w:p>
        </w:tc>
        <w:tc>
          <w:tcPr>
            <w:tcW w:w="991" w:type="dxa"/>
            <w:vMerge w:val="restart"/>
            <w:tcBorders>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restart"/>
            <w:tcBorders>
              <w:bottom w:val="nil"/>
            </w:tcBorders>
          </w:tcPr>
          <w:p>
            <w:pPr>
              <w:rPr>
                <w:rFonts w:ascii="Arial"/>
              </w:rPr>
            </w:pPr>
          </w:p>
        </w:tc>
        <w:tc>
          <w:tcPr>
            <w:tcW w:w="682" w:type="dxa"/>
            <w:vMerge w:val="restart"/>
            <w:tcBorders>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vMerge w:val="continue"/>
            <w:tcBorders>
              <w:top w:val="nil"/>
              <w:bottom w:val="nil"/>
            </w:tcBorders>
          </w:tcPr>
          <w:p>
            <w:pPr>
              <w:rPr>
                <w:rFonts w:ascii="Arial"/>
              </w:rPr>
            </w:pPr>
          </w:p>
        </w:tc>
        <w:tc>
          <w:tcPr>
            <w:tcW w:w="7597" w:type="dxa"/>
          </w:tcPr>
          <w:p>
            <w:pPr>
              <w:spacing w:before="67" w:line="219" w:lineRule="auto"/>
              <w:ind w:left="108"/>
              <w:rPr>
                <w:rFonts w:ascii="宋体" w:hAnsi="宋体" w:cs="宋体"/>
                <w:sz w:val="18"/>
                <w:szCs w:val="18"/>
              </w:rPr>
            </w:pPr>
            <w:r>
              <w:rPr>
                <w:rFonts w:ascii="宋体" w:hAnsi="宋体" w:cs="宋体"/>
                <w:spacing w:val="-1"/>
                <w:sz w:val="18"/>
                <w:szCs w:val="18"/>
              </w:rPr>
              <w:t>b) 监测数据实现点组、剖面及趋势分析（1</w:t>
            </w:r>
            <w:r>
              <w:rPr>
                <w:rFonts w:ascii="宋体" w:hAnsi="宋体" w:cs="宋体"/>
                <w:spacing w:val="-29"/>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1</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tcBorders>
          </w:tcPr>
          <w:p>
            <w:pPr>
              <w:rPr>
                <w:rFonts w:ascii="Arial"/>
              </w:rPr>
            </w:pPr>
          </w:p>
        </w:tc>
        <w:tc>
          <w:tcPr>
            <w:tcW w:w="677" w:type="dxa"/>
            <w:vMerge w:val="continue"/>
            <w:tcBorders>
              <w:top w:val="nil"/>
            </w:tcBorders>
          </w:tcPr>
          <w:p>
            <w:pPr>
              <w:rPr>
                <w:rFonts w:ascii="Arial"/>
              </w:rPr>
            </w:pPr>
          </w:p>
        </w:tc>
        <w:tc>
          <w:tcPr>
            <w:tcW w:w="7597" w:type="dxa"/>
          </w:tcPr>
          <w:p>
            <w:pPr>
              <w:spacing w:before="69" w:line="219" w:lineRule="auto"/>
              <w:ind w:left="115"/>
              <w:rPr>
                <w:rFonts w:ascii="宋体" w:hAnsi="宋体" w:cs="宋体"/>
                <w:sz w:val="18"/>
                <w:szCs w:val="18"/>
              </w:rPr>
            </w:pPr>
            <w:r>
              <w:rPr>
                <w:rFonts w:ascii="宋体" w:hAnsi="宋体" w:cs="宋体"/>
                <w:spacing w:val="-2"/>
                <w:sz w:val="18"/>
                <w:szCs w:val="18"/>
              </w:rPr>
              <w:t>c) 监测自动化率超过</w:t>
            </w:r>
            <w:r>
              <w:rPr>
                <w:rFonts w:ascii="宋体" w:hAnsi="宋体" w:cs="宋体"/>
                <w:spacing w:val="-32"/>
                <w:sz w:val="18"/>
                <w:szCs w:val="18"/>
              </w:rPr>
              <w:t xml:space="preserve"> </w:t>
            </w:r>
            <w:r>
              <w:rPr>
                <w:rFonts w:ascii="宋体" w:hAnsi="宋体" w:cs="宋体"/>
                <w:spacing w:val="-2"/>
                <w:sz w:val="18"/>
                <w:szCs w:val="18"/>
              </w:rPr>
              <w:t>50%（2</w:t>
            </w:r>
            <w:r>
              <w:rPr>
                <w:rFonts w:ascii="宋体" w:hAnsi="宋体" w:cs="宋体"/>
                <w:spacing w:val="-34"/>
                <w:sz w:val="18"/>
                <w:szCs w:val="18"/>
              </w:rPr>
              <w:t xml:space="preserve"> </w:t>
            </w:r>
            <w:r>
              <w:rPr>
                <w:rFonts w:ascii="宋体" w:hAnsi="宋体" w:cs="宋体"/>
                <w:spacing w:val="-2"/>
                <w:sz w:val="18"/>
                <w:szCs w:val="18"/>
              </w:rPr>
              <w:t>分）</w:t>
            </w:r>
          </w:p>
        </w:tc>
        <w:tc>
          <w:tcPr>
            <w:tcW w:w="991" w:type="dxa"/>
            <w:vMerge w:val="continue"/>
            <w:tcBorders>
              <w:top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tcBorders>
          </w:tcPr>
          <w:p>
            <w:pPr>
              <w:rPr>
                <w:rFonts w:ascii="Arial"/>
              </w:rPr>
            </w:pPr>
          </w:p>
        </w:tc>
        <w:tc>
          <w:tcPr>
            <w:tcW w:w="682" w:type="dxa"/>
            <w:vMerge w:val="continue"/>
            <w:tcBorders>
              <w:top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trPr>
        <w:tc>
          <w:tcPr>
            <w:tcW w:w="1223" w:type="dxa"/>
            <w:vMerge w:val="restart"/>
            <w:tcBorders>
              <w:bottom w:val="nil"/>
            </w:tcBorders>
          </w:tcPr>
          <w:p>
            <w:pPr>
              <w:spacing w:line="256" w:lineRule="auto"/>
              <w:rPr>
                <w:rFonts w:ascii="Arial"/>
              </w:rPr>
            </w:pPr>
          </w:p>
          <w:p>
            <w:pPr>
              <w:spacing w:line="257" w:lineRule="auto"/>
              <w:rPr>
                <w:rFonts w:ascii="Arial"/>
              </w:rPr>
            </w:pPr>
          </w:p>
          <w:p>
            <w:pPr>
              <w:spacing w:line="257" w:lineRule="auto"/>
              <w:rPr>
                <w:rFonts w:ascii="Arial"/>
              </w:rPr>
            </w:pPr>
          </w:p>
          <w:p>
            <w:pPr>
              <w:spacing w:line="257" w:lineRule="auto"/>
              <w:rPr>
                <w:rFonts w:ascii="Arial"/>
              </w:rPr>
            </w:pPr>
          </w:p>
          <w:p>
            <w:pPr>
              <w:spacing w:line="257" w:lineRule="auto"/>
              <w:rPr>
                <w:rFonts w:ascii="Arial"/>
              </w:rPr>
            </w:pPr>
          </w:p>
          <w:p>
            <w:pPr>
              <w:spacing w:line="257" w:lineRule="auto"/>
              <w:rPr>
                <w:rFonts w:ascii="Arial"/>
              </w:rPr>
            </w:pPr>
          </w:p>
          <w:p>
            <w:pPr>
              <w:spacing w:line="257" w:lineRule="auto"/>
              <w:rPr>
                <w:rFonts w:ascii="Arial"/>
              </w:rPr>
            </w:pPr>
          </w:p>
          <w:p>
            <w:pPr>
              <w:spacing w:line="257" w:lineRule="auto"/>
              <w:rPr>
                <w:rFonts w:ascii="Arial"/>
              </w:rPr>
            </w:pPr>
          </w:p>
          <w:p>
            <w:pPr>
              <w:spacing w:line="257" w:lineRule="auto"/>
              <w:rPr>
                <w:rFonts w:ascii="Arial"/>
              </w:rPr>
            </w:pPr>
          </w:p>
          <w:p>
            <w:pPr>
              <w:spacing w:line="257" w:lineRule="auto"/>
              <w:rPr>
                <w:rFonts w:ascii="Arial"/>
              </w:rPr>
            </w:pPr>
          </w:p>
          <w:p>
            <w:pPr>
              <w:spacing w:before="58" w:line="219" w:lineRule="auto"/>
              <w:ind w:left="258"/>
              <w:rPr>
                <w:rFonts w:ascii="宋体" w:hAnsi="宋体" w:cs="宋体"/>
                <w:sz w:val="18"/>
                <w:szCs w:val="18"/>
              </w:rPr>
            </w:pPr>
            <w:r>
              <w:rPr>
                <w:rFonts w:ascii="宋体" w:hAnsi="宋体" w:cs="宋体"/>
                <w:spacing w:val="-3"/>
                <w:sz w:val="18"/>
                <w:szCs w:val="18"/>
              </w:rPr>
              <w:t>安全管理</w:t>
            </w:r>
          </w:p>
        </w:tc>
        <w:tc>
          <w:tcPr>
            <w:tcW w:w="677" w:type="dxa"/>
          </w:tcPr>
          <w:p>
            <w:pPr>
              <w:spacing w:before="253" w:line="184" w:lineRule="auto"/>
              <w:ind w:left="310"/>
              <w:rPr>
                <w:rFonts w:ascii="宋体" w:hAnsi="宋体" w:cs="宋体"/>
                <w:sz w:val="18"/>
                <w:szCs w:val="18"/>
              </w:rPr>
            </w:pPr>
            <w:r>
              <w:rPr>
                <w:rFonts w:ascii="宋体" w:hAnsi="宋体" w:cs="宋体"/>
                <w:sz w:val="18"/>
                <w:szCs w:val="18"/>
              </w:rPr>
              <w:t>1</w:t>
            </w:r>
          </w:p>
        </w:tc>
        <w:tc>
          <w:tcPr>
            <w:tcW w:w="7597" w:type="dxa"/>
          </w:tcPr>
          <w:p>
            <w:pPr>
              <w:spacing w:before="68" w:line="272" w:lineRule="auto"/>
              <w:ind w:left="111" w:right="132"/>
              <w:rPr>
                <w:rFonts w:ascii="宋体" w:hAnsi="宋体" w:cs="宋体"/>
                <w:sz w:val="18"/>
                <w:szCs w:val="18"/>
              </w:rPr>
            </w:pPr>
            <w:r>
              <w:rPr>
                <w:rFonts w:ascii="宋体" w:hAnsi="宋体" w:cs="宋体"/>
                <w:spacing w:val="-1"/>
                <w:sz w:val="18"/>
                <w:szCs w:val="18"/>
              </w:rPr>
              <w:t>通过视频监控、移动终端进行安全检查信息记录、问题取证、发起问题整改、预警信息推送、</w:t>
            </w:r>
            <w:r>
              <w:rPr>
                <w:rFonts w:ascii="宋体" w:hAnsi="宋体" w:cs="宋体"/>
                <w:spacing w:val="8"/>
                <w:sz w:val="18"/>
                <w:szCs w:val="18"/>
              </w:rPr>
              <w:t xml:space="preserve"> </w:t>
            </w:r>
            <w:r>
              <w:rPr>
                <w:rFonts w:ascii="宋体" w:hAnsi="宋体" w:cs="宋体"/>
                <w:spacing w:val="-2"/>
                <w:sz w:val="18"/>
                <w:szCs w:val="18"/>
              </w:rPr>
              <w:t>远程即时通信（2</w:t>
            </w:r>
            <w:r>
              <w:rPr>
                <w:rFonts w:ascii="宋体" w:hAnsi="宋体" w:cs="宋体"/>
                <w:spacing w:val="-33"/>
                <w:sz w:val="18"/>
                <w:szCs w:val="18"/>
              </w:rPr>
              <w:t xml:space="preserve"> </w:t>
            </w:r>
            <w:r>
              <w:rPr>
                <w:rFonts w:ascii="宋体" w:hAnsi="宋体" w:cs="宋体"/>
                <w:spacing w:val="-2"/>
                <w:sz w:val="18"/>
                <w:szCs w:val="18"/>
              </w:rPr>
              <w:t>分）</w:t>
            </w:r>
          </w:p>
        </w:tc>
        <w:tc>
          <w:tcPr>
            <w:tcW w:w="991" w:type="dxa"/>
            <w:vMerge w:val="restart"/>
            <w:tcBorders>
              <w:bottom w:val="nil"/>
            </w:tcBorders>
          </w:tcPr>
          <w:p>
            <w:pPr>
              <w:spacing w:line="259" w:lineRule="auto"/>
              <w:rPr>
                <w:rFonts w:ascii="Arial"/>
              </w:rPr>
            </w:pPr>
          </w:p>
          <w:p>
            <w:pPr>
              <w:spacing w:line="259" w:lineRule="auto"/>
              <w:rPr>
                <w:rFonts w:ascii="Arial"/>
              </w:rPr>
            </w:pPr>
          </w:p>
          <w:p>
            <w:pPr>
              <w:spacing w:line="259" w:lineRule="auto"/>
              <w:rPr>
                <w:rFonts w:ascii="Arial"/>
              </w:rPr>
            </w:pPr>
          </w:p>
          <w:p>
            <w:pPr>
              <w:spacing w:line="260" w:lineRule="auto"/>
              <w:rPr>
                <w:rFonts w:ascii="Arial"/>
              </w:rPr>
            </w:pPr>
          </w:p>
          <w:p>
            <w:pPr>
              <w:spacing w:line="260" w:lineRule="auto"/>
              <w:rPr>
                <w:rFonts w:ascii="Arial"/>
              </w:rPr>
            </w:pPr>
          </w:p>
          <w:p>
            <w:pPr>
              <w:spacing w:line="260" w:lineRule="auto"/>
              <w:rPr>
                <w:rFonts w:ascii="Arial"/>
              </w:rPr>
            </w:pPr>
          </w:p>
          <w:p>
            <w:pPr>
              <w:spacing w:line="260" w:lineRule="auto"/>
              <w:rPr>
                <w:rFonts w:ascii="Arial"/>
              </w:rPr>
            </w:pPr>
          </w:p>
          <w:p>
            <w:pPr>
              <w:spacing w:line="260" w:lineRule="auto"/>
              <w:rPr>
                <w:rFonts w:ascii="Arial"/>
              </w:rPr>
            </w:pPr>
          </w:p>
          <w:p>
            <w:pPr>
              <w:spacing w:line="260" w:lineRule="auto"/>
              <w:rPr>
                <w:rFonts w:ascii="Arial"/>
              </w:rPr>
            </w:pPr>
          </w:p>
          <w:p>
            <w:pPr>
              <w:spacing w:line="260" w:lineRule="auto"/>
              <w:rPr>
                <w:rFonts w:ascii="Arial"/>
              </w:rPr>
            </w:pPr>
          </w:p>
          <w:p>
            <w:pPr>
              <w:spacing w:before="58" w:line="183" w:lineRule="auto"/>
              <w:ind w:left="455"/>
              <w:rPr>
                <w:rFonts w:ascii="宋体" w:hAnsi="宋体" w:cs="宋体"/>
                <w:sz w:val="18"/>
                <w:szCs w:val="18"/>
              </w:rPr>
            </w:pPr>
            <w:r>
              <w:rPr>
                <w:rFonts w:ascii="宋体" w:hAnsi="宋体" w:cs="宋体"/>
                <w:sz w:val="18"/>
                <w:szCs w:val="18"/>
              </w:rPr>
              <w:t>9</w:t>
            </w:r>
          </w:p>
        </w:tc>
        <w:tc>
          <w:tcPr>
            <w:tcW w:w="807" w:type="dxa"/>
          </w:tcPr>
          <w:p>
            <w:pPr>
              <w:jc w:val="center"/>
              <w:rPr>
                <w:rFonts w:ascii="Arial"/>
              </w:rPr>
            </w:pPr>
            <w:r>
              <w:rPr>
                <w:rFonts w:hint="eastAsia" w:ascii="Arial"/>
              </w:rPr>
              <w:t>2</w:t>
            </w:r>
          </w:p>
        </w:tc>
        <w:tc>
          <w:tcPr>
            <w:tcW w:w="996" w:type="dxa"/>
            <w:vMerge w:val="restart"/>
            <w:tcBorders>
              <w:bottom w:val="nil"/>
            </w:tcBorders>
          </w:tcPr>
          <w:p>
            <w:pPr>
              <w:jc w:val="center"/>
              <w:rPr>
                <w:rFonts w:ascii="Arial"/>
              </w:rPr>
            </w:pPr>
            <w:r>
              <w:rPr>
                <w:rFonts w:hint="eastAsia" w:ascii="Arial"/>
              </w:rPr>
              <w:t>9</w:t>
            </w:r>
          </w:p>
        </w:tc>
        <w:tc>
          <w:tcPr>
            <w:tcW w:w="682" w:type="dxa"/>
            <w:vMerge w:val="restart"/>
            <w:tcBorders>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trPr>
        <w:tc>
          <w:tcPr>
            <w:tcW w:w="1223" w:type="dxa"/>
            <w:vMerge w:val="continue"/>
            <w:tcBorders>
              <w:top w:val="nil"/>
              <w:bottom w:val="nil"/>
            </w:tcBorders>
          </w:tcPr>
          <w:p>
            <w:pPr>
              <w:rPr>
                <w:rFonts w:ascii="Arial"/>
              </w:rPr>
            </w:pPr>
          </w:p>
        </w:tc>
        <w:tc>
          <w:tcPr>
            <w:tcW w:w="677" w:type="dxa"/>
          </w:tcPr>
          <w:p>
            <w:pPr>
              <w:spacing w:before="254" w:line="183" w:lineRule="auto"/>
              <w:ind w:left="298"/>
              <w:rPr>
                <w:rFonts w:ascii="宋体" w:hAnsi="宋体" w:cs="宋体"/>
                <w:sz w:val="18"/>
                <w:szCs w:val="18"/>
              </w:rPr>
            </w:pPr>
            <w:r>
              <w:rPr>
                <w:rFonts w:ascii="宋体" w:hAnsi="宋体" w:cs="宋体"/>
                <w:sz w:val="18"/>
                <w:szCs w:val="18"/>
              </w:rPr>
              <w:t>2</w:t>
            </w:r>
          </w:p>
        </w:tc>
        <w:tc>
          <w:tcPr>
            <w:tcW w:w="7597" w:type="dxa"/>
          </w:tcPr>
          <w:p>
            <w:pPr>
              <w:spacing w:before="69" w:line="271" w:lineRule="auto"/>
              <w:ind w:left="111" w:right="106" w:firstLine="3"/>
              <w:rPr>
                <w:rFonts w:ascii="宋体" w:hAnsi="宋体" w:cs="宋体"/>
                <w:sz w:val="18"/>
                <w:szCs w:val="18"/>
              </w:rPr>
            </w:pPr>
            <w:r>
              <w:rPr>
                <w:rFonts w:ascii="宋体" w:hAnsi="宋体" w:cs="宋体"/>
                <w:sz w:val="18"/>
                <w:szCs w:val="18"/>
              </w:rPr>
              <w:t>安全管理人员利用有拍照和录像功能的可穿戴设备（智能眼镜、智能</w:t>
            </w:r>
            <w:r>
              <w:rPr>
                <w:rFonts w:ascii="宋体" w:hAnsi="宋体" w:cs="宋体"/>
                <w:spacing w:val="-1"/>
                <w:sz w:val="18"/>
                <w:szCs w:val="18"/>
              </w:rPr>
              <w:t>安全帽、执法仪等）对安</w:t>
            </w:r>
            <w:r>
              <w:rPr>
                <w:rFonts w:ascii="宋体" w:hAnsi="宋体" w:cs="宋体"/>
                <w:sz w:val="18"/>
                <w:szCs w:val="18"/>
              </w:rPr>
              <w:t xml:space="preserve"> </w:t>
            </w:r>
            <w:r>
              <w:rPr>
                <w:rFonts w:ascii="宋体" w:hAnsi="宋体" w:cs="宋体"/>
                <w:spacing w:val="-1"/>
                <w:sz w:val="18"/>
                <w:szCs w:val="18"/>
              </w:rPr>
              <w:t>全巡查进行全过程记录、直播和回放（2</w:t>
            </w:r>
            <w:r>
              <w:rPr>
                <w:rFonts w:ascii="宋体" w:hAnsi="宋体" w:cs="宋体"/>
                <w:spacing w:val="-34"/>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5" w:hRule="atLeast"/>
        </w:trPr>
        <w:tc>
          <w:tcPr>
            <w:tcW w:w="1223" w:type="dxa"/>
            <w:vMerge w:val="continue"/>
            <w:tcBorders>
              <w:top w:val="nil"/>
              <w:bottom w:val="nil"/>
            </w:tcBorders>
          </w:tcPr>
          <w:p>
            <w:pPr>
              <w:rPr>
                <w:rFonts w:ascii="Arial"/>
              </w:rPr>
            </w:pPr>
          </w:p>
        </w:tc>
        <w:tc>
          <w:tcPr>
            <w:tcW w:w="677" w:type="dxa"/>
          </w:tcPr>
          <w:p>
            <w:pPr>
              <w:spacing w:before="256" w:line="183" w:lineRule="auto"/>
              <w:ind w:left="300"/>
              <w:rPr>
                <w:rFonts w:ascii="宋体" w:hAnsi="宋体" w:cs="宋体"/>
                <w:sz w:val="18"/>
                <w:szCs w:val="18"/>
              </w:rPr>
            </w:pPr>
            <w:r>
              <w:rPr>
                <w:rFonts w:ascii="宋体" w:hAnsi="宋体" w:cs="宋体"/>
                <w:sz w:val="18"/>
                <w:szCs w:val="18"/>
              </w:rPr>
              <w:t>3</w:t>
            </w:r>
          </w:p>
        </w:tc>
        <w:tc>
          <w:tcPr>
            <w:tcW w:w="7597" w:type="dxa"/>
          </w:tcPr>
          <w:p>
            <w:pPr>
              <w:spacing w:before="72" w:line="271" w:lineRule="auto"/>
              <w:ind w:left="111" w:right="106"/>
              <w:rPr>
                <w:rFonts w:ascii="宋体" w:hAnsi="宋体" w:cs="宋体"/>
                <w:sz w:val="18"/>
                <w:szCs w:val="18"/>
              </w:rPr>
            </w:pPr>
            <w:r>
              <w:rPr>
                <w:rFonts w:ascii="宋体" w:hAnsi="宋体" w:cs="宋体"/>
                <w:sz w:val="18"/>
                <w:szCs w:val="18"/>
              </w:rPr>
              <w:t>通过安全管理人员的巡查和在安全管理系统操作记录，对安全管理人员履职情</w:t>
            </w:r>
            <w:r>
              <w:rPr>
                <w:rFonts w:ascii="宋体" w:hAnsi="宋体" w:cs="宋体"/>
                <w:spacing w:val="-1"/>
                <w:sz w:val="18"/>
                <w:szCs w:val="18"/>
              </w:rPr>
              <w:t>况进行汇总、统</w:t>
            </w:r>
            <w:r>
              <w:rPr>
                <w:rFonts w:ascii="宋体" w:hAnsi="宋体" w:cs="宋体"/>
                <w:sz w:val="18"/>
                <w:szCs w:val="18"/>
              </w:rPr>
              <w:t xml:space="preserve"> </w:t>
            </w:r>
            <w:r>
              <w:rPr>
                <w:rFonts w:ascii="宋体" w:hAnsi="宋体" w:cs="宋体"/>
                <w:spacing w:val="-2"/>
                <w:sz w:val="18"/>
                <w:szCs w:val="18"/>
              </w:rPr>
              <w:t>计、分析预警（1</w:t>
            </w:r>
            <w:r>
              <w:rPr>
                <w:rFonts w:ascii="宋体" w:hAnsi="宋体" w:cs="宋体"/>
                <w:spacing w:val="-34"/>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1</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trPr>
        <w:tc>
          <w:tcPr>
            <w:tcW w:w="1223" w:type="dxa"/>
            <w:vMerge w:val="continue"/>
            <w:tcBorders>
              <w:top w:val="nil"/>
              <w:bottom w:val="nil"/>
            </w:tcBorders>
          </w:tcPr>
          <w:p>
            <w:pPr>
              <w:rPr>
                <w:rFonts w:ascii="Arial"/>
              </w:rPr>
            </w:pPr>
          </w:p>
        </w:tc>
        <w:tc>
          <w:tcPr>
            <w:tcW w:w="677" w:type="dxa"/>
          </w:tcPr>
          <w:p>
            <w:pPr>
              <w:spacing w:before="256" w:line="183" w:lineRule="auto"/>
              <w:ind w:left="296"/>
              <w:rPr>
                <w:rFonts w:ascii="宋体" w:hAnsi="宋体" w:cs="宋体"/>
                <w:sz w:val="18"/>
                <w:szCs w:val="18"/>
              </w:rPr>
            </w:pPr>
            <w:r>
              <w:rPr>
                <w:rFonts w:ascii="宋体" w:hAnsi="宋体" w:cs="宋体"/>
                <w:sz w:val="18"/>
                <w:szCs w:val="18"/>
              </w:rPr>
              <w:t>4</w:t>
            </w:r>
          </w:p>
        </w:tc>
        <w:tc>
          <w:tcPr>
            <w:tcW w:w="7597" w:type="dxa"/>
          </w:tcPr>
          <w:p>
            <w:pPr>
              <w:spacing w:before="71" w:line="272" w:lineRule="auto"/>
              <w:ind w:left="112" w:right="106" w:hanging="1"/>
              <w:rPr>
                <w:rFonts w:ascii="宋体" w:hAnsi="宋体" w:cs="宋体"/>
                <w:sz w:val="18"/>
                <w:szCs w:val="18"/>
              </w:rPr>
            </w:pPr>
            <w:r>
              <w:rPr>
                <w:rFonts w:ascii="宋体" w:hAnsi="宋体" w:cs="宋体"/>
                <w:sz w:val="18"/>
                <w:szCs w:val="18"/>
              </w:rPr>
              <w:t>通过无人机、移动视频监控设备等对设备的安装、拆卸等关键节点过程进行实</w:t>
            </w:r>
            <w:r>
              <w:rPr>
                <w:rFonts w:ascii="宋体" w:hAnsi="宋体" w:cs="宋体"/>
                <w:spacing w:val="-1"/>
                <w:sz w:val="18"/>
                <w:szCs w:val="18"/>
              </w:rPr>
              <w:t>时监控、记录和</w:t>
            </w:r>
            <w:r>
              <w:rPr>
                <w:rFonts w:ascii="宋体" w:hAnsi="宋体" w:cs="宋体"/>
                <w:sz w:val="18"/>
                <w:szCs w:val="18"/>
              </w:rPr>
              <w:t xml:space="preserve"> </w:t>
            </w:r>
            <w:r>
              <w:rPr>
                <w:rFonts w:ascii="宋体" w:hAnsi="宋体" w:cs="宋体"/>
                <w:spacing w:val="-3"/>
                <w:sz w:val="18"/>
                <w:szCs w:val="18"/>
              </w:rPr>
              <w:t>互动（3</w:t>
            </w:r>
            <w:r>
              <w:rPr>
                <w:rFonts w:ascii="宋体" w:hAnsi="宋体" w:cs="宋体"/>
                <w:spacing w:val="-37"/>
                <w:sz w:val="18"/>
                <w:szCs w:val="18"/>
              </w:rPr>
              <w:t xml:space="preserve"> </w:t>
            </w:r>
            <w:r>
              <w:rPr>
                <w:rFonts w:ascii="宋体" w:hAnsi="宋体" w:cs="宋体"/>
                <w:spacing w:val="-3"/>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3</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101" w:line="182" w:lineRule="auto"/>
              <w:ind w:left="300"/>
              <w:rPr>
                <w:rFonts w:ascii="宋体" w:hAnsi="宋体" w:cs="宋体"/>
                <w:sz w:val="18"/>
                <w:szCs w:val="18"/>
              </w:rPr>
            </w:pPr>
            <w:r>
              <w:rPr>
                <w:rFonts w:ascii="宋体" w:hAnsi="宋体" w:cs="宋体"/>
                <w:sz w:val="18"/>
                <w:szCs w:val="18"/>
              </w:rPr>
              <w:t>5</w:t>
            </w:r>
          </w:p>
        </w:tc>
        <w:tc>
          <w:tcPr>
            <w:tcW w:w="7597" w:type="dxa"/>
          </w:tcPr>
          <w:p>
            <w:pPr>
              <w:spacing w:before="72" w:line="219" w:lineRule="auto"/>
              <w:ind w:left="115"/>
              <w:rPr>
                <w:rFonts w:ascii="宋体" w:hAnsi="宋体" w:cs="宋体"/>
                <w:sz w:val="18"/>
                <w:szCs w:val="18"/>
              </w:rPr>
            </w:pPr>
            <w:r>
              <w:rPr>
                <w:rFonts w:ascii="宋体" w:hAnsi="宋体" w:cs="宋体"/>
                <w:spacing w:val="-1"/>
                <w:sz w:val="18"/>
                <w:szCs w:val="18"/>
              </w:rPr>
              <w:t>具有安全巡检过程中自动识别楼层信息，推送新增楼层检查任务的功能（1</w:t>
            </w:r>
            <w:r>
              <w:rPr>
                <w:rFonts w:ascii="宋体" w:hAnsi="宋体" w:cs="宋体"/>
                <w:spacing w:val="-22"/>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99" w:line="183" w:lineRule="auto"/>
              <w:ind w:left="298"/>
              <w:rPr>
                <w:rFonts w:ascii="宋体" w:hAnsi="宋体" w:cs="宋体"/>
                <w:sz w:val="18"/>
                <w:szCs w:val="18"/>
              </w:rPr>
            </w:pPr>
            <w:r>
              <w:rPr>
                <w:rFonts w:ascii="宋体" w:hAnsi="宋体" w:cs="宋体"/>
                <w:sz w:val="18"/>
                <w:szCs w:val="18"/>
              </w:rPr>
              <w:t>6</w:t>
            </w:r>
          </w:p>
        </w:tc>
        <w:tc>
          <w:tcPr>
            <w:tcW w:w="7597" w:type="dxa"/>
          </w:tcPr>
          <w:p>
            <w:pPr>
              <w:spacing w:before="71" w:line="219" w:lineRule="auto"/>
              <w:ind w:left="111"/>
              <w:rPr>
                <w:rFonts w:ascii="宋体" w:hAnsi="宋体" w:cs="宋体"/>
                <w:sz w:val="18"/>
                <w:szCs w:val="18"/>
              </w:rPr>
            </w:pPr>
            <w:r>
              <w:rPr>
                <w:rFonts w:ascii="宋体" w:hAnsi="宋体" w:cs="宋体"/>
                <w:sz w:val="18"/>
                <w:szCs w:val="18"/>
              </w:rPr>
              <w:t>通过安全检查信息自动生成《广东省建筑施工安全管理</w:t>
            </w:r>
            <w:r>
              <w:rPr>
                <w:rFonts w:ascii="宋体" w:hAnsi="宋体" w:cs="宋体"/>
                <w:spacing w:val="-1"/>
                <w:sz w:val="18"/>
                <w:szCs w:val="18"/>
              </w:rPr>
              <w:t>资料统一用表》等制式表格（2</w:t>
            </w:r>
            <w:r>
              <w:rPr>
                <w:rFonts w:ascii="宋体" w:hAnsi="宋体" w:cs="宋体"/>
                <w:spacing w:val="-37"/>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101" w:line="182" w:lineRule="auto"/>
              <w:ind w:left="301"/>
              <w:rPr>
                <w:rFonts w:ascii="宋体" w:hAnsi="宋体" w:cs="宋体"/>
                <w:sz w:val="18"/>
                <w:szCs w:val="18"/>
              </w:rPr>
            </w:pPr>
            <w:r>
              <w:rPr>
                <w:rFonts w:ascii="宋体" w:hAnsi="宋体" w:cs="宋体"/>
                <w:sz w:val="18"/>
                <w:szCs w:val="18"/>
              </w:rPr>
              <w:t>7</w:t>
            </w:r>
          </w:p>
        </w:tc>
        <w:tc>
          <w:tcPr>
            <w:tcW w:w="7597" w:type="dxa"/>
          </w:tcPr>
          <w:p>
            <w:pPr>
              <w:spacing w:before="72" w:line="218" w:lineRule="auto"/>
              <w:ind w:left="110"/>
              <w:rPr>
                <w:rFonts w:ascii="宋体" w:hAnsi="宋体" w:cs="宋体"/>
                <w:sz w:val="18"/>
                <w:szCs w:val="18"/>
              </w:rPr>
            </w:pPr>
            <w:r>
              <w:rPr>
                <w:rFonts w:ascii="宋体" w:hAnsi="宋体" w:cs="宋体"/>
                <w:sz w:val="18"/>
                <w:szCs w:val="18"/>
              </w:rPr>
              <w:t>购买安责险，风险管理机构按要求开展隐患排查，</w:t>
            </w:r>
            <w:r>
              <w:rPr>
                <w:rFonts w:ascii="宋体" w:hAnsi="宋体" w:cs="宋体"/>
                <w:spacing w:val="-1"/>
                <w:sz w:val="18"/>
                <w:szCs w:val="18"/>
              </w:rPr>
              <w:t>并将结果上传至监管平台（2</w:t>
            </w:r>
            <w:r>
              <w:rPr>
                <w:rFonts w:ascii="宋体" w:hAnsi="宋体" w:cs="宋体"/>
                <w:spacing w:val="-37"/>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vMerge w:val="restart"/>
            <w:tcBorders>
              <w:bottom w:val="nil"/>
            </w:tcBorders>
          </w:tcPr>
          <w:p>
            <w:pPr>
              <w:spacing w:line="365" w:lineRule="auto"/>
              <w:rPr>
                <w:rFonts w:ascii="Arial"/>
              </w:rPr>
            </w:pPr>
          </w:p>
          <w:p>
            <w:pPr>
              <w:spacing w:before="59" w:line="183" w:lineRule="auto"/>
              <w:ind w:left="297"/>
              <w:rPr>
                <w:rFonts w:ascii="宋体" w:hAnsi="宋体" w:cs="宋体"/>
                <w:sz w:val="18"/>
                <w:szCs w:val="18"/>
              </w:rPr>
            </w:pPr>
            <w:r>
              <w:rPr>
                <w:rFonts w:ascii="宋体" w:hAnsi="宋体" w:cs="宋体"/>
                <w:sz w:val="18"/>
                <w:szCs w:val="18"/>
              </w:rPr>
              <w:t>8</w:t>
            </w:r>
          </w:p>
        </w:tc>
        <w:tc>
          <w:tcPr>
            <w:tcW w:w="7597" w:type="dxa"/>
          </w:tcPr>
          <w:p>
            <w:pPr>
              <w:spacing w:before="71" w:line="219" w:lineRule="auto"/>
              <w:ind w:left="115"/>
              <w:rPr>
                <w:rFonts w:ascii="宋体" w:hAnsi="宋体" w:cs="宋体"/>
                <w:sz w:val="18"/>
                <w:szCs w:val="18"/>
              </w:rPr>
            </w:pPr>
            <w:r>
              <w:rPr>
                <w:rFonts w:ascii="宋体" w:hAnsi="宋体" w:cs="宋体"/>
                <w:spacing w:val="-1"/>
                <w:sz w:val="18"/>
                <w:szCs w:val="18"/>
              </w:rPr>
              <w:t>具备施工现场安全隐患识别、监测、报警，包括：</w:t>
            </w:r>
          </w:p>
        </w:tc>
        <w:tc>
          <w:tcPr>
            <w:tcW w:w="991" w:type="dxa"/>
            <w:vMerge w:val="continue"/>
            <w:tcBorders>
              <w:top w:val="nil"/>
              <w:bottom w:val="nil"/>
            </w:tcBorders>
          </w:tcPr>
          <w:p>
            <w:pPr>
              <w:rPr>
                <w:rFonts w:ascii="Arial"/>
              </w:rPr>
            </w:pPr>
          </w:p>
        </w:tc>
        <w:tc>
          <w:tcPr>
            <w:tcW w:w="807" w:type="dxa"/>
          </w:tcPr>
          <w:p>
            <w:pPr>
              <w:jc w:val="center"/>
              <w:rPr>
                <w:rFonts w:ascii="Arial"/>
              </w:rPr>
            </w:pP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vMerge w:val="continue"/>
            <w:tcBorders>
              <w:top w:val="nil"/>
              <w:bottom w:val="nil"/>
            </w:tcBorders>
          </w:tcPr>
          <w:p>
            <w:pPr>
              <w:rPr>
                <w:rFonts w:ascii="Arial"/>
              </w:rPr>
            </w:pPr>
          </w:p>
        </w:tc>
        <w:tc>
          <w:tcPr>
            <w:tcW w:w="7597" w:type="dxa"/>
          </w:tcPr>
          <w:p>
            <w:pPr>
              <w:spacing w:before="73" w:line="219" w:lineRule="auto"/>
              <w:ind w:left="112"/>
              <w:rPr>
                <w:rFonts w:ascii="宋体" w:hAnsi="宋体" w:cs="宋体"/>
                <w:sz w:val="18"/>
                <w:szCs w:val="18"/>
              </w:rPr>
            </w:pPr>
            <w:r>
              <w:rPr>
                <w:rFonts w:ascii="宋体" w:hAnsi="宋体" w:cs="宋体"/>
                <w:spacing w:val="-4"/>
                <w:sz w:val="18"/>
                <w:szCs w:val="18"/>
              </w:rPr>
              <w:t>a) “</w:t>
            </w:r>
            <w:r>
              <w:rPr>
                <w:rFonts w:ascii="宋体" w:hAnsi="宋体" w:cs="宋体"/>
                <w:spacing w:val="-49"/>
                <w:sz w:val="18"/>
                <w:szCs w:val="18"/>
              </w:rPr>
              <w:t xml:space="preserve"> </w:t>
            </w:r>
            <w:r>
              <w:rPr>
                <w:rFonts w:ascii="宋体" w:hAnsi="宋体" w:cs="宋体"/>
                <w:spacing w:val="-4"/>
                <w:sz w:val="18"/>
                <w:szCs w:val="18"/>
              </w:rPr>
              <w:t>四口、五临边</w:t>
            </w:r>
            <w:r>
              <w:rPr>
                <w:rFonts w:ascii="宋体" w:hAnsi="宋体" w:cs="宋体"/>
                <w:spacing w:val="-66"/>
                <w:sz w:val="18"/>
                <w:szCs w:val="18"/>
              </w:rPr>
              <w:t xml:space="preserve"> </w:t>
            </w:r>
            <w:r>
              <w:rPr>
                <w:rFonts w:ascii="宋体" w:hAnsi="宋体" w:cs="宋体"/>
                <w:spacing w:val="-4"/>
                <w:sz w:val="18"/>
                <w:szCs w:val="18"/>
              </w:rPr>
              <w:t>”防护监测报警（1</w:t>
            </w:r>
            <w:r>
              <w:rPr>
                <w:rFonts w:ascii="宋体" w:hAnsi="宋体" w:cs="宋体"/>
                <w:spacing w:val="-37"/>
                <w:sz w:val="18"/>
                <w:szCs w:val="18"/>
              </w:rPr>
              <w:t xml:space="preserve"> </w:t>
            </w:r>
            <w:r>
              <w:rPr>
                <w:rFonts w:ascii="宋体" w:hAnsi="宋体" w:cs="宋体"/>
                <w:spacing w:val="-4"/>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vMerge w:val="continue"/>
            <w:tcBorders>
              <w:top w:val="nil"/>
            </w:tcBorders>
          </w:tcPr>
          <w:p>
            <w:pPr>
              <w:rPr>
                <w:rFonts w:ascii="Arial"/>
              </w:rPr>
            </w:pPr>
          </w:p>
        </w:tc>
        <w:tc>
          <w:tcPr>
            <w:tcW w:w="7597" w:type="dxa"/>
          </w:tcPr>
          <w:p>
            <w:pPr>
              <w:spacing w:before="72" w:line="219" w:lineRule="auto"/>
              <w:ind w:left="108"/>
              <w:rPr>
                <w:rFonts w:ascii="宋体" w:hAnsi="宋体" w:cs="宋体"/>
                <w:sz w:val="18"/>
                <w:szCs w:val="18"/>
              </w:rPr>
            </w:pPr>
            <w:r>
              <w:rPr>
                <w:rFonts w:ascii="宋体" w:hAnsi="宋体" w:cs="宋体"/>
                <w:spacing w:val="-2"/>
                <w:sz w:val="18"/>
                <w:szCs w:val="18"/>
              </w:rPr>
              <w:t>b) 远程广播、喊话（1</w:t>
            </w:r>
            <w:r>
              <w:rPr>
                <w:rFonts w:ascii="宋体" w:hAnsi="宋体" w:cs="宋体"/>
                <w:spacing w:val="-24"/>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1</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5" w:hRule="atLeast"/>
        </w:trPr>
        <w:tc>
          <w:tcPr>
            <w:tcW w:w="1223" w:type="dxa"/>
            <w:vMerge w:val="continue"/>
            <w:tcBorders>
              <w:top w:val="nil"/>
              <w:bottom w:val="nil"/>
            </w:tcBorders>
          </w:tcPr>
          <w:p>
            <w:pPr>
              <w:rPr>
                <w:rFonts w:ascii="Arial"/>
              </w:rPr>
            </w:pPr>
          </w:p>
        </w:tc>
        <w:tc>
          <w:tcPr>
            <w:tcW w:w="677" w:type="dxa"/>
          </w:tcPr>
          <w:p>
            <w:pPr>
              <w:spacing w:before="257" w:line="183" w:lineRule="auto"/>
              <w:ind w:left="297"/>
              <w:rPr>
                <w:rFonts w:ascii="宋体" w:hAnsi="宋体" w:cs="宋体"/>
                <w:sz w:val="18"/>
                <w:szCs w:val="18"/>
              </w:rPr>
            </w:pPr>
            <w:r>
              <w:rPr>
                <w:rFonts w:ascii="宋体" w:hAnsi="宋体" w:cs="宋体"/>
                <w:sz w:val="18"/>
                <w:szCs w:val="18"/>
              </w:rPr>
              <w:t>9</w:t>
            </w:r>
          </w:p>
        </w:tc>
        <w:tc>
          <w:tcPr>
            <w:tcW w:w="7597" w:type="dxa"/>
          </w:tcPr>
          <w:p>
            <w:pPr>
              <w:spacing w:before="71" w:line="272" w:lineRule="auto"/>
              <w:ind w:left="107" w:right="106" w:firstLine="4"/>
              <w:rPr>
                <w:rFonts w:ascii="宋体" w:hAnsi="宋体" w:cs="宋体"/>
                <w:sz w:val="18"/>
                <w:szCs w:val="18"/>
              </w:rPr>
            </w:pPr>
            <w:r>
              <w:rPr>
                <w:rFonts w:ascii="宋体" w:hAnsi="宋体" w:cs="宋体"/>
                <w:sz w:val="18"/>
                <w:szCs w:val="18"/>
              </w:rPr>
              <w:t>利用</w:t>
            </w:r>
            <w:r>
              <w:rPr>
                <w:rFonts w:ascii="宋体" w:hAnsi="宋体" w:cs="宋体"/>
                <w:spacing w:val="-44"/>
                <w:sz w:val="18"/>
                <w:szCs w:val="18"/>
              </w:rPr>
              <w:t xml:space="preserve"> </w:t>
            </w:r>
            <w:r>
              <w:rPr>
                <w:rFonts w:ascii="宋体" w:hAnsi="宋体" w:cs="宋体"/>
                <w:sz w:val="18"/>
                <w:szCs w:val="18"/>
              </w:rPr>
              <w:t>BIM</w:t>
            </w:r>
            <w:r>
              <w:rPr>
                <w:rFonts w:ascii="宋体" w:hAnsi="宋体" w:cs="宋体"/>
                <w:spacing w:val="-33"/>
                <w:sz w:val="18"/>
                <w:szCs w:val="18"/>
              </w:rPr>
              <w:t xml:space="preserve"> </w:t>
            </w:r>
            <w:r>
              <w:rPr>
                <w:rFonts w:ascii="宋体" w:hAnsi="宋体" w:cs="宋体"/>
                <w:sz w:val="18"/>
                <w:szCs w:val="18"/>
              </w:rPr>
              <w:t>技术对危险性较大的分部分项工程进</w:t>
            </w:r>
            <w:r>
              <w:rPr>
                <w:rFonts w:ascii="宋体" w:hAnsi="宋体" w:cs="宋体"/>
                <w:spacing w:val="-1"/>
                <w:sz w:val="18"/>
                <w:szCs w:val="18"/>
              </w:rPr>
              <w:t>行安全风险分析和隐患排查治理，将相关信息与</w:t>
            </w:r>
            <w:r>
              <w:rPr>
                <w:rFonts w:ascii="宋体" w:hAnsi="宋体" w:cs="宋体"/>
                <w:sz w:val="18"/>
                <w:szCs w:val="18"/>
              </w:rPr>
              <w:t xml:space="preserve"> </w:t>
            </w:r>
            <w:r>
              <w:rPr>
                <w:rFonts w:ascii="宋体" w:hAnsi="宋体" w:cs="宋体"/>
                <w:spacing w:val="-2"/>
                <w:sz w:val="18"/>
                <w:szCs w:val="18"/>
              </w:rPr>
              <w:t>BIM</w:t>
            </w:r>
            <w:r>
              <w:rPr>
                <w:rFonts w:ascii="宋体" w:hAnsi="宋体" w:cs="宋体"/>
                <w:spacing w:val="-37"/>
                <w:sz w:val="18"/>
                <w:szCs w:val="18"/>
              </w:rPr>
              <w:t xml:space="preserve"> </w:t>
            </w:r>
            <w:r>
              <w:rPr>
                <w:rFonts w:ascii="宋体" w:hAnsi="宋体" w:cs="宋体"/>
                <w:spacing w:val="-2"/>
                <w:sz w:val="18"/>
                <w:szCs w:val="18"/>
              </w:rPr>
              <w:t>模型关联（2</w:t>
            </w:r>
            <w:r>
              <w:rPr>
                <w:rFonts w:ascii="宋体" w:hAnsi="宋体" w:cs="宋体"/>
                <w:spacing w:val="-36"/>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tcBorders>
          </w:tcPr>
          <w:p>
            <w:pPr>
              <w:rPr>
                <w:rFonts w:ascii="Arial"/>
              </w:rPr>
            </w:pPr>
          </w:p>
        </w:tc>
        <w:tc>
          <w:tcPr>
            <w:tcW w:w="677" w:type="dxa"/>
          </w:tcPr>
          <w:p>
            <w:pPr>
              <w:spacing w:before="99" w:line="184" w:lineRule="auto"/>
              <w:ind w:left="264"/>
              <w:rPr>
                <w:rFonts w:ascii="宋体" w:hAnsi="宋体" w:cs="宋体"/>
                <w:sz w:val="18"/>
                <w:szCs w:val="18"/>
              </w:rPr>
            </w:pPr>
            <w:r>
              <w:rPr>
                <w:rFonts w:ascii="宋体" w:hAnsi="宋体" w:cs="宋体"/>
                <w:spacing w:val="-11"/>
                <w:sz w:val="18"/>
                <w:szCs w:val="18"/>
              </w:rPr>
              <w:t>10</w:t>
            </w:r>
          </w:p>
        </w:tc>
        <w:tc>
          <w:tcPr>
            <w:tcW w:w="7597" w:type="dxa"/>
          </w:tcPr>
          <w:p>
            <w:pPr>
              <w:spacing w:before="72" w:line="218" w:lineRule="auto"/>
              <w:ind w:left="111"/>
              <w:rPr>
                <w:rFonts w:ascii="宋体" w:hAnsi="宋体" w:cs="宋体"/>
                <w:sz w:val="18"/>
                <w:szCs w:val="18"/>
              </w:rPr>
            </w:pPr>
            <w:r>
              <w:rPr>
                <w:rFonts w:ascii="宋体" w:hAnsi="宋体" w:cs="宋体"/>
                <w:spacing w:val="-1"/>
                <w:sz w:val="18"/>
                <w:szCs w:val="18"/>
              </w:rPr>
              <w:t>采用智能配电箱对用电安全进行实时监控和报警（1</w:t>
            </w:r>
            <w:r>
              <w:rPr>
                <w:rFonts w:ascii="宋体" w:hAnsi="宋体" w:cs="宋体"/>
                <w:spacing w:val="-28"/>
                <w:sz w:val="18"/>
                <w:szCs w:val="18"/>
              </w:rPr>
              <w:t xml:space="preserve"> </w:t>
            </w:r>
            <w:r>
              <w:rPr>
                <w:rFonts w:ascii="宋体" w:hAnsi="宋体" w:cs="宋体"/>
                <w:spacing w:val="-1"/>
                <w:sz w:val="18"/>
                <w:szCs w:val="18"/>
              </w:rPr>
              <w:t>分）</w:t>
            </w:r>
          </w:p>
        </w:tc>
        <w:tc>
          <w:tcPr>
            <w:tcW w:w="991" w:type="dxa"/>
            <w:vMerge w:val="continue"/>
            <w:tcBorders>
              <w:top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tcBorders>
          </w:tcPr>
          <w:p>
            <w:pPr>
              <w:rPr>
                <w:rFonts w:ascii="Arial"/>
              </w:rPr>
            </w:pPr>
          </w:p>
        </w:tc>
        <w:tc>
          <w:tcPr>
            <w:tcW w:w="682" w:type="dxa"/>
            <w:vMerge w:val="continue"/>
            <w:tcBorders>
              <w:top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restart"/>
            <w:tcBorders>
              <w:bottom w:val="nil"/>
            </w:tcBorders>
          </w:tcPr>
          <w:p>
            <w:pPr>
              <w:spacing w:line="329" w:lineRule="auto"/>
              <w:rPr>
                <w:rFonts w:ascii="Arial"/>
              </w:rPr>
            </w:pPr>
          </w:p>
          <w:p>
            <w:pPr>
              <w:spacing w:line="330" w:lineRule="auto"/>
              <w:rPr>
                <w:rFonts w:ascii="Arial"/>
              </w:rPr>
            </w:pPr>
          </w:p>
          <w:p>
            <w:pPr>
              <w:spacing w:before="58" w:line="219" w:lineRule="auto"/>
              <w:ind w:left="254"/>
              <w:rPr>
                <w:rFonts w:ascii="宋体" w:hAnsi="宋体" w:cs="宋体"/>
                <w:sz w:val="18"/>
                <w:szCs w:val="18"/>
              </w:rPr>
            </w:pPr>
            <w:r>
              <w:rPr>
                <w:rFonts w:ascii="宋体" w:hAnsi="宋体" w:cs="宋体"/>
                <w:spacing w:val="-2"/>
                <w:sz w:val="18"/>
                <w:szCs w:val="18"/>
              </w:rPr>
              <w:t>质量管理</w:t>
            </w:r>
          </w:p>
        </w:tc>
        <w:tc>
          <w:tcPr>
            <w:tcW w:w="677" w:type="dxa"/>
          </w:tcPr>
          <w:p>
            <w:pPr>
              <w:spacing w:before="100" w:line="184" w:lineRule="auto"/>
              <w:ind w:left="310"/>
              <w:rPr>
                <w:rFonts w:ascii="宋体" w:hAnsi="宋体" w:cs="宋体"/>
                <w:sz w:val="18"/>
                <w:szCs w:val="18"/>
              </w:rPr>
            </w:pPr>
            <w:r>
              <w:rPr>
                <w:rFonts w:ascii="宋体" w:hAnsi="宋体" w:cs="宋体"/>
                <w:sz w:val="18"/>
                <w:szCs w:val="18"/>
              </w:rPr>
              <w:t>1</w:t>
            </w:r>
          </w:p>
        </w:tc>
        <w:tc>
          <w:tcPr>
            <w:tcW w:w="7597" w:type="dxa"/>
          </w:tcPr>
          <w:p>
            <w:pPr>
              <w:spacing w:before="73" w:line="218" w:lineRule="auto"/>
              <w:ind w:left="115"/>
              <w:rPr>
                <w:rFonts w:ascii="宋体" w:hAnsi="宋体" w:cs="宋体"/>
                <w:sz w:val="18"/>
                <w:szCs w:val="18"/>
              </w:rPr>
            </w:pPr>
            <w:r>
              <w:rPr>
                <w:rFonts w:ascii="宋体" w:hAnsi="宋体" w:cs="宋体"/>
                <w:spacing w:val="-1"/>
                <w:sz w:val="18"/>
                <w:szCs w:val="18"/>
              </w:rPr>
              <w:t>具备质量管理电子资料的上传、查询等功能（1</w:t>
            </w:r>
            <w:r>
              <w:rPr>
                <w:rFonts w:ascii="宋体" w:hAnsi="宋体" w:cs="宋体"/>
                <w:spacing w:val="-34"/>
                <w:sz w:val="18"/>
                <w:szCs w:val="18"/>
              </w:rPr>
              <w:t xml:space="preserve"> </w:t>
            </w:r>
            <w:r>
              <w:rPr>
                <w:rFonts w:ascii="宋体" w:hAnsi="宋体" w:cs="宋体"/>
                <w:spacing w:val="-1"/>
                <w:sz w:val="18"/>
                <w:szCs w:val="18"/>
              </w:rPr>
              <w:t>分）</w:t>
            </w:r>
          </w:p>
        </w:tc>
        <w:tc>
          <w:tcPr>
            <w:tcW w:w="991" w:type="dxa"/>
            <w:vMerge w:val="restart"/>
            <w:tcBorders>
              <w:bottom w:val="nil"/>
            </w:tcBorders>
          </w:tcPr>
          <w:p>
            <w:pPr>
              <w:spacing w:line="343" w:lineRule="auto"/>
              <w:rPr>
                <w:rFonts w:ascii="Arial"/>
              </w:rPr>
            </w:pPr>
          </w:p>
          <w:p>
            <w:pPr>
              <w:spacing w:line="344" w:lineRule="auto"/>
              <w:rPr>
                <w:rFonts w:ascii="Arial"/>
              </w:rPr>
            </w:pPr>
          </w:p>
          <w:p>
            <w:pPr>
              <w:spacing w:before="58" w:line="183" w:lineRule="auto"/>
              <w:ind w:left="456"/>
              <w:rPr>
                <w:rFonts w:ascii="宋体" w:hAnsi="宋体" w:cs="宋体"/>
                <w:sz w:val="18"/>
                <w:szCs w:val="18"/>
              </w:rPr>
            </w:pPr>
            <w:r>
              <w:rPr>
                <w:rFonts w:ascii="宋体" w:hAnsi="宋体" w:cs="宋体"/>
                <w:sz w:val="18"/>
                <w:szCs w:val="18"/>
              </w:rPr>
              <w:t>6</w:t>
            </w:r>
          </w:p>
        </w:tc>
        <w:tc>
          <w:tcPr>
            <w:tcW w:w="807" w:type="dxa"/>
          </w:tcPr>
          <w:p>
            <w:pPr>
              <w:jc w:val="center"/>
              <w:rPr>
                <w:rFonts w:ascii="Arial"/>
              </w:rPr>
            </w:pPr>
            <w:r>
              <w:rPr>
                <w:rFonts w:hint="eastAsia" w:ascii="Arial"/>
              </w:rPr>
              <w:t>1</w:t>
            </w:r>
          </w:p>
        </w:tc>
        <w:tc>
          <w:tcPr>
            <w:tcW w:w="996" w:type="dxa"/>
            <w:vMerge w:val="restart"/>
            <w:tcBorders>
              <w:bottom w:val="nil"/>
            </w:tcBorders>
          </w:tcPr>
          <w:p>
            <w:pPr>
              <w:jc w:val="center"/>
              <w:rPr>
                <w:rFonts w:ascii="Arial"/>
              </w:rPr>
            </w:pPr>
            <w:r>
              <w:rPr>
                <w:rFonts w:hint="eastAsia" w:ascii="Arial"/>
              </w:rPr>
              <w:t>6</w:t>
            </w:r>
          </w:p>
        </w:tc>
        <w:tc>
          <w:tcPr>
            <w:tcW w:w="682" w:type="dxa"/>
            <w:vMerge w:val="restart"/>
            <w:tcBorders>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100" w:line="183" w:lineRule="auto"/>
              <w:ind w:left="298"/>
              <w:rPr>
                <w:rFonts w:ascii="宋体" w:hAnsi="宋体" w:cs="宋体"/>
                <w:sz w:val="18"/>
                <w:szCs w:val="18"/>
              </w:rPr>
            </w:pPr>
            <w:r>
              <w:rPr>
                <w:rFonts w:ascii="宋体" w:hAnsi="宋体" w:cs="宋体"/>
                <w:sz w:val="18"/>
                <w:szCs w:val="18"/>
              </w:rPr>
              <w:t>2</w:t>
            </w:r>
          </w:p>
        </w:tc>
        <w:tc>
          <w:tcPr>
            <w:tcW w:w="7597" w:type="dxa"/>
          </w:tcPr>
          <w:p>
            <w:pPr>
              <w:spacing w:before="72" w:line="218" w:lineRule="auto"/>
              <w:ind w:left="111"/>
              <w:rPr>
                <w:rFonts w:ascii="宋体" w:hAnsi="宋体" w:cs="宋体"/>
                <w:sz w:val="18"/>
                <w:szCs w:val="18"/>
              </w:rPr>
            </w:pPr>
            <w:r>
              <w:rPr>
                <w:rFonts w:ascii="宋体" w:hAnsi="宋体" w:cs="宋体"/>
                <w:spacing w:val="-2"/>
                <w:sz w:val="18"/>
                <w:szCs w:val="18"/>
              </w:rPr>
              <w:t>采用</w:t>
            </w:r>
            <w:r>
              <w:rPr>
                <w:rFonts w:ascii="宋体" w:hAnsi="宋体" w:cs="宋体"/>
                <w:spacing w:val="-40"/>
                <w:sz w:val="18"/>
                <w:szCs w:val="18"/>
              </w:rPr>
              <w:t xml:space="preserve"> </w:t>
            </w:r>
            <w:r>
              <w:rPr>
                <w:rFonts w:ascii="宋体" w:hAnsi="宋体" w:cs="宋体"/>
                <w:spacing w:val="-2"/>
                <w:sz w:val="18"/>
                <w:szCs w:val="18"/>
              </w:rPr>
              <w:t>VR</w:t>
            </w:r>
            <w:r>
              <w:rPr>
                <w:rFonts w:ascii="宋体" w:hAnsi="宋体" w:cs="宋体"/>
                <w:spacing w:val="-36"/>
                <w:sz w:val="18"/>
                <w:szCs w:val="18"/>
              </w:rPr>
              <w:t xml:space="preserve"> </w:t>
            </w:r>
            <w:r>
              <w:rPr>
                <w:rFonts w:ascii="宋体" w:hAnsi="宋体" w:cs="宋体"/>
                <w:spacing w:val="-2"/>
                <w:sz w:val="18"/>
                <w:szCs w:val="18"/>
              </w:rPr>
              <w:t>技术进行看样定板（2</w:t>
            </w:r>
            <w:r>
              <w:rPr>
                <w:rFonts w:ascii="宋体" w:hAnsi="宋体" w:cs="宋体"/>
                <w:spacing w:val="-36"/>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99" w:line="183" w:lineRule="auto"/>
              <w:ind w:left="300"/>
              <w:rPr>
                <w:rFonts w:ascii="宋体" w:hAnsi="宋体" w:cs="宋体"/>
                <w:sz w:val="18"/>
                <w:szCs w:val="18"/>
              </w:rPr>
            </w:pPr>
            <w:r>
              <w:rPr>
                <w:rFonts w:ascii="宋体" w:hAnsi="宋体" w:cs="宋体"/>
                <w:sz w:val="18"/>
                <w:szCs w:val="18"/>
              </w:rPr>
              <w:t>3</w:t>
            </w:r>
          </w:p>
        </w:tc>
        <w:tc>
          <w:tcPr>
            <w:tcW w:w="7597" w:type="dxa"/>
          </w:tcPr>
          <w:p>
            <w:pPr>
              <w:spacing w:before="71" w:line="219" w:lineRule="auto"/>
              <w:ind w:left="115"/>
              <w:rPr>
                <w:rFonts w:ascii="宋体" w:hAnsi="宋体" w:cs="宋体"/>
                <w:sz w:val="18"/>
                <w:szCs w:val="18"/>
              </w:rPr>
            </w:pPr>
            <w:r>
              <w:rPr>
                <w:rFonts w:ascii="宋体" w:hAnsi="宋体" w:cs="宋体"/>
                <w:spacing w:val="-2"/>
                <w:sz w:val="18"/>
                <w:szCs w:val="18"/>
              </w:rPr>
              <w:t>具备现场养护设备智能监测功能（2</w:t>
            </w:r>
            <w:r>
              <w:rPr>
                <w:rFonts w:ascii="宋体" w:hAnsi="宋体" w:cs="宋体"/>
                <w:spacing w:val="-21"/>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101" w:line="183" w:lineRule="auto"/>
              <w:ind w:left="296"/>
              <w:rPr>
                <w:rFonts w:ascii="宋体" w:hAnsi="宋体" w:cs="宋体"/>
                <w:sz w:val="18"/>
                <w:szCs w:val="18"/>
              </w:rPr>
            </w:pPr>
            <w:r>
              <w:rPr>
                <w:rFonts w:ascii="宋体" w:hAnsi="宋体" w:cs="宋体"/>
                <w:sz w:val="18"/>
                <w:szCs w:val="18"/>
              </w:rPr>
              <w:t>4</w:t>
            </w:r>
          </w:p>
        </w:tc>
        <w:tc>
          <w:tcPr>
            <w:tcW w:w="7597" w:type="dxa"/>
          </w:tcPr>
          <w:p>
            <w:pPr>
              <w:spacing w:before="73" w:line="219" w:lineRule="auto"/>
              <w:ind w:left="115"/>
              <w:rPr>
                <w:rFonts w:ascii="宋体" w:hAnsi="宋体" w:cs="宋体"/>
                <w:sz w:val="18"/>
                <w:szCs w:val="18"/>
              </w:rPr>
            </w:pPr>
            <w:r>
              <w:rPr>
                <w:rFonts w:ascii="宋体" w:hAnsi="宋体" w:cs="宋体"/>
                <w:spacing w:val="-2"/>
                <w:sz w:val="18"/>
                <w:szCs w:val="18"/>
              </w:rPr>
              <w:t>具备质量巡检功能（2</w:t>
            </w:r>
            <w:r>
              <w:rPr>
                <w:rFonts w:ascii="宋体" w:hAnsi="宋体" w:cs="宋体"/>
                <w:spacing w:val="-33"/>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1223" w:type="dxa"/>
            <w:vMerge w:val="continue"/>
            <w:tcBorders>
              <w:top w:val="nil"/>
            </w:tcBorders>
          </w:tcPr>
          <w:p>
            <w:pPr>
              <w:rPr>
                <w:rFonts w:ascii="Arial"/>
              </w:rPr>
            </w:pPr>
          </w:p>
        </w:tc>
        <w:tc>
          <w:tcPr>
            <w:tcW w:w="677" w:type="dxa"/>
          </w:tcPr>
          <w:p>
            <w:pPr>
              <w:spacing w:before="101" w:line="182" w:lineRule="auto"/>
              <w:ind w:left="300"/>
              <w:rPr>
                <w:rFonts w:ascii="宋体" w:hAnsi="宋体" w:cs="宋体"/>
                <w:sz w:val="18"/>
                <w:szCs w:val="18"/>
              </w:rPr>
            </w:pPr>
            <w:r>
              <w:rPr>
                <w:rFonts w:ascii="宋体" w:hAnsi="宋体" w:cs="宋体"/>
                <w:sz w:val="18"/>
                <w:szCs w:val="18"/>
              </w:rPr>
              <w:t>5</w:t>
            </w:r>
          </w:p>
        </w:tc>
        <w:tc>
          <w:tcPr>
            <w:tcW w:w="7597" w:type="dxa"/>
          </w:tcPr>
          <w:p>
            <w:pPr>
              <w:spacing w:before="72" w:line="219" w:lineRule="auto"/>
              <w:ind w:left="115"/>
              <w:rPr>
                <w:rFonts w:ascii="宋体" w:hAnsi="宋体" w:cs="宋体"/>
                <w:sz w:val="18"/>
                <w:szCs w:val="18"/>
              </w:rPr>
            </w:pPr>
            <w:r>
              <w:rPr>
                <w:rFonts w:ascii="宋体" w:hAnsi="宋体" w:cs="宋体"/>
                <w:spacing w:val="-1"/>
                <w:sz w:val="18"/>
                <w:szCs w:val="18"/>
              </w:rPr>
              <w:t>具备关键工序、隐蔽工程可视化追溯（2</w:t>
            </w:r>
            <w:r>
              <w:rPr>
                <w:rFonts w:ascii="宋体" w:hAnsi="宋体" w:cs="宋体"/>
                <w:spacing w:val="-37"/>
                <w:sz w:val="18"/>
                <w:szCs w:val="18"/>
              </w:rPr>
              <w:t xml:space="preserve"> </w:t>
            </w:r>
            <w:r>
              <w:rPr>
                <w:rFonts w:ascii="宋体" w:hAnsi="宋体" w:cs="宋体"/>
                <w:spacing w:val="-1"/>
                <w:sz w:val="18"/>
                <w:szCs w:val="18"/>
              </w:rPr>
              <w:t>分）</w:t>
            </w:r>
          </w:p>
        </w:tc>
        <w:tc>
          <w:tcPr>
            <w:tcW w:w="991" w:type="dxa"/>
            <w:vMerge w:val="continue"/>
            <w:tcBorders>
              <w:top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tcBorders>
          </w:tcPr>
          <w:p>
            <w:pPr>
              <w:rPr>
                <w:rFonts w:ascii="Arial"/>
              </w:rPr>
            </w:pPr>
          </w:p>
        </w:tc>
        <w:tc>
          <w:tcPr>
            <w:tcW w:w="682" w:type="dxa"/>
            <w:vMerge w:val="continue"/>
            <w:tcBorders>
              <w:top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9" w:hRule="atLeast"/>
        </w:trPr>
        <w:tc>
          <w:tcPr>
            <w:tcW w:w="1223" w:type="dxa"/>
          </w:tcPr>
          <w:p>
            <w:pPr>
              <w:spacing w:before="154" w:line="219" w:lineRule="auto"/>
              <w:ind w:left="255"/>
              <w:rPr>
                <w:rFonts w:ascii="宋体" w:hAnsi="宋体" w:cs="宋体"/>
                <w:sz w:val="18"/>
                <w:szCs w:val="18"/>
              </w:rPr>
            </w:pPr>
            <w:r>
              <w:rPr>
                <w:rFonts w:ascii="宋体" w:hAnsi="宋体" w:cs="宋体"/>
                <w:spacing w:val="-2"/>
                <w:sz w:val="18"/>
                <w:szCs w:val="18"/>
              </w:rPr>
              <w:t>指标要素</w:t>
            </w:r>
          </w:p>
        </w:tc>
        <w:tc>
          <w:tcPr>
            <w:tcW w:w="677" w:type="dxa"/>
          </w:tcPr>
          <w:p>
            <w:pPr>
              <w:spacing w:before="154" w:line="220" w:lineRule="auto"/>
              <w:ind w:left="159"/>
              <w:rPr>
                <w:rFonts w:ascii="宋体" w:hAnsi="宋体" w:cs="宋体"/>
                <w:sz w:val="18"/>
                <w:szCs w:val="18"/>
              </w:rPr>
            </w:pPr>
            <w:r>
              <w:rPr>
                <w:rFonts w:ascii="宋体" w:hAnsi="宋体" w:cs="宋体"/>
                <w:spacing w:val="-4"/>
                <w:sz w:val="18"/>
                <w:szCs w:val="18"/>
              </w:rPr>
              <w:t>序号</w:t>
            </w:r>
          </w:p>
        </w:tc>
        <w:tc>
          <w:tcPr>
            <w:tcW w:w="7597" w:type="dxa"/>
          </w:tcPr>
          <w:p>
            <w:pPr>
              <w:spacing w:before="154" w:line="219" w:lineRule="auto"/>
              <w:ind w:left="3442"/>
              <w:rPr>
                <w:rFonts w:ascii="宋体" w:hAnsi="宋体" w:cs="宋体"/>
                <w:sz w:val="18"/>
                <w:szCs w:val="18"/>
              </w:rPr>
            </w:pPr>
            <w:r>
              <w:rPr>
                <w:rFonts w:ascii="宋体" w:hAnsi="宋体" w:cs="宋体"/>
                <w:spacing w:val="-1"/>
                <w:sz w:val="18"/>
                <w:szCs w:val="18"/>
              </w:rPr>
              <w:t>评分内容</w:t>
            </w:r>
          </w:p>
        </w:tc>
        <w:tc>
          <w:tcPr>
            <w:tcW w:w="991" w:type="dxa"/>
          </w:tcPr>
          <w:p>
            <w:pPr>
              <w:spacing w:before="155" w:line="217" w:lineRule="auto"/>
              <w:ind w:left="139"/>
              <w:rPr>
                <w:rFonts w:ascii="宋体" w:hAnsi="宋体" w:cs="宋体"/>
                <w:sz w:val="18"/>
                <w:szCs w:val="18"/>
              </w:rPr>
            </w:pPr>
            <w:r>
              <w:rPr>
                <w:rFonts w:ascii="宋体" w:hAnsi="宋体" w:cs="宋体"/>
                <w:spacing w:val="-1"/>
                <w:sz w:val="18"/>
                <w:szCs w:val="18"/>
              </w:rPr>
              <w:t>评价分值</w:t>
            </w:r>
          </w:p>
        </w:tc>
        <w:tc>
          <w:tcPr>
            <w:tcW w:w="807" w:type="dxa"/>
          </w:tcPr>
          <w:p>
            <w:pPr>
              <w:spacing w:before="155" w:line="219" w:lineRule="auto"/>
              <w:ind w:left="173"/>
              <w:rPr>
                <w:rFonts w:ascii="宋体" w:hAnsi="宋体" w:cs="宋体"/>
                <w:sz w:val="18"/>
                <w:szCs w:val="18"/>
              </w:rPr>
            </w:pPr>
            <w:r>
              <w:rPr>
                <w:rFonts w:ascii="宋体" w:hAnsi="宋体" w:cs="宋体"/>
                <w:spacing w:val="-14"/>
                <w:sz w:val="18"/>
                <w:szCs w:val="18"/>
              </w:rPr>
              <w:t>自评分</w:t>
            </w:r>
          </w:p>
        </w:tc>
        <w:tc>
          <w:tcPr>
            <w:tcW w:w="996" w:type="dxa"/>
          </w:tcPr>
          <w:p>
            <w:pPr>
              <w:spacing w:before="155" w:line="219" w:lineRule="auto"/>
              <w:ind w:left="180"/>
              <w:rPr>
                <w:rFonts w:ascii="宋体" w:hAnsi="宋体" w:cs="宋体"/>
                <w:sz w:val="18"/>
                <w:szCs w:val="18"/>
              </w:rPr>
            </w:pPr>
            <w:r>
              <w:rPr>
                <w:rFonts w:ascii="宋体" w:hAnsi="宋体" w:cs="宋体"/>
                <w:spacing w:val="-10"/>
                <w:sz w:val="18"/>
                <w:szCs w:val="18"/>
              </w:rPr>
              <w:t>自评总分</w:t>
            </w:r>
          </w:p>
        </w:tc>
        <w:tc>
          <w:tcPr>
            <w:tcW w:w="682" w:type="dxa"/>
          </w:tcPr>
          <w:p>
            <w:pPr>
              <w:spacing w:before="154" w:line="220" w:lineRule="auto"/>
              <w:ind w:left="166"/>
              <w:rPr>
                <w:rFonts w:ascii="宋体" w:hAnsi="宋体" w:cs="宋体"/>
                <w:sz w:val="18"/>
                <w:szCs w:val="18"/>
              </w:rPr>
            </w:pPr>
            <w:r>
              <w:rPr>
                <w:rFonts w:ascii="宋体" w:hAnsi="宋体" w:cs="宋体"/>
                <w:spacing w:val="-5"/>
                <w:sz w:val="18"/>
                <w:szCs w:val="18"/>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restart"/>
            <w:tcBorders>
              <w:bottom w:val="nil"/>
            </w:tcBorders>
          </w:tcPr>
          <w:p>
            <w:pPr>
              <w:rPr>
                <w:rFonts w:ascii="Arial"/>
              </w:rPr>
            </w:pPr>
          </w:p>
        </w:tc>
        <w:tc>
          <w:tcPr>
            <w:tcW w:w="677" w:type="dxa"/>
          </w:tcPr>
          <w:p>
            <w:pPr>
              <w:spacing w:before="96" w:line="183" w:lineRule="auto"/>
              <w:ind w:left="298"/>
              <w:rPr>
                <w:rFonts w:ascii="宋体" w:hAnsi="宋体" w:cs="宋体"/>
                <w:sz w:val="18"/>
                <w:szCs w:val="18"/>
              </w:rPr>
            </w:pPr>
            <w:r>
              <w:rPr>
                <w:rFonts w:ascii="宋体" w:hAnsi="宋体" w:cs="宋体"/>
                <w:sz w:val="18"/>
                <w:szCs w:val="18"/>
              </w:rPr>
              <w:t>6</w:t>
            </w:r>
          </w:p>
        </w:tc>
        <w:tc>
          <w:tcPr>
            <w:tcW w:w="7597" w:type="dxa"/>
          </w:tcPr>
          <w:p>
            <w:pPr>
              <w:spacing w:before="68" w:line="218" w:lineRule="auto"/>
              <w:ind w:left="111"/>
              <w:rPr>
                <w:rFonts w:ascii="宋体" w:hAnsi="宋体" w:cs="宋体"/>
                <w:sz w:val="18"/>
                <w:szCs w:val="18"/>
              </w:rPr>
            </w:pPr>
            <w:r>
              <w:rPr>
                <w:rFonts w:ascii="宋体" w:hAnsi="宋体" w:cs="宋体"/>
                <w:spacing w:val="-1"/>
                <w:sz w:val="18"/>
                <w:szCs w:val="18"/>
              </w:rPr>
              <w:t>现场实测实量检测采用自动化采集设备（2</w:t>
            </w:r>
            <w:r>
              <w:rPr>
                <w:rFonts w:ascii="宋体" w:hAnsi="宋体" w:cs="宋体"/>
                <w:spacing w:val="-32"/>
                <w:sz w:val="18"/>
                <w:szCs w:val="18"/>
              </w:rPr>
              <w:t xml:space="preserve"> </w:t>
            </w:r>
            <w:r>
              <w:rPr>
                <w:rFonts w:ascii="宋体" w:hAnsi="宋体" w:cs="宋体"/>
                <w:spacing w:val="-1"/>
                <w:sz w:val="18"/>
                <w:szCs w:val="18"/>
              </w:rPr>
              <w:t>分）</w:t>
            </w:r>
          </w:p>
        </w:tc>
        <w:tc>
          <w:tcPr>
            <w:tcW w:w="991" w:type="dxa"/>
            <w:vMerge w:val="restart"/>
            <w:tcBorders>
              <w:bottom w:val="nil"/>
            </w:tcBorders>
          </w:tcPr>
          <w:p>
            <w:pPr>
              <w:rPr>
                <w:rFonts w:ascii="Arial"/>
              </w:rPr>
            </w:pPr>
          </w:p>
        </w:tc>
        <w:tc>
          <w:tcPr>
            <w:tcW w:w="807" w:type="dxa"/>
          </w:tcPr>
          <w:p>
            <w:pPr>
              <w:jc w:val="center"/>
              <w:rPr>
                <w:rFonts w:ascii="Arial"/>
              </w:rPr>
            </w:pPr>
            <w:r>
              <w:rPr>
                <w:rFonts w:hint="eastAsia" w:ascii="Arial"/>
              </w:rPr>
              <w:t>0</w:t>
            </w:r>
          </w:p>
        </w:tc>
        <w:tc>
          <w:tcPr>
            <w:tcW w:w="996" w:type="dxa"/>
            <w:vMerge w:val="restart"/>
            <w:tcBorders>
              <w:bottom w:val="nil"/>
            </w:tcBorders>
          </w:tcPr>
          <w:p>
            <w:pPr>
              <w:rPr>
                <w:rFonts w:ascii="Arial"/>
              </w:rPr>
            </w:pPr>
          </w:p>
        </w:tc>
        <w:tc>
          <w:tcPr>
            <w:tcW w:w="682" w:type="dxa"/>
            <w:vMerge w:val="restart"/>
            <w:tcBorders>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96" w:line="182" w:lineRule="auto"/>
              <w:ind w:left="301"/>
              <w:rPr>
                <w:rFonts w:ascii="宋体" w:hAnsi="宋体" w:cs="宋体"/>
                <w:sz w:val="18"/>
                <w:szCs w:val="18"/>
              </w:rPr>
            </w:pPr>
            <w:r>
              <w:rPr>
                <w:rFonts w:ascii="宋体" w:hAnsi="宋体" w:cs="宋体"/>
                <w:sz w:val="18"/>
                <w:szCs w:val="18"/>
              </w:rPr>
              <w:t>7</w:t>
            </w:r>
          </w:p>
        </w:tc>
        <w:tc>
          <w:tcPr>
            <w:tcW w:w="7597" w:type="dxa"/>
          </w:tcPr>
          <w:p>
            <w:pPr>
              <w:spacing w:before="67" w:line="219" w:lineRule="auto"/>
              <w:ind w:left="114"/>
              <w:rPr>
                <w:rFonts w:ascii="宋体" w:hAnsi="宋体" w:cs="宋体"/>
                <w:sz w:val="18"/>
                <w:szCs w:val="18"/>
              </w:rPr>
            </w:pPr>
            <w:r>
              <w:rPr>
                <w:rFonts w:ascii="宋体" w:hAnsi="宋体" w:cs="宋体"/>
                <w:spacing w:val="-1"/>
                <w:sz w:val="18"/>
                <w:szCs w:val="18"/>
              </w:rPr>
              <w:t>大体积混凝土温度智能监测与报警（1</w:t>
            </w:r>
            <w:r>
              <w:rPr>
                <w:rFonts w:ascii="宋体" w:hAnsi="宋体" w:cs="宋体"/>
                <w:spacing w:val="-37"/>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tcBorders>
          </w:tcPr>
          <w:p>
            <w:pPr>
              <w:rPr>
                <w:rFonts w:ascii="Arial"/>
              </w:rPr>
            </w:pPr>
          </w:p>
        </w:tc>
        <w:tc>
          <w:tcPr>
            <w:tcW w:w="677" w:type="dxa"/>
          </w:tcPr>
          <w:p>
            <w:pPr>
              <w:spacing w:before="97" w:line="183" w:lineRule="auto"/>
              <w:ind w:left="297"/>
              <w:rPr>
                <w:rFonts w:ascii="宋体" w:hAnsi="宋体" w:cs="宋体"/>
                <w:sz w:val="18"/>
                <w:szCs w:val="18"/>
              </w:rPr>
            </w:pPr>
            <w:r>
              <w:rPr>
                <w:rFonts w:ascii="宋体" w:hAnsi="宋体" w:cs="宋体"/>
                <w:sz w:val="18"/>
                <w:szCs w:val="18"/>
              </w:rPr>
              <w:t>8</w:t>
            </w:r>
          </w:p>
        </w:tc>
        <w:tc>
          <w:tcPr>
            <w:tcW w:w="7597" w:type="dxa"/>
          </w:tcPr>
          <w:p>
            <w:pPr>
              <w:spacing w:before="69" w:line="219" w:lineRule="auto"/>
              <w:ind w:left="111"/>
              <w:rPr>
                <w:rFonts w:ascii="宋体" w:hAnsi="宋体" w:cs="宋体"/>
                <w:sz w:val="18"/>
                <w:szCs w:val="18"/>
              </w:rPr>
            </w:pPr>
            <w:r>
              <w:rPr>
                <w:rFonts w:ascii="宋体" w:hAnsi="宋体" w:cs="宋体"/>
                <w:spacing w:val="-1"/>
                <w:sz w:val="18"/>
                <w:szCs w:val="18"/>
              </w:rPr>
              <w:t>质量巡检和质量检测信息与</w:t>
            </w:r>
            <w:r>
              <w:rPr>
                <w:rFonts w:ascii="宋体" w:hAnsi="宋体" w:cs="宋体"/>
                <w:spacing w:val="-44"/>
                <w:sz w:val="18"/>
                <w:szCs w:val="18"/>
              </w:rPr>
              <w:t xml:space="preserve"> </w:t>
            </w:r>
            <w:r>
              <w:rPr>
                <w:rFonts w:ascii="宋体" w:hAnsi="宋体" w:cs="宋体"/>
                <w:spacing w:val="-1"/>
                <w:sz w:val="18"/>
                <w:szCs w:val="18"/>
              </w:rPr>
              <w:t>BIM</w:t>
            </w:r>
            <w:r>
              <w:rPr>
                <w:rFonts w:ascii="宋体" w:hAnsi="宋体" w:cs="宋体"/>
                <w:spacing w:val="-34"/>
                <w:sz w:val="18"/>
                <w:szCs w:val="18"/>
              </w:rPr>
              <w:t xml:space="preserve"> </w:t>
            </w:r>
            <w:r>
              <w:rPr>
                <w:rFonts w:ascii="宋体" w:hAnsi="宋体" w:cs="宋体"/>
                <w:spacing w:val="-1"/>
                <w:sz w:val="18"/>
                <w:szCs w:val="18"/>
              </w:rPr>
              <w:t>模型关联并展示（2</w:t>
            </w:r>
            <w:r>
              <w:rPr>
                <w:rFonts w:ascii="宋体" w:hAnsi="宋体" w:cs="宋体"/>
                <w:spacing w:val="-37"/>
                <w:sz w:val="18"/>
                <w:szCs w:val="18"/>
              </w:rPr>
              <w:t xml:space="preserve"> </w:t>
            </w:r>
            <w:r>
              <w:rPr>
                <w:rFonts w:ascii="宋体" w:hAnsi="宋体" w:cs="宋体"/>
                <w:spacing w:val="-2"/>
                <w:sz w:val="18"/>
                <w:szCs w:val="18"/>
              </w:rPr>
              <w:t>分）</w:t>
            </w:r>
          </w:p>
        </w:tc>
        <w:tc>
          <w:tcPr>
            <w:tcW w:w="991" w:type="dxa"/>
            <w:vMerge w:val="continue"/>
            <w:tcBorders>
              <w:top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tcBorders>
          </w:tcPr>
          <w:p>
            <w:pPr>
              <w:rPr>
                <w:rFonts w:ascii="Arial"/>
              </w:rPr>
            </w:pPr>
          </w:p>
        </w:tc>
        <w:tc>
          <w:tcPr>
            <w:tcW w:w="682" w:type="dxa"/>
            <w:vMerge w:val="continue"/>
            <w:tcBorders>
              <w:top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4" w:hRule="atLeast"/>
        </w:trPr>
        <w:tc>
          <w:tcPr>
            <w:tcW w:w="1223" w:type="dxa"/>
            <w:vMerge w:val="restart"/>
            <w:tcBorders>
              <w:bottom w:val="nil"/>
            </w:tcBorders>
          </w:tcPr>
          <w:p>
            <w:pPr>
              <w:spacing w:line="300" w:lineRule="auto"/>
              <w:rPr>
                <w:rFonts w:ascii="Arial"/>
              </w:rPr>
            </w:pPr>
          </w:p>
          <w:p>
            <w:pPr>
              <w:spacing w:line="300" w:lineRule="auto"/>
              <w:rPr>
                <w:rFonts w:ascii="Arial"/>
              </w:rPr>
            </w:pPr>
          </w:p>
          <w:p>
            <w:pPr>
              <w:spacing w:line="301" w:lineRule="auto"/>
              <w:rPr>
                <w:rFonts w:ascii="Arial"/>
              </w:rPr>
            </w:pPr>
          </w:p>
          <w:p>
            <w:pPr>
              <w:spacing w:before="59" w:line="219" w:lineRule="auto"/>
              <w:ind w:left="253"/>
              <w:rPr>
                <w:rFonts w:ascii="宋体" w:hAnsi="宋体" w:cs="宋体"/>
                <w:sz w:val="18"/>
                <w:szCs w:val="18"/>
              </w:rPr>
            </w:pPr>
            <w:r>
              <w:rPr>
                <w:rFonts w:ascii="宋体" w:hAnsi="宋体" w:cs="宋体"/>
                <w:spacing w:val="-2"/>
                <w:sz w:val="18"/>
                <w:szCs w:val="18"/>
              </w:rPr>
              <w:t>进度管理</w:t>
            </w:r>
          </w:p>
        </w:tc>
        <w:tc>
          <w:tcPr>
            <w:tcW w:w="677" w:type="dxa"/>
          </w:tcPr>
          <w:p>
            <w:pPr>
              <w:spacing w:before="138" w:line="184" w:lineRule="auto"/>
              <w:ind w:left="310"/>
              <w:rPr>
                <w:rFonts w:ascii="宋体" w:hAnsi="宋体" w:cs="宋体"/>
                <w:sz w:val="18"/>
                <w:szCs w:val="18"/>
              </w:rPr>
            </w:pPr>
            <w:r>
              <w:rPr>
                <w:rFonts w:ascii="宋体" w:hAnsi="宋体" w:cs="宋体"/>
                <w:sz w:val="18"/>
                <w:szCs w:val="18"/>
              </w:rPr>
              <w:t>1</w:t>
            </w:r>
          </w:p>
        </w:tc>
        <w:tc>
          <w:tcPr>
            <w:tcW w:w="7597" w:type="dxa"/>
          </w:tcPr>
          <w:p>
            <w:pPr>
              <w:spacing w:before="62" w:line="239" w:lineRule="auto"/>
              <w:ind w:left="107"/>
              <w:rPr>
                <w:rFonts w:ascii="宋体" w:hAnsi="宋体" w:cs="宋体"/>
                <w:sz w:val="18"/>
                <w:szCs w:val="18"/>
              </w:rPr>
            </w:pPr>
            <w:r>
              <w:rPr>
                <w:rFonts w:ascii="宋体" w:hAnsi="宋体" w:cs="宋体"/>
                <w:spacing w:val="-1"/>
                <w:sz w:val="18"/>
                <w:szCs w:val="18"/>
              </w:rPr>
              <w:t>BIM</w:t>
            </w:r>
            <w:r>
              <w:rPr>
                <w:rFonts w:ascii="宋体" w:hAnsi="宋体" w:cs="宋体"/>
                <w:spacing w:val="-21"/>
                <w:sz w:val="18"/>
                <w:szCs w:val="18"/>
              </w:rPr>
              <w:t xml:space="preserve"> </w:t>
            </w:r>
            <w:r>
              <w:rPr>
                <w:rFonts w:ascii="宋体" w:hAnsi="宋体" w:cs="宋体"/>
                <w:spacing w:val="-1"/>
                <w:sz w:val="18"/>
                <w:szCs w:val="18"/>
              </w:rPr>
              <w:t>技术应用模块中计划模型与现场实际进度进行对比分析，并进行进度纠偏</w:t>
            </w:r>
            <w:r>
              <w:rPr>
                <w:rFonts w:ascii="宋体" w:hAnsi="宋体" w:cs="宋体"/>
                <w:spacing w:val="-42"/>
                <w:sz w:val="18"/>
                <w:szCs w:val="18"/>
              </w:rPr>
              <w:t xml:space="preserve"> </w:t>
            </w:r>
            <w:r>
              <w:rPr>
                <w:rFonts w:ascii="宋体" w:hAnsi="宋体" w:cs="宋体"/>
                <w:spacing w:val="-1"/>
                <w:position w:val="9"/>
                <w:sz w:val="12"/>
                <w:szCs w:val="12"/>
              </w:rPr>
              <w:t>b</w:t>
            </w:r>
            <w:r>
              <w:rPr>
                <w:rFonts w:ascii="宋体" w:hAnsi="宋体" w:cs="宋体"/>
                <w:spacing w:val="-1"/>
                <w:sz w:val="18"/>
                <w:szCs w:val="18"/>
              </w:rPr>
              <w:t>（2</w:t>
            </w:r>
            <w:r>
              <w:rPr>
                <w:rFonts w:ascii="宋体" w:hAnsi="宋体" w:cs="宋体"/>
                <w:spacing w:val="-36"/>
                <w:sz w:val="18"/>
                <w:szCs w:val="18"/>
              </w:rPr>
              <w:t xml:space="preserve"> </w:t>
            </w:r>
            <w:r>
              <w:rPr>
                <w:rFonts w:ascii="宋体" w:hAnsi="宋体" w:cs="宋体"/>
                <w:spacing w:val="-1"/>
                <w:sz w:val="18"/>
                <w:szCs w:val="18"/>
              </w:rPr>
              <w:t>分）</w:t>
            </w:r>
          </w:p>
        </w:tc>
        <w:tc>
          <w:tcPr>
            <w:tcW w:w="991" w:type="dxa"/>
            <w:vMerge w:val="restart"/>
            <w:tcBorders>
              <w:bottom w:val="nil"/>
            </w:tcBorders>
          </w:tcPr>
          <w:p>
            <w:pPr>
              <w:spacing w:line="309" w:lineRule="auto"/>
              <w:rPr>
                <w:rFonts w:ascii="Arial"/>
              </w:rPr>
            </w:pPr>
          </w:p>
          <w:p>
            <w:pPr>
              <w:spacing w:line="310" w:lineRule="auto"/>
              <w:rPr>
                <w:rFonts w:ascii="Arial"/>
              </w:rPr>
            </w:pPr>
          </w:p>
          <w:p>
            <w:pPr>
              <w:spacing w:line="310" w:lineRule="auto"/>
              <w:rPr>
                <w:rFonts w:ascii="Arial"/>
              </w:rPr>
            </w:pPr>
          </w:p>
          <w:p>
            <w:pPr>
              <w:spacing w:before="59" w:line="183" w:lineRule="auto"/>
              <w:ind w:left="454"/>
              <w:rPr>
                <w:rFonts w:ascii="宋体" w:hAnsi="宋体" w:cs="宋体"/>
                <w:sz w:val="18"/>
                <w:szCs w:val="18"/>
              </w:rPr>
            </w:pPr>
            <w:r>
              <w:rPr>
                <w:rFonts w:ascii="宋体" w:hAnsi="宋体" w:cs="宋体"/>
                <w:sz w:val="18"/>
                <w:szCs w:val="18"/>
              </w:rPr>
              <w:t>4</w:t>
            </w:r>
          </w:p>
        </w:tc>
        <w:tc>
          <w:tcPr>
            <w:tcW w:w="807" w:type="dxa"/>
          </w:tcPr>
          <w:p>
            <w:pPr>
              <w:jc w:val="center"/>
              <w:rPr>
                <w:rFonts w:ascii="Arial"/>
              </w:rPr>
            </w:pPr>
            <w:r>
              <w:rPr>
                <w:rFonts w:hint="eastAsia" w:ascii="Arial"/>
              </w:rPr>
              <w:t>2</w:t>
            </w:r>
          </w:p>
        </w:tc>
        <w:tc>
          <w:tcPr>
            <w:tcW w:w="996" w:type="dxa"/>
            <w:vMerge w:val="restart"/>
            <w:tcBorders>
              <w:bottom w:val="nil"/>
            </w:tcBorders>
          </w:tcPr>
          <w:p>
            <w:pPr>
              <w:jc w:val="center"/>
              <w:rPr>
                <w:rFonts w:ascii="Arial"/>
              </w:rPr>
            </w:pPr>
            <w:r>
              <w:rPr>
                <w:rFonts w:hint="eastAsia" w:ascii="Arial"/>
              </w:rPr>
              <w:t>4</w:t>
            </w:r>
          </w:p>
        </w:tc>
        <w:tc>
          <w:tcPr>
            <w:tcW w:w="682" w:type="dxa"/>
            <w:vMerge w:val="restart"/>
            <w:tcBorders>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1223" w:type="dxa"/>
            <w:vMerge w:val="continue"/>
            <w:tcBorders>
              <w:top w:val="nil"/>
              <w:bottom w:val="nil"/>
            </w:tcBorders>
          </w:tcPr>
          <w:p>
            <w:pPr>
              <w:rPr>
                <w:rFonts w:ascii="Arial"/>
              </w:rPr>
            </w:pPr>
          </w:p>
        </w:tc>
        <w:tc>
          <w:tcPr>
            <w:tcW w:w="677" w:type="dxa"/>
          </w:tcPr>
          <w:p>
            <w:pPr>
              <w:spacing w:before="140" w:line="183" w:lineRule="auto"/>
              <w:ind w:left="298"/>
              <w:rPr>
                <w:rFonts w:ascii="宋体" w:hAnsi="宋体" w:cs="宋体"/>
                <w:sz w:val="18"/>
                <w:szCs w:val="18"/>
              </w:rPr>
            </w:pPr>
            <w:r>
              <w:rPr>
                <w:rFonts w:ascii="宋体" w:hAnsi="宋体" w:cs="宋体"/>
                <w:sz w:val="18"/>
                <w:szCs w:val="18"/>
              </w:rPr>
              <w:t>2</w:t>
            </w:r>
          </w:p>
        </w:tc>
        <w:tc>
          <w:tcPr>
            <w:tcW w:w="7597" w:type="dxa"/>
          </w:tcPr>
          <w:p>
            <w:pPr>
              <w:spacing w:before="113" w:line="219" w:lineRule="auto"/>
              <w:ind w:left="111"/>
              <w:rPr>
                <w:rFonts w:ascii="宋体" w:hAnsi="宋体" w:cs="宋体"/>
                <w:sz w:val="18"/>
                <w:szCs w:val="18"/>
              </w:rPr>
            </w:pPr>
            <w:r>
              <w:rPr>
                <w:rFonts w:ascii="宋体" w:hAnsi="宋体" w:cs="宋体"/>
                <w:spacing w:val="-1"/>
                <w:sz w:val="18"/>
                <w:szCs w:val="18"/>
              </w:rPr>
              <w:t>通过定点定时拍摄，制作延时动画（2</w:t>
            </w:r>
            <w:r>
              <w:rPr>
                <w:rFonts w:ascii="宋体" w:hAnsi="宋体" w:cs="宋体"/>
                <w:spacing w:val="-34"/>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98" w:line="183" w:lineRule="auto"/>
              <w:ind w:left="300"/>
              <w:rPr>
                <w:rFonts w:ascii="宋体" w:hAnsi="宋体" w:cs="宋体"/>
                <w:sz w:val="18"/>
                <w:szCs w:val="18"/>
              </w:rPr>
            </w:pPr>
            <w:r>
              <w:rPr>
                <w:rFonts w:ascii="宋体" w:hAnsi="宋体" w:cs="宋体"/>
                <w:sz w:val="18"/>
                <w:szCs w:val="18"/>
              </w:rPr>
              <w:t>3</w:t>
            </w:r>
          </w:p>
        </w:tc>
        <w:tc>
          <w:tcPr>
            <w:tcW w:w="7597" w:type="dxa"/>
          </w:tcPr>
          <w:p>
            <w:pPr>
              <w:spacing w:before="70" w:line="218" w:lineRule="auto"/>
              <w:ind w:left="116"/>
              <w:rPr>
                <w:rFonts w:ascii="宋体" w:hAnsi="宋体" w:cs="宋体"/>
                <w:sz w:val="18"/>
                <w:szCs w:val="18"/>
              </w:rPr>
            </w:pPr>
            <w:r>
              <w:rPr>
                <w:rFonts w:ascii="宋体" w:hAnsi="宋体" w:cs="宋体"/>
                <w:spacing w:val="-1"/>
                <w:sz w:val="18"/>
                <w:szCs w:val="18"/>
              </w:rPr>
              <w:t>定期采集、上传形象进度全景照片或视频（2</w:t>
            </w:r>
            <w:r>
              <w:rPr>
                <w:rFonts w:ascii="宋体" w:hAnsi="宋体" w:cs="宋体"/>
                <w:spacing w:val="-36"/>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vMerge w:val="restart"/>
            <w:tcBorders>
              <w:bottom w:val="nil"/>
            </w:tcBorders>
          </w:tcPr>
          <w:p>
            <w:pPr>
              <w:spacing w:line="362" w:lineRule="auto"/>
              <w:rPr>
                <w:rFonts w:ascii="Arial"/>
              </w:rPr>
            </w:pPr>
          </w:p>
          <w:p>
            <w:pPr>
              <w:spacing w:before="59" w:line="183" w:lineRule="auto"/>
              <w:ind w:left="296"/>
              <w:rPr>
                <w:rFonts w:ascii="宋体" w:hAnsi="宋体" w:cs="宋体"/>
                <w:sz w:val="18"/>
                <w:szCs w:val="18"/>
              </w:rPr>
            </w:pPr>
            <w:r>
              <w:rPr>
                <w:rFonts w:ascii="宋体" w:hAnsi="宋体" w:cs="宋体"/>
                <w:sz w:val="18"/>
                <w:szCs w:val="18"/>
              </w:rPr>
              <w:t>4</w:t>
            </w:r>
          </w:p>
        </w:tc>
        <w:tc>
          <w:tcPr>
            <w:tcW w:w="7597" w:type="dxa"/>
          </w:tcPr>
          <w:p>
            <w:pPr>
              <w:spacing w:before="69" w:line="219" w:lineRule="auto"/>
              <w:ind w:left="110"/>
              <w:rPr>
                <w:rFonts w:ascii="宋体" w:hAnsi="宋体" w:cs="宋体"/>
                <w:sz w:val="18"/>
                <w:szCs w:val="18"/>
              </w:rPr>
            </w:pPr>
            <w:r>
              <w:rPr>
                <w:rFonts w:ascii="宋体" w:hAnsi="宋体" w:cs="宋体"/>
                <w:spacing w:val="-1"/>
                <w:sz w:val="18"/>
                <w:szCs w:val="18"/>
              </w:rPr>
              <w:t>进度计划管理功能</w:t>
            </w:r>
          </w:p>
        </w:tc>
        <w:tc>
          <w:tcPr>
            <w:tcW w:w="991" w:type="dxa"/>
            <w:vMerge w:val="continue"/>
            <w:tcBorders>
              <w:top w:val="nil"/>
              <w:bottom w:val="nil"/>
            </w:tcBorders>
          </w:tcPr>
          <w:p>
            <w:pPr>
              <w:rPr>
                <w:rFonts w:ascii="Arial"/>
              </w:rPr>
            </w:pPr>
          </w:p>
        </w:tc>
        <w:tc>
          <w:tcPr>
            <w:tcW w:w="807" w:type="dxa"/>
          </w:tcPr>
          <w:p>
            <w:pPr>
              <w:spacing w:before="39" w:line="208" w:lineRule="auto"/>
              <w:ind w:left="115"/>
              <w:rPr>
                <w:rFonts w:ascii="宋体" w:hAnsi="宋体" w:cs="宋体"/>
                <w:sz w:val="24"/>
                <w:szCs w:val="24"/>
              </w:rPr>
            </w:pPr>
            <w:r>
              <w:rPr>
                <w:rFonts w:ascii="宋体" w:hAnsi="宋体" w:cs="宋体"/>
                <w:sz w:val="24"/>
                <w:szCs w:val="24"/>
              </w:rPr>
              <w:t>/</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vMerge w:val="continue"/>
            <w:tcBorders>
              <w:top w:val="nil"/>
              <w:bottom w:val="nil"/>
            </w:tcBorders>
          </w:tcPr>
          <w:p>
            <w:pPr>
              <w:rPr>
                <w:rFonts w:ascii="Arial"/>
              </w:rPr>
            </w:pPr>
          </w:p>
        </w:tc>
        <w:tc>
          <w:tcPr>
            <w:tcW w:w="7597" w:type="dxa"/>
          </w:tcPr>
          <w:p>
            <w:pPr>
              <w:spacing w:before="70" w:line="219" w:lineRule="auto"/>
              <w:ind w:left="112"/>
              <w:rPr>
                <w:rFonts w:ascii="宋体" w:hAnsi="宋体" w:cs="宋体"/>
                <w:sz w:val="18"/>
                <w:szCs w:val="18"/>
              </w:rPr>
            </w:pPr>
            <w:r>
              <w:rPr>
                <w:rFonts w:ascii="宋体" w:hAnsi="宋体" w:cs="宋体"/>
                <w:spacing w:val="-1"/>
                <w:sz w:val="18"/>
                <w:szCs w:val="18"/>
              </w:rPr>
              <w:t>a) 录入和进度更新等内容，支持常用计划编排软件的计划导入（1</w:t>
            </w:r>
            <w:r>
              <w:rPr>
                <w:rFonts w:ascii="宋体" w:hAnsi="宋体" w:cs="宋体"/>
                <w:spacing w:val="-22"/>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1</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tcBorders>
          </w:tcPr>
          <w:p>
            <w:pPr>
              <w:rPr>
                <w:rFonts w:ascii="Arial"/>
              </w:rPr>
            </w:pPr>
          </w:p>
        </w:tc>
        <w:tc>
          <w:tcPr>
            <w:tcW w:w="677" w:type="dxa"/>
            <w:vMerge w:val="continue"/>
            <w:tcBorders>
              <w:top w:val="nil"/>
            </w:tcBorders>
          </w:tcPr>
          <w:p>
            <w:pPr>
              <w:rPr>
                <w:rFonts w:ascii="Arial"/>
              </w:rPr>
            </w:pPr>
          </w:p>
        </w:tc>
        <w:tc>
          <w:tcPr>
            <w:tcW w:w="7597" w:type="dxa"/>
          </w:tcPr>
          <w:p>
            <w:pPr>
              <w:spacing w:before="69" w:line="218" w:lineRule="auto"/>
              <w:ind w:left="108"/>
              <w:rPr>
                <w:rFonts w:ascii="宋体" w:hAnsi="宋体" w:cs="宋体"/>
                <w:sz w:val="18"/>
                <w:szCs w:val="18"/>
              </w:rPr>
            </w:pPr>
            <w:r>
              <w:rPr>
                <w:rFonts w:ascii="宋体" w:hAnsi="宋体" w:cs="宋体"/>
                <w:spacing w:val="-1"/>
                <w:sz w:val="18"/>
                <w:szCs w:val="18"/>
              </w:rPr>
              <w:t>b) 进度计划与</w:t>
            </w:r>
            <w:r>
              <w:rPr>
                <w:rFonts w:ascii="宋体" w:hAnsi="宋体" w:cs="宋体"/>
                <w:spacing w:val="-34"/>
                <w:sz w:val="18"/>
                <w:szCs w:val="18"/>
              </w:rPr>
              <w:t xml:space="preserve"> </w:t>
            </w:r>
            <w:r>
              <w:rPr>
                <w:rFonts w:ascii="宋体" w:hAnsi="宋体" w:cs="宋体"/>
                <w:spacing w:val="-1"/>
                <w:sz w:val="18"/>
                <w:szCs w:val="18"/>
              </w:rPr>
              <w:t>BIM</w:t>
            </w:r>
            <w:r>
              <w:rPr>
                <w:rFonts w:ascii="宋体" w:hAnsi="宋体" w:cs="宋体"/>
                <w:spacing w:val="-37"/>
                <w:sz w:val="18"/>
                <w:szCs w:val="18"/>
              </w:rPr>
              <w:t xml:space="preserve"> </w:t>
            </w:r>
            <w:r>
              <w:rPr>
                <w:rFonts w:ascii="宋体" w:hAnsi="宋体" w:cs="宋体"/>
                <w:spacing w:val="-1"/>
                <w:sz w:val="18"/>
                <w:szCs w:val="18"/>
              </w:rPr>
              <w:t>模型、劳动力、材料和机械设备的关联功能（1</w:t>
            </w:r>
            <w:r>
              <w:rPr>
                <w:rFonts w:ascii="宋体" w:hAnsi="宋体" w:cs="宋体"/>
                <w:spacing w:val="-37"/>
                <w:sz w:val="18"/>
                <w:szCs w:val="18"/>
              </w:rPr>
              <w:t xml:space="preserve"> </w:t>
            </w:r>
            <w:r>
              <w:rPr>
                <w:rFonts w:ascii="宋体" w:hAnsi="宋体" w:cs="宋体"/>
                <w:spacing w:val="-1"/>
                <w:sz w:val="18"/>
                <w:szCs w:val="18"/>
              </w:rPr>
              <w:t>分）</w:t>
            </w:r>
          </w:p>
        </w:tc>
        <w:tc>
          <w:tcPr>
            <w:tcW w:w="991" w:type="dxa"/>
            <w:vMerge w:val="continue"/>
            <w:tcBorders>
              <w:top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tcBorders>
          </w:tcPr>
          <w:p>
            <w:pPr>
              <w:rPr>
                <w:rFonts w:ascii="Arial"/>
              </w:rPr>
            </w:pPr>
          </w:p>
        </w:tc>
        <w:tc>
          <w:tcPr>
            <w:tcW w:w="682" w:type="dxa"/>
            <w:vMerge w:val="continue"/>
            <w:tcBorders>
              <w:top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restart"/>
            <w:tcBorders>
              <w:bottom w:val="nil"/>
            </w:tcBorders>
          </w:tcPr>
          <w:p>
            <w:pPr>
              <w:spacing w:line="276" w:lineRule="auto"/>
              <w:rPr>
                <w:rFonts w:ascii="Arial"/>
              </w:rPr>
            </w:pPr>
          </w:p>
          <w:p>
            <w:pPr>
              <w:spacing w:line="277" w:lineRule="auto"/>
              <w:rPr>
                <w:rFonts w:ascii="Arial"/>
              </w:rPr>
            </w:pPr>
          </w:p>
          <w:p>
            <w:pPr>
              <w:spacing w:line="277" w:lineRule="auto"/>
              <w:rPr>
                <w:rFonts w:ascii="Arial"/>
              </w:rPr>
            </w:pPr>
          </w:p>
          <w:p>
            <w:pPr>
              <w:spacing w:line="277" w:lineRule="auto"/>
              <w:rPr>
                <w:rFonts w:ascii="Arial"/>
              </w:rPr>
            </w:pPr>
          </w:p>
          <w:p>
            <w:pPr>
              <w:spacing w:line="277" w:lineRule="auto"/>
              <w:rPr>
                <w:rFonts w:ascii="Arial"/>
              </w:rPr>
            </w:pPr>
          </w:p>
          <w:p>
            <w:pPr>
              <w:spacing w:before="59" w:line="219" w:lineRule="auto"/>
              <w:ind w:left="254"/>
              <w:rPr>
                <w:rFonts w:ascii="宋体" w:hAnsi="宋体" w:cs="宋体"/>
                <w:sz w:val="18"/>
                <w:szCs w:val="18"/>
              </w:rPr>
            </w:pPr>
            <w:r>
              <w:rPr>
                <w:rFonts w:ascii="宋体" w:hAnsi="宋体" w:cs="宋体"/>
                <w:spacing w:val="-2"/>
                <w:sz w:val="18"/>
                <w:szCs w:val="18"/>
              </w:rPr>
              <w:t>环境监测</w:t>
            </w:r>
          </w:p>
        </w:tc>
        <w:tc>
          <w:tcPr>
            <w:tcW w:w="677" w:type="dxa"/>
          </w:tcPr>
          <w:p>
            <w:pPr>
              <w:spacing w:before="98" w:line="184" w:lineRule="auto"/>
              <w:ind w:left="310"/>
              <w:rPr>
                <w:rFonts w:ascii="宋体" w:hAnsi="宋体" w:cs="宋体"/>
                <w:sz w:val="18"/>
                <w:szCs w:val="18"/>
              </w:rPr>
            </w:pPr>
            <w:r>
              <w:rPr>
                <w:rFonts w:ascii="宋体" w:hAnsi="宋体" w:cs="宋体"/>
                <w:sz w:val="18"/>
                <w:szCs w:val="18"/>
              </w:rPr>
              <w:t>1</w:t>
            </w:r>
          </w:p>
        </w:tc>
        <w:tc>
          <w:tcPr>
            <w:tcW w:w="7597" w:type="dxa"/>
          </w:tcPr>
          <w:p>
            <w:pPr>
              <w:spacing w:before="71" w:line="219" w:lineRule="auto"/>
              <w:ind w:left="112"/>
              <w:rPr>
                <w:rFonts w:ascii="宋体" w:hAnsi="宋体" w:cs="宋体"/>
                <w:sz w:val="18"/>
                <w:szCs w:val="18"/>
              </w:rPr>
            </w:pPr>
            <w:r>
              <w:rPr>
                <w:rFonts w:ascii="宋体" w:hAnsi="宋体" w:cs="宋体"/>
                <w:spacing w:val="-1"/>
                <w:sz w:val="18"/>
                <w:szCs w:val="18"/>
              </w:rPr>
              <w:t>利用智能水表进行用水量监测（1</w:t>
            </w:r>
            <w:r>
              <w:rPr>
                <w:rFonts w:ascii="宋体" w:hAnsi="宋体" w:cs="宋体"/>
                <w:spacing w:val="-37"/>
                <w:sz w:val="18"/>
                <w:szCs w:val="18"/>
              </w:rPr>
              <w:t xml:space="preserve"> </w:t>
            </w:r>
            <w:r>
              <w:rPr>
                <w:rFonts w:ascii="宋体" w:hAnsi="宋体" w:cs="宋体"/>
                <w:spacing w:val="-1"/>
                <w:sz w:val="18"/>
                <w:szCs w:val="18"/>
              </w:rPr>
              <w:t>分）</w:t>
            </w:r>
          </w:p>
        </w:tc>
        <w:tc>
          <w:tcPr>
            <w:tcW w:w="991" w:type="dxa"/>
            <w:vMerge w:val="restart"/>
            <w:tcBorders>
              <w:bottom w:val="nil"/>
            </w:tcBorders>
          </w:tcPr>
          <w:p>
            <w:pPr>
              <w:spacing w:line="282" w:lineRule="auto"/>
              <w:rPr>
                <w:rFonts w:ascii="Arial"/>
              </w:rPr>
            </w:pPr>
          </w:p>
          <w:p>
            <w:pPr>
              <w:spacing w:line="282" w:lineRule="auto"/>
              <w:rPr>
                <w:rFonts w:ascii="Arial"/>
              </w:rPr>
            </w:pPr>
          </w:p>
          <w:p>
            <w:pPr>
              <w:spacing w:line="283" w:lineRule="auto"/>
              <w:rPr>
                <w:rFonts w:ascii="Arial"/>
              </w:rPr>
            </w:pPr>
          </w:p>
          <w:p>
            <w:pPr>
              <w:spacing w:line="283" w:lineRule="auto"/>
              <w:rPr>
                <w:rFonts w:ascii="Arial"/>
              </w:rPr>
            </w:pPr>
          </w:p>
          <w:p>
            <w:pPr>
              <w:spacing w:line="283" w:lineRule="auto"/>
              <w:rPr>
                <w:rFonts w:ascii="Arial"/>
              </w:rPr>
            </w:pPr>
          </w:p>
          <w:p>
            <w:pPr>
              <w:spacing w:before="58" w:line="182" w:lineRule="auto"/>
              <w:ind w:left="458"/>
              <w:rPr>
                <w:rFonts w:ascii="宋体" w:hAnsi="宋体" w:cs="宋体"/>
                <w:sz w:val="18"/>
                <w:szCs w:val="18"/>
              </w:rPr>
            </w:pPr>
            <w:r>
              <w:rPr>
                <w:rFonts w:ascii="宋体" w:hAnsi="宋体" w:cs="宋体"/>
                <w:sz w:val="18"/>
                <w:szCs w:val="18"/>
              </w:rPr>
              <w:t>5</w:t>
            </w:r>
          </w:p>
        </w:tc>
        <w:tc>
          <w:tcPr>
            <w:tcW w:w="807" w:type="dxa"/>
          </w:tcPr>
          <w:p>
            <w:pPr>
              <w:jc w:val="center"/>
              <w:rPr>
                <w:rFonts w:ascii="Arial"/>
              </w:rPr>
            </w:pPr>
            <w:r>
              <w:rPr>
                <w:rFonts w:hint="eastAsia" w:ascii="Arial"/>
              </w:rPr>
              <w:t>1</w:t>
            </w:r>
          </w:p>
        </w:tc>
        <w:tc>
          <w:tcPr>
            <w:tcW w:w="996" w:type="dxa"/>
            <w:vMerge w:val="restart"/>
            <w:tcBorders>
              <w:bottom w:val="nil"/>
            </w:tcBorders>
          </w:tcPr>
          <w:p>
            <w:pPr>
              <w:jc w:val="center"/>
              <w:rPr>
                <w:rFonts w:ascii="Arial"/>
              </w:rPr>
            </w:pPr>
            <w:r>
              <w:rPr>
                <w:rFonts w:hint="eastAsia" w:ascii="Arial"/>
              </w:rPr>
              <w:t>5</w:t>
            </w:r>
          </w:p>
        </w:tc>
        <w:tc>
          <w:tcPr>
            <w:tcW w:w="682" w:type="dxa"/>
            <w:vMerge w:val="restart"/>
            <w:tcBorders>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98" w:line="183" w:lineRule="auto"/>
              <w:ind w:left="298"/>
              <w:rPr>
                <w:rFonts w:ascii="宋体" w:hAnsi="宋体" w:cs="宋体"/>
                <w:sz w:val="18"/>
                <w:szCs w:val="18"/>
              </w:rPr>
            </w:pPr>
            <w:r>
              <w:rPr>
                <w:rFonts w:ascii="宋体" w:hAnsi="宋体" w:cs="宋体"/>
                <w:sz w:val="18"/>
                <w:szCs w:val="18"/>
              </w:rPr>
              <w:t>2</w:t>
            </w:r>
          </w:p>
        </w:tc>
        <w:tc>
          <w:tcPr>
            <w:tcW w:w="7597" w:type="dxa"/>
          </w:tcPr>
          <w:p>
            <w:pPr>
              <w:spacing w:before="70" w:line="219" w:lineRule="auto"/>
              <w:ind w:left="112"/>
              <w:rPr>
                <w:rFonts w:ascii="宋体" w:hAnsi="宋体" w:cs="宋体"/>
                <w:sz w:val="18"/>
                <w:szCs w:val="18"/>
              </w:rPr>
            </w:pPr>
            <w:r>
              <w:rPr>
                <w:rFonts w:ascii="宋体" w:hAnsi="宋体" w:cs="宋体"/>
                <w:spacing w:val="-1"/>
                <w:sz w:val="18"/>
                <w:szCs w:val="18"/>
              </w:rPr>
              <w:t>利用智能电表进行用电量监测（1</w:t>
            </w:r>
            <w:r>
              <w:rPr>
                <w:rFonts w:ascii="宋体" w:hAnsi="宋体" w:cs="宋体"/>
                <w:spacing w:val="-37"/>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1</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97" w:line="183" w:lineRule="auto"/>
              <w:ind w:left="300"/>
              <w:rPr>
                <w:rFonts w:ascii="宋体" w:hAnsi="宋体" w:cs="宋体"/>
                <w:sz w:val="18"/>
                <w:szCs w:val="18"/>
              </w:rPr>
            </w:pPr>
            <w:r>
              <w:rPr>
                <w:rFonts w:ascii="宋体" w:hAnsi="宋体" w:cs="宋体"/>
                <w:sz w:val="18"/>
                <w:szCs w:val="18"/>
              </w:rPr>
              <w:t>3</w:t>
            </w:r>
          </w:p>
        </w:tc>
        <w:tc>
          <w:tcPr>
            <w:tcW w:w="7597" w:type="dxa"/>
          </w:tcPr>
          <w:p>
            <w:pPr>
              <w:spacing w:before="69" w:line="218" w:lineRule="auto"/>
              <w:ind w:left="111"/>
              <w:rPr>
                <w:rFonts w:ascii="宋体" w:hAnsi="宋体" w:cs="宋体"/>
                <w:sz w:val="18"/>
                <w:szCs w:val="18"/>
              </w:rPr>
            </w:pPr>
            <w:r>
              <w:rPr>
                <w:rFonts w:ascii="宋体" w:hAnsi="宋体" w:cs="宋体"/>
                <w:spacing w:val="-1"/>
                <w:sz w:val="18"/>
                <w:szCs w:val="18"/>
              </w:rPr>
              <w:t>提供机械设备油耗智能监测（1</w:t>
            </w:r>
            <w:r>
              <w:rPr>
                <w:rFonts w:ascii="宋体" w:hAnsi="宋体" w:cs="宋体"/>
                <w:spacing w:val="-37"/>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98" w:line="183" w:lineRule="auto"/>
              <w:ind w:left="296"/>
              <w:rPr>
                <w:rFonts w:ascii="宋体" w:hAnsi="宋体" w:cs="宋体"/>
                <w:sz w:val="18"/>
                <w:szCs w:val="18"/>
              </w:rPr>
            </w:pPr>
            <w:r>
              <w:rPr>
                <w:rFonts w:ascii="宋体" w:hAnsi="宋体" w:cs="宋体"/>
                <w:sz w:val="18"/>
                <w:szCs w:val="18"/>
              </w:rPr>
              <w:t>4</w:t>
            </w:r>
          </w:p>
        </w:tc>
        <w:tc>
          <w:tcPr>
            <w:tcW w:w="7597" w:type="dxa"/>
          </w:tcPr>
          <w:p>
            <w:pPr>
              <w:spacing w:before="71" w:line="217" w:lineRule="auto"/>
              <w:ind w:left="118"/>
              <w:rPr>
                <w:rFonts w:ascii="宋体" w:hAnsi="宋体" w:cs="宋体"/>
                <w:sz w:val="18"/>
                <w:szCs w:val="18"/>
              </w:rPr>
            </w:pPr>
            <w:r>
              <w:rPr>
                <w:rFonts w:ascii="宋体" w:hAnsi="宋体" w:cs="宋体"/>
                <w:spacing w:val="-1"/>
                <w:sz w:val="18"/>
                <w:szCs w:val="18"/>
              </w:rPr>
              <w:t>喷淋系统与扬尘监测系统联动或远程控制喷淋设备（1</w:t>
            </w:r>
            <w:r>
              <w:rPr>
                <w:rFonts w:ascii="宋体" w:hAnsi="宋体" w:cs="宋体"/>
                <w:spacing w:val="-35"/>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1</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98" w:line="182" w:lineRule="auto"/>
              <w:ind w:left="300"/>
              <w:rPr>
                <w:rFonts w:ascii="宋体" w:hAnsi="宋体" w:cs="宋体"/>
                <w:sz w:val="18"/>
                <w:szCs w:val="18"/>
              </w:rPr>
            </w:pPr>
            <w:r>
              <w:rPr>
                <w:rFonts w:ascii="宋体" w:hAnsi="宋体" w:cs="宋体"/>
                <w:sz w:val="18"/>
                <w:szCs w:val="18"/>
              </w:rPr>
              <w:t>5</w:t>
            </w:r>
          </w:p>
        </w:tc>
        <w:tc>
          <w:tcPr>
            <w:tcW w:w="7597" w:type="dxa"/>
          </w:tcPr>
          <w:p>
            <w:pPr>
              <w:spacing w:before="69" w:line="219" w:lineRule="auto"/>
              <w:ind w:left="113"/>
              <w:rPr>
                <w:rFonts w:ascii="宋体" w:hAnsi="宋体" w:cs="宋体"/>
                <w:sz w:val="18"/>
                <w:szCs w:val="18"/>
              </w:rPr>
            </w:pPr>
            <w:r>
              <w:rPr>
                <w:rFonts w:ascii="宋体" w:hAnsi="宋体" w:cs="宋体"/>
                <w:spacing w:val="-2"/>
                <w:sz w:val="18"/>
                <w:szCs w:val="18"/>
              </w:rPr>
              <w:t>污水自动监测功能（1</w:t>
            </w:r>
            <w:r>
              <w:rPr>
                <w:rFonts w:ascii="宋体" w:hAnsi="宋体" w:cs="宋体"/>
                <w:spacing w:val="-31"/>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1</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99" w:line="183" w:lineRule="auto"/>
              <w:ind w:left="298"/>
              <w:rPr>
                <w:rFonts w:ascii="宋体" w:hAnsi="宋体" w:cs="宋体"/>
                <w:sz w:val="18"/>
                <w:szCs w:val="18"/>
              </w:rPr>
            </w:pPr>
            <w:r>
              <w:rPr>
                <w:rFonts w:ascii="宋体" w:hAnsi="宋体" w:cs="宋体"/>
                <w:sz w:val="18"/>
                <w:szCs w:val="18"/>
              </w:rPr>
              <w:t>6</w:t>
            </w:r>
          </w:p>
        </w:tc>
        <w:tc>
          <w:tcPr>
            <w:tcW w:w="7597" w:type="dxa"/>
          </w:tcPr>
          <w:p>
            <w:pPr>
              <w:spacing w:before="71" w:line="218" w:lineRule="auto"/>
              <w:ind w:left="111"/>
              <w:rPr>
                <w:rFonts w:ascii="宋体" w:hAnsi="宋体" w:cs="宋体"/>
                <w:sz w:val="18"/>
                <w:szCs w:val="18"/>
              </w:rPr>
            </w:pPr>
            <w:r>
              <w:rPr>
                <w:rFonts w:ascii="宋体" w:hAnsi="宋体" w:cs="宋体"/>
                <w:spacing w:val="-2"/>
                <w:sz w:val="18"/>
                <w:szCs w:val="18"/>
              </w:rPr>
              <w:t>臭氧自动监测功能（1</w:t>
            </w:r>
            <w:r>
              <w:rPr>
                <w:rFonts w:ascii="宋体" w:hAnsi="宋体" w:cs="宋体"/>
                <w:spacing w:val="-30"/>
                <w:sz w:val="18"/>
                <w:szCs w:val="18"/>
              </w:rPr>
              <w:t xml:space="preserve"> </w:t>
            </w:r>
            <w:r>
              <w:rPr>
                <w:rFonts w:ascii="宋体" w:hAnsi="宋体" w:cs="宋体"/>
                <w:spacing w:val="-2"/>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1</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99" w:line="182" w:lineRule="auto"/>
              <w:ind w:left="301"/>
              <w:rPr>
                <w:rFonts w:ascii="宋体" w:hAnsi="宋体" w:cs="宋体"/>
                <w:sz w:val="18"/>
                <w:szCs w:val="18"/>
              </w:rPr>
            </w:pPr>
            <w:r>
              <w:rPr>
                <w:rFonts w:ascii="宋体" w:hAnsi="宋体" w:cs="宋体"/>
                <w:sz w:val="18"/>
                <w:szCs w:val="18"/>
              </w:rPr>
              <w:t>7</w:t>
            </w:r>
          </w:p>
        </w:tc>
        <w:tc>
          <w:tcPr>
            <w:tcW w:w="7597" w:type="dxa"/>
          </w:tcPr>
          <w:p>
            <w:pPr>
              <w:spacing w:before="70" w:line="219" w:lineRule="auto"/>
              <w:ind w:left="111"/>
              <w:rPr>
                <w:rFonts w:ascii="宋体" w:hAnsi="宋体" w:cs="宋体"/>
                <w:sz w:val="18"/>
                <w:szCs w:val="18"/>
              </w:rPr>
            </w:pPr>
            <w:r>
              <w:rPr>
                <w:rFonts w:ascii="宋体" w:hAnsi="宋体" w:cs="宋体"/>
                <w:spacing w:val="-1"/>
                <w:sz w:val="18"/>
                <w:szCs w:val="18"/>
              </w:rPr>
              <w:t>用信息化措施记录施工现场建筑垃圾的产生量、回收量、排放量（2</w:t>
            </w:r>
            <w:r>
              <w:rPr>
                <w:rFonts w:ascii="宋体" w:hAnsi="宋体" w:cs="宋体"/>
                <w:spacing w:val="-21"/>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99" w:line="183" w:lineRule="auto"/>
              <w:ind w:left="297"/>
              <w:rPr>
                <w:rFonts w:ascii="宋体" w:hAnsi="宋体" w:cs="宋体"/>
                <w:sz w:val="18"/>
                <w:szCs w:val="18"/>
              </w:rPr>
            </w:pPr>
            <w:r>
              <w:rPr>
                <w:rFonts w:ascii="宋体" w:hAnsi="宋体" w:cs="宋体"/>
                <w:sz w:val="18"/>
                <w:szCs w:val="18"/>
              </w:rPr>
              <w:t>8</w:t>
            </w:r>
          </w:p>
        </w:tc>
        <w:tc>
          <w:tcPr>
            <w:tcW w:w="7597" w:type="dxa"/>
          </w:tcPr>
          <w:p>
            <w:pPr>
              <w:spacing w:before="71" w:line="219" w:lineRule="auto"/>
              <w:ind w:left="113"/>
              <w:rPr>
                <w:rFonts w:ascii="宋体" w:hAnsi="宋体" w:cs="宋体"/>
                <w:sz w:val="18"/>
                <w:szCs w:val="18"/>
              </w:rPr>
            </w:pPr>
            <w:r>
              <w:rPr>
                <w:rFonts w:ascii="宋体" w:hAnsi="宋体" w:cs="宋体"/>
                <w:sz w:val="18"/>
                <w:szCs w:val="18"/>
              </w:rPr>
              <w:t>建筑垃圾减量化管理和再生资源应用（</w:t>
            </w:r>
            <w:r>
              <w:rPr>
                <w:rFonts w:ascii="Arial" w:hAnsi="Arial" w:eastAsia="Arial" w:cs="Arial"/>
                <w:sz w:val="18"/>
                <w:szCs w:val="18"/>
              </w:rPr>
              <w:t xml:space="preserve">2 </w:t>
            </w:r>
            <w:r>
              <w:rPr>
                <w:rFonts w:ascii="宋体" w:hAnsi="宋体" w:cs="宋体"/>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4" w:hRule="atLeast"/>
        </w:trPr>
        <w:tc>
          <w:tcPr>
            <w:tcW w:w="1223" w:type="dxa"/>
            <w:vMerge w:val="continue"/>
            <w:tcBorders>
              <w:top w:val="nil"/>
            </w:tcBorders>
          </w:tcPr>
          <w:p>
            <w:pPr>
              <w:rPr>
                <w:rFonts w:ascii="Arial"/>
              </w:rPr>
            </w:pPr>
          </w:p>
        </w:tc>
        <w:tc>
          <w:tcPr>
            <w:tcW w:w="677" w:type="dxa"/>
          </w:tcPr>
          <w:p>
            <w:pPr>
              <w:spacing w:before="180" w:line="183" w:lineRule="auto"/>
              <w:ind w:left="297"/>
              <w:rPr>
                <w:rFonts w:ascii="宋体" w:hAnsi="宋体" w:cs="宋体"/>
                <w:sz w:val="18"/>
                <w:szCs w:val="18"/>
              </w:rPr>
            </w:pPr>
            <w:r>
              <w:rPr>
                <w:rFonts w:ascii="宋体" w:hAnsi="宋体" w:cs="宋体"/>
                <w:sz w:val="18"/>
                <w:szCs w:val="18"/>
              </w:rPr>
              <w:t>9</w:t>
            </w:r>
          </w:p>
        </w:tc>
        <w:tc>
          <w:tcPr>
            <w:tcW w:w="7597" w:type="dxa"/>
          </w:tcPr>
          <w:p>
            <w:pPr>
              <w:spacing w:before="152" w:line="219" w:lineRule="auto"/>
              <w:ind w:left="112"/>
              <w:rPr>
                <w:rFonts w:ascii="宋体" w:hAnsi="宋体" w:cs="宋体"/>
                <w:sz w:val="18"/>
                <w:szCs w:val="18"/>
              </w:rPr>
            </w:pPr>
            <w:r>
              <w:rPr>
                <w:rFonts w:ascii="宋体" w:hAnsi="宋体" w:cs="宋体"/>
                <w:spacing w:val="-1"/>
                <w:sz w:val="18"/>
                <w:szCs w:val="18"/>
              </w:rPr>
              <w:t>施工项目生活区、办公区安装和使用火灾自动监控报警装置（1</w:t>
            </w:r>
            <w:r>
              <w:rPr>
                <w:rFonts w:ascii="宋体" w:hAnsi="宋体" w:cs="宋体"/>
                <w:spacing w:val="-24"/>
                <w:sz w:val="18"/>
                <w:szCs w:val="18"/>
              </w:rPr>
              <w:t xml:space="preserve"> </w:t>
            </w:r>
            <w:r>
              <w:rPr>
                <w:rFonts w:ascii="宋体" w:hAnsi="宋体" w:cs="宋体"/>
                <w:spacing w:val="-1"/>
                <w:sz w:val="18"/>
                <w:szCs w:val="18"/>
              </w:rPr>
              <w:t>分）</w:t>
            </w:r>
          </w:p>
        </w:tc>
        <w:tc>
          <w:tcPr>
            <w:tcW w:w="991" w:type="dxa"/>
            <w:vMerge w:val="continue"/>
            <w:tcBorders>
              <w:top w:val="nil"/>
            </w:tcBorders>
          </w:tcPr>
          <w:p>
            <w:pPr>
              <w:rPr>
                <w:rFonts w:ascii="Arial"/>
              </w:rPr>
            </w:pPr>
          </w:p>
        </w:tc>
        <w:tc>
          <w:tcPr>
            <w:tcW w:w="807" w:type="dxa"/>
          </w:tcPr>
          <w:p>
            <w:pPr>
              <w:jc w:val="center"/>
              <w:rPr>
                <w:rFonts w:ascii="Arial"/>
              </w:rPr>
            </w:pPr>
            <w:r>
              <w:rPr>
                <w:rFonts w:hint="eastAsia" w:ascii="Arial"/>
              </w:rPr>
              <w:t>1</w:t>
            </w:r>
          </w:p>
        </w:tc>
        <w:tc>
          <w:tcPr>
            <w:tcW w:w="996" w:type="dxa"/>
            <w:vMerge w:val="continue"/>
            <w:tcBorders>
              <w:top w:val="nil"/>
            </w:tcBorders>
          </w:tcPr>
          <w:p>
            <w:pPr>
              <w:rPr>
                <w:rFonts w:ascii="Arial"/>
              </w:rPr>
            </w:pPr>
          </w:p>
        </w:tc>
        <w:tc>
          <w:tcPr>
            <w:tcW w:w="682" w:type="dxa"/>
            <w:vMerge w:val="continue"/>
            <w:tcBorders>
              <w:top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trPr>
        <w:tc>
          <w:tcPr>
            <w:tcW w:w="1223" w:type="dxa"/>
            <w:vMerge w:val="restart"/>
            <w:tcBorders>
              <w:bottom w:val="nil"/>
            </w:tcBorders>
          </w:tcPr>
          <w:p>
            <w:pPr>
              <w:spacing w:line="299" w:lineRule="auto"/>
              <w:rPr>
                <w:rFonts w:ascii="Arial"/>
              </w:rPr>
            </w:pPr>
          </w:p>
          <w:p>
            <w:pPr>
              <w:spacing w:line="299" w:lineRule="auto"/>
              <w:rPr>
                <w:rFonts w:ascii="Arial"/>
              </w:rPr>
            </w:pPr>
          </w:p>
          <w:p>
            <w:pPr>
              <w:spacing w:line="299" w:lineRule="auto"/>
              <w:rPr>
                <w:rFonts w:ascii="Arial"/>
              </w:rPr>
            </w:pPr>
          </w:p>
          <w:p>
            <w:pPr>
              <w:spacing w:before="59" w:line="219" w:lineRule="auto"/>
              <w:ind w:left="167"/>
              <w:rPr>
                <w:rFonts w:ascii="宋体" w:hAnsi="宋体" w:cs="宋体"/>
                <w:sz w:val="18"/>
                <w:szCs w:val="18"/>
              </w:rPr>
            </w:pPr>
            <w:r>
              <w:rPr>
                <w:rFonts w:ascii="宋体" w:hAnsi="宋体" w:cs="宋体"/>
                <w:spacing w:val="-2"/>
                <w:sz w:val="18"/>
                <w:szCs w:val="18"/>
              </w:rPr>
              <w:t>数字化建造</w:t>
            </w:r>
          </w:p>
        </w:tc>
        <w:tc>
          <w:tcPr>
            <w:tcW w:w="677" w:type="dxa"/>
          </w:tcPr>
          <w:p>
            <w:pPr>
              <w:spacing w:before="256" w:line="184" w:lineRule="auto"/>
              <w:ind w:left="310"/>
              <w:rPr>
                <w:rFonts w:ascii="宋体" w:hAnsi="宋体" w:cs="宋体"/>
                <w:sz w:val="18"/>
                <w:szCs w:val="18"/>
              </w:rPr>
            </w:pPr>
            <w:r>
              <w:rPr>
                <w:rFonts w:ascii="宋体" w:hAnsi="宋体" w:cs="宋体"/>
                <w:sz w:val="18"/>
                <w:szCs w:val="18"/>
              </w:rPr>
              <w:t>1</w:t>
            </w:r>
          </w:p>
        </w:tc>
        <w:tc>
          <w:tcPr>
            <w:tcW w:w="7597" w:type="dxa"/>
          </w:tcPr>
          <w:p>
            <w:pPr>
              <w:spacing w:before="71" w:line="270" w:lineRule="auto"/>
              <w:ind w:left="113" w:right="151" w:hanging="6"/>
              <w:rPr>
                <w:rFonts w:ascii="宋体" w:hAnsi="宋体" w:cs="宋体"/>
                <w:sz w:val="18"/>
                <w:szCs w:val="18"/>
              </w:rPr>
            </w:pPr>
            <w:r>
              <w:rPr>
                <w:rFonts w:ascii="宋体" w:hAnsi="宋体" w:cs="宋体"/>
                <w:sz w:val="18"/>
                <w:szCs w:val="18"/>
              </w:rPr>
              <w:t>BIM</w:t>
            </w:r>
            <w:r>
              <w:rPr>
                <w:rFonts w:ascii="宋体" w:hAnsi="宋体" w:cs="宋体"/>
                <w:spacing w:val="-35"/>
                <w:sz w:val="18"/>
                <w:szCs w:val="18"/>
              </w:rPr>
              <w:t xml:space="preserve"> </w:t>
            </w:r>
            <w:r>
              <w:rPr>
                <w:rFonts w:ascii="宋体" w:hAnsi="宋体" w:cs="宋体"/>
                <w:sz w:val="18"/>
                <w:szCs w:val="18"/>
              </w:rPr>
              <w:t>技术应用：深化设计、总体施工流程、工程量统计、可视</w:t>
            </w:r>
            <w:r>
              <w:rPr>
                <w:rFonts w:ascii="宋体" w:hAnsi="宋体" w:cs="宋体"/>
                <w:spacing w:val="-1"/>
                <w:sz w:val="18"/>
                <w:szCs w:val="18"/>
              </w:rPr>
              <w:t>化交底、分阶段场地布置、施工</w:t>
            </w:r>
            <w:r>
              <w:rPr>
                <w:rFonts w:ascii="宋体" w:hAnsi="宋体" w:cs="宋体"/>
                <w:sz w:val="18"/>
                <w:szCs w:val="18"/>
              </w:rPr>
              <w:t xml:space="preserve"> </w:t>
            </w:r>
            <w:r>
              <w:rPr>
                <w:rFonts w:ascii="宋体" w:hAnsi="宋体" w:cs="宋体"/>
                <w:spacing w:val="-4"/>
                <w:sz w:val="18"/>
                <w:szCs w:val="18"/>
              </w:rPr>
              <w:t>工艺模拟、碰撞检查等（满足</w:t>
            </w:r>
            <w:r>
              <w:rPr>
                <w:rFonts w:ascii="宋体" w:hAnsi="宋体" w:cs="宋体"/>
                <w:spacing w:val="-12"/>
                <w:sz w:val="18"/>
                <w:szCs w:val="18"/>
              </w:rPr>
              <w:t xml:space="preserve"> </w:t>
            </w:r>
            <w:r>
              <w:rPr>
                <w:rFonts w:ascii="宋体" w:hAnsi="宋体" w:cs="宋体"/>
                <w:spacing w:val="-4"/>
                <w:sz w:val="18"/>
                <w:szCs w:val="18"/>
              </w:rPr>
              <w:t>1</w:t>
            </w:r>
            <w:r>
              <w:rPr>
                <w:rFonts w:ascii="宋体" w:hAnsi="宋体" w:cs="宋体"/>
                <w:spacing w:val="-35"/>
                <w:sz w:val="18"/>
                <w:szCs w:val="18"/>
              </w:rPr>
              <w:t xml:space="preserve"> </w:t>
            </w:r>
            <w:r>
              <w:rPr>
                <w:rFonts w:ascii="宋体" w:hAnsi="宋体" w:cs="宋体"/>
                <w:spacing w:val="-4"/>
                <w:sz w:val="18"/>
                <w:szCs w:val="18"/>
              </w:rPr>
              <w:t>项加</w:t>
            </w:r>
            <w:r>
              <w:rPr>
                <w:rFonts w:ascii="宋体" w:hAnsi="宋体" w:cs="宋体"/>
                <w:spacing w:val="-27"/>
                <w:sz w:val="18"/>
                <w:szCs w:val="18"/>
              </w:rPr>
              <w:t xml:space="preserve"> </w:t>
            </w:r>
            <w:r>
              <w:rPr>
                <w:rFonts w:ascii="宋体" w:hAnsi="宋体" w:cs="宋体"/>
                <w:spacing w:val="-4"/>
                <w:sz w:val="18"/>
                <w:szCs w:val="18"/>
              </w:rPr>
              <w:t>1</w:t>
            </w:r>
            <w:r>
              <w:rPr>
                <w:rFonts w:ascii="宋体" w:hAnsi="宋体" w:cs="宋体"/>
                <w:spacing w:val="-34"/>
                <w:sz w:val="18"/>
                <w:szCs w:val="18"/>
              </w:rPr>
              <w:t xml:space="preserve"> </w:t>
            </w:r>
            <w:r>
              <w:rPr>
                <w:rFonts w:ascii="宋体" w:hAnsi="宋体" w:cs="宋体"/>
                <w:spacing w:val="-4"/>
                <w:sz w:val="18"/>
                <w:szCs w:val="18"/>
              </w:rPr>
              <w:t>分，最多加</w:t>
            </w:r>
            <w:r>
              <w:rPr>
                <w:rFonts w:ascii="宋体" w:hAnsi="宋体" w:cs="宋体"/>
                <w:spacing w:val="-38"/>
                <w:sz w:val="18"/>
                <w:szCs w:val="18"/>
              </w:rPr>
              <w:t xml:space="preserve"> </w:t>
            </w:r>
            <w:r>
              <w:rPr>
                <w:rFonts w:ascii="宋体" w:hAnsi="宋体" w:cs="宋体"/>
                <w:spacing w:val="-4"/>
                <w:sz w:val="18"/>
                <w:szCs w:val="18"/>
              </w:rPr>
              <w:t>6</w:t>
            </w:r>
            <w:r>
              <w:rPr>
                <w:rFonts w:ascii="宋体" w:hAnsi="宋体" w:cs="宋体"/>
                <w:spacing w:val="-34"/>
                <w:sz w:val="18"/>
                <w:szCs w:val="18"/>
              </w:rPr>
              <w:t xml:space="preserve"> </w:t>
            </w:r>
            <w:r>
              <w:rPr>
                <w:rFonts w:ascii="宋体" w:hAnsi="宋体" w:cs="宋体"/>
                <w:spacing w:val="-4"/>
                <w:sz w:val="18"/>
                <w:szCs w:val="18"/>
              </w:rPr>
              <w:t>分）</w:t>
            </w:r>
          </w:p>
        </w:tc>
        <w:tc>
          <w:tcPr>
            <w:tcW w:w="991" w:type="dxa"/>
            <w:vMerge w:val="restart"/>
            <w:tcBorders>
              <w:bottom w:val="nil"/>
            </w:tcBorders>
          </w:tcPr>
          <w:p>
            <w:pPr>
              <w:spacing w:line="308" w:lineRule="auto"/>
              <w:rPr>
                <w:rFonts w:ascii="Arial"/>
              </w:rPr>
            </w:pPr>
          </w:p>
          <w:p>
            <w:pPr>
              <w:spacing w:line="308" w:lineRule="auto"/>
              <w:rPr>
                <w:rFonts w:ascii="Arial"/>
              </w:rPr>
            </w:pPr>
          </w:p>
          <w:p>
            <w:pPr>
              <w:spacing w:line="309" w:lineRule="auto"/>
              <w:rPr>
                <w:rFonts w:ascii="Arial"/>
              </w:rPr>
            </w:pPr>
          </w:p>
          <w:p>
            <w:pPr>
              <w:spacing w:before="59" w:line="183" w:lineRule="auto"/>
              <w:ind w:left="455"/>
              <w:rPr>
                <w:rFonts w:ascii="宋体" w:hAnsi="宋体" w:cs="宋体"/>
                <w:sz w:val="18"/>
                <w:szCs w:val="18"/>
              </w:rPr>
            </w:pPr>
            <w:r>
              <w:rPr>
                <w:rFonts w:ascii="宋体" w:hAnsi="宋体" w:cs="宋体"/>
                <w:sz w:val="18"/>
                <w:szCs w:val="18"/>
              </w:rPr>
              <w:t>8</w:t>
            </w:r>
          </w:p>
        </w:tc>
        <w:tc>
          <w:tcPr>
            <w:tcW w:w="807" w:type="dxa"/>
          </w:tcPr>
          <w:p>
            <w:pPr>
              <w:jc w:val="center"/>
              <w:rPr>
                <w:rFonts w:ascii="Arial"/>
              </w:rPr>
            </w:pPr>
            <w:r>
              <w:rPr>
                <w:rFonts w:hint="eastAsia" w:ascii="Arial"/>
              </w:rPr>
              <w:t>6</w:t>
            </w:r>
          </w:p>
        </w:tc>
        <w:tc>
          <w:tcPr>
            <w:tcW w:w="996" w:type="dxa"/>
            <w:vMerge w:val="restart"/>
            <w:tcBorders>
              <w:bottom w:val="nil"/>
            </w:tcBorders>
          </w:tcPr>
          <w:p>
            <w:pPr>
              <w:jc w:val="center"/>
              <w:rPr>
                <w:rFonts w:ascii="Arial"/>
              </w:rPr>
            </w:pPr>
            <w:r>
              <w:rPr>
                <w:rFonts w:hint="eastAsia" w:ascii="Arial"/>
              </w:rPr>
              <w:t>8</w:t>
            </w:r>
          </w:p>
        </w:tc>
        <w:tc>
          <w:tcPr>
            <w:tcW w:w="682" w:type="dxa"/>
            <w:vMerge w:val="restart"/>
            <w:tcBorders>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101" w:line="183" w:lineRule="auto"/>
              <w:ind w:left="298"/>
              <w:rPr>
                <w:rFonts w:ascii="宋体" w:hAnsi="宋体" w:cs="宋体"/>
                <w:sz w:val="18"/>
                <w:szCs w:val="18"/>
              </w:rPr>
            </w:pPr>
            <w:r>
              <w:rPr>
                <w:rFonts w:ascii="宋体" w:hAnsi="宋体" w:cs="宋体"/>
                <w:sz w:val="18"/>
                <w:szCs w:val="18"/>
              </w:rPr>
              <w:t>2</w:t>
            </w:r>
          </w:p>
        </w:tc>
        <w:tc>
          <w:tcPr>
            <w:tcW w:w="7597" w:type="dxa"/>
          </w:tcPr>
          <w:p>
            <w:pPr>
              <w:spacing w:before="73" w:line="218" w:lineRule="auto"/>
              <w:ind w:left="107"/>
              <w:rPr>
                <w:rFonts w:ascii="宋体" w:hAnsi="宋体" w:cs="宋体"/>
                <w:sz w:val="18"/>
                <w:szCs w:val="18"/>
              </w:rPr>
            </w:pPr>
            <w:r>
              <w:rPr>
                <w:rFonts w:ascii="宋体" w:hAnsi="宋体" w:cs="宋体"/>
                <w:spacing w:val="-2"/>
                <w:sz w:val="18"/>
                <w:szCs w:val="18"/>
              </w:rPr>
              <w:t>BIM</w:t>
            </w:r>
            <w:r>
              <w:rPr>
                <w:rFonts w:ascii="宋体" w:hAnsi="宋体" w:cs="宋体"/>
                <w:spacing w:val="-37"/>
                <w:sz w:val="18"/>
                <w:szCs w:val="18"/>
              </w:rPr>
              <w:t xml:space="preserve"> </w:t>
            </w:r>
            <w:r>
              <w:rPr>
                <w:rFonts w:ascii="宋体" w:hAnsi="宋体" w:cs="宋体"/>
                <w:spacing w:val="-2"/>
                <w:sz w:val="18"/>
                <w:szCs w:val="18"/>
              </w:rPr>
              <w:t>模型上传</w:t>
            </w:r>
            <w:r>
              <w:rPr>
                <w:rFonts w:ascii="宋体" w:hAnsi="宋体" w:cs="宋体"/>
                <w:spacing w:val="-38"/>
                <w:sz w:val="18"/>
                <w:szCs w:val="18"/>
              </w:rPr>
              <w:t xml:space="preserve"> </w:t>
            </w:r>
            <w:r>
              <w:rPr>
                <w:rFonts w:ascii="宋体" w:hAnsi="宋体" w:cs="宋体"/>
                <w:spacing w:val="-2"/>
                <w:sz w:val="18"/>
                <w:szCs w:val="18"/>
              </w:rPr>
              <w:t>CIM</w:t>
            </w:r>
            <w:r>
              <w:rPr>
                <w:rFonts w:ascii="宋体" w:hAnsi="宋体" w:cs="宋体"/>
                <w:spacing w:val="-37"/>
                <w:sz w:val="18"/>
                <w:szCs w:val="18"/>
              </w:rPr>
              <w:t xml:space="preserve"> </w:t>
            </w:r>
            <w:r>
              <w:rPr>
                <w:rFonts w:ascii="宋体" w:hAnsi="宋体" w:cs="宋体"/>
                <w:spacing w:val="-2"/>
                <w:sz w:val="18"/>
                <w:szCs w:val="18"/>
              </w:rPr>
              <w:t>平台：施工过程模型、竣工</w:t>
            </w:r>
            <w:r>
              <w:rPr>
                <w:rFonts w:ascii="宋体" w:hAnsi="宋体" w:cs="宋体"/>
                <w:spacing w:val="-3"/>
                <w:sz w:val="18"/>
                <w:szCs w:val="18"/>
              </w:rPr>
              <w:t>模型（满足</w:t>
            </w:r>
            <w:r>
              <w:rPr>
                <w:rFonts w:ascii="宋体" w:hAnsi="宋体" w:cs="宋体"/>
                <w:spacing w:val="-24"/>
                <w:sz w:val="18"/>
                <w:szCs w:val="18"/>
              </w:rPr>
              <w:t xml:space="preserve"> </w:t>
            </w:r>
            <w:r>
              <w:rPr>
                <w:rFonts w:ascii="宋体" w:hAnsi="宋体" w:cs="宋体"/>
                <w:spacing w:val="-3"/>
                <w:sz w:val="18"/>
                <w:szCs w:val="18"/>
              </w:rPr>
              <w:t>1</w:t>
            </w:r>
            <w:r>
              <w:rPr>
                <w:rFonts w:ascii="宋体" w:hAnsi="宋体" w:cs="宋体"/>
                <w:spacing w:val="-38"/>
                <w:sz w:val="18"/>
                <w:szCs w:val="18"/>
              </w:rPr>
              <w:t xml:space="preserve"> </w:t>
            </w:r>
            <w:r>
              <w:rPr>
                <w:rFonts w:ascii="宋体" w:hAnsi="宋体" w:cs="宋体"/>
                <w:spacing w:val="-3"/>
                <w:sz w:val="18"/>
                <w:szCs w:val="18"/>
              </w:rPr>
              <w:t>项加</w:t>
            </w:r>
            <w:r>
              <w:rPr>
                <w:rFonts w:ascii="宋体" w:hAnsi="宋体" w:cs="宋体"/>
                <w:spacing w:val="-35"/>
                <w:sz w:val="18"/>
                <w:szCs w:val="18"/>
              </w:rPr>
              <w:t xml:space="preserve"> </w:t>
            </w:r>
            <w:r>
              <w:rPr>
                <w:rFonts w:ascii="宋体" w:hAnsi="宋体" w:cs="宋体"/>
                <w:spacing w:val="-3"/>
                <w:sz w:val="18"/>
                <w:szCs w:val="18"/>
              </w:rPr>
              <w:t>2</w:t>
            </w:r>
            <w:r>
              <w:rPr>
                <w:rFonts w:ascii="宋体" w:hAnsi="宋体" w:cs="宋体"/>
                <w:spacing w:val="-37"/>
                <w:sz w:val="18"/>
                <w:szCs w:val="18"/>
              </w:rPr>
              <w:t xml:space="preserve"> </w:t>
            </w:r>
            <w:r>
              <w:rPr>
                <w:rFonts w:ascii="宋体" w:hAnsi="宋体" w:cs="宋体"/>
                <w:spacing w:val="-3"/>
                <w:sz w:val="18"/>
                <w:szCs w:val="18"/>
              </w:rPr>
              <w:t>分，共</w:t>
            </w:r>
            <w:r>
              <w:rPr>
                <w:rFonts w:ascii="宋体" w:hAnsi="宋体" w:cs="宋体"/>
                <w:spacing w:val="-38"/>
                <w:sz w:val="18"/>
                <w:szCs w:val="18"/>
              </w:rPr>
              <w:t xml:space="preserve"> </w:t>
            </w:r>
            <w:r>
              <w:rPr>
                <w:rFonts w:ascii="宋体" w:hAnsi="宋体" w:cs="宋体"/>
                <w:spacing w:val="-3"/>
                <w:sz w:val="18"/>
                <w:szCs w:val="18"/>
              </w:rPr>
              <w:t>4</w:t>
            </w:r>
            <w:r>
              <w:rPr>
                <w:rFonts w:ascii="宋体" w:hAnsi="宋体" w:cs="宋体"/>
                <w:spacing w:val="-36"/>
                <w:sz w:val="18"/>
                <w:szCs w:val="18"/>
              </w:rPr>
              <w:t xml:space="preserve"> </w:t>
            </w:r>
            <w:r>
              <w:rPr>
                <w:rFonts w:ascii="宋体" w:hAnsi="宋体" w:cs="宋体"/>
                <w:spacing w:val="-3"/>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100" w:line="183" w:lineRule="auto"/>
              <w:ind w:left="300"/>
              <w:rPr>
                <w:rFonts w:ascii="宋体" w:hAnsi="宋体" w:cs="宋体"/>
                <w:sz w:val="18"/>
                <w:szCs w:val="18"/>
              </w:rPr>
            </w:pPr>
            <w:r>
              <w:rPr>
                <w:rFonts w:ascii="宋体" w:hAnsi="宋体" w:cs="宋体"/>
                <w:sz w:val="18"/>
                <w:szCs w:val="18"/>
              </w:rPr>
              <w:t>3</w:t>
            </w:r>
          </w:p>
        </w:tc>
        <w:tc>
          <w:tcPr>
            <w:tcW w:w="7597" w:type="dxa"/>
          </w:tcPr>
          <w:p>
            <w:pPr>
              <w:spacing w:before="72" w:line="218" w:lineRule="auto"/>
              <w:ind w:left="111"/>
              <w:rPr>
                <w:rFonts w:ascii="宋体" w:hAnsi="宋体" w:cs="宋体"/>
                <w:sz w:val="18"/>
                <w:szCs w:val="18"/>
              </w:rPr>
            </w:pPr>
            <w:r>
              <w:rPr>
                <w:rFonts w:ascii="宋体" w:hAnsi="宋体" w:cs="宋体"/>
                <w:spacing w:val="-1"/>
                <w:sz w:val="18"/>
                <w:szCs w:val="18"/>
              </w:rPr>
              <w:t>采用</w:t>
            </w:r>
            <w:r>
              <w:rPr>
                <w:rFonts w:ascii="宋体" w:hAnsi="宋体" w:cs="宋体"/>
                <w:spacing w:val="-42"/>
                <w:sz w:val="18"/>
                <w:szCs w:val="18"/>
              </w:rPr>
              <w:t xml:space="preserve"> </w:t>
            </w:r>
            <w:r>
              <w:rPr>
                <w:rFonts w:ascii="宋体" w:hAnsi="宋体" w:cs="宋体"/>
                <w:spacing w:val="-1"/>
                <w:sz w:val="18"/>
                <w:szCs w:val="18"/>
              </w:rPr>
              <w:t>BIM</w:t>
            </w:r>
            <w:r>
              <w:rPr>
                <w:rFonts w:ascii="宋体" w:hAnsi="宋体" w:cs="宋体"/>
                <w:spacing w:val="-33"/>
                <w:sz w:val="18"/>
                <w:szCs w:val="18"/>
              </w:rPr>
              <w:t xml:space="preserve"> </w:t>
            </w:r>
            <w:r>
              <w:rPr>
                <w:rFonts w:ascii="宋体" w:hAnsi="宋体" w:cs="宋体"/>
                <w:spacing w:val="-1"/>
                <w:sz w:val="18"/>
                <w:szCs w:val="18"/>
              </w:rPr>
              <w:t>技术对项目重难点、新技术或新工艺进行模拟展示（2</w:t>
            </w:r>
            <w:r>
              <w:rPr>
                <w:rFonts w:ascii="宋体" w:hAnsi="宋体" w:cs="宋体"/>
                <w:spacing w:val="-37"/>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0" w:hRule="atLeast"/>
        </w:trPr>
        <w:tc>
          <w:tcPr>
            <w:tcW w:w="1223" w:type="dxa"/>
            <w:vMerge w:val="continue"/>
            <w:tcBorders>
              <w:top w:val="nil"/>
              <w:bottom w:val="nil"/>
            </w:tcBorders>
          </w:tcPr>
          <w:p>
            <w:pPr>
              <w:rPr>
                <w:rFonts w:ascii="Arial"/>
              </w:rPr>
            </w:pPr>
          </w:p>
        </w:tc>
        <w:tc>
          <w:tcPr>
            <w:tcW w:w="677" w:type="dxa"/>
          </w:tcPr>
          <w:p>
            <w:pPr>
              <w:spacing w:before="101" w:line="183" w:lineRule="auto"/>
              <w:ind w:left="296"/>
              <w:rPr>
                <w:rFonts w:ascii="宋体" w:hAnsi="宋体" w:cs="宋体"/>
                <w:sz w:val="18"/>
                <w:szCs w:val="18"/>
              </w:rPr>
            </w:pPr>
            <w:r>
              <w:rPr>
                <w:rFonts w:ascii="宋体" w:hAnsi="宋体" w:cs="宋体"/>
                <w:sz w:val="18"/>
                <w:szCs w:val="18"/>
              </w:rPr>
              <w:t>4</w:t>
            </w:r>
          </w:p>
        </w:tc>
        <w:tc>
          <w:tcPr>
            <w:tcW w:w="7597" w:type="dxa"/>
          </w:tcPr>
          <w:p>
            <w:pPr>
              <w:spacing w:before="73" w:line="218" w:lineRule="auto"/>
              <w:ind w:left="111"/>
              <w:rPr>
                <w:rFonts w:ascii="宋体" w:hAnsi="宋体" w:cs="宋体"/>
                <w:sz w:val="18"/>
                <w:szCs w:val="18"/>
              </w:rPr>
            </w:pPr>
            <w:r>
              <w:rPr>
                <w:rFonts w:ascii="宋体" w:hAnsi="宋体" w:cs="宋体"/>
                <w:spacing w:val="-1"/>
                <w:sz w:val="18"/>
                <w:szCs w:val="18"/>
              </w:rPr>
              <w:t>采用倾斜摄影、激光三维扫描等多种建模方式建立数字化三维模型（2</w:t>
            </w:r>
            <w:r>
              <w:rPr>
                <w:rFonts w:ascii="宋体" w:hAnsi="宋体" w:cs="宋体"/>
                <w:spacing w:val="-20"/>
                <w:sz w:val="18"/>
                <w:szCs w:val="18"/>
              </w:rPr>
              <w:t xml:space="preserve"> </w:t>
            </w:r>
            <w:r>
              <w:rPr>
                <w:rFonts w:ascii="宋体" w:hAnsi="宋体" w:cs="宋体"/>
                <w:spacing w:val="-1"/>
                <w:sz w:val="18"/>
                <w:szCs w:val="18"/>
              </w:rPr>
              <w:t>分）</w:t>
            </w:r>
          </w:p>
        </w:tc>
        <w:tc>
          <w:tcPr>
            <w:tcW w:w="991" w:type="dxa"/>
            <w:vMerge w:val="continue"/>
            <w:tcBorders>
              <w:top w:val="nil"/>
              <w:bottom w:val="nil"/>
            </w:tcBorders>
          </w:tcPr>
          <w:p>
            <w:pPr>
              <w:rPr>
                <w:rFonts w:ascii="Arial"/>
              </w:rPr>
            </w:pPr>
          </w:p>
        </w:tc>
        <w:tc>
          <w:tcPr>
            <w:tcW w:w="807" w:type="dxa"/>
          </w:tcPr>
          <w:p>
            <w:pPr>
              <w:jc w:val="center"/>
              <w:rPr>
                <w:rFonts w:ascii="Arial"/>
              </w:rPr>
            </w:pPr>
            <w:r>
              <w:rPr>
                <w:rFonts w:hint="eastAsia" w:ascii="Arial"/>
              </w:rPr>
              <w:t>2</w:t>
            </w:r>
          </w:p>
        </w:tc>
        <w:tc>
          <w:tcPr>
            <w:tcW w:w="996" w:type="dxa"/>
            <w:vMerge w:val="continue"/>
            <w:tcBorders>
              <w:top w:val="nil"/>
              <w:bottom w:val="nil"/>
            </w:tcBorders>
          </w:tcPr>
          <w:p>
            <w:pPr>
              <w:rPr>
                <w:rFonts w:ascii="Arial"/>
              </w:rPr>
            </w:pPr>
          </w:p>
        </w:tc>
        <w:tc>
          <w:tcPr>
            <w:tcW w:w="682" w:type="dxa"/>
            <w:vMerge w:val="continue"/>
            <w:tcBorders>
              <w:top w:val="nil"/>
              <w:bottom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223" w:type="dxa"/>
            <w:vMerge w:val="continue"/>
            <w:tcBorders>
              <w:top w:val="nil"/>
            </w:tcBorders>
          </w:tcPr>
          <w:p>
            <w:pPr>
              <w:rPr>
                <w:rFonts w:ascii="Arial"/>
              </w:rPr>
            </w:pPr>
          </w:p>
        </w:tc>
        <w:tc>
          <w:tcPr>
            <w:tcW w:w="677" w:type="dxa"/>
          </w:tcPr>
          <w:p>
            <w:pPr>
              <w:spacing w:before="183" w:line="182" w:lineRule="auto"/>
              <w:ind w:left="300"/>
              <w:rPr>
                <w:rFonts w:ascii="宋体" w:hAnsi="宋体" w:cs="宋体"/>
                <w:sz w:val="18"/>
                <w:szCs w:val="18"/>
              </w:rPr>
            </w:pPr>
            <w:r>
              <w:rPr>
                <w:rFonts w:ascii="宋体" w:hAnsi="宋体" w:cs="宋体"/>
                <w:sz w:val="18"/>
                <w:szCs w:val="18"/>
              </w:rPr>
              <w:t>5</w:t>
            </w:r>
          </w:p>
        </w:tc>
        <w:tc>
          <w:tcPr>
            <w:tcW w:w="7597" w:type="dxa"/>
          </w:tcPr>
          <w:p>
            <w:pPr>
              <w:spacing w:before="154" w:line="219" w:lineRule="auto"/>
              <w:ind w:left="111"/>
              <w:rPr>
                <w:rFonts w:ascii="宋体" w:hAnsi="宋体" w:cs="宋体"/>
                <w:sz w:val="18"/>
                <w:szCs w:val="18"/>
              </w:rPr>
            </w:pPr>
            <w:r>
              <w:rPr>
                <w:rFonts w:ascii="宋体" w:hAnsi="宋体" w:cs="宋体"/>
                <w:sz w:val="18"/>
                <w:szCs w:val="18"/>
              </w:rPr>
              <w:t>通过平台对装配式建筑部品部件设计、生产</w:t>
            </w:r>
            <w:r>
              <w:rPr>
                <w:rFonts w:ascii="宋体" w:hAnsi="宋体" w:cs="宋体"/>
                <w:spacing w:val="-1"/>
                <w:sz w:val="18"/>
                <w:szCs w:val="18"/>
              </w:rPr>
              <w:t>、运输、安装等全过程管理（2</w:t>
            </w:r>
            <w:r>
              <w:rPr>
                <w:rFonts w:ascii="宋体" w:hAnsi="宋体" w:cs="宋体"/>
                <w:spacing w:val="-37"/>
                <w:sz w:val="18"/>
                <w:szCs w:val="18"/>
              </w:rPr>
              <w:t xml:space="preserve"> </w:t>
            </w:r>
            <w:r>
              <w:rPr>
                <w:rFonts w:ascii="宋体" w:hAnsi="宋体" w:cs="宋体"/>
                <w:spacing w:val="-1"/>
                <w:sz w:val="18"/>
                <w:szCs w:val="18"/>
              </w:rPr>
              <w:t>分）</w:t>
            </w:r>
          </w:p>
        </w:tc>
        <w:tc>
          <w:tcPr>
            <w:tcW w:w="991" w:type="dxa"/>
            <w:vMerge w:val="continue"/>
            <w:tcBorders>
              <w:top w:val="nil"/>
            </w:tcBorders>
          </w:tcPr>
          <w:p>
            <w:pPr>
              <w:rPr>
                <w:rFonts w:ascii="Arial"/>
              </w:rPr>
            </w:pPr>
          </w:p>
        </w:tc>
        <w:tc>
          <w:tcPr>
            <w:tcW w:w="807" w:type="dxa"/>
          </w:tcPr>
          <w:p>
            <w:pPr>
              <w:jc w:val="center"/>
              <w:rPr>
                <w:rFonts w:ascii="Arial"/>
              </w:rPr>
            </w:pPr>
            <w:r>
              <w:rPr>
                <w:rFonts w:hint="eastAsia" w:ascii="Arial"/>
              </w:rPr>
              <w:t>0</w:t>
            </w:r>
          </w:p>
        </w:tc>
        <w:tc>
          <w:tcPr>
            <w:tcW w:w="996" w:type="dxa"/>
            <w:vMerge w:val="continue"/>
            <w:tcBorders>
              <w:top w:val="nil"/>
            </w:tcBorders>
          </w:tcPr>
          <w:p>
            <w:pPr>
              <w:rPr>
                <w:rFonts w:ascii="Arial"/>
              </w:rPr>
            </w:pPr>
          </w:p>
        </w:tc>
        <w:tc>
          <w:tcPr>
            <w:tcW w:w="682" w:type="dxa"/>
            <w:vMerge w:val="continue"/>
            <w:tcBorders>
              <w:top w:val="nil"/>
            </w:tcBorders>
          </w:tcPr>
          <w:p>
            <w:pPr>
              <w:rPr>
                <w:rFonts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trPr>
        <w:tc>
          <w:tcPr>
            <w:tcW w:w="1223" w:type="dxa"/>
          </w:tcPr>
          <w:p>
            <w:pPr>
              <w:spacing w:before="154" w:line="219" w:lineRule="auto"/>
              <w:ind w:left="255"/>
              <w:rPr>
                <w:rFonts w:ascii="宋体" w:hAnsi="宋体" w:cs="宋体"/>
                <w:sz w:val="18"/>
                <w:szCs w:val="18"/>
              </w:rPr>
            </w:pPr>
            <w:r>
              <w:rPr>
                <w:rFonts w:ascii="宋体" w:hAnsi="宋体" w:cs="宋体"/>
                <w:spacing w:val="-2"/>
                <w:sz w:val="18"/>
                <w:szCs w:val="18"/>
              </w:rPr>
              <w:t>指标要素</w:t>
            </w:r>
          </w:p>
        </w:tc>
        <w:tc>
          <w:tcPr>
            <w:tcW w:w="677" w:type="dxa"/>
          </w:tcPr>
          <w:p>
            <w:pPr>
              <w:spacing w:before="154" w:line="220" w:lineRule="auto"/>
              <w:ind w:left="159"/>
              <w:rPr>
                <w:rFonts w:ascii="宋体" w:hAnsi="宋体" w:cs="宋体"/>
                <w:sz w:val="18"/>
                <w:szCs w:val="18"/>
              </w:rPr>
            </w:pPr>
            <w:r>
              <w:rPr>
                <w:rFonts w:ascii="宋体" w:hAnsi="宋体" w:cs="宋体"/>
                <w:spacing w:val="-4"/>
                <w:sz w:val="18"/>
                <w:szCs w:val="18"/>
              </w:rPr>
              <w:t>序号</w:t>
            </w:r>
          </w:p>
        </w:tc>
        <w:tc>
          <w:tcPr>
            <w:tcW w:w="7597" w:type="dxa"/>
          </w:tcPr>
          <w:p>
            <w:pPr>
              <w:spacing w:before="154" w:line="219" w:lineRule="auto"/>
              <w:ind w:left="3442"/>
              <w:rPr>
                <w:rFonts w:ascii="宋体" w:hAnsi="宋体" w:cs="宋体"/>
                <w:sz w:val="18"/>
                <w:szCs w:val="18"/>
              </w:rPr>
            </w:pPr>
            <w:r>
              <w:rPr>
                <w:rFonts w:ascii="宋体" w:hAnsi="宋体" w:cs="宋体"/>
                <w:spacing w:val="-1"/>
                <w:sz w:val="18"/>
                <w:szCs w:val="18"/>
              </w:rPr>
              <w:t>评分内容</w:t>
            </w:r>
          </w:p>
        </w:tc>
        <w:tc>
          <w:tcPr>
            <w:tcW w:w="991" w:type="dxa"/>
          </w:tcPr>
          <w:p>
            <w:pPr>
              <w:spacing w:before="155" w:line="217" w:lineRule="auto"/>
              <w:ind w:left="139"/>
              <w:rPr>
                <w:rFonts w:ascii="宋体" w:hAnsi="宋体" w:cs="宋体"/>
                <w:sz w:val="18"/>
                <w:szCs w:val="18"/>
              </w:rPr>
            </w:pPr>
            <w:r>
              <w:rPr>
                <w:rFonts w:ascii="宋体" w:hAnsi="宋体" w:cs="宋体"/>
                <w:spacing w:val="-1"/>
                <w:sz w:val="18"/>
                <w:szCs w:val="18"/>
              </w:rPr>
              <w:t>评价分值</w:t>
            </w:r>
          </w:p>
        </w:tc>
        <w:tc>
          <w:tcPr>
            <w:tcW w:w="807" w:type="dxa"/>
          </w:tcPr>
          <w:p>
            <w:pPr>
              <w:spacing w:before="155" w:line="219" w:lineRule="auto"/>
              <w:ind w:left="173"/>
              <w:rPr>
                <w:rFonts w:ascii="宋体" w:hAnsi="宋体" w:cs="宋体"/>
                <w:sz w:val="18"/>
                <w:szCs w:val="18"/>
              </w:rPr>
            </w:pPr>
            <w:r>
              <w:rPr>
                <w:rFonts w:ascii="宋体" w:hAnsi="宋体" w:cs="宋体"/>
                <w:spacing w:val="-14"/>
                <w:sz w:val="18"/>
                <w:szCs w:val="18"/>
              </w:rPr>
              <w:t>自评分</w:t>
            </w:r>
          </w:p>
        </w:tc>
        <w:tc>
          <w:tcPr>
            <w:tcW w:w="996" w:type="dxa"/>
          </w:tcPr>
          <w:p>
            <w:pPr>
              <w:spacing w:before="155" w:line="219" w:lineRule="auto"/>
              <w:ind w:left="180"/>
              <w:rPr>
                <w:rFonts w:ascii="宋体" w:hAnsi="宋体" w:cs="宋体"/>
                <w:sz w:val="18"/>
                <w:szCs w:val="18"/>
              </w:rPr>
            </w:pPr>
            <w:r>
              <w:rPr>
                <w:rFonts w:ascii="宋体" w:hAnsi="宋体" w:cs="宋体"/>
                <w:spacing w:val="-10"/>
                <w:sz w:val="18"/>
                <w:szCs w:val="18"/>
              </w:rPr>
              <w:t>自评总分</w:t>
            </w:r>
          </w:p>
        </w:tc>
        <w:tc>
          <w:tcPr>
            <w:tcW w:w="682" w:type="dxa"/>
          </w:tcPr>
          <w:p>
            <w:pPr>
              <w:spacing w:before="154" w:line="220" w:lineRule="auto"/>
              <w:ind w:left="166"/>
              <w:rPr>
                <w:rFonts w:ascii="宋体" w:hAnsi="宋体" w:cs="宋体"/>
                <w:sz w:val="18"/>
                <w:szCs w:val="18"/>
              </w:rPr>
            </w:pPr>
            <w:r>
              <w:rPr>
                <w:rFonts w:ascii="宋体" w:hAnsi="宋体" w:cs="宋体"/>
                <w:spacing w:val="-5"/>
                <w:sz w:val="18"/>
                <w:szCs w:val="18"/>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7" w:hRule="atLeast"/>
        </w:trPr>
        <w:tc>
          <w:tcPr>
            <w:tcW w:w="9497" w:type="dxa"/>
            <w:gridSpan w:val="3"/>
          </w:tcPr>
          <w:p>
            <w:pPr>
              <w:spacing w:before="227" w:line="220" w:lineRule="auto"/>
              <w:ind w:left="4576"/>
              <w:rPr>
                <w:rFonts w:ascii="宋体" w:hAnsi="宋体" w:cs="宋体"/>
                <w:sz w:val="18"/>
                <w:szCs w:val="18"/>
              </w:rPr>
            </w:pPr>
            <w:r>
              <w:rPr>
                <w:rFonts w:ascii="宋体" w:hAnsi="宋体" w:cs="宋体"/>
                <w:spacing w:val="-4"/>
                <w:sz w:val="18"/>
                <w:szCs w:val="18"/>
              </w:rPr>
              <w:t>合计</w:t>
            </w:r>
          </w:p>
        </w:tc>
        <w:tc>
          <w:tcPr>
            <w:tcW w:w="991" w:type="dxa"/>
          </w:tcPr>
          <w:p>
            <w:pPr>
              <w:spacing w:before="254" w:line="183" w:lineRule="auto"/>
              <w:ind w:left="416"/>
              <w:rPr>
                <w:rFonts w:ascii="宋体" w:hAnsi="宋体" w:cs="宋体"/>
                <w:sz w:val="18"/>
                <w:szCs w:val="18"/>
              </w:rPr>
            </w:pPr>
            <w:r>
              <w:rPr>
                <w:rFonts w:ascii="宋体" w:hAnsi="宋体" w:cs="宋体"/>
                <w:spacing w:val="-6"/>
                <w:sz w:val="18"/>
                <w:szCs w:val="18"/>
              </w:rPr>
              <w:t>70</w:t>
            </w:r>
          </w:p>
        </w:tc>
        <w:tc>
          <w:tcPr>
            <w:tcW w:w="807" w:type="dxa"/>
          </w:tcPr>
          <w:p>
            <w:pPr>
              <w:spacing w:before="70" w:line="271" w:lineRule="auto"/>
              <w:ind w:left="320" w:right="130" w:hanging="147"/>
              <w:rPr>
                <w:rFonts w:ascii="宋体" w:hAnsi="宋体" w:cs="宋体"/>
                <w:sz w:val="18"/>
                <w:szCs w:val="18"/>
              </w:rPr>
            </w:pPr>
            <w:r>
              <w:rPr>
                <w:rFonts w:ascii="宋体" w:hAnsi="宋体" w:cs="宋体"/>
                <w:spacing w:val="-15"/>
                <w:sz w:val="18"/>
                <w:szCs w:val="18"/>
              </w:rPr>
              <w:t>自评总</w:t>
            </w:r>
            <w:r>
              <w:rPr>
                <w:rFonts w:ascii="宋体" w:hAnsi="宋体" w:cs="宋体"/>
                <w:spacing w:val="1"/>
                <w:sz w:val="18"/>
                <w:szCs w:val="18"/>
              </w:rPr>
              <w:t xml:space="preserve"> </w:t>
            </w:r>
            <w:r>
              <w:rPr>
                <w:rFonts w:ascii="宋体" w:hAnsi="宋体" w:cs="宋体"/>
                <w:sz w:val="18"/>
                <w:szCs w:val="18"/>
              </w:rPr>
              <w:t>分</w:t>
            </w:r>
          </w:p>
        </w:tc>
        <w:tc>
          <w:tcPr>
            <w:tcW w:w="1678" w:type="dxa"/>
            <w:gridSpan w:val="2"/>
          </w:tcPr>
          <w:p>
            <w:pPr>
              <w:jc w:val="center"/>
              <w:rPr>
                <w:rFonts w:ascii="Arial"/>
              </w:rPr>
            </w:pPr>
            <w:r>
              <w:rPr>
                <w:rFonts w:hint="eastAsia" w:ascii="Arial"/>
              </w:rPr>
              <w:t>70</w:t>
            </w:r>
          </w:p>
        </w:tc>
      </w:tr>
    </w:tbl>
    <w:p>
      <w:pPr>
        <w:widowControl/>
        <w:shd w:val="clear" w:color="auto" w:fill="FFFFFF"/>
        <w:tabs>
          <w:tab w:val="left" w:pos="0"/>
        </w:tabs>
        <w:adjustRightInd w:val="0"/>
        <w:snapToGrid w:val="0"/>
        <w:spacing w:line="360" w:lineRule="auto"/>
        <w:ind w:firstLine="496" w:firstLineChars="200"/>
        <w:rPr>
          <w:rFonts w:ascii="Calibri" w:hAnsi="Calibri"/>
          <w:snapToGrid w:val="0"/>
          <w:spacing w:val="4"/>
          <w:kern w:val="0"/>
          <w:sz w:val="24"/>
          <w:szCs w:val="24"/>
        </w:rPr>
      </w:pPr>
      <w:r>
        <w:rPr>
          <w:rFonts w:ascii="Calibri" w:hAnsi="Calibri"/>
          <w:snapToGrid w:val="0"/>
          <w:spacing w:val="4"/>
          <w:kern w:val="0"/>
          <w:sz w:val="24"/>
          <w:szCs w:val="24"/>
        </w:rPr>
        <w:t>注：</w:t>
      </w:r>
    </w:p>
    <w:p>
      <w:pPr>
        <w:widowControl/>
        <w:shd w:val="clear" w:color="auto" w:fill="FFFFFF"/>
        <w:tabs>
          <w:tab w:val="left" w:pos="0"/>
        </w:tabs>
        <w:adjustRightInd w:val="0"/>
        <w:snapToGrid w:val="0"/>
        <w:spacing w:line="360" w:lineRule="auto"/>
        <w:ind w:firstLine="496" w:firstLineChars="200"/>
        <w:rPr>
          <w:rFonts w:ascii="Calibri" w:hAnsi="Calibri"/>
          <w:snapToGrid w:val="0"/>
          <w:spacing w:val="4"/>
          <w:kern w:val="0"/>
          <w:sz w:val="24"/>
          <w:szCs w:val="24"/>
        </w:rPr>
      </w:pPr>
      <w:r>
        <w:rPr>
          <w:rFonts w:ascii="Calibri" w:hAnsi="Calibri"/>
          <w:snapToGrid w:val="0"/>
          <w:spacing w:val="4"/>
          <w:kern w:val="0"/>
          <w:sz w:val="24"/>
          <w:szCs w:val="24"/>
        </w:rPr>
        <w:t>1、a、b 参见《广州市建筑工程智慧工地技术规程》；</w:t>
      </w:r>
    </w:p>
    <w:p>
      <w:pPr>
        <w:widowControl/>
        <w:shd w:val="clear" w:color="auto" w:fill="FFFFFF"/>
        <w:tabs>
          <w:tab w:val="left" w:pos="0"/>
        </w:tabs>
        <w:adjustRightInd w:val="0"/>
        <w:snapToGrid w:val="0"/>
        <w:spacing w:line="360" w:lineRule="auto"/>
        <w:ind w:firstLine="496" w:firstLineChars="200"/>
        <w:rPr>
          <w:rFonts w:ascii="Calibri" w:hAnsi="Calibri"/>
          <w:snapToGrid w:val="0"/>
          <w:spacing w:val="4"/>
          <w:kern w:val="0"/>
          <w:sz w:val="24"/>
          <w:szCs w:val="24"/>
        </w:rPr>
      </w:pPr>
      <w:r>
        <w:rPr>
          <w:rFonts w:ascii="Calibri" w:hAnsi="Calibri"/>
          <w:snapToGrid w:val="0"/>
          <w:spacing w:val="4"/>
          <w:kern w:val="0"/>
          <w:sz w:val="24"/>
          <w:szCs w:val="24"/>
        </w:rPr>
        <w:t>2、一星级智慧工地：智慧工地评价指标评分总分大于等于 60 分，智慧施工前沿技术不少于 2 项；</w:t>
      </w:r>
    </w:p>
    <w:p>
      <w:pPr>
        <w:widowControl/>
        <w:shd w:val="clear" w:color="auto" w:fill="FFFFFF"/>
        <w:tabs>
          <w:tab w:val="left" w:pos="0"/>
        </w:tabs>
        <w:adjustRightInd w:val="0"/>
        <w:snapToGrid w:val="0"/>
        <w:spacing w:line="360" w:lineRule="auto"/>
        <w:ind w:firstLine="496" w:firstLineChars="200"/>
        <w:rPr>
          <w:rFonts w:ascii="Calibri" w:hAnsi="Calibri"/>
          <w:snapToGrid w:val="0"/>
          <w:spacing w:val="4"/>
          <w:kern w:val="0"/>
          <w:sz w:val="24"/>
          <w:szCs w:val="24"/>
        </w:rPr>
      </w:pPr>
      <w:r>
        <w:rPr>
          <w:rFonts w:ascii="Calibri" w:hAnsi="Calibri"/>
          <w:snapToGrid w:val="0"/>
          <w:spacing w:val="4"/>
          <w:kern w:val="0"/>
          <w:sz w:val="24"/>
          <w:szCs w:val="24"/>
        </w:rPr>
        <w:t>3、二星级智慧工地：智慧工地评价指标评分总分大于等于 70 分，智慧施工前沿技术不少于 4 项且每个类别不少于 1 项；</w:t>
      </w:r>
    </w:p>
    <w:p>
      <w:pPr>
        <w:widowControl/>
        <w:shd w:val="clear" w:color="auto" w:fill="FFFFFF"/>
        <w:tabs>
          <w:tab w:val="left" w:pos="0"/>
        </w:tabs>
        <w:adjustRightInd w:val="0"/>
        <w:snapToGrid w:val="0"/>
        <w:spacing w:line="360" w:lineRule="auto"/>
        <w:ind w:firstLine="496" w:firstLineChars="200"/>
        <w:rPr>
          <w:rFonts w:ascii="Calibri" w:hAnsi="Calibri"/>
          <w:snapToGrid w:val="0"/>
          <w:spacing w:val="4"/>
          <w:kern w:val="0"/>
          <w:sz w:val="24"/>
          <w:szCs w:val="24"/>
        </w:rPr>
      </w:pPr>
      <w:r>
        <w:rPr>
          <w:rFonts w:ascii="Calibri" w:hAnsi="Calibri"/>
          <w:snapToGrid w:val="0"/>
          <w:spacing w:val="4"/>
          <w:kern w:val="0"/>
          <w:sz w:val="24"/>
          <w:szCs w:val="24"/>
        </w:rPr>
        <w:t>4、三星级智慧工地：智慧工地评价指标评分总分大于等于 85 分，智慧施工前沿技术不少于 7 项且每个类别不少于 2 项。</w:t>
      </w:r>
    </w:p>
    <w:p>
      <w:pPr>
        <w:widowControl/>
        <w:shd w:val="clear" w:color="auto" w:fill="FFFFFF"/>
        <w:tabs>
          <w:tab w:val="left" w:pos="0"/>
        </w:tabs>
        <w:adjustRightInd w:val="0"/>
        <w:snapToGrid w:val="0"/>
        <w:spacing w:line="360" w:lineRule="auto"/>
        <w:ind w:firstLine="496" w:firstLineChars="200"/>
        <w:rPr>
          <w:rFonts w:ascii="Calibri" w:hAnsi="Calibri"/>
          <w:snapToGrid w:val="0"/>
          <w:spacing w:val="4"/>
          <w:kern w:val="0"/>
          <w:sz w:val="24"/>
          <w:szCs w:val="24"/>
        </w:rPr>
      </w:pPr>
    </w:p>
    <w:p>
      <w:pPr>
        <w:widowControl/>
        <w:shd w:val="clear" w:color="auto" w:fill="FFFFFF"/>
        <w:tabs>
          <w:tab w:val="left" w:pos="0"/>
        </w:tabs>
        <w:adjustRightInd w:val="0"/>
        <w:snapToGrid w:val="0"/>
        <w:spacing w:line="360" w:lineRule="auto"/>
        <w:jc w:val="center"/>
        <w:outlineLvl w:val="0"/>
        <w:rPr>
          <w:rFonts w:ascii="宋体" w:hAnsi="宋体" w:cs="宋体"/>
          <w:spacing w:val="8"/>
          <w:sz w:val="20"/>
          <w:szCs w:val="20"/>
        </w:rPr>
      </w:pPr>
      <w:r>
        <w:rPr>
          <w:rFonts w:ascii="Calibri" w:hAnsi="Calibri"/>
          <w:snapToGrid w:val="0"/>
          <w:spacing w:val="4"/>
          <w:kern w:val="0"/>
          <w:sz w:val="24"/>
          <w:szCs w:val="24"/>
        </w:rPr>
        <w:br w:type="page"/>
      </w:r>
      <w:bookmarkStart w:id="502" w:name="_Toc26055"/>
      <w:bookmarkStart w:id="503" w:name="_Toc26222"/>
      <w:bookmarkStart w:id="504" w:name="_Toc30551"/>
      <w:bookmarkStart w:id="505" w:name="_Toc6530"/>
      <w:bookmarkStart w:id="506" w:name="_Toc26557"/>
      <w:bookmarkStart w:id="507" w:name="_Toc19649"/>
      <w:bookmarkStart w:id="508" w:name="_Toc159596203"/>
      <w:r>
        <w:rPr>
          <w:rFonts w:ascii="宋体" w:hAnsi="宋体" w:cs="宋体"/>
          <w:spacing w:val="8"/>
          <w:sz w:val="20"/>
          <w:szCs w:val="20"/>
        </w:rPr>
        <w:t>表</w:t>
      </w:r>
      <w:r>
        <w:rPr>
          <w:rFonts w:ascii="宋体" w:hAnsi="宋体" w:cs="宋体"/>
          <w:spacing w:val="-25"/>
          <w:sz w:val="20"/>
          <w:szCs w:val="20"/>
        </w:rPr>
        <w:t xml:space="preserve"> </w:t>
      </w:r>
      <w:r>
        <w:rPr>
          <w:rFonts w:ascii="宋体" w:hAnsi="宋体" w:cs="宋体"/>
          <w:spacing w:val="8"/>
          <w:sz w:val="20"/>
          <w:szCs w:val="20"/>
        </w:rPr>
        <w:t>2 智慧施工前沿技术建设内容表</w:t>
      </w:r>
      <w:bookmarkEnd w:id="502"/>
      <w:bookmarkEnd w:id="503"/>
      <w:bookmarkEnd w:id="504"/>
      <w:bookmarkEnd w:id="505"/>
      <w:bookmarkEnd w:id="506"/>
      <w:bookmarkEnd w:id="507"/>
      <w:bookmarkEnd w:id="508"/>
    </w:p>
    <w:p>
      <w:pPr>
        <w:widowControl/>
        <w:shd w:val="clear" w:color="auto" w:fill="FFFFFF"/>
        <w:tabs>
          <w:tab w:val="left" w:pos="0"/>
        </w:tabs>
        <w:adjustRightInd w:val="0"/>
        <w:snapToGrid w:val="0"/>
        <w:spacing w:line="360" w:lineRule="auto"/>
        <w:rPr>
          <w:rFonts w:ascii="宋体" w:hAnsi="宋体" w:cs="宋体"/>
          <w:spacing w:val="8"/>
          <w:sz w:val="20"/>
          <w:szCs w:val="20"/>
        </w:rPr>
      </w:pPr>
    </w:p>
    <w:tbl>
      <w:tblPr>
        <w:tblStyle w:val="16"/>
        <w:tblW w:w="0" w:type="auto"/>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58"/>
        <w:gridCol w:w="1165"/>
        <w:gridCol w:w="1346"/>
        <w:gridCol w:w="7502"/>
        <w:gridCol w:w="1149"/>
        <w:gridCol w:w="115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9" w:hRule="atLeast"/>
          <w:jc w:val="center"/>
        </w:trPr>
        <w:tc>
          <w:tcPr>
            <w:tcW w:w="658" w:type="dxa"/>
          </w:tcPr>
          <w:p>
            <w:pPr>
              <w:spacing w:before="229" w:line="220" w:lineRule="auto"/>
              <w:ind w:left="153"/>
              <w:rPr>
                <w:rFonts w:ascii="宋体" w:hAnsi="宋体" w:cs="宋体"/>
                <w:sz w:val="18"/>
                <w:szCs w:val="18"/>
              </w:rPr>
            </w:pPr>
            <w:r>
              <w:rPr>
                <w:rFonts w:ascii="宋体" w:hAnsi="宋体" w:cs="宋体"/>
                <w:spacing w:val="-4"/>
                <w:sz w:val="18"/>
                <w:szCs w:val="18"/>
              </w:rPr>
              <w:t>序号</w:t>
            </w:r>
          </w:p>
        </w:tc>
        <w:tc>
          <w:tcPr>
            <w:tcW w:w="1165" w:type="dxa"/>
          </w:tcPr>
          <w:p>
            <w:pPr>
              <w:spacing w:before="228" w:line="219" w:lineRule="auto"/>
              <w:ind w:left="402"/>
              <w:rPr>
                <w:rFonts w:ascii="宋体" w:hAnsi="宋体" w:cs="宋体"/>
                <w:sz w:val="18"/>
                <w:szCs w:val="18"/>
              </w:rPr>
            </w:pPr>
            <w:r>
              <w:rPr>
                <w:rFonts w:ascii="宋体" w:hAnsi="宋体" w:cs="宋体"/>
                <w:spacing w:val="-3"/>
                <w:sz w:val="18"/>
                <w:szCs w:val="18"/>
              </w:rPr>
              <w:t>类别</w:t>
            </w:r>
          </w:p>
        </w:tc>
        <w:tc>
          <w:tcPr>
            <w:tcW w:w="1346" w:type="dxa"/>
          </w:tcPr>
          <w:p>
            <w:pPr>
              <w:spacing w:before="228" w:line="219" w:lineRule="auto"/>
              <w:ind w:left="316"/>
              <w:rPr>
                <w:rFonts w:ascii="宋体" w:hAnsi="宋体" w:cs="宋体"/>
                <w:sz w:val="18"/>
                <w:szCs w:val="18"/>
              </w:rPr>
            </w:pPr>
            <w:r>
              <w:rPr>
                <w:rFonts w:ascii="宋体" w:hAnsi="宋体" w:cs="宋体"/>
                <w:spacing w:val="-2"/>
                <w:sz w:val="18"/>
                <w:szCs w:val="18"/>
              </w:rPr>
              <w:t>技术内容</w:t>
            </w:r>
          </w:p>
        </w:tc>
        <w:tc>
          <w:tcPr>
            <w:tcW w:w="7502" w:type="dxa"/>
          </w:tcPr>
          <w:p>
            <w:pPr>
              <w:spacing w:before="229" w:line="220" w:lineRule="auto"/>
              <w:ind w:left="3578"/>
              <w:rPr>
                <w:rFonts w:ascii="宋体" w:hAnsi="宋体" w:cs="宋体"/>
                <w:sz w:val="18"/>
                <w:szCs w:val="18"/>
              </w:rPr>
            </w:pPr>
            <w:r>
              <w:rPr>
                <w:rFonts w:ascii="宋体" w:hAnsi="宋体" w:cs="宋体"/>
                <w:spacing w:val="-5"/>
                <w:sz w:val="18"/>
                <w:szCs w:val="18"/>
              </w:rPr>
              <w:t>备注</w:t>
            </w:r>
          </w:p>
        </w:tc>
        <w:tc>
          <w:tcPr>
            <w:tcW w:w="1149" w:type="dxa"/>
          </w:tcPr>
          <w:p>
            <w:pPr>
              <w:spacing w:before="73" w:line="271" w:lineRule="auto"/>
              <w:ind w:left="489" w:right="117" w:hanging="362"/>
              <w:rPr>
                <w:rFonts w:ascii="宋体" w:hAnsi="宋体" w:cs="宋体"/>
                <w:sz w:val="18"/>
                <w:szCs w:val="18"/>
              </w:rPr>
            </w:pPr>
            <w:r>
              <w:rPr>
                <w:rFonts w:ascii="宋体" w:hAnsi="宋体" w:cs="宋体"/>
                <w:spacing w:val="-1"/>
                <w:sz w:val="18"/>
                <w:szCs w:val="18"/>
              </w:rPr>
              <w:t>类别是否采</w:t>
            </w:r>
            <w:r>
              <w:rPr>
                <w:rFonts w:ascii="宋体" w:hAnsi="宋体" w:cs="宋体"/>
                <w:spacing w:val="2"/>
                <w:sz w:val="18"/>
                <w:szCs w:val="18"/>
              </w:rPr>
              <w:t xml:space="preserve"> </w:t>
            </w:r>
            <w:r>
              <w:rPr>
                <w:rFonts w:ascii="宋体" w:hAnsi="宋体" w:cs="宋体"/>
                <w:sz w:val="18"/>
                <w:szCs w:val="18"/>
              </w:rPr>
              <w:t>用</w:t>
            </w:r>
          </w:p>
        </w:tc>
        <w:tc>
          <w:tcPr>
            <w:tcW w:w="1153" w:type="dxa"/>
          </w:tcPr>
          <w:p>
            <w:pPr>
              <w:spacing w:before="73" w:line="271" w:lineRule="auto"/>
              <w:ind w:left="488" w:right="123" w:hanging="359"/>
              <w:rPr>
                <w:rFonts w:ascii="宋体" w:hAnsi="宋体" w:cs="宋体"/>
                <w:sz w:val="18"/>
                <w:szCs w:val="18"/>
              </w:rPr>
            </w:pPr>
            <w:r>
              <w:rPr>
                <w:rFonts w:ascii="宋体" w:hAnsi="宋体" w:cs="宋体"/>
                <w:spacing w:val="-2"/>
                <w:sz w:val="18"/>
                <w:szCs w:val="18"/>
              </w:rPr>
              <w:t>技术是否采</w:t>
            </w:r>
            <w:r>
              <w:rPr>
                <w:rFonts w:ascii="宋体" w:hAnsi="宋体" w:cs="宋体"/>
                <w:spacing w:val="3"/>
                <w:sz w:val="18"/>
                <w:szCs w:val="18"/>
              </w:rPr>
              <w:t xml:space="preserve"> </w:t>
            </w:r>
            <w:r>
              <w:rPr>
                <w:rFonts w:ascii="宋体" w:hAnsi="宋体" w:cs="宋体"/>
                <w:sz w:val="18"/>
                <w:szCs w:val="18"/>
              </w:rPr>
              <w:t>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8" w:hRule="atLeast"/>
          <w:jc w:val="center"/>
        </w:trPr>
        <w:tc>
          <w:tcPr>
            <w:tcW w:w="658" w:type="dxa"/>
          </w:tcPr>
          <w:p>
            <w:pPr>
              <w:spacing w:line="276" w:lineRule="auto"/>
              <w:rPr>
                <w:rFonts w:ascii="Arial"/>
              </w:rPr>
            </w:pPr>
          </w:p>
          <w:p>
            <w:pPr>
              <w:spacing w:before="59" w:line="184" w:lineRule="auto"/>
              <w:ind w:left="301"/>
              <w:rPr>
                <w:rFonts w:ascii="宋体" w:hAnsi="宋体" w:cs="宋体"/>
                <w:sz w:val="18"/>
                <w:szCs w:val="18"/>
              </w:rPr>
            </w:pPr>
            <w:r>
              <w:rPr>
                <w:rFonts w:ascii="宋体" w:hAnsi="宋体" w:cs="宋体"/>
                <w:sz w:val="18"/>
                <w:szCs w:val="18"/>
              </w:rPr>
              <w:t>1</w:t>
            </w:r>
          </w:p>
        </w:tc>
        <w:tc>
          <w:tcPr>
            <w:tcW w:w="1165" w:type="dxa"/>
            <w:vMerge w:val="restart"/>
            <w:tcBorders>
              <w:bottom w:val="nil"/>
            </w:tcBorders>
          </w:tcPr>
          <w:p>
            <w:pPr>
              <w:spacing w:line="294" w:lineRule="auto"/>
              <w:rPr>
                <w:rFonts w:ascii="Arial"/>
              </w:rPr>
            </w:pPr>
          </w:p>
          <w:p>
            <w:pPr>
              <w:spacing w:line="295" w:lineRule="auto"/>
              <w:rPr>
                <w:rFonts w:ascii="Arial"/>
              </w:rPr>
            </w:pPr>
          </w:p>
          <w:p>
            <w:pPr>
              <w:spacing w:line="295" w:lineRule="auto"/>
              <w:rPr>
                <w:rFonts w:ascii="Arial"/>
              </w:rPr>
            </w:pPr>
          </w:p>
          <w:p>
            <w:pPr>
              <w:spacing w:before="59" w:line="219" w:lineRule="auto"/>
              <w:ind w:left="225"/>
              <w:rPr>
                <w:rFonts w:ascii="宋体" w:hAnsi="宋体" w:cs="宋体"/>
                <w:sz w:val="18"/>
                <w:szCs w:val="18"/>
              </w:rPr>
            </w:pPr>
            <w:r>
              <w:rPr>
                <w:rFonts w:ascii="宋体" w:hAnsi="宋体" w:cs="宋体"/>
                <w:spacing w:val="-2"/>
                <w:sz w:val="18"/>
                <w:szCs w:val="18"/>
              </w:rPr>
              <w:t>质量安全</w:t>
            </w:r>
          </w:p>
        </w:tc>
        <w:tc>
          <w:tcPr>
            <w:tcW w:w="1346" w:type="dxa"/>
          </w:tcPr>
          <w:p>
            <w:pPr>
              <w:spacing w:line="250" w:lineRule="auto"/>
              <w:rPr>
                <w:rFonts w:ascii="Arial"/>
              </w:rPr>
            </w:pPr>
          </w:p>
          <w:p>
            <w:pPr>
              <w:spacing w:before="58" w:line="219" w:lineRule="auto"/>
              <w:ind w:left="318"/>
              <w:rPr>
                <w:rFonts w:ascii="宋体" w:hAnsi="宋体" w:cs="宋体"/>
                <w:sz w:val="18"/>
                <w:szCs w:val="18"/>
              </w:rPr>
            </w:pPr>
            <w:r>
              <w:rPr>
                <w:rFonts w:ascii="宋体" w:hAnsi="宋体" w:cs="宋体"/>
                <w:spacing w:val="-3"/>
                <w:sz w:val="18"/>
                <w:szCs w:val="18"/>
              </w:rPr>
              <w:t>智能穿戴</w:t>
            </w:r>
          </w:p>
        </w:tc>
        <w:tc>
          <w:tcPr>
            <w:tcW w:w="7502" w:type="dxa"/>
          </w:tcPr>
          <w:p>
            <w:pPr>
              <w:spacing w:before="150" w:line="271" w:lineRule="auto"/>
              <w:ind w:left="110" w:right="192"/>
              <w:rPr>
                <w:rFonts w:ascii="宋体" w:hAnsi="宋体" w:cs="宋体"/>
                <w:sz w:val="18"/>
                <w:szCs w:val="18"/>
              </w:rPr>
            </w:pPr>
            <w:r>
              <w:rPr>
                <w:rFonts w:ascii="宋体" w:hAnsi="宋体" w:cs="宋体"/>
                <w:sz w:val="18"/>
                <w:szCs w:val="18"/>
              </w:rPr>
              <w:t>利用可穿戴设备（智能眼镜、智能安全帽、执法仪等</w:t>
            </w:r>
            <w:r>
              <w:rPr>
                <w:rFonts w:ascii="宋体" w:hAnsi="宋体" w:cs="宋体"/>
                <w:spacing w:val="3"/>
                <w:sz w:val="18"/>
                <w:szCs w:val="18"/>
              </w:rPr>
              <w:t>），</w:t>
            </w:r>
            <w:r>
              <w:rPr>
                <w:rFonts w:ascii="宋体" w:hAnsi="宋体" w:cs="宋体"/>
                <w:spacing w:val="-1"/>
                <w:sz w:val="18"/>
                <w:szCs w:val="18"/>
              </w:rPr>
              <w:t>在质量安全巡查、起重机械或施工</w:t>
            </w:r>
            <w:r>
              <w:rPr>
                <w:rFonts w:ascii="宋体" w:hAnsi="宋体" w:cs="宋体"/>
                <w:sz w:val="18"/>
                <w:szCs w:val="18"/>
              </w:rPr>
              <w:t>升降梯安拆顶升、隐蔽工程施工旁站等重要场景应</w:t>
            </w:r>
            <w:r>
              <w:rPr>
                <w:rFonts w:ascii="宋体" w:hAnsi="宋体" w:cs="宋体"/>
                <w:spacing w:val="-1"/>
                <w:sz w:val="18"/>
                <w:szCs w:val="18"/>
              </w:rPr>
              <w:t>用，并留下影像记录</w:t>
            </w:r>
          </w:p>
        </w:tc>
        <w:tc>
          <w:tcPr>
            <w:tcW w:w="1149" w:type="dxa"/>
            <w:vMerge w:val="restart"/>
            <w:tcBorders>
              <w:bottom w:val="nil"/>
            </w:tcBorders>
          </w:tcPr>
          <w:p>
            <w:pPr>
              <w:rPr>
                <w:rFonts w:ascii="Arial"/>
              </w:rPr>
            </w:pPr>
          </w:p>
        </w:tc>
        <w:tc>
          <w:tcPr>
            <w:tcW w:w="1153" w:type="dxa"/>
          </w:tcPr>
          <w:p>
            <w:pPr>
              <w:jc w:val="center"/>
              <w:rPr>
                <w:rFonts w:ascii="Arial"/>
              </w:rPr>
            </w:pPr>
            <w:r>
              <w:rPr>
                <w:rFonts w:hint="eastAsia" w:ascii="Arial"/>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jc w:val="center"/>
        </w:trPr>
        <w:tc>
          <w:tcPr>
            <w:tcW w:w="658" w:type="dxa"/>
          </w:tcPr>
          <w:p>
            <w:pPr>
              <w:spacing w:before="254" w:line="183" w:lineRule="auto"/>
              <w:ind w:left="290"/>
              <w:rPr>
                <w:rFonts w:ascii="宋体" w:hAnsi="宋体" w:cs="宋体"/>
                <w:sz w:val="18"/>
                <w:szCs w:val="18"/>
              </w:rPr>
            </w:pPr>
            <w:r>
              <w:rPr>
                <w:rFonts w:ascii="宋体" w:hAnsi="宋体" w:cs="宋体"/>
                <w:sz w:val="18"/>
                <w:szCs w:val="18"/>
              </w:rPr>
              <w:t>2</w:t>
            </w:r>
          </w:p>
        </w:tc>
        <w:tc>
          <w:tcPr>
            <w:tcW w:w="1165" w:type="dxa"/>
            <w:vMerge w:val="continue"/>
            <w:tcBorders>
              <w:top w:val="nil"/>
              <w:bottom w:val="nil"/>
            </w:tcBorders>
          </w:tcPr>
          <w:p>
            <w:pPr>
              <w:rPr>
                <w:rFonts w:ascii="Arial"/>
              </w:rPr>
            </w:pPr>
          </w:p>
        </w:tc>
        <w:tc>
          <w:tcPr>
            <w:tcW w:w="1346" w:type="dxa"/>
          </w:tcPr>
          <w:p>
            <w:pPr>
              <w:spacing w:before="71" w:line="271" w:lineRule="auto"/>
              <w:ind w:left="495" w:right="131" w:hanging="355"/>
              <w:rPr>
                <w:rFonts w:ascii="宋体" w:hAnsi="宋体" w:cs="宋体"/>
                <w:sz w:val="18"/>
                <w:szCs w:val="18"/>
              </w:rPr>
            </w:pPr>
            <w:r>
              <w:rPr>
                <w:rFonts w:ascii="宋体" w:hAnsi="宋体" w:cs="宋体"/>
                <w:spacing w:val="-2"/>
                <w:sz w:val="18"/>
                <w:szCs w:val="18"/>
              </w:rPr>
              <w:t>高清全景成像</w:t>
            </w:r>
            <w:r>
              <w:rPr>
                <w:rFonts w:ascii="宋体" w:hAnsi="宋体" w:cs="宋体"/>
                <w:sz w:val="18"/>
                <w:szCs w:val="18"/>
              </w:rPr>
              <w:t xml:space="preserve"> </w:t>
            </w:r>
            <w:r>
              <w:rPr>
                <w:rFonts w:ascii="宋体" w:hAnsi="宋体" w:cs="宋体"/>
                <w:spacing w:val="-4"/>
                <w:sz w:val="18"/>
                <w:szCs w:val="18"/>
              </w:rPr>
              <w:t>测距</w:t>
            </w:r>
          </w:p>
        </w:tc>
        <w:tc>
          <w:tcPr>
            <w:tcW w:w="7502" w:type="dxa"/>
          </w:tcPr>
          <w:p>
            <w:pPr>
              <w:spacing w:before="70" w:line="271" w:lineRule="auto"/>
              <w:ind w:left="111" w:right="104" w:firstLine="179"/>
              <w:rPr>
                <w:rFonts w:ascii="宋体" w:hAnsi="宋体" w:cs="宋体"/>
                <w:sz w:val="18"/>
                <w:szCs w:val="18"/>
              </w:rPr>
            </w:pPr>
            <w:r>
              <w:rPr>
                <w:rFonts w:ascii="宋体" w:hAnsi="宋体" w:cs="宋体"/>
                <w:spacing w:val="2"/>
                <w:sz w:val="18"/>
                <w:szCs w:val="18"/>
              </w:rPr>
              <w:t xml:space="preserve">施工作业面安装合理数量的高清全景成像测距技术摄像机，以应用于进度管理、钢筋测量 </w:t>
            </w:r>
            <w:r>
              <w:rPr>
                <w:rFonts w:ascii="宋体" w:hAnsi="宋体" w:cs="宋体"/>
                <w:spacing w:val="-1"/>
                <w:sz w:val="18"/>
                <w:szCs w:val="18"/>
              </w:rPr>
              <w:t>等方面的施工现场管理</w:t>
            </w:r>
          </w:p>
        </w:tc>
        <w:tc>
          <w:tcPr>
            <w:tcW w:w="1149" w:type="dxa"/>
            <w:vMerge w:val="continue"/>
            <w:tcBorders>
              <w:top w:val="nil"/>
              <w:bottom w:val="nil"/>
            </w:tcBorders>
          </w:tcPr>
          <w:p>
            <w:pPr>
              <w:rPr>
                <w:rFonts w:ascii="Arial"/>
              </w:rPr>
            </w:pPr>
          </w:p>
        </w:tc>
        <w:tc>
          <w:tcPr>
            <w:tcW w:w="1153" w:type="dxa"/>
          </w:tcPr>
          <w:p>
            <w:pPr>
              <w:jc w:val="center"/>
              <w:rPr>
                <w:rFonts w:ascii="Arial"/>
              </w:rPr>
            </w:pPr>
            <w:r>
              <w:rPr>
                <w:rFonts w:hint="eastAsia" w:ascii="Arial"/>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6" w:hRule="atLeast"/>
          <w:jc w:val="center"/>
        </w:trPr>
        <w:tc>
          <w:tcPr>
            <w:tcW w:w="658" w:type="dxa"/>
          </w:tcPr>
          <w:p>
            <w:pPr>
              <w:spacing w:before="256" w:line="183" w:lineRule="auto"/>
              <w:ind w:left="292"/>
              <w:rPr>
                <w:rFonts w:ascii="宋体" w:hAnsi="宋体" w:cs="宋体"/>
                <w:sz w:val="18"/>
                <w:szCs w:val="18"/>
              </w:rPr>
            </w:pPr>
            <w:r>
              <w:rPr>
                <w:rFonts w:ascii="宋体" w:hAnsi="宋体" w:cs="宋体"/>
                <w:sz w:val="18"/>
                <w:szCs w:val="18"/>
              </w:rPr>
              <w:t>3</w:t>
            </w:r>
          </w:p>
        </w:tc>
        <w:tc>
          <w:tcPr>
            <w:tcW w:w="1165" w:type="dxa"/>
            <w:vMerge w:val="continue"/>
            <w:tcBorders>
              <w:top w:val="nil"/>
            </w:tcBorders>
          </w:tcPr>
          <w:p>
            <w:pPr>
              <w:rPr>
                <w:rFonts w:ascii="Arial"/>
              </w:rPr>
            </w:pPr>
          </w:p>
        </w:tc>
        <w:tc>
          <w:tcPr>
            <w:tcW w:w="1346" w:type="dxa"/>
          </w:tcPr>
          <w:p>
            <w:pPr>
              <w:spacing w:before="229" w:line="220" w:lineRule="auto"/>
              <w:ind w:left="224"/>
              <w:rPr>
                <w:rFonts w:ascii="宋体" w:hAnsi="宋体" w:cs="宋体"/>
                <w:sz w:val="18"/>
                <w:szCs w:val="18"/>
              </w:rPr>
            </w:pPr>
            <w:r>
              <w:rPr>
                <w:rFonts w:ascii="宋体" w:hAnsi="宋体" w:cs="宋体"/>
                <w:spacing w:val="-2"/>
                <w:sz w:val="18"/>
                <w:szCs w:val="18"/>
              </w:rPr>
              <w:t>物联网监测</w:t>
            </w:r>
          </w:p>
        </w:tc>
        <w:tc>
          <w:tcPr>
            <w:tcW w:w="7502" w:type="dxa"/>
          </w:tcPr>
          <w:p>
            <w:pPr>
              <w:spacing w:before="72" w:line="271" w:lineRule="auto"/>
              <w:ind w:left="110" w:right="104" w:firstLine="178"/>
              <w:rPr>
                <w:rFonts w:ascii="宋体" w:hAnsi="宋体" w:cs="宋体"/>
                <w:sz w:val="18"/>
                <w:szCs w:val="18"/>
              </w:rPr>
            </w:pPr>
            <w:r>
              <w:rPr>
                <w:rFonts w:ascii="宋体" w:hAnsi="宋体" w:cs="宋体"/>
                <w:spacing w:val="2"/>
                <w:sz w:val="18"/>
                <w:szCs w:val="18"/>
              </w:rPr>
              <w:t>对基坑、卸料平台、附着式升降脚手架、施工吊篮中不少于一项开展自动化监测预警，监</w:t>
            </w:r>
            <w:r>
              <w:rPr>
                <w:rFonts w:ascii="宋体" w:hAnsi="宋体" w:cs="宋体"/>
                <w:spacing w:val="4"/>
                <w:sz w:val="18"/>
                <w:szCs w:val="18"/>
              </w:rPr>
              <w:t xml:space="preserve"> </w:t>
            </w:r>
            <w:r>
              <w:rPr>
                <w:rFonts w:ascii="宋体" w:hAnsi="宋体" w:cs="宋体"/>
                <w:spacing w:val="-1"/>
                <w:sz w:val="18"/>
                <w:szCs w:val="18"/>
              </w:rPr>
              <w:t>测数量不少于基坑监测测点或设备总数的</w:t>
            </w:r>
            <w:r>
              <w:rPr>
                <w:rFonts w:ascii="宋体" w:hAnsi="宋体" w:cs="宋体"/>
                <w:spacing w:val="-33"/>
                <w:sz w:val="18"/>
                <w:szCs w:val="18"/>
              </w:rPr>
              <w:t xml:space="preserve"> </w:t>
            </w:r>
            <w:r>
              <w:rPr>
                <w:rFonts w:ascii="宋体" w:hAnsi="宋体" w:cs="宋体"/>
                <w:spacing w:val="-1"/>
                <w:sz w:val="18"/>
                <w:szCs w:val="18"/>
              </w:rPr>
              <w:t>50%</w:t>
            </w:r>
          </w:p>
        </w:tc>
        <w:tc>
          <w:tcPr>
            <w:tcW w:w="1149" w:type="dxa"/>
            <w:vMerge w:val="continue"/>
            <w:tcBorders>
              <w:top w:val="nil"/>
            </w:tcBorders>
          </w:tcPr>
          <w:p>
            <w:pPr>
              <w:rPr>
                <w:rFonts w:ascii="Arial"/>
              </w:rPr>
            </w:pPr>
          </w:p>
        </w:tc>
        <w:tc>
          <w:tcPr>
            <w:tcW w:w="1153" w:type="dxa"/>
          </w:tcPr>
          <w:p>
            <w:pPr>
              <w:jc w:val="center"/>
              <w:rPr>
                <w:rFonts w:ascii="Arial"/>
              </w:rPr>
            </w:pPr>
            <w:r>
              <w:rPr>
                <w:rFonts w:hint="eastAsia" w:ascii="Arial"/>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54" w:hRule="atLeast"/>
          <w:jc w:val="center"/>
        </w:trPr>
        <w:tc>
          <w:tcPr>
            <w:tcW w:w="658" w:type="dxa"/>
          </w:tcPr>
          <w:p>
            <w:pPr>
              <w:spacing w:line="262" w:lineRule="auto"/>
              <w:rPr>
                <w:rFonts w:ascii="Arial"/>
              </w:rPr>
            </w:pPr>
          </w:p>
          <w:p>
            <w:pPr>
              <w:spacing w:line="263" w:lineRule="auto"/>
              <w:rPr>
                <w:rFonts w:ascii="Arial"/>
              </w:rPr>
            </w:pPr>
          </w:p>
          <w:p>
            <w:pPr>
              <w:spacing w:line="263" w:lineRule="auto"/>
              <w:rPr>
                <w:rFonts w:ascii="Arial"/>
              </w:rPr>
            </w:pPr>
          </w:p>
          <w:p>
            <w:pPr>
              <w:spacing w:line="263" w:lineRule="auto"/>
              <w:rPr>
                <w:rFonts w:ascii="Arial"/>
              </w:rPr>
            </w:pPr>
          </w:p>
          <w:p>
            <w:pPr>
              <w:spacing w:before="58" w:line="183" w:lineRule="auto"/>
              <w:ind w:left="287"/>
              <w:rPr>
                <w:rFonts w:ascii="宋体" w:hAnsi="宋体" w:cs="宋体"/>
                <w:sz w:val="18"/>
                <w:szCs w:val="18"/>
              </w:rPr>
            </w:pPr>
            <w:r>
              <w:rPr>
                <w:rFonts w:ascii="宋体" w:hAnsi="宋体" w:cs="宋体"/>
                <w:sz w:val="18"/>
                <w:szCs w:val="18"/>
              </w:rPr>
              <w:t>4</w:t>
            </w:r>
          </w:p>
        </w:tc>
        <w:tc>
          <w:tcPr>
            <w:tcW w:w="1165" w:type="dxa"/>
          </w:tcPr>
          <w:p>
            <w:pPr>
              <w:rPr>
                <w:rFonts w:ascii="Arial"/>
              </w:rPr>
            </w:pPr>
          </w:p>
        </w:tc>
        <w:tc>
          <w:tcPr>
            <w:tcW w:w="1346" w:type="dxa"/>
          </w:tcPr>
          <w:p>
            <w:pPr>
              <w:spacing w:line="256" w:lineRule="auto"/>
              <w:rPr>
                <w:rFonts w:ascii="Arial"/>
              </w:rPr>
            </w:pPr>
          </w:p>
          <w:p>
            <w:pPr>
              <w:spacing w:line="256" w:lineRule="auto"/>
              <w:rPr>
                <w:rFonts w:ascii="Arial"/>
              </w:rPr>
            </w:pPr>
          </w:p>
          <w:p>
            <w:pPr>
              <w:spacing w:line="256" w:lineRule="auto"/>
              <w:rPr>
                <w:rFonts w:ascii="Arial"/>
              </w:rPr>
            </w:pPr>
          </w:p>
          <w:p>
            <w:pPr>
              <w:spacing w:line="256" w:lineRule="auto"/>
              <w:rPr>
                <w:rFonts w:ascii="Arial"/>
              </w:rPr>
            </w:pPr>
          </w:p>
          <w:p>
            <w:pPr>
              <w:spacing w:before="58" w:line="219" w:lineRule="auto"/>
              <w:ind w:left="138"/>
              <w:rPr>
                <w:rFonts w:ascii="宋体" w:hAnsi="宋体" w:cs="宋体"/>
                <w:sz w:val="18"/>
                <w:szCs w:val="18"/>
              </w:rPr>
            </w:pPr>
            <w:r>
              <w:rPr>
                <w:rFonts w:ascii="宋体" w:hAnsi="宋体" w:cs="宋体"/>
                <w:spacing w:val="-2"/>
                <w:sz w:val="18"/>
                <w:szCs w:val="18"/>
              </w:rPr>
              <w:t>智能起重设备</w:t>
            </w:r>
          </w:p>
        </w:tc>
        <w:tc>
          <w:tcPr>
            <w:tcW w:w="7502" w:type="dxa"/>
          </w:tcPr>
          <w:p>
            <w:pPr>
              <w:spacing w:before="142" w:line="219" w:lineRule="auto"/>
              <w:ind w:left="290"/>
              <w:rPr>
                <w:rFonts w:ascii="宋体" w:hAnsi="宋体" w:cs="宋体"/>
                <w:sz w:val="18"/>
                <w:szCs w:val="18"/>
              </w:rPr>
            </w:pPr>
            <w:r>
              <w:rPr>
                <w:rFonts w:ascii="宋体" w:hAnsi="宋体" w:cs="宋体"/>
                <w:spacing w:val="-1"/>
                <w:sz w:val="18"/>
                <w:szCs w:val="18"/>
              </w:rPr>
              <w:t>应用以下技术之一：</w:t>
            </w:r>
          </w:p>
          <w:p>
            <w:pPr>
              <w:spacing w:before="100" w:line="219" w:lineRule="auto"/>
              <w:ind w:left="110"/>
              <w:rPr>
                <w:rFonts w:ascii="宋体" w:hAnsi="宋体" w:cs="宋体"/>
                <w:sz w:val="18"/>
                <w:szCs w:val="18"/>
              </w:rPr>
            </w:pPr>
            <w:r>
              <w:rPr>
                <w:rFonts w:ascii="宋体" w:hAnsi="宋体" w:cs="宋体"/>
                <w:spacing w:val="-1"/>
                <w:sz w:val="18"/>
                <w:szCs w:val="18"/>
              </w:rPr>
              <w:t>a) 无人驾驶塔式起重设备</w:t>
            </w:r>
          </w:p>
          <w:p>
            <w:pPr>
              <w:spacing w:before="104" w:line="219" w:lineRule="auto"/>
              <w:ind w:left="107"/>
              <w:rPr>
                <w:rFonts w:ascii="宋体" w:hAnsi="宋体" w:cs="宋体"/>
                <w:sz w:val="18"/>
                <w:szCs w:val="18"/>
              </w:rPr>
            </w:pPr>
            <w:r>
              <w:rPr>
                <w:rFonts w:ascii="宋体" w:hAnsi="宋体" w:cs="宋体"/>
                <w:spacing w:val="-1"/>
                <w:sz w:val="18"/>
                <w:szCs w:val="18"/>
              </w:rPr>
              <w:t>b) 对不少于现场</w:t>
            </w:r>
            <w:r>
              <w:rPr>
                <w:rFonts w:ascii="宋体" w:hAnsi="宋体" w:cs="宋体"/>
                <w:spacing w:val="-17"/>
                <w:sz w:val="18"/>
                <w:szCs w:val="18"/>
              </w:rPr>
              <w:t xml:space="preserve"> </w:t>
            </w:r>
            <w:r>
              <w:rPr>
                <w:rFonts w:ascii="宋体" w:hAnsi="宋体" w:cs="宋体"/>
                <w:spacing w:val="-1"/>
                <w:sz w:val="18"/>
                <w:szCs w:val="18"/>
              </w:rPr>
              <w:t>50%的起重设备钢绳的磨损情况实现智能监测预警</w:t>
            </w:r>
          </w:p>
          <w:p>
            <w:pPr>
              <w:spacing w:before="100" w:line="315" w:lineRule="exact"/>
              <w:ind w:left="113"/>
              <w:rPr>
                <w:rFonts w:ascii="宋体" w:hAnsi="宋体" w:cs="宋体"/>
                <w:sz w:val="18"/>
                <w:szCs w:val="18"/>
              </w:rPr>
            </w:pPr>
            <w:r>
              <w:rPr>
                <w:rFonts w:ascii="宋体" w:hAnsi="宋体" w:cs="宋体"/>
                <w:spacing w:val="-1"/>
                <w:position w:val="10"/>
                <w:sz w:val="18"/>
                <w:szCs w:val="18"/>
              </w:rPr>
              <w:t>c) 对不少于</w:t>
            </w:r>
            <w:r>
              <w:rPr>
                <w:rFonts w:ascii="宋体" w:hAnsi="宋体" w:cs="宋体"/>
                <w:spacing w:val="-34"/>
                <w:position w:val="10"/>
                <w:sz w:val="18"/>
                <w:szCs w:val="18"/>
              </w:rPr>
              <w:t xml:space="preserve"> </w:t>
            </w:r>
            <w:r>
              <w:rPr>
                <w:rFonts w:ascii="宋体" w:hAnsi="宋体" w:cs="宋体"/>
                <w:spacing w:val="-1"/>
                <w:position w:val="10"/>
                <w:sz w:val="18"/>
                <w:szCs w:val="18"/>
              </w:rPr>
              <w:t>50%塔式起重机司机室接</w:t>
            </w:r>
            <w:r>
              <w:rPr>
                <w:rFonts w:ascii="宋体" w:hAnsi="宋体" w:cs="宋体"/>
                <w:spacing w:val="-2"/>
                <w:position w:val="10"/>
                <w:sz w:val="18"/>
                <w:szCs w:val="18"/>
              </w:rPr>
              <w:t>入</w:t>
            </w:r>
            <w:r>
              <w:rPr>
                <w:rFonts w:ascii="宋体" w:hAnsi="宋体" w:cs="宋体"/>
                <w:spacing w:val="-43"/>
                <w:position w:val="10"/>
                <w:sz w:val="18"/>
                <w:szCs w:val="18"/>
              </w:rPr>
              <w:t xml:space="preserve"> </w:t>
            </w:r>
            <w:r>
              <w:rPr>
                <w:rFonts w:ascii="宋体" w:hAnsi="宋体" w:cs="宋体"/>
                <w:spacing w:val="-2"/>
                <w:position w:val="10"/>
                <w:sz w:val="18"/>
                <w:szCs w:val="18"/>
              </w:rPr>
              <w:t>AI</w:t>
            </w:r>
            <w:r>
              <w:rPr>
                <w:rFonts w:ascii="宋体" w:hAnsi="宋体" w:cs="宋体"/>
                <w:spacing w:val="-37"/>
                <w:position w:val="10"/>
                <w:sz w:val="18"/>
                <w:szCs w:val="18"/>
              </w:rPr>
              <w:t xml:space="preserve"> </w:t>
            </w:r>
            <w:r>
              <w:rPr>
                <w:rFonts w:ascii="宋体" w:hAnsi="宋体" w:cs="宋体"/>
                <w:spacing w:val="-2"/>
                <w:position w:val="10"/>
                <w:sz w:val="18"/>
                <w:szCs w:val="18"/>
              </w:rPr>
              <w:t>摄像头</w:t>
            </w:r>
          </w:p>
          <w:p>
            <w:pPr>
              <w:spacing w:line="219" w:lineRule="auto"/>
              <w:ind w:left="113"/>
              <w:rPr>
                <w:rFonts w:ascii="宋体" w:hAnsi="宋体" w:cs="宋体"/>
                <w:sz w:val="18"/>
                <w:szCs w:val="18"/>
              </w:rPr>
            </w:pPr>
            <w:r>
              <w:rPr>
                <w:rFonts w:ascii="宋体" w:hAnsi="宋体" w:cs="宋体"/>
                <w:spacing w:val="-1"/>
                <w:sz w:val="18"/>
                <w:szCs w:val="18"/>
              </w:rPr>
              <w:t>d) 对不少于</w:t>
            </w:r>
            <w:r>
              <w:rPr>
                <w:rFonts w:ascii="宋体" w:hAnsi="宋体" w:cs="宋体"/>
                <w:spacing w:val="-31"/>
                <w:sz w:val="18"/>
                <w:szCs w:val="18"/>
              </w:rPr>
              <w:t xml:space="preserve"> </w:t>
            </w:r>
            <w:r>
              <w:rPr>
                <w:rFonts w:ascii="宋体" w:hAnsi="宋体" w:cs="宋体"/>
                <w:spacing w:val="-1"/>
                <w:sz w:val="18"/>
                <w:szCs w:val="18"/>
              </w:rPr>
              <w:t>50%塔式起重设备装备吊钩可视化系统</w:t>
            </w:r>
          </w:p>
          <w:p>
            <w:pPr>
              <w:spacing w:before="100" w:line="272" w:lineRule="auto"/>
              <w:ind w:left="112" w:right="104" w:firstLine="2"/>
              <w:rPr>
                <w:rFonts w:ascii="宋体" w:hAnsi="宋体" w:cs="宋体"/>
                <w:sz w:val="18"/>
                <w:szCs w:val="18"/>
              </w:rPr>
            </w:pPr>
            <w:r>
              <w:rPr>
                <w:rFonts w:ascii="宋体" w:hAnsi="宋体" w:cs="宋体"/>
                <w:sz w:val="18"/>
                <w:szCs w:val="18"/>
              </w:rPr>
              <w:t>e) 在不少于</w:t>
            </w:r>
            <w:r>
              <w:rPr>
                <w:rFonts w:ascii="宋体" w:hAnsi="宋体" w:cs="宋体"/>
                <w:spacing w:val="-13"/>
                <w:sz w:val="18"/>
                <w:szCs w:val="18"/>
              </w:rPr>
              <w:t xml:space="preserve"> </w:t>
            </w:r>
            <w:r>
              <w:rPr>
                <w:rFonts w:ascii="宋体" w:hAnsi="宋体" w:cs="宋体"/>
                <w:sz w:val="18"/>
                <w:szCs w:val="18"/>
              </w:rPr>
              <w:t xml:space="preserve">50%的塔式起重机等大型起重设备关键部位的螺栓安装防松动预警螺母，并实现 </w:t>
            </w:r>
            <w:r>
              <w:rPr>
                <w:rFonts w:ascii="宋体" w:hAnsi="宋体" w:cs="宋体"/>
                <w:spacing w:val="-2"/>
                <w:sz w:val="18"/>
                <w:szCs w:val="18"/>
              </w:rPr>
              <w:t>智能监测预警</w:t>
            </w:r>
          </w:p>
        </w:tc>
        <w:tc>
          <w:tcPr>
            <w:tcW w:w="1149" w:type="dxa"/>
            <w:vMerge w:val="restart"/>
            <w:tcBorders>
              <w:bottom w:val="nil"/>
            </w:tcBorders>
          </w:tcPr>
          <w:p>
            <w:pPr>
              <w:rPr>
                <w:rFonts w:ascii="Arial"/>
              </w:rPr>
            </w:pPr>
          </w:p>
        </w:tc>
        <w:tc>
          <w:tcPr>
            <w:tcW w:w="1153" w:type="dxa"/>
          </w:tcPr>
          <w:p>
            <w:pPr>
              <w:jc w:val="center"/>
              <w:rPr>
                <w:rFonts w:ascii="Arial"/>
              </w:rPr>
            </w:pPr>
            <w:r>
              <w:rPr>
                <w:rFonts w:hint="eastAsia" w:ascii="Arial"/>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5" w:hRule="atLeast"/>
          <w:jc w:val="center"/>
        </w:trPr>
        <w:tc>
          <w:tcPr>
            <w:tcW w:w="658" w:type="dxa"/>
          </w:tcPr>
          <w:p>
            <w:pPr>
              <w:spacing w:before="256" w:line="182" w:lineRule="auto"/>
              <w:ind w:left="292"/>
              <w:rPr>
                <w:rFonts w:ascii="宋体" w:hAnsi="宋体" w:cs="宋体"/>
                <w:sz w:val="18"/>
                <w:szCs w:val="18"/>
              </w:rPr>
            </w:pPr>
            <w:r>
              <w:rPr>
                <w:rFonts w:ascii="宋体" w:hAnsi="宋体" w:cs="宋体"/>
                <w:sz w:val="18"/>
                <w:szCs w:val="18"/>
              </w:rPr>
              <w:t>5</w:t>
            </w:r>
          </w:p>
        </w:tc>
        <w:tc>
          <w:tcPr>
            <w:tcW w:w="1165" w:type="dxa"/>
            <w:vMerge w:val="restart"/>
            <w:tcBorders>
              <w:bottom w:val="nil"/>
            </w:tcBorders>
          </w:tcPr>
          <w:p>
            <w:pPr>
              <w:spacing w:line="279" w:lineRule="auto"/>
              <w:rPr>
                <w:rFonts w:ascii="Arial"/>
              </w:rPr>
            </w:pPr>
          </w:p>
          <w:p>
            <w:pPr>
              <w:spacing w:line="279" w:lineRule="auto"/>
              <w:rPr>
                <w:rFonts w:ascii="Arial"/>
              </w:rPr>
            </w:pPr>
          </w:p>
          <w:p>
            <w:pPr>
              <w:spacing w:line="279" w:lineRule="auto"/>
              <w:rPr>
                <w:rFonts w:ascii="Arial"/>
              </w:rPr>
            </w:pPr>
          </w:p>
          <w:p>
            <w:pPr>
              <w:spacing w:line="279" w:lineRule="auto"/>
              <w:rPr>
                <w:rFonts w:ascii="Arial"/>
              </w:rPr>
            </w:pPr>
          </w:p>
          <w:p>
            <w:pPr>
              <w:spacing w:line="280" w:lineRule="auto"/>
              <w:rPr>
                <w:rFonts w:ascii="Arial"/>
              </w:rPr>
            </w:pPr>
          </w:p>
          <w:p>
            <w:pPr>
              <w:spacing w:before="58" w:line="219" w:lineRule="auto"/>
              <w:ind w:left="135"/>
              <w:rPr>
                <w:rFonts w:ascii="宋体" w:hAnsi="宋体" w:cs="宋体"/>
                <w:sz w:val="18"/>
                <w:szCs w:val="18"/>
              </w:rPr>
            </w:pPr>
            <w:r>
              <w:rPr>
                <w:rFonts w:ascii="宋体" w:hAnsi="宋体" w:cs="宋体"/>
                <w:spacing w:val="-2"/>
                <w:sz w:val="18"/>
                <w:szCs w:val="18"/>
              </w:rPr>
              <w:t>数字化建造</w:t>
            </w:r>
          </w:p>
        </w:tc>
        <w:tc>
          <w:tcPr>
            <w:tcW w:w="1346" w:type="dxa"/>
          </w:tcPr>
          <w:p>
            <w:pPr>
              <w:spacing w:before="69" w:line="271" w:lineRule="auto"/>
              <w:ind w:left="584" w:right="155" w:hanging="431"/>
              <w:rPr>
                <w:rFonts w:ascii="宋体" w:hAnsi="宋体" w:cs="宋体"/>
                <w:sz w:val="18"/>
                <w:szCs w:val="18"/>
              </w:rPr>
            </w:pPr>
            <w:r>
              <w:rPr>
                <w:rFonts w:ascii="宋体" w:hAnsi="宋体" w:cs="宋体"/>
                <w:spacing w:val="-2"/>
                <w:sz w:val="18"/>
                <w:szCs w:val="18"/>
              </w:rPr>
              <w:t>BIM</w:t>
            </w:r>
            <w:r>
              <w:rPr>
                <w:rFonts w:ascii="宋体" w:hAnsi="宋体" w:cs="宋体"/>
                <w:spacing w:val="-36"/>
                <w:sz w:val="18"/>
                <w:szCs w:val="18"/>
              </w:rPr>
              <w:t xml:space="preserve"> </w:t>
            </w:r>
            <w:r>
              <w:rPr>
                <w:rFonts w:ascii="宋体" w:hAnsi="宋体" w:cs="宋体"/>
                <w:spacing w:val="-2"/>
                <w:sz w:val="18"/>
                <w:szCs w:val="18"/>
              </w:rPr>
              <w:t>全过程应</w:t>
            </w:r>
            <w:r>
              <w:rPr>
                <w:rFonts w:ascii="宋体" w:hAnsi="宋体" w:cs="宋体"/>
                <w:sz w:val="18"/>
                <w:szCs w:val="18"/>
              </w:rPr>
              <w:t xml:space="preserve"> 用</w:t>
            </w:r>
          </w:p>
        </w:tc>
        <w:tc>
          <w:tcPr>
            <w:tcW w:w="7502" w:type="dxa"/>
          </w:tcPr>
          <w:p>
            <w:pPr>
              <w:spacing w:before="227" w:line="219" w:lineRule="auto"/>
              <w:ind w:left="290"/>
              <w:rPr>
                <w:rFonts w:ascii="宋体" w:hAnsi="宋体" w:cs="宋体"/>
                <w:sz w:val="18"/>
                <w:szCs w:val="18"/>
              </w:rPr>
            </w:pPr>
            <w:r>
              <w:rPr>
                <w:rFonts w:ascii="宋体" w:hAnsi="宋体" w:cs="宋体"/>
                <w:spacing w:val="-1"/>
                <w:sz w:val="18"/>
                <w:szCs w:val="18"/>
              </w:rPr>
              <w:t>在施工图设计、深化设计、加工生产、施工工程中全过程应用</w:t>
            </w:r>
            <w:r>
              <w:rPr>
                <w:rFonts w:ascii="宋体" w:hAnsi="宋体" w:cs="宋体"/>
                <w:spacing w:val="-30"/>
                <w:sz w:val="18"/>
                <w:szCs w:val="18"/>
              </w:rPr>
              <w:t xml:space="preserve"> </w:t>
            </w:r>
            <w:r>
              <w:rPr>
                <w:rFonts w:ascii="宋体" w:hAnsi="宋体" w:cs="宋体"/>
                <w:spacing w:val="-1"/>
                <w:sz w:val="18"/>
                <w:szCs w:val="18"/>
              </w:rPr>
              <w:t>BIM</w:t>
            </w:r>
            <w:r>
              <w:rPr>
                <w:rFonts w:ascii="宋体" w:hAnsi="宋体" w:cs="宋体"/>
                <w:spacing w:val="-36"/>
                <w:sz w:val="18"/>
                <w:szCs w:val="18"/>
              </w:rPr>
              <w:t xml:space="preserve"> </w:t>
            </w:r>
            <w:r>
              <w:rPr>
                <w:rFonts w:ascii="宋体" w:hAnsi="宋体" w:cs="宋体"/>
                <w:spacing w:val="-1"/>
                <w:sz w:val="18"/>
                <w:szCs w:val="18"/>
              </w:rPr>
              <w:t>技术</w:t>
            </w:r>
          </w:p>
        </w:tc>
        <w:tc>
          <w:tcPr>
            <w:tcW w:w="1149" w:type="dxa"/>
            <w:vMerge w:val="continue"/>
            <w:tcBorders>
              <w:top w:val="nil"/>
              <w:bottom w:val="nil"/>
            </w:tcBorders>
          </w:tcPr>
          <w:p>
            <w:pPr>
              <w:rPr>
                <w:rFonts w:ascii="Arial"/>
              </w:rPr>
            </w:pPr>
          </w:p>
        </w:tc>
        <w:tc>
          <w:tcPr>
            <w:tcW w:w="1153" w:type="dxa"/>
          </w:tcPr>
          <w:p>
            <w:pPr>
              <w:jc w:val="center"/>
              <w:rPr>
                <w:rFonts w:ascii="Arial"/>
              </w:rPr>
            </w:pPr>
            <w:r>
              <w:rPr>
                <w:rFonts w:hint="eastAsia" w:ascii="Arial"/>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0" w:hRule="atLeast"/>
          <w:jc w:val="center"/>
        </w:trPr>
        <w:tc>
          <w:tcPr>
            <w:tcW w:w="658" w:type="dxa"/>
          </w:tcPr>
          <w:p>
            <w:pPr>
              <w:spacing w:line="277" w:lineRule="auto"/>
              <w:rPr>
                <w:rFonts w:ascii="Arial"/>
              </w:rPr>
            </w:pPr>
          </w:p>
          <w:p>
            <w:pPr>
              <w:spacing w:before="58" w:line="183" w:lineRule="auto"/>
              <w:ind w:left="289"/>
              <w:rPr>
                <w:rFonts w:ascii="宋体" w:hAnsi="宋体" w:cs="宋体"/>
                <w:sz w:val="18"/>
                <w:szCs w:val="18"/>
              </w:rPr>
            </w:pPr>
            <w:r>
              <w:rPr>
                <w:rFonts w:ascii="宋体" w:hAnsi="宋体" w:cs="宋体"/>
                <w:sz w:val="18"/>
                <w:szCs w:val="18"/>
              </w:rPr>
              <w:t>6</w:t>
            </w:r>
          </w:p>
        </w:tc>
        <w:tc>
          <w:tcPr>
            <w:tcW w:w="1165" w:type="dxa"/>
            <w:vMerge w:val="continue"/>
            <w:tcBorders>
              <w:top w:val="nil"/>
              <w:bottom w:val="nil"/>
            </w:tcBorders>
          </w:tcPr>
          <w:p>
            <w:pPr>
              <w:rPr>
                <w:rFonts w:ascii="Arial"/>
              </w:rPr>
            </w:pPr>
          </w:p>
        </w:tc>
        <w:tc>
          <w:tcPr>
            <w:tcW w:w="1346" w:type="dxa"/>
          </w:tcPr>
          <w:p>
            <w:pPr>
              <w:spacing w:before="152" w:line="271" w:lineRule="auto"/>
              <w:ind w:left="584" w:right="131" w:hanging="448"/>
              <w:rPr>
                <w:rFonts w:ascii="宋体" w:hAnsi="宋体" w:cs="宋体"/>
                <w:sz w:val="18"/>
                <w:szCs w:val="18"/>
              </w:rPr>
            </w:pPr>
            <w:r>
              <w:rPr>
                <w:rFonts w:ascii="宋体" w:hAnsi="宋体" w:cs="宋体"/>
                <w:spacing w:val="-4"/>
                <w:sz w:val="18"/>
                <w:szCs w:val="18"/>
              </w:rPr>
              <w:t>项目级</w:t>
            </w:r>
            <w:r>
              <w:rPr>
                <w:rFonts w:ascii="宋体" w:hAnsi="宋体" w:cs="宋体"/>
                <w:spacing w:val="-35"/>
                <w:sz w:val="18"/>
                <w:szCs w:val="18"/>
              </w:rPr>
              <w:t xml:space="preserve"> </w:t>
            </w:r>
            <w:r>
              <w:rPr>
                <w:rFonts w:ascii="宋体" w:hAnsi="宋体" w:cs="宋体"/>
                <w:spacing w:val="-4"/>
                <w:sz w:val="18"/>
                <w:szCs w:val="18"/>
              </w:rPr>
              <w:t>CIM</w:t>
            </w:r>
            <w:r>
              <w:rPr>
                <w:rFonts w:ascii="宋体" w:hAnsi="宋体" w:cs="宋体"/>
                <w:spacing w:val="-36"/>
                <w:sz w:val="18"/>
                <w:szCs w:val="18"/>
              </w:rPr>
              <w:t xml:space="preserve"> </w:t>
            </w:r>
            <w:r>
              <w:rPr>
                <w:rFonts w:ascii="宋体" w:hAnsi="宋体" w:cs="宋体"/>
                <w:spacing w:val="-4"/>
                <w:sz w:val="18"/>
                <w:szCs w:val="18"/>
              </w:rPr>
              <w:t>应</w:t>
            </w:r>
            <w:r>
              <w:rPr>
                <w:rFonts w:ascii="宋体" w:hAnsi="宋体" w:cs="宋体"/>
                <w:sz w:val="18"/>
                <w:szCs w:val="18"/>
              </w:rPr>
              <w:t xml:space="preserve"> 用</w:t>
            </w:r>
          </w:p>
        </w:tc>
        <w:tc>
          <w:tcPr>
            <w:tcW w:w="7502" w:type="dxa"/>
          </w:tcPr>
          <w:p>
            <w:pPr>
              <w:spacing w:before="150" w:line="271" w:lineRule="auto"/>
              <w:ind w:left="109" w:right="102" w:firstLine="182"/>
              <w:rPr>
                <w:rFonts w:ascii="宋体" w:hAnsi="宋体" w:cs="宋体"/>
                <w:sz w:val="18"/>
                <w:szCs w:val="18"/>
              </w:rPr>
            </w:pPr>
            <w:r>
              <w:rPr>
                <w:rFonts w:ascii="宋体" w:hAnsi="宋体" w:cs="宋体"/>
                <w:spacing w:val="-4"/>
                <w:sz w:val="18"/>
                <w:szCs w:val="18"/>
              </w:rPr>
              <w:t>建设电子沙盘，利用倾斜摄影（精细度不低于</w:t>
            </w:r>
            <w:r>
              <w:rPr>
                <w:rFonts w:ascii="宋体" w:hAnsi="宋体" w:cs="宋体"/>
                <w:spacing w:val="-33"/>
                <w:sz w:val="18"/>
                <w:szCs w:val="18"/>
              </w:rPr>
              <w:t xml:space="preserve"> </w:t>
            </w:r>
            <w:r>
              <w:rPr>
                <w:rFonts w:ascii="宋体" w:hAnsi="宋体" w:cs="宋体"/>
                <w:spacing w:val="-4"/>
                <w:sz w:val="18"/>
                <w:szCs w:val="18"/>
              </w:rPr>
              <w:t>5</w:t>
            </w:r>
            <w:r>
              <w:rPr>
                <w:rFonts w:ascii="宋体" w:hAnsi="宋体" w:cs="宋体"/>
                <w:spacing w:val="-36"/>
                <w:sz w:val="18"/>
                <w:szCs w:val="18"/>
              </w:rPr>
              <w:t xml:space="preserve"> </w:t>
            </w:r>
            <w:r>
              <w:rPr>
                <w:rFonts w:ascii="宋体" w:hAnsi="宋体" w:cs="宋体"/>
                <w:spacing w:val="-4"/>
                <w:sz w:val="18"/>
                <w:szCs w:val="18"/>
              </w:rPr>
              <w:t>厘米</w:t>
            </w:r>
            <w:r>
              <w:rPr>
                <w:rFonts w:ascii="宋体" w:hAnsi="宋体" w:cs="宋体"/>
                <w:spacing w:val="-42"/>
                <w:sz w:val="18"/>
                <w:szCs w:val="18"/>
              </w:rPr>
              <w:t>），</w:t>
            </w:r>
            <w:r>
              <w:rPr>
                <w:rFonts w:ascii="宋体" w:hAnsi="宋体" w:cs="宋体"/>
                <w:spacing w:val="-4"/>
                <w:sz w:val="18"/>
                <w:szCs w:val="18"/>
              </w:rPr>
              <w:t>整合施工工程信息（项目级</w:t>
            </w:r>
            <w:r>
              <w:rPr>
                <w:rFonts w:ascii="宋体" w:hAnsi="宋体" w:cs="宋体"/>
                <w:spacing w:val="-44"/>
                <w:sz w:val="18"/>
                <w:szCs w:val="18"/>
              </w:rPr>
              <w:t xml:space="preserve"> </w:t>
            </w:r>
            <w:r>
              <w:rPr>
                <w:rFonts w:ascii="宋体" w:hAnsi="宋体" w:cs="宋体"/>
                <w:spacing w:val="-4"/>
                <w:sz w:val="18"/>
                <w:szCs w:val="18"/>
              </w:rPr>
              <w:t>BIM</w:t>
            </w:r>
            <w:r>
              <w:rPr>
                <w:rFonts w:ascii="宋体" w:hAnsi="宋体" w:cs="宋体"/>
                <w:spacing w:val="-5"/>
                <w:sz w:val="18"/>
                <w:szCs w:val="18"/>
              </w:rPr>
              <w:t>+GIS</w:t>
            </w:r>
            <w:r>
              <w:rPr>
                <w:rFonts w:ascii="宋体" w:hAnsi="宋体" w:cs="宋体"/>
                <w:sz w:val="18"/>
                <w:szCs w:val="18"/>
              </w:rPr>
              <w:t xml:space="preserve"> </w:t>
            </w:r>
            <w:r>
              <w:rPr>
                <w:rFonts w:ascii="宋体" w:hAnsi="宋体" w:cs="宋体"/>
                <w:spacing w:val="-2"/>
                <w:sz w:val="18"/>
                <w:szCs w:val="18"/>
              </w:rPr>
              <w:t>信息、质量、安全、进度等信息</w:t>
            </w:r>
            <w:r>
              <w:rPr>
                <w:rFonts w:ascii="宋体" w:hAnsi="宋体" w:cs="宋体"/>
                <w:spacing w:val="13"/>
                <w:sz w:val="18"/>
                <w:szCs w:val="18"/>
              </w:rPr>
              <w:t>），</w:t>
            </w:r>
            <w:r>
              <w:rPr>
                <w:rFonts w:ascii="宋体" w:hAnsi="宋体" w:cs="宋体"/>
                <w:spacing w:val="-2"/>
                <w:sz w:val="18"/>
                <w:szCs w:val="18"/>
              </w:rPr>
              <w:t>开展项目级</w:t>
            </w:r>
            <w:r>
              <w:rPr>
                <w:rFonts w:ascii="宋体" w:hAnsi="宋体" w:cs="宋体"/>
                <w:spacing w:val="-39"/>
                <w:sz w:val="18"/>
                <w:szCs w:val="18"/>
              </w:rPr>
              <w:t xml:space="preserve"> </w:t>
            </w:r>
            <w:r>
              <w:rPr>
                <w:rFonts w:ascii="宋体" w:hAnsi="宋体" w:cs="宋体"/>
                <w:spacing w:val="-2"/>
                <w:sz w:val="18"/>
                <w:szCs w:val="18"/>
              </w:rPr>
              <w:t>CIM</w:t>
            </w:r>
            <w:r>
              <w:rPr>
                <w:rFonts w:ascii="宋体" w:hAnsi="宋体" w:cs="宋体"/>
                <w:spacing w:val="-36"/>
                <w:sz w:val="18"/>
                <w:szCs w:val="18"/>
              </w:rPr>
              <w:t xml:space="preserve"> </w:t>
            </w:r>
            <w:r>
              <w:rPr>
                <w:rFonts w:ascii="宋体" w:hAnsi="宋体" w:cs="宋体"/>
                <w:spacing w:val="-2"/>
                <w:sz w:val="18"/>
                <w:szCs w:val="18"/>
              </w:rPr>
              <w:t>应用</w:t>
            </w:r>
          </w:p>
        </w:tc>
        <w:tc>
          <w:tcPr>
            <w:tcW w:w="1149" w:type="dxa"/>
            <w:vMerge w:val="continue"/>
            <w:tcBorders>
              <w:top w:val="nil"/>
              <w:bottom w:val="nil"/>
            </w:tcBorders>
          </w:tcPr>
          <w:p>
            <w:pPr>
              <w:rPr>
                <w:rFonts w:ascii="Arial"/>
              </w:rPr>
            </w:pPr>
          </w:p>
        </w:tc>
        <w:tc>
          <w:tcPr>
            <w:tcW w:w="1153" w:type="dxa"/>
          </w:tcPr>
          <w:p>
            <w:pPr>
              <w:jc w:val="center"/>
              <w:rPr>
                <w:rFonts w:ascii="Arial"/>
              </w:rPr>
            </w:pPr>
            <w:r>
              <w:rPr>
                <w:rFonts w:hint="eastAsia" w:ascii="Arial"/>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9" w:hRule="atLeast"/>
          <w:jc w:val="center"/>
        </w:trPr>
        <w:tc>
          <w:tcPr>
            <w:tcW w:w="658" w:type="dxa"/>
          </w:tcPr>
          <w:p>
            <w:pPr>
              <w:spacing w:line="291" w:lineRule="auto"/>
              <w:rPr>
                <w:rFonts w:ascii="Arial"/>
              </w:rPr>
            </w:pPr>
          </w:p>
          <w:p>
            <w:pPr>
              <w:spacing w:before="59" w:line="182" w:lineRule="auto"/>
              <w:ind w:left="292"/>
              <w:rPr>
                <w:rFonts w:ascii="宋体" w:hAnsi="宋体" w:cs="宋体"/>
                <w:sz w:val="18"/>
                <w:szCs w:val="18"/>
              </w:rPr>
            </w:pPr>
            <w:r>
              <w:rPr>
                <w:rFonts w:ascii="宋体" w:hAnsi="宋体" w:cs="宋体"/>
                <w:sz w:val="18"/>
                <w:szCs w:val="18"/>
              </w:rPr>
              <w:t>7</w:t>
            </w:r>
          </w:p>
        </w:tc>
        <w:tc>
          <w:tcPr>
            <w:tcW w:w="1165" w:type="dxa"/>
            <w:vMerge w:val="continue"/>
            <w:tcBorders>
              <w:top w:val="nil"/>
              <w:bottom w:val="nil"/>
            </w:tcBorders>
          </w:tcPr>
          <w:p>
            <w:pPr>
              <w:rPr>
                <w:rFonts w:ascii="Arial"/>
              </w:rPr>
            </w:pPr>
          </w:p>
        </w:tc>
        <w:tc>
          <w:tcPr>
            <w:tcW w:w="1346" w:type="dxa"/>
          </w:tcPr>
          <w:p>
            <w:pPr>
              <w:spacing w:before="167" w:line="271" w:lineRule="auto"/>
              <w:ind w:left="314" w:right="106" w:hanging="207"/>
              <w:rPr>
                <w:rFonts w:ascii="宋体" w:hAnsi="宋体" w:cs="宋体"/>
                <w:sz w:val="18"/>
                <w:szCs w:val="18"/>
              </w:rPr>
            </w:pPr>
            <w:r>
              <w:rPr>
                <w:rFonts w:ascii="宋体" w:hAnsi="宋体" w:cs="宋体"/>
                <w:sz w:val="18"/>
                <w:szCs w:val="18"/>
              </w:rPr>
              <w:t>BIM</w:t>
            </w:r>
            <w:r>
              <w:rPr>
                <w:rFonts w:ascii="宋体" w:hAnsi="宋体" w:cs="宋体"/>
                <w:spacing w:val="15"/>
                <w:sz w:val="18"/>
                <w:szCs w:val="18"/>
              </w:rPr>
              <w:t>模型在</w:t>
            </w:r>
            <w:r>
              <w:rPr>
                <w:rFonts w:ascii="宋体" w:hAnsi="宋体" w:cs="宋体"/>
                <w:sz w:val="18"/>
                <w:szCs w:val="18"/>
              </w:rPr>
              <w:t xml:space="preserve">CIM </w:t>
            </w:r>
            <w:r>
              <w:rPr>
                <w:rFonts w:ascii="宋体" w:hAnsi="宋体" w:cs="宋体"/>
                <w:spacing w:val="-2"/>
                <w:sz w:val="18"/>
                <w:szCs w:val="18"/>
              </w:rPr>
              <w:t>平台落图</w:t>
            </w:r>
          </w:p>
        </w:tc>
        <w:tc>
          <w:tcPr>
            <w:tcW w:w="7502" w:type="dxa"/>
          </w:tcPr>
          <w:p>
            <w:pPr>
              <w:spacing w:line="263" w:lineRule="auto"/>
              <w:rPr>
                <w:rFonts w:ascii="Arial"/>
              </w:rPr>
            </w:pPr>
          </w:p>
          <w:p>
            <w:pPr>
              <w:spacing w:before="58" w:line="218" w:lineRule="auto"/>
              <w:ind w:left="288"/>
              <w:rPr>
                <w:rFonts w:ascii="宋体" w:hAnsi="宋体" w:cs="宋体"/>
                <w:sz w:val="18"/>
                <w:szCs w:val="18"/>
              </w:rPr>
            </w:pPr>
            <w:r>
              <w:rPr>
                <w:rFonts w:ascii="宋体" w:hAnsi="宋体" w:cs="宋体"/>
                <w:spacing w:val="-1"/>
                <w:sz w:val="18"/>
                <w:szCs w:val="18"/>
              </w:rPr>
              <w:t>将施工工程</w:t>
            </w:r>
            <w:r>
              <w:rPr>
                <w:rFonts w:ascii="宋体" w:hAnsi="宋体" w:cs="宋体"/>
                <w:spacing w:val="-42"/>
                <w:sz w:val="18"/>
                <w:szCs w:val="18"/>
              </w:rPr>
              <w:t xml:space="preserve"> </w:t>
            </w:r>
            <w:r>
              <w:rPr>
                <w:rFonts w:ascii="宋体" w:hAnsi="宋体" w:cs="宋体"/>
                <w:spacing w:val="-1"/>
                <w:sz w:val="18"/>
                <w:szCs w:val="18"/>
              </w:rPr>
              <w:t>BIM</w:t>
            </w:r>
            <w:r>
              <w:rPr>
                <w:rFonts w:ascii="宋体" w:hAnsi="宋体" w:cs="宋体"/>
                <w:spacing w:val="-37"/>
                <w:sz w:val="18"/>
                <w:szCs w:val="18"/>
              </w:rPr>
              <w:t xml:space="preserve"> </w:t>
            </w:r>
            <w:r>
              <w:rPr>
                <w:rFonts w:ascii="宋体" w:hAnsi="宋体" w:cs="宋体"/>
                <w:spacing w:val="-1"/>
                <w:sz w:val="18"/>
                <w:szCs w:val="18"/>
              </w:rPr>
              <w:t>模型在广州市</w:t>
            </w:r>
            <w:r>
              <w:rPr>
                <w:rFonts w:ascii="宋体" w:hAnsi="宋体" w:cs="宋体"/>
                <w:spacing w:val="-39"/>
                <w:sz w:val="18"/>
                <w:szCs w:val="18"/>
              </w:rPr>
              <w:t xml:space="preserve"> </w:t>
            </w:r>
            <w:r>
              <w:rPr>
                <w:rFonts w:ascii="宋体" w:hAnsi="宋体" w:cs="宋体"/>
                <w:spacing w:val="-1"/>
                <w:sz w:val="18"/>
                <w:szCs w:val="18"/>
              </w:rPr>
              <w:t>CIM</w:t>
            </w:r>
            <w:r>
              <w:rPr>
                <w:rFonts w:ascii="宋体" w:hAnsi="宋体" w:cs="宋体"/>
                <w:spacing w:val="-37"/>
                <w:sz w:val="18"/>
                <w:szCs w:val="18"/>
              </w:rPr>
              <w:t xml:space="preserve"> </w:t>
            </w:r>
            <w:r>
              <w:rPr>
                <w:rFonts w:ascii="宋体" w:hAnsi="宋体" w:cs="宋体"/>
                <w:spacing w:val="-1"/>
                <w:sz w:val="18"/>
                <w:szCs w:val="18"/>
              </w:rPr>
              <w:t>平台落图，实现智慧工地在</w:t>
            </w:r>
            <w:r>
              <w:rPr>
                <w:rFonts w:ascii="宋体" w:hAnsi="宋体" w:cs="宋体"/>
                <w:spacing w:val="-38"/>
                <w:sz w:val="18"/>
                <w:szCs w:val="18"/>
              </w:rPr>
              <w:t xml:space="preserve"> </w:t>
            </w:r>
            <w:r>
              <w:rPr>
                <w:rFonts w:ascii="宋体" w:hAnsi="宋体" w:cs="宋体"/>
                <w:spacing w:val="-1"/>
                <w:sz w:val="18"/>
                <w:szCs w:val="18"/>
              </w:rPr>
              <w:t>CIM</w:t>
            </w:r>
            <w:r>
              <w:rPr>
                <w:rFonts w:ascii="宋体" w:hAnsi="宋体" w:cs="宋体"/>
                <w:spacing w:val="-37"/>
                <w:sz w:val="18"/>
                <w:szCs w:val="18"/>
              </w:rPr>
              <w:t xml:space="preserve"> </w:t>
            </w:r>
            <w:r>
              <w:rPr>
                <w:rFonts w:ascii="宋体" w:hAnsi="宋体" w:cs="宋体"/>
                <w:spacing w:val="-1"/>
                <w:sz w:val="18"/>
                <w:szCs w:val="18"/>
              </w:rPr>
              <w:t>平台</w:t>
            </w:r>
            <w:r>
              <w:rPr>
                <w:rFonts w:ascii="宋体" w:hAnsi="宋体" w:cs="宋体"/>
                <w:spacing w:val="-2"/>
                <w:sz w:val="18"/>
                <w:szCs w:val="18"/>
              </w:rPr>
              <w:t>进行三维展示</w:t>
            </w:r>
          </w:p>
        </w:tc>
        <w:tc>
          <w:tcPr>
            <w:tcW w:w="1149" w:type="dxa"/>
            <w:vMerge w:val="continue"/>
            <w:tcBorders>
              <w:top w:val="nil"/>
              <w:bottom w:val="nil"/>
            </w:tcBorders>
          </w:tcPr>
          <w:p>
            <w:pPr>
              <w:rPr>
                <w:rFonts w:ascii="Arial"/>
              </w:rPr>
            </w:pPr>
          </w:p>
        </w:tc>
        <w:tc>
          <w:tcPr>
            <w:tcW w:w="1153" w:type="dxa"/>
          </w:tcPr>
          <w:p>
            <w:pPr>
              <w:jc w:val="center"/>
              <w:rPr>
                <w:rFonts w:ascii="Arial"/>
              </w:rPr>
            </w:pPr>
            <w:r>
              <w:rPr>
                <w:rFonts w:hint="eastAsia" w:ascii="Arial"/>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9" w:hRule="atLeast"/>
          <w:jc w:val="center"/>
        </w:trPr>
        <w:tc>
          <w:tcPr>
            <w:tcW w:w="658" w:type="dxa"/>
          </w:tcPr>
          <w:p>
            <w:pPr>
              <w:spacing w:line="292" w:lineRule="auto"/>
              <w:rPr>
                <w:rFonts w:ascii="Arial"/>
              </w:rPr>
            </w:pPr>
          </w:p>
          <w:p>
            <w:pPr>
              <w:spacing w:before="58" w:line="183" w:lineRule="auto"/>
              <w:ind w:left="289"/>
              <w:rPr>
                <w:rFonts w:ascii="宋体" w:hAnsi="宋体" w:cs="宋体"/>
                <w:sz w:val="18"/>
                <w:szCs w:val="18"/>
              </w:rPr>
            </w:pPr>
            <w:r>
              <w:rPr>
                <w:rFonts w:ascii="宋体" w:hAnsi="宋体" w:cs="宋体"/>
                <w:sz w:val="18"/>
                <w:szCs w:val="18"/>
              </w:rPr>
              <w:t>8</w:t>
            </w:r>
          </w:p>
        </w:tc>
        <w:tc>
          <w:tcPr>
            <w:tcW w:w="1165" w:type="dxa"/>
            <w:vMerge w:val="continue"/>
            <w:tcBorders>
              <w:top w:val="nil"/>
            </w:tcBorders>
          </w:tcPr>
          <w:p>
            <w:pPr>
              <w:rPr>
                <w:rFonts w:ascii="Arial"/>
              </w:rPr>
            </w:pPr>
          </w:p>
        </w:tc>
        <w:tc>
          <w:tcPr>
            <w:tcW w:w="1346" w:type="dxa"/>
          </w:tcPr>
          <w:p>
            <w:pPr>
              <w:spacing w:before="167" w:line="271" w:lineRule="auto"/>
              <w:ind w:left="320" w:right="131" w:hanging="184"/>
              <w:rPr>
                <w:rFonts w:ascii="宋体" w:hAnsi="宋体" w:cs="宋体"/>
                <w:sz w:val="18"/>
                <w:szCs w:val="18"/>
              </w:rPr>
            </w:pPr>
            <w:r>
              <w:rPr>
                <w:rFonts w:ascii="宋体" w:hAnsi="宋体" w:cs="宋体"/>
                <w:spacing w:val="-2"/>
                <w:sz w:val="18"/>
                <w:szCs w:val="18"/>
              </w:rPr>
              <w:t>装配式建筑信</w:t>
            </w:r>
            <w:r>
              <w:rPr>
                <w:rFonts w:ascii="宋体" w:hAnsi="宋体" w:cs="宋体"/>
                <w:spacing w:val="4"/>
                <w:sz w:val="18"/>
                <w:szCs w:val="18"/>
              </w:rPr>
              <w:t xml:space="preserve"> </w:t>
            </w:r>
            <w:r>
              <w:rPr>
                <w:rFonts w:ascii="宋体" w:hAnsi="宋体" w:cs="宋体"/>
                <w:spacing w:val="-3"/>
                <w:sz w:val="18"/>
                <w:szCs w:val="18"/>
              </w:rPr>
              <w:t>息化管理</w:t>
            </w:r>
          </w:p>
        </w:tc>
        <w:tc>
          <w:tcPr>
            <w:tcW w:w="7502" w:type="dxa"/>
          </w:tcPr>
          <w:p>
            <w:pPr>
              <w:spacing w:before="168" w:line="271" w:lineRule="auto"/>
              <w:ind w:left="109" w:right="104" w:firstLine="180"/>
              <w:rPr>
                <w:rFonts w:ascii="宋体" w:hAnsi="宋体" w:cs="宋体"/>
                <w:sz w:val="18"/>
                <w:szCs w:val="18"/>
              </w:rPr>
            </w:pPr>
            <w:r>
              <w:rPr>
                <w:rFonts w:ascii="宋体" w:hAnsi="宋体" w:cs="宋体"/>
                <w:spacing w:val="2"/>
                <w:sz w:val="18"/>
                <w:szCs w:val="18"/>
              </w:rPr>
              <w:t>通过平台对装配式建筑部品部件设计、生产、运输、安装等全过</w:t>
            </w:r>
            <w:r>
              <w:rPr>
                <w:rFonts w:ascii="宋体" w:hAnsi="宋体" w:cs="宋体"/>
                <w:spacing w:val="1"/>
                <w:sz w:val="18"/>
                <w:szCs w:val="18"/>
              </w:rPr>
              <w:t>程管理，并与</w:t>
            </w:r>
            <w:r>
              <w:rPr>
                <w:rFonts w:ascii="宋体" w:hAnsi="宋体" w:cs="宋体"/>
                <w:spacing w:val="-42"/>
                <w:sz w:val="18"/>
                <w:szCs w:val="18"/>
              </w:rPr>
              <w:t xml:space="preserve"> </w:t>
            </w:r>
            <w:r>
              <w:rPr>
                <w:rFonts w:ascii="宋体" w:hAnsi="宋体" w:cs="宋体"/>
                <w:sz w:val="18"/>
                <w:szCs w:val="18"/>
              </w:rPr>
              <w:t>BIM</w:t>
            </w:r>
            <w:r>
              <w:rPr>
                <w:rFonts w:ascii="宋体" w:hAnsi="宋体" w:cs="宋体"/>
                <w:spacing w:val="-31"/>
                <w:sz w:val="18"/>
                <w:szCs w:val="18"/>
              </w:rPr>
              <w:t xml:space="preserve"> </w:t>
            </w:r>
            <w:r>
              <w:rPr>
                <w:rFonts w:ascii="宋体" w:hAnsi="宋体" w:cs="宋体"/>
                <w:spacing w:val="1"/>
                <w:sz w:val="18"/>
                <w:szCs w:val="18"/>
              </w:rPr>
              <w:t>应用深</w:t>
            </w:r>
            <w:r>
              <w:rPr>
                <w:rFonts w:ascii="宋体" w:hAnsi="宋体" w:cs="宋体"/>
                <w:sz w:val="18"/>
                <w:szCs w:val="18"/>
              </w:rPr>
              <w:t xml:space="preserve"> </w:t>
            </w:r>
            <w:r>
              <w:rPr>
                <w:rFonts w:ascii="宋体" w:hAnsi="宋体" w:cs="宋体"/>
                <w:spacing w:val="-3"/>
                <w:sz w:val="18"/>
                <w:szCs w:val="18"/>
              </w:rPr>
              <w:t>度融合</w:t>
            </w:r>
          </w:p>
        </w:tc>
        <w:tc>
          <w:tcPr>
            <w:tcW w:w="1149" w:type="dxa"/>
            <w:vMerge w:val="continue"/>
            <w:tcBorders>
              <w:top w:val="nil"/>
            </w:tcBorders>
          </w:tcPr>
          <w:p>
            <w:pPr>
              <w:rPr>
                <w:rFonts w:ascii="Arial"/>
              </w:rPr>
            </w:pPr>
          </w:p>
        </w:tc>
        <w:tc>
          <w:tcPr>
            <w:tcW w:w="1153" w:type="dxa"/>
          </w:tcPr>
          <w:p>
            <w:pPr>
              <w:jc w:val="center"/>
              <w:rPr>
                <w:rFonts w:ascii="Arial"/>
              </w:rPr>
            </w:pPr>
            <w:r>
              <w:rPr>
                <w:rFonts w:hint="eastAsia" w:ascii="Arial"/>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60" w:hRule="atLeast"/>
          <w:jc w:val="center"/>
        </w:trPr>
        <w:tc>
          <w:tcPr>
            <w:tcW w:w="658" w:type="dxa"/>
          </w:tcPr>
          <w:p>
            <w:pPr>
              <w:spacing w:before="219" w:line="183" w:lineRule="auto"/>
              <w:ind w:left="289"/>
              <w:rPr>
                <w:rFonts w:ascii="宋体" w:hAnsi="宋体" w:cs="宋体"/>
                <w:sz w:val="18"/>
                <w:szCs w:val="18"/>
              </w:rPr>
            </w:pPr>
            <w:r>
              <w:rPr>
                <w:rFonts w:ascii="宋体" w:hAnsi="宋体" w:cs="宋体"/>
                <w:sz w:val="18"/>
                <w:szCs w:val="18"/>
              </w:rPr>
              <w:t>9</w:t>
            </w:r>
          </w:p>
        </w:tc>
        <w:tc>
          <w:tcPr>
            <w:tcW w:w="1165" w:type="dxa"/>
            <w:vMerge w:val="restart"/>
            <w:tcBorders>
              <w:bottom w:val="nil"/>
            </w:tcBorders>
          </w:tcPr>
          <w:p>
            <w:pPr>
              <w:spacing w:line="265" w:lineRule="auto"/>
              <w:rPr>
                <w:rFonts w:ascii="Arial"/>
              </w:rPr>
            </w:pPr>
          </w:p>
          <w:p>
            <w:pPr>
              <w:spacing w:line="265" w:lineRule="auto"/>
              <w:rPr>
                <w:rFonts w:ascii="Arial"/>
              </w:rPr>
            </w:pPr>
          </w:p>
          <w:p>
            <w:pPr>
              <w:spacing w:line="265" w:lineRule="auto"/>
              <w:rPr>
                <w:rFonts w:ascii="Arial"/>
              </w:rPr>
            </w:pPr>
          </w:p>
          <w:p>
            <w:pPr>
              <w:spacing w:line="266" w:lineRule="auto"/>
              <w:rPr>
                <w:rFonts w:ascii="Arial"/>
              </w:rPr>
            </w:pPr>
          </w:p>
          <w:p>
            <w:pPr>
              <w:spacing w:line="266" w:lineRule="auto"/>
              <w:rPr>
                <w:rFonts w:ascii="Arial"/>
              </w:rPr>
            </w:pPr>
          </w:p>
          <w:p>
            <w:pPr>
              <w:spacing w:before="59" w:line="219" w:lineRule="auto"/>
              <w:ind w:left="405"/>
              <w:rPr>
                <w:rFonts w:ascii="宋体" w:hAnsi="宋体" w:cs="宋体"/>
                <w:sz w:val="18"/>
                <w:szCs w:val="18"/>
              </w:rPr>
            </w:pPr>
            <w:r>
              <w:rPr>
                <w:rFonts w:ascii="宋体" w:hAnsi="宋体" w:cs="宋体"/>
                <w:spacing w:val="-4"/>
                <w:sz w:val="18"/>
                <w:szCs w:val="18"/>
              </w:rPr>
              <w:t>其他</w:t>
            </w:r>
          </w:p>
        </w:tc>
        <w:tc>
          <w:tcPr>
            <w:tcW w:w="1346" w:type="dxa"/>
          </w:tcPr>
          <w:p>
            <w:pPr>
              <w:spacing w:before="191" w:line="218" w:lineRule="auto"/>
              <w:ind w:left="226"/>
              <w:rPr>
                <w:rFonts w:ascii="宋体" w:hAnsi="宋体" w:cs="宋体"/>
                <w:sz w:val="18"/>
                <w:szCs w:val="18"/>
              </w:rPr>
            </w:pPr>
            <w:r>
              <w:rPr>
                <w:rFonts w:ascii="宋体" w:hAnsi="宋体" w:cs="宋体"/>
                <w:spacing w:val="-2"/>
                <w:sz w:val="18"/>
                <w:szCs w:val="18"/>
              </w:rPr>
              <w:t>建筑机器人</w:t>
            </w:r>
          </w:p>
        </w:tc>
        <w:tc>
          <w:tcPr>
            <w:tcW w:w="7502" w:type="dxa"/>
          </w:tcPr>
          <w:p>
            <w:pPr>
              <w:spacing w:before="191" w:line="218" w:lineRule="auto"/>
              <w:ind w:left="289"/>
              <w:rPr>
                <w:rFonts w:ascii="宋体" w:hAnsi="宋体" w:cs="宋体"/>
                <w:sz w:val="18"/>
                <w:szCs w:val="18"/>
              </w:rPr>
            </w:pPr>
            <w:r>
              <w:rPr>
                <w:rFonts w:ascii="宋体" w:hAnsi="宋体" w:cs="宋体"/>
                <w:sz w:val="18"/>
                <w:szCs w:val="18"/>
              </w:rPr>
              <w:t>通过建筑机器人，完成工程部分工序的施工，例</w:t>
            </w:r>
            <w:r>
              <w:rPr>
                <w:rFonts w:ascii="宋体" w:hAnsi="宋体" w:cs="宋体"/>
                <w:spacing w:val="-1"/>
                <w:sz w:val="18"/>
                <w:szCs w:val="18"/>
              </w:rPr>
              <w:t>如砌墙、抹灰等</w:t>
            </w:r>
          </w:p>
        </w:tc>
        <w:tc>
          <w:tcPr>
            <w:tcW w:w="1149" w:type="dxa"/>
            <w:vMerge w:val="restart"/>
            <w:tcBorders>
              <w:bottom w:val="nil"/>
            </w:tcBorders>
          </w:tcPr>
          <w:p>
            <w:pPr>
              <w:rPr>
                <w:rFonts w:ascii="Arial"/>
              </w:rPr>
            </w:pPr>
          </w:p>
        </w:tc>
        <w:tc>
          <w:tcPr>
            <w:tcW w:w="1153" w:type="dxa"/>
          </w:tcPr>
          <w:p>
            <w:pPr>
              <w:jc w:val="center"/>
              <w:rPr>
                <w:rFonts w:ascii="Arial"/>
              </w:rPr>
            </w:pPr>
            <w:r>
              <w:rPr>
                <w:rFonts w:hint="eastAsia" w:ascii="Arial"/>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5" w:hRule="atLeast"/>
          <w:jc w:val="center"/>
        </w:trPr>
        <w:tc>
          <w:tcPr>
            <w:tcW w:w="658" w:type="dxa"/>
          </w:tcPr>
          <w:p>
            <w:pPr>
              <w:spacing w:before="255" w:line="184" w:lineRule="auto"/>
              <w:ind w:left="256"/>
              <w:rPr>
                <w:rFonts w:ascii="宋体" w:hAnsi="宋体" w:cs="宋体"/>
                <w:sz w:val="18"/>
                <w:szCs w:val="18"/>
              </w:rPr>
            </w:pPr>
            <w:r>
              <w:rPr>
                <w:rFonts w:ascii="宋体" w:hAnsi="宋体" w:cs="宋体"/>
                <w:spacing w:val="-11"/>
                <w:sz w:val="18"/>
                <w:szCs w:val="18"/>
              </w:rPr>
              <w:t>10</w:t>
            </w:r>
          </w:p>
        </w:tc>
        <w:tc>
          <w:tcPr>
            <w:tcW w:w="1165" w:type="dxa"/>
            <w:vMerge w:val="continue"/>
            <w:tcBorders>
              <w:top w:val="nil"/>
              <w:bottom w:val="nil"/>
            </w:tcBorders>
          </w:tcPr>
          <w:p>
            <w:pPr>
              <w:rPr>
                <w:rFonts w:ascii="Arial"/>
              </w:rPr>
            </w:pPr>
          </w:p>
        </w:tc>
        <w:tc>
          <w:tcPr>
            <w:tcW w:w="1346" w:type="dxa"/>
          </w:tcPr>
          <w:p>
            <w:pPr>
              <w:spacing w:before="228" w:line="218" w:lineRule="auto"/>
              <w:ind w:left="404"/>
              <w:rPr>
                <w:rFonts w:ascii="宋体" w:hAnsi="宋体" w:cs="宋体"/>
                <w:sz w:val="18"/>
                <w:szCs w:val="18"/>
              </w:rPr>
            </w:pPr>
            <w:r>
              <w:rPr>
                <w:rFonts w:ascii="宋体" w:hAnsi="宋体" w:cs="宋体"/>
                <w:spacing w:val="-3"/>
                <w:sz w:val="18"/>
                <w:szCs w:val="18"/>
              </w:rPr>
              <w:t>造楼机</w:t>
            </w:r>
          </w:p>
        </w:tc>
        <w:tc>
          <w:tcPr>
            <w:tcW w:w="7502" w:type="dxa"/>
          </w:tcPr>
          <w:p>
            <w:pPr>
              <w:spacing w:before="70" w:line="272" w:lineRule="auto"/>
              <w:ind w:left="110" w:right="104" w:firstLine="202"/>
              <w:rPr>
                <w:rFonts w:ascii="宋体" w:hAnsi="宋体" w:cs="宋体"/>
                <w:sz w:val="18"/>
                <w:szCs w:val="18"/>
              </w:rPr>
            </w:pPr>
            <w:r>
              <w:rPr>
                <w:rFonts w:ascii="宋体" w:hAnsi="宋体" w:cs="宋体"/>
                <w:spacing w:val="2"/>
                <w:sz w:val="18"/>
                <w:szCs w:val="18"/>
              </w:rPr>
              <w:t>由支撑、顶升、挂架、钢平台及附属设施等</w:t>
            </w:r>
            <w:r>
              <w:rPr>
                <w:rFonts w:ascii="宋体" w:hAnsi="宋体" w:cs="宋体"/>
                <w:spacing w:val="1"/>
                <w:sz w:val="18"/>
                <w:szCs w:val="18"/>
              </w:rPr>
              <w:t>系统组成，集成了控制室、材料堆场、生产设</w:t>
            </w:r>
            <w:r>
              <w:rPr>
                <w:rFonts w:ascii="宋体" w:hAnsi="宋体" w:cs="宋体"/>
                <w:sz w:val="18"/>
                <w:szCs w:val="18"/>
              </w:rPr>
              <w:t xml:space="preserve"> </w:t>
            </w:r>
            <w:r>
              <w:rPr>
                <w:rFonts w:ascii="宋体" w:hAnsi="宋体" w:cs="宋体"/>
                <w:spacing w:val="-1"/>
                <w:sz w:val="18"/>
                <w:szCs w:val="18"/>
              </w:rPr>
              <w:t>施、施工作业面及安全消防等功能的智能化集成平台</w:t>
            </w:r>
          </w:p>
        </w:tc>
        <w:tc>
          <w:tcPr>
            <w:tcW w:w="1149" w:type="dxa"/>
            <w:vMerge w:val="continue"/>
            <w:tcBorders>
              <w:top w:val="nil"/>
              <w:bottom w:val="nil"/>
            </w:tcBorders>
          </w:tcPr>
          <w:p>
            <w:pPr>
              <w:rPr>
                <w:rFonts w:ascii="Arial"/>
              </w:rPr>
            </w:pPr>
          </w:p>
        </w:tc>
        <w:tc>
          <w:tcPr>
            <w:tcW w:w="1153" w:type="dxa"/>
          </w:tcPr>
          <w:p>
            <w:pPr>
              <w:jc w:val="center"/>
              <w:rPr>
                <w:rFonts w:ascii="Arial"/>
              </w:rPr>
            </w:pPr>
            <w:r>
              <w:rPr>
                <w:rFonts w:hint="eastAsia" w:ascii="Arial"/>
              </w:rPr>
              <w:t>否</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34" w:hRule="atLeast"/>
          <w:jc w:val="center"/>
        </w:trPr>
        <w:tc>
          <w:tcPr>
            <w:tcW w:w="658" w:type="dxa"/>
          </w:tcPr>
          <w:p>
            <w:pPr>
              <w:spacing w:line="296" w:lineRule="auto"/>
              <w:rPr>
                <w:rFonts w:ascii="Arial"/>
              </w:rPr>
            </w:pPr>
          </w:p>
          <w:p>
            <w:pPr>
              <w:spacing w:line="297" w:lineRule="auto"/>
              <w:rPr>
                <w:rFonts w:ascii="Arial"/>
              </w:rPr>
            </w:pPr>
          </w:p>
          <w:p>
            <w:pPr>
              <w:spacing w:before="58" w:line="184" w:lineRule="auto"/>
              <w:ind w:left="256"/>
              <w:rPr>
                <w:rFonts w:ascii="宋体" w:hAnsi="宋体" w:cs="宋体"/>
                <w:sz w:val="18"/>
                <w:szCs w:val="18"/>
              </w:rPr>
            </w:pPr>
            <w:r>
              <w:rPr>
                <w:rFonts w:ascii="宋体" w:hAnsi="宋体" w:cs="宋体"/>
                <w:spacing w:val="-11"/>
                <w:sz w:val="18"/>
                <w:szCs w:val="18"/>
              </w:rPr>
              <w:t>11</w:t>
            </w:r>
          </w:p>
        </w:tc>
        <w:tc>
          <w:tcPr>
            <w:tcW w:w="1165" w:type="dxa"/>
            <w:vMerge w:val="continue"/>
            <w:tcBorders>
              <w:top w:val="nil"/>
              <w:bottom w:val="nil"/>
            </w:tcBorders>
          </w:tcPr>
          <w:p>
            <w:pPr>
              <w:rPr>
                <w:rFonts w:ascii="Arial"/>
              </w:rPr>
            </w:pPr>
          </w:p>
        </w:tc>
        <w:tc>
          <w:tcPr>
            <w:tcW w:w="1346" w:type="dxa"/>
          </w:tcPr>
          <w:p>
            <w:pPr>
              <w:spacing w:line="411" w:lineRule="auto"/>
              <w:rPr>
                <w:rFonts w:ascii="Arial"/>
              </w:rPr>
            </w:pPr>
          </w:p>
          <w:p>
            <w:pPr>
              <w:spacing w:before="59" w:line="271" w:lineRule="auto"/>
              <w:ind w:left="137" w:right="131" w:hanging="1"/>
              <w:rPr>
                <w:rFonts w:ascii="宋体" w:hAnsi="宋体" w:cs="宋体"/>
                <w:sz w:val="18"/>
                <w:szCs w:val="18"/>
              </w:rPr>
            </w:pPr>
            <w:r>
              <w:rPr>
                <w:rFonts w:ascii="宋体" w:hAnsi="宋体" w:cs="宋体"/>
                <w:spacing w:val="-2"/>
                <w:sz w:val="18"/>
                <w:szCs w:val="18"/>
              </w:rPr>
              <w:t>测量机器人、</w:t>
            </w:r>
            <w:r>
              <w:rPr>
                <w:rFonts w:ascii="宋体" w:hAnsi="宋体" w:cs="宋体"/>
                <w:spacing w:val="3"/>
                <w:sz w:val="18"/>
                <w:szCs w:val="18"/>
              </w:rPr>
              <w:t xml:space="preserve"> </w:t>
            </w:r>
            <w:r>
              <w:rPr>
                <w:rFonts w:ascii="宋体" w:hAnsi="宋体" w:cs="宋体"/>
                <w:spacing w:val="-2"/>
                <w:sz w:val="18"/>
                <w:szCs w:val="18"/>
              </w:rPr>
              <w:t>智能测量工具</w:t>
            </w:r>
          </w:p>
        </w:tc>
        <w:tc>
          <w:tcPr>
            <w:tcW w:w="7502" w:type="dxa"/>
          </w:tcPr>
          <w:p>
            <w:pPr>
              <w:spacing w:before="157" w:line="271" w:lineRule="auto"/>
              <w:ind w:left="110" w:right="104" w:firstLine="179"/>
              <w:rPr>
                <w:rFonts w:ascii="宋体" w:hAnsi="宋体" w:cs="宋体"/>
                <w:sz w:val="18"/>
                <w:szCs w:val="18"/>
              </w:rPr>
            </w:pPr>
            <w:r>
              <w:rPr>
                <w:rFonts w:ascii="宋体" w:hAnsi="宋体" w:cs="宋体"/>
                <w:spacing w:val="2"/>
                <w:sz w:val="18"/>
                <w:szCs w:val="18"/>
              </w:rPr>
              <w:t>应用三维测量机器人，由机器人自动规划路径到达待测区域，通过点云扫描仪快速精确自</w:t>
            </w:r>
            <w:r>
              <w:rPr>
                <w:rFonts w:ascii="宋体" w:hAnsi="宋体" w:cs="宋体"/>
                <w:spacing w:val="3"/>
                <w:sz w:val="18"/>
                <w:szCs w:val="18"/>
              </w:rPr>
              <w:t xml:space="preserve"> </w:t>
            </w:r>
            <w:r>
              <w:rPr>
                <w:rFonts w:ascii="宋体" w:hAnsi="宋体" w:cs="宋体"/>
                <w:spacing w:val="-1"/>
                <w:sz w:val="18"/>
                <w:szCs w:val="18"/>
              </w:rPr>
              <w:t>动扫描测量墙面、柱面的平整度和垂直度</w:t>
            </w:r>
          </w:p>
          <w:p>
            <w:pPr>
              <w:spacing w:before="100" w:line="270" w:lineRule="auto"/>
              <w:ind w:left="111" w:right="104" w:firstLine="178"/>
              <w:rPr>
                <w:rFonts w:ascii="宋体" w:hAnsi="宋体" w:cs="宋体"/>
                <w:sz w:val="18"/>
                <w:szCs w:val="18"/>
              </w:rPr>
            </w:pPr>
            <w:r>
              <w:rPr>
                <w:rFonts w:ascii="宋体" w:hAnsi="宋体" w:cs="宋体"/>
                <w:spacing w:val="2"/>
                <w:sz w:val="18"/>
                <w:szCs w:val="18"/>
              </w:rPr>
              <w:t>应用智能实测实量工具，包括智能靠尺、智能测距仪、智能卷尺、智能阴阳角尺等，可将</w:t>
            </w:r>
            <w:r>
              <w:rPr>
                <w:rFonts w:ascii="宋体" w:hAnsi="宋体" w:cs="宋体"/>
                <w:spacing w:val="3"/>
                <w:sz w:val="18"/>
                <w:szCs w:val="18"/>
              </w:rPr>
              <w:t xml:space="preserve"> </w:t>
            </w:r>
            <w:r>
              <w:rPr>
                <w:rFonts w:ascii="宋体" w:hAnsi="宋体" w:cs="宋体"/>
                <w:spacing w:val="-1"/>
                <w:sz w:val="18"/>
                <w:szCs w:val="18"/>
              </w:rPr>
              <w:t>数据传输至手机客户端，</w:t>
            </w:r>
            <w:r>
              <w:rPr>
                <w:rFonts w:ascii="宋体" w:hAnsi="宋体" w:cs="宋体"/>
                <w:spacing w:val="-49"/>
                <w:sz w:val="18"/>
                <w:szCs w:val="18"/>
              </w:rPr>
              <w:t xml:space="preserve"> </w:t>
            </w:r>
            <w:r>
              <w:rPr>
                <w:rFonts w:ascii="宋体" w:hAnsi="宋体" w:cs="宋体"/>
                <w:spacing w:val="-1"/>
                <w:sz w:val="18"/>
                <w:szCs w:val="18"/>
              </w:rPr>
              <w:t>自动统计形成智能报表并</w:t>
            </w:r>
            <w:r>
              <w:rPr>
                <w:rFonts w:ascii="宋体" w:hAnsi="宋体" w:cs="宋体"/>
                <w:spacing w:val="-2"/>
                <w:sz w:val="18"/>
                <w:szCs w:val="18"/>
              </w:rPr>
              <w:t>上传至云端，实现数据智能分析</w:t>
            </w:r>
          </w:p>
        </w:tc>
        <w:tc>
          <w:tcPr>
            <w:tcW w:w="1149" w:type="dxa"/>
            <w:vMerge w:val="continue"/>
            <w:tcBorders>
              <w:top w:val="nil"/>
              <w:bottom w:val="nil"/>
            </w:tcBorders>
          </w:tcPr>
          <w:p>
            <w:pPr>
              <w:rPr>
                <w:rFonts w:ascii="Arial"/>
              </w:rPr>
            </w:pPr>
          </w:p>
        </w:tc>
        <w:tc>
          <w:tcPr>
            <w:tcW w:w="1153" w:type="dxa"/>
          </w:tcPr>
          <w:p>
            <w:pPr>
              <w:jc w:val="center"/>
              <w:rPr>
                <w:rFonts w:ascii="Arial"/>
              </w:rPr>
            </w:pPr>
            <w:r>
              <w:rPr>
                <w:rFonts w:hint="eastAsia" w:ascii="Arial"/>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7" w:hRule="atLeast"/>
          <w:jc w:val="center"/>
        </w:trPr>
        <w:tc>
          <w:tcPr>
            <w:tcW w:w="658" w:type="dxa"/>
          </w:tcPr>
          <w:p>
            <w:pPr>
              <w:spacing w:before="257" w:line="184" w:lineRule="auto"/>
              <w:ind w:left="256"/>
              <w:rPr>
                <w:rFonts w:ascii="宋体" w:hAnsi="宋体" w:cs="宋体"/>
                <w:sz w:val="18"/>
                <w:szCs w:val="18"/>
              </w:rPr>
            </w:pPr>
            <w:r>
              <w:rPr>
                <w:rFonts w:ascii="宋体" w:hAnsi="宋体" w:cs="宋体"/>
                <w:spacing w:val="-11"/>
                <w:sz w:val="18"/>
                <w:szCs w:val="18"/>
              </w:rPr>
              <w:t>12</w:t>
            </w:r>
          </w:p>
        </w:tc>
        <w:tc>
          <w:tcPr>
            <w:tcW w:w="1165" w:type="dxa"/>
            <w:vMerge w:val="continue"/>
            <w:tcBorders>
              <w:top w:val="nil"/>
            </w:tcBorders>
          </w:tcPr>
          <w:p>
            <w:pPr>
              <w:rPr>
                <w:rFonts w:ascii="Arial"/>
              </w:rPr>
            </w:pPr>
          </w:p>
        </w:tc>
        <w:tc>
          <w:tcPr>
            <w:tcW w:w="1346" w:type="dxa"/>
          </w:tcPr>
          <w:p>
            <w:pPr>
              <w:spacing w:before="72" w:line="271" w:lineRule="auto"/>
              <w:ind w:left="586" w:right="110" w:hanging="480"/>
              <w:rPr>
                <w:rFonts w:ascii="宋体" w:hAnsi="宋体" w:cs="宋体"/>
                <w:sz w:val="18"/>
                <w:szCs w:val="18"/>
              </w:rPr>
            </w:pPr>
            <w:r>
              <w:rPr>
                <w:rFonts w:ascii="宋体" w:hAnsi="宋体" w:cs="宋体"/>
                <w:spacing w:val="-2"/>
                <w:sz w:val="18"/>
                <w:szCs w:val="18"/>
              </w:rPr>
              <w:t>AI</w:t>
            </w:r>
            <w:r>
              <w:rPr>
                <w:rFonts w:ascii="宋体" w:hAnsi="宋体" w:cs="宋体"/>
                <w:spacing w:val="-33"/>
                <w:sz w:val="18"/>
                <w:szCs w:val="18"/>
              </w:rPr>
              <w:t xml:space="preserve"> </w:t>
            </w:r>
            <w:r>
              <w:rPr>
                <w:rFonts w:ascii="宋体" w:hAnsi="宋体" w:cs="宋体"/>
                <w:spacing w:val="-2"/>
                <w:sz w:val="18"/>
                <w:szCs w:val="18"/>
              </w:rPr>
              <w:t>视频图像识</w:t>
            </w:r>
            <w:r>
              <w:rPr>
                <w:rFonts w:ascii="宋体" w:hAnsi="宋体" w:cs="宋体"/>
                <w:sz w:val="18"/>
                <w:szCs w:val="18"/>
              </w:rPr>
              <w:t xml:space="preserve"> 别</w:t>
            </w:r>
          </w:p>
        </w:tc>
        <w:tc>
          <w:tcPr>
            <w:tcW w:w="7502" w:type="dxa"/>
          </w:tcPr>
          <w:p>
            <w:pPr>
              <w:spacing w:before="230" w:line="219" w:lineRule="auto"/>
              <w:ind w:left="290"/>
              <w:rPr>
                <w:rFonts w:ascii="宋体" w:hAnsi="宋体" w:cs="宋体"/>
                <w:sz w:val="18"/>
                <w:szCs w:val="18"/>
              </w:rPr>
            </w:pPr>
            <w:r>
              <w:rPr>
                <w:rFonts w:ascii="宋体" w:hAnsi="宋体" w:cs="宋体"/>
                <w:spacing w:val="-1"/>
                <w:sz w:val="18"/>
                <w:szCs w:val="18"/>
              </w:rPr>
              <w:t>利用</w:t>
            </w:r>
            <w:r>
              <w:rPr>
                <w:rFonts w:ascii="宋体" w:hAnsi="宋体" w:cs="宋体"/>
                <w:spacing w:val="-26"/>
                <w:sz w:val="18"/>
                <w:szCs w:val="18"/>
              </w:rPr>
              <w:t xml:space="preserve"> </w:t>
            </w:r>
            <w:r>
              <w:rPr>
                <w:rFonts w:ascii="宋体" w:hAnsi="宋体" w:cs="宋体"/>
                <w:spacing w:val="-1"/>
                <w:sz w:val="18"/>
                <w:szCs w:val="18"/>
              </w:rPr>
              <w:t>AI</w:t>
            </w:r>
            <w:r>
              <w:rPr>
                <w:rFonts w:ascii="宋体" w:hAnsi="宋体" w:cs="宋体"/>
                <w:spacing w:val="-35"/>
                <w:sz w:val="18"/>
                <w:szCs w:val="18"/>
              </w:rPr>
              <w:t xml:space="preserve"> </w:t>
            </w:r>
            <w:r>
              <w:rPr>
                <w:rFonts w:ascii="宋体" w:hAnsi="宋体" w:cs="宋体"/>
                <w:spacing w:val="-1"/>
                <w:sz w:val="18"/>
                <w:szCs w:val="18"/>
              </w:rPr>
              <w:t>辅助视频监控对工程中的危险源、人员行为、车辆等进行自动识别和报警</w:t>
            </w:r>
          </w:p>
        </w:tc>
        <w:tc>
          <w:tcPr>
            <w:tcW w:w="1149" w:type="dxa"/>
            <w:vMerge w:val="continue"/>
            <w:tcBorders>
              <w:top w:val="nil"/>
            </w:tcBorders>
          </w:tcPr>
          <w:p>
            <w:pPr>
              <w:rPr>
                <w:rFonts w:ascii="Arial"/>
              </w:rPr>
            </w:pPr>
          </w:p>
        </w:tc>
        <w:tc>
          <w:tcPr>
            <w:tcW w:w="1153" w:type="dxa"/>
          </w:tcPr>
          <w:p>
            <w:pPr>
              <w:jc w:val="center"/>
              <w:rPr>
                <w:rFonts w:ascii="Arial"/>
              </w:rPr>
            </w:pPr>
            <w:r>
              <w:rPr>
                <w:rFonts w:hint="eastAsia" w:ascii="Arial"/>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98" w:hRule="atLeast"/>
          <w:jc w:val="center"/>
        </w:trPr>
        <w:tc>
          <w:tcPr>
            <w:tcW w:w="658" w:type="dxa"/>
          </w:tcPr>
          <w:p>
            <w:pPr>
              <w:spacing w:line="262" w:lineRule="auto"/>
              <w:rPr>
                <w:rFonts w:ascii="Arial"/>
              </w:rPr>
            </w:pPr>
          </w:p>
          <w:p>
            <w:pPr>
              <w:spacing w:line="263" w:lineRule="auto"/>
              <w:rPr>
                <w:rFonts w:ascii="Arial"/>
              </w:rPr>
            </w:pPr>
          </w:p>
          <w:p>
            <w:pPr>
              <w:spacing w:before="59" w:line="184" w:lineRule="auto"/>
              <w:ind w:left="256"/>
              <w:rPr>
                <w:rFonts w:ascii="宋体" w:hAnsi="宋体" w:cs="宋体"/>
                <w:sz w:val="18"/>
                <w:szCs w:val="18"/>
              </w:rPr>
            </w:pPr>
            <w:r>
              <w:rPr>
                <w:rFonts w:ascii="宋体" w:hAnsi="宋体" w:cs="宋体"/>
                <w:spacing w:val="-11"/>
                <w:sz w:val="18"/>
                <w:szCs w:val="18"/>
              </w:rPr>
              <w:t>13</w:t>
            </w:r>
          </w:p>
        </w:tc>
        <w:tc>
          <w:tcPr>
            <w:tcW w:w="1165" w:type="dxa"/>
            <w:vMerge w:val="restart"/>
            <w:tcBorders>
              <w:bottom w:val="nil"/>
            </w:tcBorders>
          </w:tcPr>
          <w:p>
            <w:pPr>
              <w:rPr>
                <w:rFonts w:ascii="Arial"/>
              </w:rPr>
            </w:pPr>
          </w:p>
        </w:tc>
        <w:tc>
          <w:tcPr>
            <w:tcW w:w="1346" w:type="dxa"/>
          </w:tcPr>
          <w:p>
            <w:pPr>
              <w:spacing w:before="246" w:line="218" w:lineRule="auto"/>
              <w:ind w:left="136"/>
              <w:rPr>
                <w:rFonts w:ascii="宋体" w:hAnsi="宋体" w:cs="宋体"/>
                <w:sz w:val="18"/>
                <w:szCs w:val="18"/>
              </w:rPr>
            </w:pPr>
            <w:r>
              <w:rPr>
                <w:rFonts w:ascii="宋体" w:hAnsi="宋体" w:cs="宋体"/>
                <w:spacing w:val="-2"/>
                <w:sz w:val="18"/>
                <w:szCs w:val="18"/>
              </w:rPr>
              <w:t>无人机、移动</w:t>
            </w:r>
          </w:p>
          <w:p>
            <w:pPr>
              <w:spacing w:before="102" w:line="219" w:lineRule="auto"/>
              <w:ind w:left="136"/>
              <w:rPr>
                <w:rFonts w:ascii="宋体" w:hAnsi="宋体" w:cs="宋体"/>
                <w:sz w:val="18"/>
                <w:szCs w:val="18"/>
              </w:rPr>
            </w:pPr>
            <w:r>
              <w:rPr>
                <w:rFonts w:ascii="宋体" w:hAnsi="宋体" w:cs="宋体"/>
                <w:spacing w:val="-2"/>
                <w:sz w:val="18"/>
                <w:szCs w:val="18"/>
              </w:rPr>
              <w:t>视频监控设备</w:t>
            </w:r>
          </w:p>
          <w:p>
            <w:pPr>
              <w:spacing w:before="100" w:line="219" w:lineRule="auto"/>
              <w:ind w:left="406"/>
              <w:rPr>
                <w:rFonts w:ascii="宋体" w:hAnsi="宋体" w:cs="宋体"/>
                <w:sz w:val="18"/>
                <w:szCs w:val="18"/>
              </w:rPr>
            </w:pPr>
            <w:r>
              <w:rPr>
                <w:rFonts w:ascii="宋体" w:hAnsi="宋体" w:cs="宋体"/>
                <w:spacing w:val="-3"/>
                <w:sz w:val="18"/>
                <w:szCs w:val="18"/>
              </w:rPr>
              <w:t>等应用</w:t>
            </w:r>
          </w:p>
        </w:tc>
        <w:tc>
          <w:tcPr>
            <w:tcW w:w="7502" w:type="dxa"/>
          </w:tcPr>
          <w:p>
            <w:pPr>
              <w:spacing w:before="87" w:line="220" w:lineRule="auto"/>
              <w:ind w:left="292"/>
              <w:rPr>
                <w:rFonts w:ascii="宋体" w:hAnsi="宋体" w:cs="宋体"/>
                <w:sz w:val="18"/>
                <w:szCs w:val="18"/>
              </w:rPr>
            </w:pPr>
            <w:r>
              <w:rPr>
                <w:rFonts w:ascii="宋体" w:hAnsi="宋体" w:cs="宋体"/>
                <w:spacing w:val="-2"/>
                <w:sz w:val="18"/>
                <w:szCs w:val="18"/>
              </w:rPr>
              <w:t>下列应用之一：</w:t>
            </w:r>
          </w:p>
          <w:p>
            <w:pPr>
              <w:spacing w:before="100" w:line="272" w:lineRule="auto"/>
              <w:ind w:left="110" w:right="38"/>
              <w:rPr>
                <w:rFonts w:ascii="宋体" w:hAnsi="宋体" w:cs="宋体"/>
                <w:sz w:val="18"/>
                <w:szCs w:val="18"/>
              </w:rPr>
            </w:pPr>
            <w:r>
              <w:rPr>
                <w:rFonts w:ascii="宋体" w:hAnsi="宋体" w:cs="宋体"/>
                <w:spacing w:val="-3"/>
                <w:sz w:val="18"/>
                <w:szCs w:val="18"/>
              </w:rPr>
              <w:t>a) 利用无人机、移动视频监控设备等对起重机械的安装、拆卸等关键节点过程进行实时监控、</w:t>
            </w:r>
            <w:r>
              <w:rPr>
                <w:rFonts w:ascii="宋体" w:hAnsi="宋体" w:cs="宋体"/>
                <w:spacing w:val="5"/>
                <w:sz w:val="18"/>
                <w:szCs w:val="18"/>
              </w:rPr>
              <w:t xml:space="preserve"> </w:t>
            </w:r>
            <w:r>
              <w:rPr>
                <w:rFonts w:ascii="宋体" w:hAnsi="宋体" w:cs="宋体"/>
                <w:spacing w:val="-1"/>
                <w:sz w:val="18"/>
                <w:szCs w:val="18"/>
              </w:rPr>
              <w:t>记录和远程喊话</w:t>
            </w:r>
          </w:p>
          <w:p>
            <w:pPr>
              <w:spacing w:before="100" w:line="218" w:lineRule="auto"/>
              <w:ind w:left="107"/>
              <w:rPr>
                <w:rFonts w:ascii="宋体" w:hAnsi="宋体" w:cs="宋体"/>
                <w:sz w:val="18"/>
                <w:szCs w:val="18"/>
              </w:rPr>
            </w:pPr>
            <w:r>
              <w:rPr>
                <w:rFonts w:ascii="宋体" w:hAnsi="宋体" w:cs="宋体"/>
                <w:spacing w:val="-2"/>
                <w:sz w:val="18"/>
                <w:szCs w:val="18"/>
              </w:rPr>
              <w:t>b) 利用无人机基站/机巢，</w:t>
            </w:r>
            <w:r>
              <w:rPr>
                <w:rFonts w:ascii="宋体" w:hAnsi="宋体" w:cs="宋体"/>
                <w:spacing w:val="-45"/>
                <w:sz w:val="18"/>
                <w:szCs w:val="18"/>
              </w:rPr>
              <w:t xml:space="preserve"> </w:t>
            </w:r>
            <w:r>
              <w:rPr>
                <w:rFonts w:ascii="宋体" w:hAnsi="宋体" w:cs="宋体"/>
                <w:spacing w:val="-2"/>
                <w:sz w:val="18"/>
                <w:szCs w:val="18"/>
              </w:rPr>
              <w:t>自动设置任务拍摄、监控</w:t>
            </w:r>
          </w:p>
        </w:tc>
        <w:tc>
          <w:tcPr>
            <w:tcW w:w="1149" w:type="dxa"/>
            <w:vMerge w:val="restart"/>
            <w:tcBorders>
              <w:bottom w:val="nil"/>
            </w:tcBorders>
          </w:tcPr>
          <w:p>
            <w:pPr>
              <w:rPr>
                <w:rFonts w:ascii="Arial"/>
              </w:rPr>
            </w:pPr>
          </w:p>
        </w:tc>
        <w:tc>
          <w:tcPr>
            <w:tcW w:w="1153" w:type="dxa"/>
          </w:tcPr>
          <w:p>
            <w:pPr>
              <w:jc w:val="center"/>
              <w:rPr>
                <w:rFonts w:ascii="Arial"/>
              </w:rPr>
            </w:pPr>
            <w:r>
              <w:rPr>
                <w:rFonts w:hint="eastAsia" w:ascii="Arial"/>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99" w:hRule="atLeast"/>
          <w:jc w:val="center"/>
        </w:trPr>
        <w:tc>
          <w:tcPr>
            <w:tcW w:w="658" w:type="dxa"/>
          </w:tcPr>
          <w:p>
            <w:pPr>
              <w:spacing w:line="277" w:lineRule="auto"/>
              <w:rPr>
                <w:rFonts w:ascii="Arial"/>
              </w:rPr>
            </w:pPr>
          </w:p>
          <w:p>
            <w:pPr>
              <w:spacing w:before="59" w:line="184" w:lineRule="auto"/>
              <w:ind w:left="256"/>
              <w:rPr>
                <w:rFonts w:ascii="宋体" w:hAnsi="宋体" w:cs="宋体"/>
                <w:sz w:val="18"/>
                <w:szCs w:val="18"/>
              </w:rPr>
            </w:pPr>
            <w:r>
              <w:rPr>
                <w:rFonts w:ascii="宋体" w:hAnsi="宋体" w:cs="宋体"/>
                <w:spacing w:val="-11"/>
                <w:sz w:val="18"/>
                <w:szCs w:val="18"/>
              </w:rPr>
              <w:t>14</w:t>
            </w:r>
          </w:p>
        </w:tc>
        <w:tc>
          <w:tcPr>
            <w:tcW w:w="1165" w:type="dxa"/>
            <w:vMerge w:val="continue"/>
            <w:tcBorders>
              <w:top w:val="nil"/>
              <w:bottom w:val="nil"/>
            </w:tcBorders>
          </w:tcPr>
          <w:p>
            <w:pPr>
              <w:rPr>
                <w:rFonts w:ascii="Arial"/>
              </w:rPr>
            </w:pPr>
          </w:p>
        </w:tc>
        <w:tc>
          <w:tcPr>
            <w:tcW w:w="1346" w:type="dxa"/>
          </w:tcPr>
          <w:p>
            <w:pPr>
              <w:spacing w:before="153" w:line="271" w:lineRule="auto"/>
              <w:ind w:left="584" w:right="131" w:hanging="448"/>
              <w:rPr>
                <w:rFonts w:ascii="宋体" w:hAnsi="宋体" w:cs="宋体"/>
                <w:sz w:val="18"/>
                <w:szCs w:val="18"/>
              </w:rPr>
            </w:pPr>
            <w:r>
              <w:rPr>
                <w:rFonts w:ascii="宋体" w:hAnsi="宋体" w:cs="宋体"/>
                <w:spacing w:val="-2"/>
                <w:sz w:val="18"/>
                <w:szCs w:val="18"/>
              </w:rPr>
              <w:t>施工档案数字</w:t>
            </w:r>
            <w:r>
              <w:rPr>
                <w:rFonts w:ascii="宋体" w:hAnsi="宋体" w:cs="宋体"/>
                <w:spacing w:val="3"/>
                <w:sz w:val="18"/>
                <w:szCs w:val="18"/>
              </w:rPr>
              <w:t xml:space="preserve"> </w:t>
            </w:r>
            <w:r>
              <w:rPr>
                <w:rFonts w:ascii="宋体" w:hAnsi="宋体" w:cs="宋体"/>
                <w:sz w:val="18"/>
                <w:szCs w:val="18"/>
              </w:rPr>
              <w:t>化</w:t>
            </w:r>
          </w:p>
        </w:tc>
        <w:tc>
          <w:tcPr>
            <w:tcW w:w="7502" w:type="dxa"/>
          </w:tcPr>
          <w:p>
            <w:pPr>
              <w:spacing w:before="152" w:line="271" w:lineRule="auto"/>
              <w:ind w:left="114" w:right="51" w:firstLine="180"/>
              <w:rPr>
                <w:rFonts w:ascii="宋体" w:hAnsi="宋体" w:cs="宋体"/>
                <w:sz w:val="18"/>
                <w:szCs w:val="18"/>
              </w:rPr>
            </w:pPr>
            <w:r>
              <w:rPr>
                <w:rFonts w:ascii="宋体" w:hAnsi="宋体" w:cs="宋体"/>
                <w:spacing w:val="-1"/>
                <w:sz w:val="18"/>
                <w:szCs w:val="18"/>
              </w:rPr>
              <w:t>实现对项目管理行为数据、施工作业行为数据、竣工资料和声像档</w:t>
            </w:r>
            <w:r>
              <w:rPr>
                <w:rFonts w:ascii="宋体" w:hAnsi="宋体" w:cs="宋体"/>
                <w:spacing w:val="-2"/>
                <w:sz w:val="18"/>
                <w:szCs w:val="18"/>
              </w:rPr>
              <w:t>案等资料的数字化处理，</w:t>
            </w:r>
            <w:r>
              <w:rPr>
                <w:rFonts w:ascii="宋体" w:hAnsi="宋体" w:cs="宋体"/>
                <w:sz w:val="18"/>
                <w:szCs w:val="18"/>
              </w:rPr>
              <w:t xml:space="preserve"> </w:t>
            </w:r>
            <w:r>
              <w:rPr>
                <w:rFonts w:ascii="宋体" w:hAnsi="宋体" w:cs="宋体"/>
                <w:spacing w:val="-1"/>
                <w:sz w:val="18"/>
                <w:szCs w:val="18"/>
              </w:rPr>
              <w:t>并具备信息收集、整理、在线编辑与协同、存储、检索、归档等功能</w:t>
            </w:r>
          </w:p>
        </w:tc>
        <w:tc>
          <w:tcPr>
            <w:tcW w:w="1149" w:type="dxa"/>
            <w:vMerge w:val="continue"/>
            <w:tcBorders>
              <w:top w:val="nil"/>
              <w:bottom w:val="nil"/>
            </w:tcBorders>
          </w:tcPr>
          <w:p>
            <w:pPr>
              <w:rPr>
                <w:rFonts w:ascii="Arial"/>
              </w:rPr>
            </w:pPr>
          </w:p>
        </w:tc>
        <w:tc>
          <w:tcPr>
            <w:tcW w:w="1153" w:type="dxa"/>
          </w:tcPr>
          <w:p>
            <w:pPr>
              <w:jc w:val="center"/>
              <w:rPr>
                <w:rFonts w:ascii="Arial"/>
              </w:rPr>
            </w:pPr>
            <w:r>
              <w:rPr>
                <w:rFonts w:hint="eastAsia" w:ascii="Arial"/>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9" w:hRule="atLeast"/>
          <w:jc w:val="center"/>
        </w:trPr>
        <w:tc>
          <w:tcPr>
            <w:tcW w:w="658" w:type="dxa"/>
          </w:tcPr>
          <w:p>
            <w:pPr>
              <w:spacing w:line="351" w:lineRule="auto"/>
              <w:rPr>
                <w:rFonts w:ascii="Arial"/>
              </w:rPr>
            </w:pPr>
          </w:p>
          <w:p>
            <w:pPr>
              <w:spacing w:before="59" w:line="184" w:lineRule="auto"/>
              <w:ind w:left="256"/>
              <w:rPr>
                <w:rFonts w:ascii="宋体" w:hAnsi="宋体" w:cs="宋体"/>
                <w:sz w:val="18"/>
                <w:szCs w:val="18"/>
              </w:rPr>
            </w:pPr>
            <w:r>
              <w:rPr>
                <w:rFonts w:ascii="宋体" w:hAnsi="宋体" w:cs="宋体"/>
                <w:spacing w:val="-11"/>
                <w:sz w:val="18"/>
                <w:szCs w:val="18"/>
              </w:rPr>
              <w:t>15</w:t>
            </w:r>
          </w:p>
        </w:tc>
        <w:tc>
          <w:tcPr>
            <w:tcW w:w="1165" w:type="dxa"/>
            <w:vMerge w:val="continue"/>
            <w:tcBorders>
              <w:top w:val="nil"/>
              <w:bottom w:val="nil"/>
            </w:tcBorders>
          </w:tcPr>
          <w:p>
            <w:pPr>
              <w:rPr>
                <w:rFonts w:ascii="Arial"/>
              </w:rPr>
            </w:pPr>
          </w:p>
        </w:tc>
        <w:tc>
          <w:tcPr>
            <w:tcW w:w="1346" w:type="dxa"/>
          </w:tcPr>
          <w:p>
            <w:pPr>
              <w:spacing w:line="325" w:lineRule="auto"/>
              <w:rPr>
                <w:rFonts w:ascii="Arial"/>
              </w:rPr>
            </w:pPr>
          </w:p>
          <w:p>
            <w:pPr>
              <w:spacing w:before="58" w:line="220" w:lineRule="auto"/>
              <w:ind w:left="316"/>
              <w:rPr>
                <w:rFonts w:ascii="宋体" w:hAnsi="宋体" w:cs="宋体"/>
                <w:sz w:val="18"/>
                <w:szCs w:val="18"/>
              </w:rPr>
            </w:pPr>
            <w:r>
              <w:rPr>
                <w:rFonts w:ascii="宋体" w:hAnsi="宋体" w:cs="宋体"/>
                <w:spacing w:val="-2"/>
                <w:sz w:val="18"/>
                <w:szCs w:val="18"/>
              </w:rPr>
              <w:t>政企互联</w:t>
            </w:r>
          </w:p>
        </w:tc>
        <w:tc>
          <w:tcPr>
            <w:tcW w:w="7502" w:type="dxa"/>
          </w:tcPr>
          <w:p>
            <w:pPr>
              <w:spacing w:before="72" w:line="288" w:lineRule="auto"/>
              <w:ind w:left="110" w:right="104" w:firstLine="179"/>
              <w:rPr>
                <w:rFonts w:ascii="宋体" w:hAnsi="宋体" w:cs="宋体"/>
                <w:sz w:val="18"/>
                <w:szCs w:val="18"/>
              </w:rPr>
            </w:pPr>
            <w:r>
              <w:rPr>
                <w:rFonts w:ascii="宋体" w:hAnsi="宋体" w:cs="宋体"/>
                <w:sz w:val="18"/>
                <w:szCs w:val="18"/>
              </w:rPr>
              <w:t>通过企业/集团智慧工地平台，对其下属各工程项目的智慧工地系统进行</w:t>
            </w:r>
            <w:r>
              <w:rPr>
                <w:rFonts w:ascii="宋体" w:hAnsi="宋体" w:cs="宋体"/>
                <w:spacing w:val="-1"/>
                <w:sz w:val="18"/>
                <w:szCs w:val="18"/>
              </w:rPr>
              <w:t>纵向管理和横向统</w:t>
            </w:r>
            <w:r>
              <w:rPr>
                <w:rFonts w:ascii="宋体" w:hAnsi="宋体" w:cs="宋体"/>
                <w:sz w:val="18"/>
                <w:szCs w:val="18"/>
              </w:rPr>
              <w:t xml:space="preserve"> </w:t>
            </w:r>
            <w:r>
              <w:rPr>
                <w:rFonts w:ascii="宋体" w:hAnsi="宋体" w:cs="宋体"/>
                <w:spacing w:val="2"/>
                <w:sz w:val="18"/>
                <w:szCs w:val="18"/>
              </w:rPr>
              <w:t>计分析，开展与建设行业主管部门的企业级政企互联，实现政府监管数据与企业平台的互联</w:t>
            </w:r>
            <w:r>
              <w:rPr>
                <w:rFonts w:ascii="宋体" w:hAnsi="宋体" w:cs="宋体"/>
                <w:spacing w:val="1"/>
                <w:sz w:val="18"/>
                <w:szCs w:val="18"/>
              </w:rPr>
              <w:t xml:space="preserve"> </w:t>
            </w:r>
            <w:r>
              <w:rPr>
                <w:rFonts w:ascii="宋体" w:hAnsi="宋体" w:cs="宋体"/>
                <w:spacing w:val="-4"/>
                <w:sz w:val="18"/>
                <w:szCs w:val="18"/>
              </w:rPr>
              <w:t>展示</w:t>
            </w:r>
          </w:p>
        </w:tc>
        <w:tc>
          <w:tcPr>
            <w:tcW w:w="1149" w:type="dxa"/>
            <w:vMerge w:val="continue"/>
            <w:tcBorders>
              <w:top w:val="nil"/>
              <w:bottom w:val="nil"/>
            </w:tcBorders>
          </w:tcPr>
          <w:p>
            <w:pPr>
              <w:rPr>
                <w:rFonts w:ascii="Arial"/>
              </w:rPr>
            </w:pPr>
          </w:p>
        </w:tc>
        <w:tc>
          <w:tcPr>
            <w:tcW w:w="1153" w:type="dxa"/>
          </w:tcPr>
          <w:p>
            <w:pPr>
              <w:jc w:val="center"/>
              <w:rPr>
                <w:rFonts w:ascii="Arial"/>
              </w:rPr>
            </w:pPr>
            <w:r>
              <w:rPr>
                <w:rFonts w:hint="eastAsia" w:ascii="Arial"/>
              </w:rPr>
              <w:t>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9" w:hRule="atLeast"/>
          <w:jc w:val="center"/>
        </w:trPr>
        <w:tc>
          <w:tcPr>
            <w:tcW w:w="658" w:type="dxa"/>
          </w:tcPr>
          <w:p>
            <w:pPr>
              <w:spacing w:before="255" w:line="184" w:lineRule="auto"/>
              <w:ind w:left="256"/>
              <w:rPr>
                <w:rFonts w:ascii="宋体" w:hAnsi="宋体" w:cs="宋体"/>
                <w:sz w:val="18"/>
                <w:szCs w:val="18"/>
              </w:rPr>
            </w:pPr>
            <w:r>
              <w:rPr>
                <w:rFonts w:ascii="宋体" w:hAnsi="宋体" w:cs="宋体"/>
                <w:spacing w:val="-11"/>
                <w:sz w:val="18"/>
                <w:szCs w:val="18"/>
              </w:rPr>
              <w:t>16</w:t>
            </w:r>
          </w:p>
        </w:tc>
        <w:tc>
          <w:tcPr>
            <w:tcW w:w="1165" w:type="dxa"/>
            <w:vMerge w:val="continue"/>
            <w:tcBorders>
              <w:top w:val="nil"/>
            </w:tcBorders>
          </w:tcPr>
          <w:p>
            <w:pPr>
              <w:rPr>
                <w:rFonts w:ascii="Arial"/>
              </w:rPr>
            </w:pPr>
          </w:p>
        </w:tc>
        <w:tc>
          <w:tcPr>
            <w:tcW w:w="1346" w:type="dxa"/>
          </w:tcPr>
          <w:p>
            <w:pPr>
              <w:spacing w:before="229" w:line="219" w:lineRule="auto"/>
              <w:ind w:left="315"/>
              <w:rPr>
                <w:rFonts w:ascii="宋体" w:hAnsi="宋体" w:cs="宋体"/>
                <w:sz w:val="18"/>
                <w:szCs w:val="18"/>
              </w:rPr>
            </w:pPr>
            <w:r>
              <w:rPr>
                <w:rFonts w:ascii="宋体" w:hAnsi="宋体" w:cs="宋体"/>
                <w:spacing w:val="-2"/>
                <w:sz w:val="18"/>
                <w:szCs w:val="18"/>
              </w:rPr>
              <w:t>其他应用</w:t>
            </w:r>
          </w:p>
        </w:tc>
        <w:tc>
          <w:tcPr>
            <w:tcW w:w="7502" w:type="dxa"/>
          </w:tcPr>
          <w:p>
            <w:pPr>
              <w:spacing w:before="71" w:line="271" w:lineRule="auto"/>
              <w:ind w:left="110" w:right="104" w:firstLine="180"/>
              <w:rPr>
                <w:rFonts w:ascii="宋体" w:hAnsi="宋体" w:cs="宋体"/>
                <w:sz w:val="18"/>
                <w:szCs w:val="18"/>
              </w:rPr>
            </w:pPr>
            <w:r>
              <w:rPr>
                <w:rFonts w:ascii="宋体" w:hAnsi="宋体" w:cs="宋体"/>
                <w:sz w:val="18"/>
                <w:szCs w:val="18"/>
              </w:rPr>
              <w:t>本表中未列出，经专家鉴定达到国内领先及以上的于智慧工地的科技</w:t>
            </w:r>
            <w:r>
              <w:rPr>
                <w:rFonts w:ascii="宋体" w:hAnsi="宋体" w:cs="宋体"/>
                <w:spacing w:val="-1"/>
                <w:sz w:val="18"/>
                <w:szCs w:val="18"/>
              </w:rPr>
              <w:t>成果,并应用于智慧工</w:t>
            </w:r>
            <w:r>
              <w:rPr>
                <w:rFonts w:ascii="宋体" w:hAnsi="宋体" w:cs="宋体"/>
                <w:sz w:val="18"/>
                <w:szCs w:val="18"/>
              </w:rPr>
              <w:t xml:space="preserve"> </w:t>
            </w:r>
            <w:r>
              <w:rPr>
                <w:rFonts w:ascii="宋体" w:hAnsi="宋体" w:cs="宋体"/>
                <w:spacing w:val="-2"/>
                <w:sz w:val="18"/>
                <w:szCs w:val="18"/>
              </w:rPr>
              <w:t>地的前沿技术</w:t>
            </w:r>
          </w:p>
        </w:tc>
        <w:tc>
          <w:tcPr>
            <w:tcW w:w="1149" w:type="dxa"/>
            <w:vMerge w:val="continue"/>
            <w:tcBorders>
              <w:top w:val="nil"/>
            </w:tcBorders>
          </w:tcPr>
          <w:p>
            <w:pPr>
              <w:rPr>
                <w:rFonts w:ascii="Arial"/>
              </w:rPr>
            </w:pPr>
          </w:p>
        </w:tc>
        <w:tc>
          <w:tcPr>
            <w:tcW w:w="1153" w:type="dxa"/>
          </w:tcPr>
          <w:p>
            <w:pPr>
              <w:jc w:val="center"/>
              <w:rPr>
                <w:rFonts w:ascii="Arial"/>
              </w:rPr>
            </w:pPr>
            <w:r>
              <w:rPr>
                <w:rFonts w:hint="eastAsia" w:ascii="Arial"/>
              </w:rPr>
              <w:t>无</w:t>
            </w:r>
          </w:p>
        </w:tc>
      </w:tr>
    </w:tbl>
    <w:p>
      <w:pPr>
        <w:widowControl/>
        <w:shd w:val="clear" w:color="auto" w:fill="FFFFFF"/>
        <w:tabs>
          <w:tab w:val="left" w:pos="0"/>
        </w:tabs>
        <w:adjustRightInd w:val="0"/>
        <w:snapToGrid w:val="0"/>
        <w:spacing w:line="360" w:lineRule="auto"/>
        <w:rPr>
          <w:rFonts w:ascii="宋体" w:hAnsi="宋体" w:cs="宋体"/>
          <w:spacing w:val="8"/>
          <w:sz w:val="20"/>
          <w:szCs w:val="20"/>
        </w:rPr>
      </w:pPr>
    </w:p>
    <w:p>
      <w:pPr>
        <w:widowControl/>
        <w:shd w:val="clear" w:color="auto" w:fill="FFFFFF"/>
        <w:tabs>
          <w:tab w:val="left" w:pos="0"/>
        </w:tabs>
        <w:adjustRightInd w:val="0"/>
        <w:snapToGrid w:val="0"/>
        <w:spacing w:line="360" w:lineRule="auto"/>
        <w:rPr>
          <w:rFonts w:ascii="宋体" w:hAnsi="宋体" w:cs="宋体"/>
          <w:spacing w:val="8"/>
          <w:sz w:val="20"/>
          <w:szCs w:val="20"/>
        </w:rPr>
        <w:sectPr>
          <w:footerReference r:id="rId9" w:type="default"/>
          <w:pgSz w:w="16838" w:h="11906" w:orient="landscape"/>
          <w:pgMar w:top="1800" w:right="1440" w:bottom="1800" w:left="1440" w:header="851" w:footer="992" w:gutter="0"/>
          <w:cols w:space="720" w:num="1"/>
          <w:titlePg/>
          <w:docGrid w:type="lines" w:linePitch="312" w:charSpace="0"/>
        </w:sectPr>
      </w:pPr>
    </w:p>
    <w:p>
      <w:pPr>
        <w:pStyle w:val="7"/>
        <w:adjustRightInd w:val="0"/>
        <w:snapToGrid w:val="0"/>
        <w:spacing w:line="360" w:lineRule="auto"/>
        <w:rPr>
          <w:color w:val="auto"/>
          <w:sz w:val="30"/>
          <w:szCs w:val="30"/>
        </w:rPr>
      </w:pPr>
      <w:bookmarkStart w:id="509" w:name="_Toc159596204"/>
      <w:r>
        <w:rPr>
          <w:rFonts w:hint="eastAsia"/>
          <w:color w:val="auto"/>
          <w:sz w:val="30"/>
          <w:szCs w:val="30"/>
        </w:rPr>
        <w:t>（二十四）资金监管</w:t>
      </w:r>
      <w:r>
        <w:rPr>
          <w:color w:val="auto"/>
          <w:sz w:val="30"/>
          <w:szCs w:val="30"/>
        </w:rPr>
        <w:t>要求</w:t>
      </w:r>
      <w:bookmarkEnd w:id="509"/>
    </w:p>
    <w:p>
      <w:pPr>
        <w:numPr>
          <w:ilvl w:val="0"/>
          <w:numId w:val="6"/>
        </w:numPr>
        <w:spacing w:line="360" w:lineRule="auto"/>
        <w:ind w:left="0" w:firstLine="496"/>
        <w:rPr>
          <w:snapToGrid w:val="0"/>
          <w:spacing w:val="4"/>
          <w:kern w:val="0"/>
          <w:sz w:val="24"/>
          <w:szCs w:val="24"/>
        </w:rPr>
      </w:pPr>
      <w:r>
        <w:rPr>
          <w:snapToGrid w:val="0"/>
          <w:spacing w:val="4"/>
          <w:kern w:val="0"/>
          <w:sz w:val="24"/>
          <w:szCs w:val="24"/>
        </w:rPr>
        <w:t>承包人必须同发包人签订</w:t>
      </w:r>
      <w:r>
        <w:rPr>
          <w:rFonts w:hint="eastAsia"/>
          <w:snapToGrid w:val="0"/>
          <w:spacing w:val="4"/>
          <w:kern w:val="0"/>
          <w:sz w:val="24"/>
          <w:szCs w:val="24"/>
        </w:rPr>
        <w:t>资金监督管理协议，并无条件接受发包人对本项目建设资金的监管；</w:t>
      </w:r>
    </w:p>
    <w:p>
      <w:pPr>
        <w:numPr>
          <w:ilvl w:val="0"/>
          <w:numId w:val="6"/>
        </w:numPr>
        <w:spacing w:line="360" w:lineRule="auto"/>
        <w:ind w:left="0" w:firstLine="496"/>
        <w:rPr>
          <w:snapToGrid w:val="0"/>
          <w:spacing w:val="4"/>
          <w:kern w:val="0"/>
          <w:sz w:val="24"/>
          <w:szCs w:val="24"/>
        </w:rPr>
      </w:pPr>
      <w:r>
        <w:rPr>
          <w:snapToGrid w:val="0"/>
          <w:spacing w:val="4"/>
          <w:kern w:val="0"/>
          <w:sz w:val="24"/>
          <w:szCs w:val="24"/>
        </w:rPr>
        <w:t>承包人须按照发包人的相关管理制度上报资金使用计划，并严格按照使用计划拨付资金。</w:t>
      </w:r>
    </w:p>
    <w:p>
      <w:pPr>
        <w:numPr>
          <w:ilvl w:val="0"/>
          <w:numId w:val="6"/>
        </w:numPr>
        <w:spacing w:line="360" w:lineRule="auto"/>
        <w:ind w:left="0" w:firstLine="496"/>
        <w:rPr>
          <w:snapToGrid w:val="0"/>
          <w:spacing w:val="4"/>
          <w:kern w:val="0"/>
          <w:sz w:val="24"/>
          <w:szCs w:val="24"/>
        </w:rPr>
      </w:pPr>
      <w:r>
        <w:rPr>
          <w:rFonts w:hint="eastAsia"/>
          <w:snapToGrid w:val="0"/>
          <w:spacing w:val="4"/>
          <w:kern w:val="0"/>
          <w:sz w:val="24"/>
          <w:szCs w:val="24"/>
        </w:rPr>
        <w:t>承包人必须做到专款专用，严禁承包人挪用、截留项目建设资金，发包人将定期、不定期检查项目的资金使用情况，一经查实承包人存在违规使用建设资金情况，发包人有权拒绝支付进度款项并按合同约定予以违约处罚。</w:t>
      </w:r>
    </w:p>
    <w:p>
      <w:pPr>
        <w:numPr>
          <w:ilvl w:val="0"/>
          <w:numId w:val="6"/>
        </w:numPr>
        <w:spacing w:line="360" w:lineRule="auto"/>
        <w:ind w:left="0" w:firstLine="496"/>
        <w:rPr>
          <w:snapToGrid w:val="0"/>
          <w:spacing w:val="4"/>
          <w:kern w:val="0"/>
          <w:sz w:val="24"/>
          <w:szCs w:val="24"/>
        </w:rPr>
      </w:pPr>
      <w:r>
        <w:rPr>
          <w:rFonts w:hint="eastAsia"/>
          <w:snapToGrid w:val="0"/>
          <w:spacing w:val="4"/>
          <w:kern w:val="0"/>
          <w:sz w:val="24"/>
          <w:szCs w:val="24"/>
        </w:rPr>
        <w:t>承包人需按月将资金支付凭证、相应发票复印件报发包人备查。</w:t>
      </w:r>
    </w:p>
    <w:p>
      <w:pPr>
        <w:spacing w:line="360" w:lineRule="auto"/>
        <w:ind w:left="496"/>
        <w:rPr>
          <w:snapToGrid w:val="0"/>
          <w:spacing w:val="4"/>
          <w:kern w:val="0"/>
          <w:sz w:val="24"/>
          <w:szCs w:val="24"/>
        </w:rPr>
      </w:pPr>
    </w:p>
    <w:p>
      <w:pPr>
        <w:pStyle w:val="7"/>
        <w:widowControl/>
        <w:adjustRightInd w:val="0"/>
        <w:snapToGrid w:val="0"/>
        <w:spacing w:line="360" w:lineRule="auto"/>
        <w:rPr>
          <w:color w:val="auto"/>
          <w:sz w:val="30"/>
          <w:szCs w:val="30"/>
        </w:rPr>
      </w:pPr>
      <w:r>
        <w:rPr>
          <w:rFonts w:hint="eastAsia" w:ascii="宋体" w:hAnsi="宋体" w:cs="宋体"/>
          <w:color w:val="auto"/>
          <w:sz w:val="30"/>
          <w:szCs w:val="30"/>
        </w:rPr>
        <w:t>（二十五）与体育工艺、智能化工程的施工界面划分</w:t>
      </w:r>
    </w:p>
    <w:p>
      <w:pPr>
        <w:numPr>
          <w:ilvl w:val="0"/>
          <w:numId w:val="7"/>
        </w:numPr>
        <w:spacing w:line="360" w:lineRule="auto"/>
        <w:ind w:left="0" w:firstLine="496"/>
        <w:rPr>
          <w:spacing w:val="4"/>
          <w:kern w:val="0"/>
          <w:sz w:val="24"/>
          <w:szCs w:val="24"/>
        </w:rPr>
      </w:pPr>
      <w:r>
        <w:rPr>
          <w:rFonts w:hint="eastAsia" w:ascii="宋体" w:hAnsi="宋体" w:cs="宋体"/>
          <w:spacing w:val="4"/>
          <w:kern w:val="0"/>
          <w:sz w:val="24"/>
          <w:szCs w:val="24"/>
          <w:lang w:bidi="ar"/>
        </w:rPr>
        <w:t>本项目体育工艺、智能化工程专项施工由发包人另行发包实施，承包人需无条件配合体育工艺、智能化工程承包人的工作，承包人在投标时综合考虑相关施工配合、管理费用，发包人不再另外支付费用。</w:t>
      </w:r>
    </w:p>
    <w:p>
      <w:pPr>
        <w:numPr>
          <w:ilvl w:val="0"/>
          <w:numId w:val="7"/>
        </w:numPr>
        <w:spacing w:line="360" w:lineRule="auto"/>
        <w:ind w:left="0" w:firstLine="496"/>
        <w:rPr>
          <w:spacing w:val="4"/>
          <w:kern w:val="0"/>
          <w:sz w:val="24"/>
          <w:szCs w:val="24"/>
        </w:rPr>
      </w:pPr>
      <w:r>
        <w:rPr>
          <w:rFonts w:hint="eastAsia" w:ascii="宋体" w:hAnsi="宋体" w:cs="宋体"/>
          <w:spacing w:val="4"/>
          <w:kern w:val="0"/>
          <w:sz w:val="24"/>
          <w:szCs w:val="24"/>
          <w:lang w:bidi="ar"/>
        </w:rPr>
        <w:t>本次发包与体育工艺、智能化工程专项的分工界面暂按下表执行，待各单位进场后另行组织相关单位进行研究，若出现变化，以发包人的审批为准。</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2125"/>
        <w:gridCol w:w="2194"/>
        <w:gridCol w:w="3476"/>
        <w:gridCol w:w="10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56" w:type="dxa"/>
            <w:tcBorders>
              <w:top w:val="single" w:color="auto" w:sz="4" w:space="0"/>
              <w:left w:val="single" w:color="auto" w:sz="4" w:space="0"/>
              <w:bottom w:val="single" w:color="auto" w:sz="4" w:space="0"/>
              <w:right w:val="single" w:color="auto" w:sz="4" w:space="0"/>
            </w:tcBorders>
          </w:tcPr>
          <w:p>
            <w:pPr>
              <w:jc w:val="center"/>
              <w:rPr>
                <w:rFonts w:ascii="Calibri" w:hAnsi="Calibri"/>
                <w:sz w:val="24"/>
                <w:szCs w:val="24"/>
              </w:rPr>
            </w:pPr>
            <w:r>
              <w:rPr>
                <w:rFonts w:hint="eastAsia" w:ascii="宋体" w:hAnsi="宋体" w:cs="宋体"/>
                <w:sz w:val="24"/>
                <w:szCs w:val="24"/>
                <w:lang w:bidi="ar"/>
              </w:rPr>
              <w:t>序号</w:t>
            </w:r>
          </w:p>
        </w:tc>
        <w:tc>
          <w:tcPr>
            <w:tcW w:w="2125" w:type="dxa"/>
            <w:tcBorders>
              <w:top w:val="single" w:color="auto" w:sz="4" w:space="0"/>
              <w:left w:val="single" w:color="auto" w:sz="4" w:space="0"/>
              <w:bottom w:val="single" w:color="auto" w:sz="4" w:space="0"/>
              <w:right w:val="single" w:color="auto" w:sz="4" w:space="0"/>
            </w:tcBorders>
          </w:tcPr>
          <w:p>
            <w:pPr>
              <w:jc w:val="center"/>
              <w:rPr>
                <w:rFonts w:ascii="Calibri" w:hAnsi="Calibri"/>
                <w:sz w:val="24"/>
                <w:szCs w:val="24"/>
              </w:rPr>
            </w:pPr>
            <w:r>
              <w:rPr>
                <w:rFonts w:hint="eastAsia" w:ascii="宋体" w:hAnsi="宋体" w:cs="宋体"/>
                <w:sz w:val="24"/>
                <w:szCs w:val="24"/>
                <w:lang w:bidi="ar"/>
              </w:rPr>
              <w:t>体育工艺、</w:t>
            </w:r>
            <w:r>
              <w:rPr>
                <w:rFonts w:hint="eastAsia" w:ascii="宋体" w:hAnsi="宋体" w:cs="宋体"/>
                <w:spacing w:val="4"/>
                <w:kern w:val="0"/>
                <w:sz w:val="24"/>
                <w:szCs w:val="24"/>
                <w:lang w:bidi="ar"/>
              </w:rPr>
              <w:t>智能化工程</w:t>
            </w:r>
            <w:r>
              <w:rPr>
                <w:rFonts w:hint="eastAsia" w:ascii="宋体" w:hAnsi="宋体" w:cs="宋体"/>
                <w:sz w:val="24"/>
                <w:szCs w:val="24"/>
                <w:lang w:bidi="ar"/>
              </w:rPr>
              <w:t>实施名称</w:t>
            </w:r>
          </w:p>
        </w:tc>
        <w:tc>
          <w:tcPr>
            <w:tcW w:w="2194" w:type="dxa"/>
            <w:tcBorders>
              <w:top w:val="single" w:color="auto" w:sz="4" w:space="0"/>
              <w:left w:val="single" w:color="auto" w:sz="4" w:space="0"/>
              <w:bottom w:val="single" w:color="auto" w:sz="4" w:space="0"/>
              <w:right w:val="single" w:color="auto" w:sz="4" w:space="0"/>
            </w:tcBorders>
          </w:tcPr>
          <w:p>
            <w:pPr>
              <w:jc w:val="center"/>
              <w:rPr>
                <w:rFonts w:ascii="Calibri" w:hAnsi="Calibri"/>
                <w:sz w:val="24"/>
                <w:szCs w:val="24"/>
              </w:rPr>
            </w:pPr>
            <w:r>
              <w:rPr>
                <w:rFonts w:hint="eastAsia" w:ascii="宋体" w:hAnsi="宋体" w:cs="宋体"/>
                <w:sz w:val="24"/>
                <w:szCs w:val="24"/>
                <w:lang w:bidi="ar"/>
              </w:rPr>
              <w:t>施工总承包界面范围</w:t>
            </w:r>
          </w:p>
        </w:tc>
        <w:tc>
          <w:tcPr>
            <w:tcW w:w="3476" w:type="dxa"/>
            <w:tcBorders>
              <w:top w:val="single" w:color="auto" w:sz="4" w:space="0"/>
              <w:left w:val="single" w:color="auto" w:sz="4" w:space="0"/>
              <w:bottom w:val="single" w:color="auto" w:sz="4" w:space="0"/>
              <w:right w:val="single" w:color="auto" w:sz="4" w:space="0"/>
            </w:tcBorders>
          </w:tcPr>
          <w:p>
            <w:pPr>
              <w:jc w:val="center"/>
              <w:rPr>
                <w:rFonts w:ascii="Calibri" w:hAnsi="Calibri"/>
                <w:sz w:val="24"/>
                <w:szCs w:val="24"/>
              </w:rPr>
            </w:pPr>
            <w:r>
              <w:rPr>
                <w:rFonts w:hint="eastAsia" w:ascii="宋体" w:hAnsi="宋体" w:cs="宋体"/>
                <w:sz w:val="24"/>
                <w:szCs w:val="24"/>
                <w:lang w:bidi="ar"/>
              </w:rPr>
              <w:t>体育工艺</w:t>
            </w:r>
            <w:r>
              <w:rPr>
                <w:rFonts w:hint="eastAsia" w:ascii="宋体" w:hAnsi="宋体" w:cs="宋体"/>
                <w:spacing w:val="4"/>
                <w:kern w:val="0"/>
                <w:sz w:val="24"/>
                <w:szCs w:val="24"/>
                <w:lang w:bidi="ar"/>
              </w:rPr>
              <w:t>、智能化工程</w:t>
            </w:r>
            <w:r>
              <w:rPr>
                <w:rFonts w:hint="eastAsia" w:ascii="宋体" w:hAnsi="宋体" w:cs="宋体"/>
                <w:sz w:val="24"/>
                <w:szCs w:val="24"/>
                <w:lang w:bidi="ar"/>
              </w:rPr>
              <w:t>施工单位实施范围</w:t>
            </w:r>
          </w:p>
        </w:tc>
        <w:tc>
          <w:tcPr>
            <w:tcW w:w="1035" w:type="dxa"/>
            <w:tcBorders>
              <w:top w:val="single" w:color="auto" w:sz="4" w:space="0"/>
              <w:left w:val="single" w:color="auto" w:sz="4" w:space="0"/>
              <w:bottom w:val="single" w:color="auto" w:sz="4" w:space="0"/>
              <w:right w:val="single" w:color="auto" w:sz="4" w:space="0"/>
            </w:tcBorders>
          </w:tcPr>
          <w:p>
            <w:pPr>
              <w:jc w:val="center"/>
              <w:rPr>
                <w:rFonts w:ascii="Calibri" w:hAnsi="Calibri"/>
                <w:sz w:val="24"/>
                <w:szCs w:val="24"/>
              </w:rPr>
            </w:pPr>
            <w:r>
              <w:rPr>
                <w:rFonts w:hint="eastAsia" w:ascii="宋体" w:hAnsi="宋体" w:cs="宋体"/>
                <w:sz w:val="24"/>
                <w:szCs w:val="24"/>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56"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1</w:t>
            </w:r>
          </w:p>
        </w:tc>
        <w:tc>
          <w:tcPr>
            <w:tcW w:w="2125"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更换部分座椅</w:t>
            </w:r>
          </w:p>
        </w:tc>
        <w:tc>
          <w:tcPr>
            <w:tcW w:w="2194"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kern w:val="0"/>
                <w:szCs w:val="21"/>
                <w:lang w:bidi="ar"/>
              </w:rPr>
              <w:t>1、</w:t>
            </w:r>
            <w:r>
              <w:rPr>
                <w:rFonts w:hint="eastAsia" w:ascii="宋体" w:hAnsi="宋体" w:cs="宋体"/>
                <w:szCs w:val="21"/>
                <w:lang w:bidi="ar"/>
              </w:rPr>
              <w:t>旧座椅拆除完成</w:t>
            </w:r>
          </w:p>
          <w:p>
            <w:pPr>
              <w:jc w:val="left"/>
              <w:rPr>
                <w:rFonts w:ascii="宋体" w:hAnsi="宋体" w:cs="宋体"/>
                <w:szCs w:val="21"/>
              </w:rPr>
            </w:pPr>
            <w:r>
              <w:rPr>
                <w:rFonts w:hint="eastAsia" w:ascii="宋体" w:hAnsi="宋体" w:cs="宋体"/>
                <w:kern w:val="0"/>
                <w:szCs w:val="21"/>
                <w:lang w:bidi="ar"/>
              </w:rPr>
              <w:t>2、</w:t>
            </w:r>
            <w:r>
              <w:rPr>
                <w:rFonts w:hint="eastAsia" w:ascii="宋体" w:hAnsi="宋体" w:cs="宋体"/>
                <w:szCs w:val="21"/>
                <w:lang w:bidi="ar"/>
              </w:rPr>
              <w:t>台阶完工后</w:t>
            </w:r>
          </w:p>
        </w:tc>
        <w:tc>
          <w:tcPr>
            <w:tcW w:w="3476"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1、支架、椅面安装。</w:t>
            </w:r>
          </w:p>
        </w:tc>
        <w:tc>
          <w:tcPr>
            <w:tcW w:w="1035" w:type="dxa"/>
            <w:tcBorders>
              <w:top w:val="single" w:color="auto" w:sz="4" w:space="0"/>
              <w:left w:val="single" w:color="auto" w:sz="4" w:space="0"/>
              <w:bottom w:val="single" w:color="auto" w:sz="4" w:space="0"/>
              <w:right w:val="single" w:color="auto" w:sz="4" w:space="0"/>
            </w:tcBorders>
          </w:tcPr>
          <w:p>
            <w:pPr>
              <w:jc w:val="center"/>
              <w:rPr>
                <w:rFonts w:ascii="Calibri" w:hAnsi="Calibri"/>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56"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2</w:t>
            </w:r>
          </w:p>
        </w:tc>
        <w:tc>
          <w:tcPr>
            <w:tcW w:w="2125"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主副场地塑胶跑道</w:t>
            </w:r>
          </w:p>
        </w:tc>
        <w:tc>
          <w:tcPr>
            <w:tcW w:w="2194"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w:t>
            </w:r>
          </w:p>
        </w:tc>
        <w:tc>
          <w:tcPr>
            <w:tcW w:w="3476"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1、素土夯实，密实度95%以上；</w:t>
            </w:r>
          </w:p>
          <w:p>
            <w:pPr>
              <w:jc w:val="left"/>
              <w:rPr>
                <w:rFonts w:ascii="宋体" w:hAnsi="宋体" w:cs="宋体"/>
                <w:szCs w:val="21"/>
              </w:rPr>
            </w:pPr>
            <w:r>
              <w:rPr>
                <w:rFonts w:hint="eastAsia" w:ascii="宋体" w:hAnsi="宋体" w:cs="宋体"/>
                <w:szCs w:val="21"/>
                <w:lang w:bidi="ar"/>
              </w:rPr>
              <w:t>2、300mm厚6%灰土层，密实度95%以上；</w:t>
            </w:r>
          </w:p>
          <w:p>
            <w:pPr>
              <w:jc w:val="left"/>
              <w:rPr>
                <w:rFonts w:ascii="宋体" w:hAnsi="宋体" w:cs="宋体"/>
                <w:szCs w:val="21"/>
              </w:rPr>
            </w:pPr>
            <w:r>
              <w:rPr>
                <w:rFonts w:hint="eastAsia" w:ascii="宋体" w:hAnsi="宋体" w:cs="宋体"/>
                <w:szCs w:val="21"/>
                <w:lang w:bidi="ar"/>
              </w:rPr>
              <w:t>3、250mm厚6-8%水稳层，密实度95%以上；</w:t>
            </w:r>
          </w:p>
          <w:p>
            <w:pPr>
              <w:jc w:val="left"/>
              <w:rPr>
                <w:rFonts w:ascii="宋体" w:hAnsi="宋体" w:cs="宋体"/>
                <w:szCs w:val="21"/>
              </w:rPr>
            </w:pPr>
            <w:r>
              <w:rPr>
                <w:rFonts w:hint="eastAsia" w:ascii="宋体" w:hAnsi="宋体" w:cs="宋体"/>
                <w:szCs w:val="21"/>
                <w:lang w:bidi="ar"/>
              </w:rPr>
              <w:t>4、喷洒乳化沥青一道；</w:t>
            </w:r>
          </w:p>
          <w:p>
            <w:pPr>
              <w:jc w:val="left"/>
              <w:rPr>
                <w:rFonts w:ascii="宋体" w:hAnsi="宋体" w:cs="宋体"/>
                <w:szCs w:val="21"/>
              </w:rPr>
            </w:pPr>
            <w:r>
              <w:rPr>
                <w:rFonts w:hint="eastAsia" w:ascii="宋体" w:hAnsi="宋体" w:cs="宋体"/>
                <w:szCs w:val="21"/>
                <w:lang w:bidi="ar"/>
              </w:rPr>
              <w:t>5、50mm厚粗粒沥青混凝土（AC-20）压实系数95%以上；</w:t>
            </w:r>
          </w:p>
          <w:p>
            <w:pPr>
              <w:jc w:val="left"/>
              <w:rPr>
                <w:rFonts w:ascii="宋体" w:hAnsi="宋体" w:cs="宋体"/>
                <w:szCs w:val="21"/>
              </w:rPr>
            </w:pPr>
            <w:r>
              <w:rPr>
                <w:rFonts w:hint="eastAsia" w:ascii="宋体" w:hAnsi="宋体" w:cs="宋体"/>
                <w:szCs w:val="21"/>
                <w:lang w:bidi="ar"/>
              </w:rPr>
              <w:t>6、30mm厚细粒沥青混凝土（AC-10），压实系数95%以上；</w:t>
            </w:r>
          </w:p>
          <w:p>
            <w:pPr>
              <w:jc w:val="left"/>
              <w:rPr>
                <w:rFonts w:ascii="宋体" w:hAnsi="宋体" w:cs="宋体"/>
                <w:szCs w:val="21"/>
              </w:rPr>
            </w:pPr>
            <w:r>
              <w:rPr>
                <w:rFonts w:hint="eastAsia" w:ascii="宋体" w:hAnsi="宋体" w:cs="宋体"/>
                <w:szCs w:val="21"/>
                <w:lang w:bidi="ar"/>
              </w:rPr>
              <w:t>7、13.5mm厚预制型橡胶跑道卷材；</w:t>
            </w:r>
          </w:p>
          <w:p>
            <w:pPr>
              <w:pStyle w:val="14"/>
              <w:widowControl w:val="0"/>
              <w:spacing w:before="0" w:beforeAutospacing="0" w:after="0" w:afterAutospacing="0"/>
              <w:jc w:val="both"/>
              <w:rPr>
                <w:rFonts w:cs="宋体"/>
                <w:kern w:val="2"/>
                <w:sz w:val="21"/>
                <w:szCs w:val="21"/>
              </w:rPr>
            </w:pPr>
            <w:r>
              <w:rPr>
                <w:rFonts w:hint="eastAsia" w:cs="宋体"/>
                <w:kern w:val="2"/>
                <w:sz w:val="21"/>
                <w:szCs w:val="21"/>
                <w:lang w:bidi="ar"/>
              </w:rPr>
              <w:t>8、原跑道拆除。</w:t>
            </w:r>
          </w:p>
        </w:tc>
        <w:tc>
          <w:tcPr>
            <w:tcW w:w="1035" w:type="dxa"/>
            <w:tcBorders>
              <w:top w:val="single" w:color="auto" w:sz="4" w:space="0"/>
              <w:left w:val="single" w:color="auto" w:sz="4" w:space="0"/>
              <w:bottom w:val="single" w:color="auto" w:sz="4" w:space="0"/>
              <w:right w:val="single" w:color="auto" w:sz="4" w:space="0"/>
            </w:tcBorders>
          </w:tcPr>
          <w:p>
            <w:pPr>
              <w:jc w:val="center"/>
              <w:rPr>
                <w:rFonts w:ascii="Calibri" w:hAnsi="Calibri"/>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56"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3</w:t>
            </w:r>
          </w:p>
        </w:tc>
        <w:tc>
          <w:tcPr>
            <w:tcW w:w="2125"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主场地天然草坪</w:t>
            </w:r>
          </w:p>
        </w:tc>
        <w:tc>
          <w:tcPr>
            <w:tcW w:w="2194"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w:t>
            </w:r>
          </w:p>
        </w:tc>
        <w:tc>
          <w:tcPr>
            <w:tcW w:w="3476"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1、150厚级配碎石层回填；</w:t>
            </w:r>
          </w:p>
          <w:p>
            <w:pPr>
              <w:jc w:val="left"/>
              <w:rPr>
                <w:rFonts w:ascii="宋体" w:hAnsi="宋体" w:cs="宋体"/>
                <w:szCs w:val="21"/>
              </w:rPr>
            </w:pPr>
            <w:r>
              <w:rPr>
                <w:rFonts w:hint="eastAsia" w:ascii="宋体" w:hAnsi="宋体" w:cs="宋体"/>
                <w:szCs w:val="21"/>
                <w:lang w:bidi="ar"/>
              </w:rPr>
              <w:t>2、200g土工布铺设；</w:t>
            </w:r>
          </w:p>
          <w:p>
            <w:pPr>
              <w:jc w:val="left"/>
              <w:rPr>
                <w:rFonts w:ascii="宋体" w:hAnsi="宋体" w:cs="宋体"/>
                <w:szCs w:val="21"/>
              </w:rPr>
            </w:pPr>
            <w:r>
              <w:rPr>
                <w:rFonts w:hint="eastAsia" w:ascii="宋体" w:hAnsi="宋体" w:cs="宋体"/>
                <w:szCs w:val="21"/>
                <w:lang w:bidi="ar"/>
              </w:rPr>
              <w:t>3、150厚粗沙层回填；</w:t>
            </w:r>
          </w:p>
          <w:p>
            <w:pPr>
              <w:jc w:val="left"/>
              <w:rPr>
                <w:rFonts w:ascii="宋体" w:hAnsi="宋体" w:cs="宋体"/>
                <w:szCs w:val="21"/>
              </w:rPr>
            </w:pPr>
            <w:r>
              <w:rPr>
                <w:rFonts w:hint="eastAsia" w:ascii="宋体" w:hAnsi="宋体" w:cs="宋体"/>
                <w:szCs w:val="21"/>
                <w:lang w:bidi="ar"/>
              </w:rPr>
              <w:t>4、250厚种植层回填；</w:t>
            </w:r>
          </w:p>
          <w:p>
            <w:pPr>
              <w:jc w:val="left"/>
              <w:rPr>
                <w:rFonts w:ascii="宋体" w:hAnsi="宋体" w:cs="宋体"/>
                <w:szCs w:val="21"/>
              </w:rPr>
            </w:pPr>
            <w:r>
              <w:rPr>
                <w:rFonts w:hint="eastAsia" w:ascii="宋体" w:hAnsi="宋体" w:cs="宋体"/>
                <w:kern w:val="0"/>
                <w:szCs w:val="21"/>
                <w:lang w:bidi="ar"/>
              </w:rPr>
              <w:t>5、</w:t>
            </w:r>
            <w:r>
              <w:rPr>
                <w:rFonts w:hint="eastAsia" w:ascii="宋体" w:hAnsi="宋体" w:cs="宋体"/>
                <w:szCs w:val="21"/>
                <w:lang w:bidi="ar"/>
              </w:rPr>
              <w:t>场地精细平整；</w:t>
            </w:r>
          </w:p>
          <w:p>
            <w:pPr>
              <w:jc w:val="left"/>
              <w:rPr>
                <w:rFonts w:ascii="宋体" w:hAnsi="宋体" w:cs="宋体"/>
                <w:szCs w:val="21"/>
              </w:rPr>
            </w:pPr>
            <w:r>
              <w:rPr>
                <w:rFonts w:hint="eastAsia" w:ascii="宋体" w:hAnsi="宋体" w:cs="宋体"/>
                <w:kern w:val="0"/>
                <w:szCs w:val="21"/>
                <w:lang w:bidi="ar"/>
              </w:rPr>
              <w:t>6</w:t>
            </w:r>
            <w:r>
              <w:rPr>
                <w:rFonts w:hint="eastAsia" w:ascii="宋体" w:hAnsi="宋体" w:cs="宋体"/>
                <w:szCs w:val="21"/>
                <w:lang w:bidi="ar"/>
              </w:rPr>
              <w:t>、草坪种植及养护；</w:t>
            </w:r>
          </w:p>
          <w:p>
            <w:pPr>
              <w:jc w:val="left"/>
              <w:rPr>
                <w:rFonts w:ascii="宋体" w:hAnsi="宋体" w:cs="宋体"/>
                <w:szCs w:val="21"/>
              </w:rPr>
            </w:pPr>
            <w:r>
              <w:rPr>
                <w:szCs w:val="21"/>
                <w:lang w:bidi="ar"/>
              </w:rPr>
              <w:t>7</w:t>
            </w:r>
            <w:r>
              <w:rPr>
                <w:rFonts w:hint="eastAsia" w:ascii="宋体" w:hAnsi="宋体" w:cs="宋体"/>
                <w:szCs w:val="21"/>
                <w:lang w:bidi="ar"/>
              </w:rPr>
              <w:t>、原草坪拆除。</w:t>
            </w:r>
          </w:p>
        </w:tc>
        <w:tc>
          <w:tcPr>
            <w:tcW w:w="1035" w:type="dxa"/>
            <w:tcBorders>
              <w:top w:val="single" w:color="auto" w:sz="4" w:space="0"/>
              <w:left w:val="single" w:color="auto" w:sz="4" w:space="0"/>
              <w:bottom w:val="single" w:color="auto" w:sz="4" w:space="0"/>
              <w:right w:val="single" w:color="auto" w:sz="4" w:space="0"/>
            </w:tcBorders>
          </w:tcPr>
          <w:p>
            <w:pPr>
              <w:jc w:val="center"/>
              <w:rPr>
                <w:rFonts w:ascii="Calibri" w:hAnsi="Calibri"/>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56"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4</w:t>
            </w:r>
          </w:p>
        </w:tc>
        <w:tc>
          <w:tcPr>
            <w:tcW w:w="2125"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场地照明系统</w:t>
            </w:r>
          </w:p>
        </w:tc>
        <w:tc>
          <w:tcPr>
            <w:tcW w:w="2194" w:type="dxa"/>
            <w:tcBorders>
              <w:top w:val="single" w:color="auto" w:sz="4" w:space="0"/>
              <w:left w:val="single" w:color="auto" w:sz="4" w:space="0"/>
              <w:bottom w:val="single" w:color="auto" w:sz="4" w:space="0"/>
              <w:right w:val="single" w:color="auto" w:sz="4" w:space="0"/>
            </w:tcBorders>
          </w:tcPr>
          <w:p>
            <w:pPr>
              <w:pStyle w:val="22"/>
              <w:widowControl/>
              <w:numPr>
                <w:ilvl w:val="0"/>
                <w:numId w:val="8"/>
              </w:numPr>
              <w:ind w:firstLineChars="0"/>
              <w:jc w:val="left"/>
              <w:rPr>
                <w:rFonts w:ascii="宋体" w:hAnsi="宋体" w:cs="宋体"/>
                <w:szCs w:val="21"/>
              </w:rPr>
            </w:pPr>
            <w:r>
              <w:rPr>
                <w:rFonts w:hint="eastAsia" w:ascii="宋体" w:hAnsi="宋体" w:cs="宋体"/>
                <w:szCs w:val="21"/>
              </w:rPr>
              <w:t>完成二级配电箱；</w:t>
            </w:r>
          </w:p>
          <w:p>
            <w:pPr>
              <w:pStyle w:val="14"/>
              <w:widowControl w:val="0"/>
              <w:spacing w:before="0" w:beforeAutospacing="0" w:after="0" w:afterAutospacing="0"/>
              <w:jc w:val="both"/>
              <w:rPr>
                <w:rFonts w:hAnsi="Courier New" w:cs="Courier New"/>
                <w:kern w:val="2"/>
                <w:sz w:val="21"/>
                <w:szCs w:val="21"/>
              </w:rPr>
            </w:pPr>
            <w:r>
              <w:rPr>
                <w:rFonts w:hint="eastAsia" w:cs="宋体"/>
                <w:kern w:val="2"/>
                <w:sz w:val="21"/>
                <w:szCs w:val="21"/>
                <w:lang w:bidi="ar"/>
              </w:rPr>
              <w:t>2、拆除工程。</w:t>
            </w:r>
          </w:p>
        </w:tc>
        <w:tc>
          <w:tcPr>
            <w:tcW w:w="3476"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1、照明灯具、控制系统、电气系统等设备材料的供货、安装、调试及验收，以及对设计图纸的深化设计。</w:t>
            </w:r>
          </w:p>
        </w:tc>
        <w:tc>
          <w:tcPr>
            <w:tcW w:w="1035" w:type="dxa"/>
            <w:tcBorders>
              <w:top w:val="single" w:color="auto" w:sz="4" w:space="0"/>
              <w:left w:val="single" w:color="auto" w:sz="4" w:space="0"/>
              <w:bottom w:val="single" w:color="auto" w:sz="4" w:space="0"/>
              <w:right w:val="single" w:color="auto" w:sz="4" w:space="0"/>
            </w:tcBorders>
          </w:tcPr>
          <w:p>
            <w:pPr>
              <w:jc w:val="center"/>
              <w:rPr>
                <w:rFonts w:ascii="Calibri" w:hAnsi="Calibri"/>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56"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5</w:t>
            </w:r>
          </w:p>
        </w:tc>
        <w:tc>
          <w:tcPr>
            <w:tcW w:w="2125"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场地扩声系统</w:t>
            </w:r>
          </w:p>
        </w:tc>
        <w:tc>
          <w:tcPr>
            <w:tcW w:w="2194"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1、完成二级配电箱；</w:t>
            </w:r>
          </w:p>
          <w:p>
            <w:pPr>
              <w:jc w:val="left"/>
              <w:rPr>
                <w:rFonts w:ascii="宋体" w:hAnsi="宋体" w:cs="宋体"/>
                <w:szCs w:val="21"/>
              </w:rPr>
            </w:pPr>
            <w:r>
              <w:rPr>
                <w:szCs w:val="21"/>
                <w:lang w:bidi="ar"/>
              </w:rPr>
              <w:t>2</w:t>
            </w:r>
            <w:r>
              <w:rPr>
                <w:rFonts w:hint="eastAsia" w:ascii="宋体" w:hAnsi="宋体" w:cs="宋体"/>
                <w:szCs w:val="21"/>
                <w:lang w:bidi="ar"/>
              </w:rPr>
              <w:t>、拆除工程。</w:t>
            </w:r>
          </w:p>
        </w:tc>
        <w:tc>
          <w:tcPr>
            <w:tcW w:w="3476"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1、观众席扬声器组；</w:t>
            </w:r>
          </w:p>
          <w:p>
            <w:pPr>
              <w:jc w:val="left"/>
              <w:rPr>
                <w:rFonts w:ascii="宋体" w:hAnsi="宋体" w:cs="宋体"/>
                <w:szCs w:val="21"/>
              </w:rPr>
            </w:pPr>
            <w:r>
              <w:rPr>
                <w:rFonts w:hint="eastAsia" w:ascii="宋体" w:hAnsi="宋体" w:cs="宋体"/>
                <w:szCs w:val="21"/>
                <w:lang w:bidi="ar"/>
              </w:rPr>
              <w:t>2、比赛场扬声器；</w:t>
            </w:r>
          </w:p>
          <w:p>
            <w:pPr>
              <w:jc w:val="left"/>
              <w:rPr>
                <w:rFonts w:ascii="宋体" w:hAnsi="宋体" w:cs="宋体"/>
                <w:szCs w:val="21"/>
              </w:rPr>
            </w:pPr>
            <w:r>
              <w:rPr>
                <w:rFonts w:hint="eastAsia" w:ascii="宋体" w:hAnsi="宋体" w:cs="宋体"/>
                <w:szCs w:val="21"/>
                <w:lang w:bidi="ar"/>
              </w:rPr>
              <w:t>3、主席台补声扬声器；</w:t>
            </w:r>
          </w:p>
          <w:p>
            <w:pPr>
              <w:jc w:val="left"/>
              <w:rPr>
                <w:rFonts w:ascii="宋体" w:hAnsi="宋体" w:cs="宋体"/>
                <w:szCs w:val="21"/>
              </w:rPr>
            </w:pPr>
            <w:r>
              <w:rPr>
                <w:rFonts w:hint="eastAsia" w:ascii="宋体" w:hAnsi="宋体" w:cs="宋体"/>
                <w:szCs w:val="21"/>
                <w:lang w:bidi="ar"/>
              </w:rPr>
              <w:t>4、扬声器配套功放；</w:t>
            </w:r>
          </w:p>
          <w:p>
            <w:pPr>
              <w:jc w:val="left"/>
              <w:rPr>
                <w:rFonts w:ascii="宋体" w:hAnsi="宋体" w:cs="宋体"/>
                <w:szCs w:val="21"/>
              </w:rPr>
            </w:pPr>
            <w:r>
              <w:rPr>
                <w:rFonts w:hint="eastAsia" w:ascii="宋体" w:hAnsi="宋体" w:cs="宋体"/>
                <w:szCs w:val="21"/>
                <w:lang w:bidi="ar"/>
              </w:rPr>
              <w:t>5、数字调界面是电箱后；</w:t>
            </w:r>
          </w:p>
          <w:p>
            <w:pPr>
              <w:jc w:val="left"/>
              <w:rPr>
                <w:rFonts w:ascii="宋体" w:hAnsi="宋体" w:cs="宋体"/>
                <w:szCs w:val="21"/>
              </w:rPr>
            </w:pPr>
            <w:r>
              <w:rPr>
                <w:rFonts w:hint="eastAsia" w:ascii="宋体" w:hAnsi="宋体" w:cs="宋体"/>
                <w:szCs w:val="21"/>
                <w:lang w:bidi="ar"/>
              </w:rPr>
              <w:t>6、数字音频处理器；</w:t>
            </w:r>
          </w:p>
          <w:p>
            <w:pPr>
              <w:jc w:val="left"/>
              <w:rPr>
                <w:rFonts w:ascii="宋体" w:hAnsi="宋体" w:cs="宋体"/>
                <w:szCs w:val="21"/>
              </w:rPr>
            </w:pPr>
            <w:r>
              <w:rPr>
                <w:rFonts w:hint="eastAsia" w:ascii="宋体" w:hAnsi="宋体" w:cs="宋体"/>
                <w:szCs w:val="21"/>
                <w:lang w:bidi="ar"/>
              </w:rPr>
              <w:t>7、主席台会议系统；</w:t>
            </w:r>
          </w:p>
          <w:p>
            <w:pPr>
              <w:jc w:val="left"/>
              <w:rPr>
                <w:rFonts w:ascii="宋体" w:hAnsi="宋体" w:cs="宋体"/>
                <w:szCs w:val="21"/>
              </w:rPr>
            </w:pPr>
            <w:r>
              <w:rPr>
                <w:rFonts w:hint="eastAsia" w:ascii="宋体" w:hAnsi="宋体" w:cs="宋体"/>
                <w:szCs w:val="21"/>
                <w:lang w:bidi="ar"/>
              </w:rPr>
              <w:t>8、无线手持/头戴话筒。</w:t>
            </w:r>
          </w:p>
        </w:tc>
        <w:tc>
          <w:tcPr>
            <w:tcW w:w="1035" w:type="dxa"/>
            <w:tcBorders>
              <w:top w:val="single" w:color="auto" w:sz="4" w:space="0"/>
              <w:left w:val="single" w:color="auto" w:sz="4" w:space="0"/>
              <w:bottom w:val="single" w:color="auto" w:sz="4" w:space="0"/>
              <w:right w:val="single" w:color="auto" w:sz="4" w:space="0"/>
            </w:tcBorders>
          </w:tcPr>
          <w:p>
            <w:pPr>
              <w:jc w:val="center"/>
              <w:rPr>
                <w:rFonts w:ascii="Calibri" w:hAnsi="Calibri"/>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trPr>
        <w:tc>
          <w:tcPr>
            <w:tcW w:w="456"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6</w:t>
            </w:r>
          </w:p>
        </w:tc>
        <w:tc>
          <w:tcPr>
            <w:tcW w:w="2125"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计时计分及现场成绩处理系统（含体育场和游泳馆）</w:t>
            </w:r>
          </w:p>
        </w:tc>
        <w:tc>
          <w:tcPr>
            <w:tcW w:w="2194"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1、拆除、土建、预埋套管工程</w:t>
            </w:r>
          </w:p>
        </w:tc>
        <w:tc>
          <w:tcPr>
            <w:tcW w:w="3476"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1、场地布线；</w:t>
            </w:r>
          </w:p>
          <w:p>
            <w:pPr>
              <w:jc w:val="left"/>
              <w:rPr>
                <w:rFonts w:ascii="宋体" w:hAnsi="宋体" w:cs="宋体"/>
                <w:szCs w:val="21"/>
              </w:rPr>
            </w:pPr>
            <w:r>
              <w:rPr>
                <w:rFonts w:hint="eastAsia" w:ascii="宋体" w:hAnsi="宋体" w:cs="宋体"/>
                <w:szCs w:val="21"/>
                <w:lang w:bidi="ar"/>
              </w:rPr>
              <w:t>2、设备安装；</w:t>
            </w:r>
          </w:p>
          <w:p>
            <w:pPr>
              <w:jc w:val="left"/>
              <w:rPr>
                <w:rFonts w:ascii="宋体" w:hAnsi="宋体" w:cs="宋体"/>
                <w:szCs w:val="21"/>
              </w:rPr>
            </w:pPr>
            <w:r>
              <w:rPr>
                <w:rFonts w:hint="eastAsia" w:ascii="宋体" w:hAnsi="宋体" w:cs="宋体"/>
                <w:szCs w:val="21"/>
                <w:lang w:bidi="ar"/>
              </w:rPr>
              <w:t>3、调试。</w:t>
            </w:r>
          </w:p>
        </w:tc>
        <w:tc>
          <w:tcPr>
            <w:tcW w:w="1035" w:type="dxa"/>
            <w:tcBorders>
              <w:top w:val="single" w:color="auto" w:sz="4" w:space="0"/>
              <w:left w:val="single" w:color="auto" w:sz="4" w:space="0"/>
              <w:bottom w:val="single" w:color="auto" w:sz="4" w:space="0"/>
              <w:right w:val="single" w:color="auto" w:sz="4" w:space="0"/>
            </w:tcBorders>
          </w:tcPr>
          <w:p>
            <w:pPr>
              <w:jc w:val="center"/>
              <w:rPr>
                <w:rFonts w:ascii="Calibri" w:hAnsi="Calibri"/>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456"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7</w:t>
            </w:r>
          </w:p>
        </w:tc>
        <w:tc>
          <w:tcPr>
            <w:tcW w:w="2125"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现场影像采集及回放系统（含体育场和游泳馆）</w:t>
            </w:r>
          </w:p>
        </w:tc>
        <w:tc>
          <w:tcPr>
            <w:tcW w:w="2194"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1、拆除、土建、预埋套管工程</w:t>
            </w:r>
          </w:p>
        </w:tc>
        <w:tc>
          <w:tcPr>
            <w:tcW w:w="3476"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1、场地布线；</w:t>
            </w:r>
          </w:p>
          <w:p>
            <w:pPr>
              <w:jc w:val="left"/>
              <w:rPr>
                <w:rFonts w:ascii="宋体" w:hAnsi="宋体" w:cs="宋体"/>
                <w:szCs w:val="21"/>
              </w:rPr>
            </w:pPr>
            <w:r>
              <w:rPr>
                <w:rFonts w:hint="eastAsia" w:ascii="宋体" w:hAnsi="宋体" w:cs="宋体"/>
                <w:szCs w:val="21"/>
                <w:lang w:bidi="ar"/>
              </w:rPr>
              <w:t>2、设备安装；</w:t>
            </w:r>
          </w:p>
          <w:p>
            <w:pPr>
              <w:jc w:val="left"/>
              <w:rPr>
                <w:rFonts w:ascii="宋体" w:hAnsi="宋体" w:cs="宋体"/>
                <w:szCs w:val="21"/>
              </w:rPr>
            </w:pPr>
            <w:r>
              <w:rPr>
                <w:rFonts w:hint="eastAsia" w:ascii="宋体" w:hAnsi="宋体" w:cs="宋体"/>
                <w:szCs w:val="21"/>
                <w:lang w:bidi="ar"/>
              </w:rPr>
              <w:t>3、调试。</w:t>
            </w:r>
          </w:p>
        </w:tc>
        <w:tc>
          <w:tcPr>
            <w:tcW w:w="1035" w:type="dxa"/>
            <w:tcBorders>
              <w:top w:val="single" w:color="auto" w:sz="4" w:space="0"/>
              <w:left w:val="single" w:color="auto" w:sz="4" w:space="0"/>
              <w:bottom w:val="single" w:color="auto" w:sz="4" w:space="0"/>
              <w:right w:val="single" w:color="auto" w:sz="4" w:space="0"/>
            </w:tcBorders>
          </w:tcPr>
          <w:p>
            <w:pPr>
              <w:jc w:val="center"/>
              <w:rPr>
                <w:rFonts w:ascii="Calibri" w:hAnsi="Calibri"/>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456"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8</w:t>
            </w:r>
          </w:p>
        </w:tc>
        <w:tc>
          <w:tcPr>
            <w:tcW w:w="2125"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升旗控制系统（含体育场和游泳馆）</w:t>
            </w:r>
          </w:p>
        </w:tc>
        <w:tc>
          <w:tcPr>
            <w:tcW w:w="2194"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1、拆除、土建、预埋套管工程</w:t>
            </w:r>
          </w:p>
        </w:tc>
        <w:tc>
          <w:tcPr>
            <w:tcW w:w="3476"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1、场地布线；</w:t>
            </w:r>
          </w:p>
          <w:p>
            <w:pPr>
              <w:jc w:val="left"/>
              <w:rPr>
                <w:rFonts w:ascii="宋体" w:hAnsi="宋体" w:cs="宋体"/>
                <w:szCs w:val="21"/>
              </w:rPr>
            </w:pPr>
            <w:r>
              <w:rPr>
                <w:rFonts w:hint="eastAsia" w:ascii="宋体" w:hAnsi="宋体" w:cs="宋体"/>
                <w:szCs w:val="21"/>
                <w:lang w:bidi="ar"/>
              </w:rPr>
              <w:t>2、设备安装；</w:t>
            </w:r>
          </w:p>
          <w:p>
            <w:pPr>
              <w:jc w:val="left"/>
              <w:rPr>
                <w:rFonts w:ascii="宋体" w:hAnsi="宋体" w:cs="宋体"/>
                <w:szCs w:val="21"/>
              </w:rPr>
            </w:pPr>
            <w:r>
              <w:rPr>
                <w:rFonts w:hint="eastAsia" w:ascii="宋体" w:hAnsi="宋体" w:cs="宋体"/>
                <w:szCs w:val="21"/>
                <w:lang w:bidi="ar"/>
              </w:rPr>
              <w:t>3、调试。</w:t>
            </w:r>
          </w:p>
        </w:tc>
        <w:tc>
          <w:tcPr>
            <w:tcW w:w="1035" w:type="dxa"/>
            <w:tcBorders>
              <w:top w:val="single" w:color="auto" w:sz="4" w:space="0"/>
              <w:left w:val="single" w:color="auto" w:sz="4" w:space="0"/>
              <w:bottom w:val="single" w:color="auto" w:sz="4" w:space="0"/>
              <w:right w:val="single" w:color="auto" w:sz="4" w:space="0"/>
            </w:tcBorders>
          </w:tcPr>
          <w:p>
            <w:pPr>
              <w:jc w:val="center"/>
              <w:rPr>
                <w:rFonts w:ascii="Calibri" w:hAnsi="Calibri"/>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456"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9</w:t>
            </w:r>
          </w:p>
        </w:tc>
        <w:tc>
          <w:tcPr>
            <w:tcW w:w="2125"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电视转播及评论系统（含体育场和游泳馆）</w:t>
            </w:r>
          </w:p>
        </w:tc>
        <w:tc>
          <w:tcPr>
            <w:tcW w:w="2194"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1、拆除、土建、预埋套管工程</w:t>
            </w:r>
          </w:p>
        </w:tc>
        <w:tc>
          <w:tcPr>
            <w:tcW w:w="3476"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1、场地布线；</w:t>
            </w:r>
          </w:p>
          <w:p>
            <w:pPr>
              <w:jc w:val="left"/>
              <w:rPr>
                <w:rFonts w:ascii="宋体" w:hAnsi="宋体" w:cs="宋体"/>
                <w:szCs w:val="21"/>
              </w:rPr>
            </w:pPr>
            <w:r>
              <w:rPr>
                <w:rFonts w:hint="eastAsia" w:ascii="宋体" w:hAnsi="宋体" w:cs="宋体"/>
                <w:szCs w:val="21"/>
                <w:lang w:bidi="ar"/>
              </w:rPr>
              <w:t>2、设备安装；</w:t>
            </w:r>
          </w:p>
          <w:p>
            <w:pPr>
              <w:jc w:val="left"/>
              <w:rPr>
                <w:rFonts w:ascii="宋体" w:hAnsi="宋体" w:cs="宋体"/>
                <w:szCs w:val="21"/>
              </w:rPr>
            </w:pPr>
            <w:r>
              <w:rPr>
                <w:rFonts w:hint="eastAsia" w:ascii="宋体" w:hAnsi="宋体" w:cs="宋体"/>
                <w:szCs w:val="21"/>
                <w:lang w:bidi="ar"/>
              </w:rPr>
              <w:t>3、调试。</w:t>
            </w:r>
          </w:p>
        </w:tc>
        <w:tc>
          <w:tcPr>
            <w:tcW w:w="1035" w:type="dxa"/>
            <w:tcBorders>
              <w:top w:val="single" w:color="auto" w:sz="4" w:space="0"/>
              <w:left w:val="single" w:color="auto" w:sz="4" w:space="0"/>
              <w:bottom w:val="single" w:color="auto" w:sz="4" w:space="0"/>
              <w:right w:val="single" w:color="auto" w:sz="4" w:space="0"/>
            </w:tcBorders>
          </w:tcPr>
          <w:p>
            <w:pPr>
              <w:jc w:val="center"/>
              <w:rPr>
                <w:rFonts w:ascii="Calibri" w:hAnsi="Calibri"/>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456"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10</w:t>
            </w:r>
          </w:p>
        </w:tc>
        <w:tc>
          <w:tcPr>
            <w:tcW w:w="2125"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信息显示及控制系统（含体育场和游泳馆）</w:t>
            </w:r>
          </w:p>
        </w:tc>
        <w:tc>
          <w:tcPr>
            <w:tcW w:w="2194"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1、拆除、土建、预埋套管工程</w:t>
            </w:r>
          </w:p>
        </w:tc>
        <w:tc>
          <w:tcPr>
            <w:tcW w:w="3476"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1、场地布线；</w:t>
            </w:r>
          </w:p>
          <w:p>
            <w:pPr>
              <w:jc w:val="left"/>
              <w:rPr>
                <w:rFonts w:ascii="宋体" w:hAnsi="宋体" w:cs="宋体"/>
                <w:szCs w:val="21"/>
              </w:rPr>
            </w:pPr>
            <w:r>
              <w:rPr>
                <w:rFonts w:hint="eastAsia" w:ascii="宋体" w:hAnsi="宋体" w:cs="宋体"/>
                <w:szCs w:val="21"/>
                <w:lang w:bidi="ar"/>
              </w:rPr>
              <w:t>2、设备安装；</w:t>
            </w:r>
          </w:p>
          <w:p>
            <w:pPr>
              <w:jc w:val="left"/>
              <w:rPr>
                <w:rFonts w:ascii="宋体" w:hAnsi="宋体" w:cs="宋体"/>
                <w:szCs w:val="21"/>
              </w:rPr>
            </w:pPr>
            <w:r>
              <w:rPr>
                <w:rFonts w:hint="eastAsia" w:ascii="宋体" w:hAnsi="宋体" w:cs="宋体"/>
                <w:szCs w:val="21"/>
                <w:lang w:bidi="ar"/>
              </w:rPr>
              <w:t>3、调试。</w:t>
            </w:r>
          </w:p>
        </w:tc>
        <w:tc>
          <w:tcPr>
            <w:tcW w:w="1035" w:type="dxa"/>
            <w:tcBorders>
              <w:top w:val="single" w:color="auto" w:sz="4" w:space="0"/>
              <w:left w:val="single" w:color="auto" w:sz="4" w:space="0"/>
              <w:bottom w:val="single" w:color="auto" w:sz="4" w:space="0"/>
              <w:right w:val="single" w:color="auto" w:sz="4" w:space="0"/>
            </w:tcBorders>
          </w:tcPr>
          <w:p>
            <w:pPr>
              <w:jc w:val="center"/>
              <w:rPr>
                <w:rFonts w:ascii="Calibri" w:hAnsi="Calibri"/>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456"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11</w:t>
            </w:r>
          </w:p>
        </w:tc>
        <w:tc>
          <w:tcPr>
            <w:tcW w:w="2125"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场地 LED 大屏幕系统</w:t>
            </w:r>
          </w:p>
        </w:tc>
        <w:tc>
          <w:tcPr>
            <w:tcW w:w="2194"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1、拆除、土建、预埋套管工程</w:t>
            </w:r>
          </w:p>
        </w:tc>
        <w:tc>
          <w:tcPr>
            <w:tcW w:w="3476"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1、场地布线；</w:t>
            </w:r>
          </w:p>
          <w:p>
            <w:pPr>
              <w:jc w:val="left"/>
              <w:rPr>
                <w:rFonts w:ascii="宋体" w:hAnsi="宋体" w:cs="宋体"/>
                <w:szCs w:val="21"/>
              </w:rPr>
            </w:pPr>
            <w:r>
              <w:rPr>
                <w:rFonts w:hint="eastAsia" w:ascii="宋体" w:hAnsi="宋体" w:cs="宋体"/>
                <w:szCs w:val="21"/>
                <w:lang w:bidi="ar"/>
              </w:rPr>
              <w:t>2、设备安装；</w:t>
            </w:r>
          </w:p>
          <w:p>
            <w:pPr>
              <w:jc w:val="left"/>
              <w:rPr>
                <w:rFonts w:ascii="宋体" w:hAnsi="宋体" w:cs="宋体"/>
                <w:szCs w:val="21"/>
              </w:rPr>
            </w:pPr>
            <w:r>
              <w:rPr>
                <w:rFonts w:hint="eastAsia" w:ascii="宋体" w:hAnsi="宋体" w:cs="宋体"/>
                <w:szCs w:val="21"/>
                <w:lang w:bidi="ar"/>
              </w:rPr>
              <w:t>3、调试。</w:t>
            </w:r>
          </w:p>
        </w:tc>
        <w:tc>
          <w:tcPr>
            <w:tcW w:w="1035" w:type="dxa"/>
            <w:tcBorders>
              <w:top w:val="single" w:color="auto" w:sz="4" w:space="0"/>
              <w:left w:val="single" w:color="auto" w:sz="4" w:space="0"/>
              <w:bottom w:val="single" w:color="auto" w:sz="4" w:space="0"/>
              <w:right w:val="single" w:color="auto" w:sz="4" w:space="0"/>
            </w:tcBorders>
          </w:tcPr>
          <w:p>
            <w:pPr>
              <w:jc w:val="center"/>
              <w:rPr>
                <w:rFonts w:ascii="Calibri" w:hAnsi="Calibri"/>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456"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12</w:t>
            </w:r>
          </w:p>
        </w:tc>
        <w:tc>
          <w:tcPr>
            <w:tcW w:w="2125"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比赛设备集成管理系统（含体育场和游泳馆）</w:t>
            </w:r>
          </w:p>
        </w:tc>
        <w:tc>
          <w:tcPr>
            <w:tcW w:w="2194"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1、拆除、土建、预埋套管工程</w:t>
            </w:r>
          </w:p>
        </w:tc>
        <w:tc>
          <w:tcPr>
            <w:tcW w:w="3476"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1、场地布线；</w:t>
            </w:r>
          </w:p>
          <w:p>
            <w:pPr>
              <w:jc w:val="left"/>
              <w:rPr>
                <w:rFonts w:ascii="宋体" w:hAnsi="宋体" w:cs="宋体"/>
                <w:szCs w:val="21"/>
              </w:rPr>
            </w:pPr>
            <w:r>
              <w:rPr>
                <w:rFonts w:hint="eastAsia" w:ascii="宋体" w:hAnsi="宋体" w:cs="宋体"/>
                <w:szCs w:val="21"/>
                <w:lang w:bidi="ar"/>
              </w:rPr>
              <w:t>2、设备安装；</w:t>
            </w:r>
          </w:p>
          <w:p>
            <w:pPr>
              <w:jc w:val="left"/>
              <w:rPr>
                <w:rFonts w:ascii="宋体" w:hAnsi="宋体" w:cs="宋体"/>
                <w:szCs w:val="21"/>
              </w:rPr>
            </w:pPr>
            <w:r>
              <w:rPr>
                <w:rFonts w:hint="eastAsia" w:ascii="宋体" w:hAnsi="宋体" w:cs="宋体"/>
                <w:szCs w:val="21"/>
                <w:lang w:bidi="ar"/>
              </w:rPr>
              <w:t>3、调试。</w:t>
            </w:r>
          </w:p>
        </w:tc>
        <w:tc>
          <w:tcPr>
            <w:tcW w:w="1035" w:type="dxa"/>
            <w:tcBorders>
              <w:top w:val="single" w:color="auto" w:sz="4" w:space="0"/>
              <w:left w:val="single" w:color="auto" w:sz="4" w:space="0"/>
              <w:bottom w:val="single" w:color="auto" w:sz="4" w:space="0"/>
              <w:right w:val="single" w:color="auto" w:sz="4" w:space="0"/>
            </w:tcBorders>
          </w:tcPr>
          <w:p>
            <w:pPr>
              <w:jc w:val="center"/>
              <w:rPr>
                <w:rFonts w:ascii="Calibri" w:hAnsi="Calibri"/>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456"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13</w:t>
            </w:r>
          </w:p>
        </w:tc>
        <w:tc>
          <w:tcPr>
            <w:tcW w:w="2125"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标准时钟系统</w:t>
            </w:r>
          </w:p>
        </w:tc>
        <w:tc>
          <w:tcPr>
            <w:tcW w:w="2194"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1、拆除、土建、预埋套管工程</w:t>
            </w:r>
          </w:p>
        </w:tc>
        <w:tc>
          <w:tcPr>
            <w:tcW w:w="3476"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1、场地布线；</w:t>
            </w:r>
          </w:p>
          <w:p>
            <w:pPr>
              <w:jc w:val="left"/>
              <w:rPr>
                <w:rFonts w:ascii="宋体" w:hAnsi="宋体" w:cs="宋体"/>
                <w:szCs w:val="21"/>
              </w:rPr>
            </w:pPr>
            <w:r>
              <w:rPr>
                <w:rFonts w:hint="eastAsia" w:ascii="宋体" w:hAnsi="宋体" w:cs="宋体"/>
                <w:szCs w:val="21"/>
                <w:lang w:bidi="ar"/>
              </w:rPr>
              <w:t>2、设备安装；</w:t>
            </w:r>
          </w:p>
          <w:p>
            <w:pPr>
              <w:jc w:val="left"/>
              <w:rPr>
                <w:rFonts w:ascii="宋体" w:hAnsi="宋体" w:cs="宋体"/>
                <w:szCs w:val="21"/>
              </w:rPr>
            </w:pPr>
            <w:r>
              <w:rPr>
                <w:rFonts w:hint="eastAsia" w:ascii="宋体" w:hAnsi="宋体" w:cs="宋体"/>
                <w:szCs w:val="21"/>
                <w:lang w:bidi="ar"/>
              </w:rPr>
              <w:t>3、调试。</w:t>
            </w:r>
          </w:p>
        </w:tc>
        <w:tc>
          <w:tcPr>
            <w:tcW w:w="1035" w:type="dxa"/>
            <w:tcBorders>
              <w:top w:val="single" w:color="auto" w:sz="4" w:space="0"/>
              <w:left w:val="single" w:color="auto" w:sz="4" w:space="0"/>
              <w:bottom w:val="single" w:color="auto" w:sz="4" w:space="0"/>
              <w:right w:val="single" w:color="auto" w:sz="4" w:space="0"/>
            </w:tcBorders>
          </w:tcPr>
          <w:p>
            <w:pPr>
              <w:jc w:val="center"/>
              <w:rPr>
                <w:rFonts w:ascii="Calibri" w:hAnsi="Calibri"/>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456"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14</w:t>
            </w:r>
          </w:p>
        </w:tc>
        <w:tc>
          <w:tcPr>
            <w:tcW w:w="2125" w:type="dxa"/>
            <w:tcBorders>
              <w:top w:val="single" w:color="auto" w:sz="4" w:space="0"/>
              <w:left w:val="single" w:color="auto" w:sz="4" w:space="0"/>
              <w:bottom w:val="single" w:color="auto" w:sz="4" w:space="0"/>
              <w:right w:val="single" w:color="auto" w:sz="4" w:space="0"/>
            </w:tcBorders>
          </w:tcPr>
          <w:p>
            <w:pPr>
              <w:jc w:val="center"/>
              <w:rPr>
                <w:rFonts w:ascii="宋体" w:hAnsi="宋体" w:cs="宋体"/>
                <w:szCs w:val="21"/>
              </w:rPr>
            </w:pPr>
            <w:r>
              <w:rPr>
                <w:rFonts w:hint="eastAsia" w:ascii="宋体" w:hAnsi="宋体" w:cs="宋体"/>
                <w:szCs w:val="21"/>
                <w:lang w:bidi="ar"/>
              </w:rPr>
              <w:t>智能化工程</w:t>
            </w:r>
          </w:p>
        </w:tc>
        <w:tc>
          <w:tcPr>
            <w:tcW w:w="2194"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1、拆除、土建、预埋套管工程</w:t>
            </w:r>
          </w:p>
        </w:tc>
        <w:tc>
          <w:tcPr>
            <w:tcW w:w="3476" w:type="dxa"/>
            <w:tcBorders>
              <w:top w:val="single" w:color="auto" w:sz="4" w:space="0"/>
              <w:left w:val="single" w:color="auto" w:sz="4" w:space="0"/>
              <w:bottom w:val="single" w:color="auto" w:sz="4" w:space="0"/>
              <w:right w:val="single" w:color="auto" w:sz="4" w:space="0"/>
            </w:tcBorders>
          </w:tcPr>
          <w:p>
            <w:pPr>
              <w:jc w:val="left"/>
              <w:rPr>
                <w:rFonts w:ascii="宋体" w:hAnsi="宋体" w:cs="宋体"/>
                <w:szCs w:val="21"/>
              </w:rPr>
            </w:pPr>
            <w:r>
              <w:rPr>
                <w:rFonts w:hint="eastAsia" w:ascii="宋体" w:hAnsi="宋体" w:cs="宋体"/>
                <w:szCs w:val="21"/>
                <w:lang w:bidi="ar"/>
              </w:rPr>
              <w:t>1、综合布线、计算机网络、智慧安保、设备及能源管理类系统；</w:t>
            </w:r>
          </w:p>
          <w:p>
            <w:pPr>
              <w:jc w:val="left"/>
              <w:rPr>
                <w:rFonts w:ascii="宋体" w:hAnsi="宋体" w:cs="宋体"/>
                <w:szCs w:val="21"/>
              </w:rPr>
            </w:pPr>
            <w:r>
              <w:rPr>
                <w:rFonts w:hint="eastAsia" w:ascii="宋体" w:hAnsi="宋体" w:cs="宋体"/>
                <w:szCs w:val="21"/>
                <w:lang w:bidi="ar"/>
              </w:rPr>
              <w:t>2、信息发布、会议系统；</w:t>
            </w:r>
          </w:p>
          <w:p>
            <w:pPr>
              <w:jc w:val="left"/>
              <w:rPr>
                <w:rFonts w:ascii="宋体" w:hAnsi="宋体" w:cs="宋体"/>
                <w:szCs w:val="21"/>
              </w:rPr>
            </w:pPr>
            <w:r>
              <w:rPr>
                <w:rFonts w:hint="eastAsia" w:ascii="宋体" w:hAnsi="宋体" w:cs="宋体"/>
                <w:szCs w:val="21"/>
                <w:lang w:bidi="ar"/>
              </w:rPr>
              <w:t>3、时钟升旗、智慧场馆的运营管理平台；</w:t>
            </w:r>
          </w:p>
          <w:p>
            <w:pPr>
              <w:jc w:val="left"/>
              <w:rPr>
                <w:rFonts w:ascii="宋体" w:hAnsi="宋体" w:cs="宋体"/>
                <w:szCs w:val="21"/>
              </w:rPr>
            </w:pPr>
            <w:r>
              <w:rPr>
                <w:rFonts w:hint="eastAsia" w:ascii="宋体" w:hAnsi="宋体" w:cs="宋体"/>
                <w:szCs w:val="21"/>
                <w:lang w:bidi="ar"/>
              </w:rPr>
              <w:t>4、指挥调度系统；</w:t>
            </w:r>
          </w:p>
          <w:p>
            <w:pPr>
              <w:jc w:val="left"/>
              <w:rPr>
                <w:rFonts w:ascii="宋体" w:hAnsi="宋体" w:cs="宋体"/>
                <w:szCs w:val="21"/>
              </w:rPr>
            </w:pPr>
            <w:r>
              <w:rPr>
                <w:rFonts w:hint="eastAsia" w:ascii="宋体" w:hAnsi="宋体" w:cs="宋体"/>
                <w:szCs w:val="21"/>
                <w:lang w:bidi="ar"/>
              </w:rPr>
              <w:t>5、机房装修工程等（包含智能化控制中心机房、消防安全控制室、UPS配电间）。</w:t>
            </w:r>
          </w:p>
        </w:tc>
        <w:tc>
          <w:tcPr>
            <w:tcW w:w="1035" w:type="dxa"/>
            <w:tcBorders>
              <w:top w:val="single" w:color="auto" w:sz="4" w:space="0"/>
              <w:left w:val="single" w:color="auto" w:sz="4" w:space="0"/>
              <w:bottom w:val="single" w:color="auto" w:sz="4" w:space="0"/>
              <w:right w:val="single" w:color="auto" w:sz="4" w:space="0"/>
            </w:tcBorders>
          </w:tcPr>
          <w:p>
            <w:pPr>
              <w:jc w:val="center"/>
              <w:rPr>
                <w:rFonts w:ascii="Calibri" w:hAnsi="Calibri"/>
                <w:sz w:val="32"/>
                <w:szCs w:val="32"/>
              </w:rPr>
            </w:pPr>
          </w:p>
        </w:tc>
      </w:tr>
    </w:tbl>
    <w:p>
      <w:pPr>
        <w:widowControl/>
        <w:shd w:val="clear" w:color="auto" w:fill="FFFFFF"/>
        <w:tabs>
          <w:tab w:val="left" w:pos="0"/>
        </w:tabs>
        <w:adjustRightInd w:val="0"/>
        <w:snapToGrid w:val="0"/>
        <w:spacing w:line="360" w:lineRule="auto"/>
        <w:ind w:left="360" w:firstLine="496" w:firstLineChars="200"/>
        <w:jc w:val="left"/>
        <w:rPr>
          <w:rFonts w:eastAsia="Times New Roman"/>
          <w:snapToGrid w:val="0"/>
          <w:spacing w:val="4"/>
          <w:kern w:val="0"/>
          <w:sz w:val="24"/>
          <w:szCs w:val="24"/>
        </w:rPr>
      </w:pPr>
      <w:r>
        <w:rPr>
          <w:rFonts w:hint="eastAsia" w:eastAsia="Times New Roman"/>
          <w:snapToGrid w:val="0"/>
          <w:spacing w:val="4"/>
          <w:kern w:val="0"/>
          <w:sz w:val="24"/>
          <w:szCs w:val="24"/>
          <w:lang w:bidi="ar"/>
        </w:rPr>
        <w:t>（一）智能化工程机房装修实施界面：</w:t>
      </w:r>
    </w:p>
    <w:p>
      <w:pPr>
        <w:widowControl/>
        <w:shd w:val="clear" w:color="auto" w:fill="FFFFFF"/>
        <w:tabs>
          <w:tab w:val="left" w:pos="0"/>
        </w:tabs>
        <w:adjustRightInd w:val="0"/>
        <w:snapToGrid w:val="0"/>
        <w:spacing w:line="360" w:lineRule="auto"/>
        <w:ind w:left="360" w:firstLine="496" w:firstLineChars="200"/>
        <w:jc w:val="left"/>
        <w:rPr>
          <w:rFonts w:eastAsia="Times New Roman"/>
          <w:snapToGrid w:val="0"/>
          <w:spacing w:val="4"/>
          <w:kern w:val="0"/>
          <w:sz w:val="24"/>
          <w:szCs w:val="24"/>
        </w:rPr>
      </w:pPr>
      <w:r>
        <w:rPr>
          <w:rFonts w:hint="eastAsia" w:eastAsia="Times New Roman"/>
          <w:snapToGrid w:val="0"/>
          <w:spacing w:val="4"/>
          <w:kern w:val="0"/>
          <w:sz w:val="24"/>
          <w:szCs w:val="24"/>
          <w:lang w:bidi="ar"/>
        </w:rPr>
        <w:t>1、智能化工程机房室内装饰工程</w:t>
      </w:r>
    </w:p>
    <w:p>
      <w:pPr>
        <w:widowControl/>
        <w:shd w:val="clear" w:color="auto" w:fill="FFFFFF"/>
        <w:tabs>
          <w:tab w:val="left" w:pos="0"/>
        </w:tabs>
        <w:adjustRightInd w:val="0"/>
        <w:snapToGrid w:val="0"/>
        <w:spacing w:line="360" w:lineRule="auto"/>
        <w:ind w:left="360" w:firstLine="496" w:firstLineChars="200"/>
        <w:jc w:val="left"/>
        <w:rPr>
          <w:rFonts w:eastAsia="Times New Roman"/>
          <w:snapToGrid w:val="0"/>
          <w:spacing w:val="4"/>
          <w:kern w:val="0"/>
          <w:sz w:val="24"/>
          <w:szCs w:val="24"/>
        </w:rPr>
      </w:pPr>
      <w:r>
        <w:rPr>
          <w:rFonts w:hint="eastAsia" w:eastAsia="Times New Roman"/>
          <w:snapToGrid w:val="0"/>
          <w:spacing w:val="4"/>
          <w:kern w:val="0"/>
          <w:sz w:val="24"/>
          <w:szCs w:val="24"/>
          <w:lang w:bidi="ar"/>
        </w:rPr>
        <w:t>由</w:t>
      </w:r>
      <w:r>
        <w:rPr>
          <w:snapToGrid w:val="0"/>
          <w:spacing w:val="4"/>
          <w:kern w:val="0"/>
          <w:sz w:val="24"/>
          <w:szCs w:val="24"/>
          <w:lang w:bidi="ar"/>
        </w:rPr>
        <w:t>本次招标</w:t>
      </w:r>
      <w:r>
        <w:rPr>
          <w:rFonts w:hint="eastAsia" w:eastAsia="Times New Roman"/>
          <w:snapToGrid w:val="0"/>
          <w:spacing w:val="4"/>
          <w:kern w:val="0"/>
          <w:sz w:val="24"/>
          <w:szCs w:val="24"/>
          <w:lang w:bidi="ar"/>
        </w:rPr>
        <w:t>施工总承包单位实施内容：智能化机房区域毛坯交付（包含新增及改造的墙体砌筑、门窗安装、地面找平、墙面抹灰、地漏、等电位端子预留等内容）；由智能化工程单位实施内容：室内装修工程，含天花吊顶、防静电地板、防尘漆涂抹等。</w:t>
      </w:r>
    </w:p>
    <w:p>
      <w:pPr>
        <w:widowControl/>
        <w:shd w:val="clear" w:color="auto" w:fill="FFFFFF"/>
        <w:tabs>
          <w:tab w:val="left" w:pos="0"/>
        </w:tabs>
        <w:adjustRightInd w:val="0"/>
        <w:snapToGrid w:val="0"/>
        <w:spacing w:line="360" w:lineRule="auto"/>
        <w:ind w:left="360" w:firstLine="496" w:firstLineChars="200"/>
        <w:jc w:val="left"/>
        <w:rPr>
          <w:rFonts w:eastAsia="Times New Roman"/>
          <w:snapToGrid w:val="0"/>
          <w:spacing w:val="4"/>
          <w:kern w:val="0"/>
          <w:sz w:val="24"/>
          <w:szCs w:val="24"/>
        </w:rPr>
      </w:pPr>
      <w:r>
        <w:rPr>
          <w:rFonts w:hint="eastAsia" w:eastAsia="Times New Roman"/>
          <w:snapToGrid w:val="0"/>
          <w:spacing w:val="4"/>
          <w:kern w:val="0"/>
          <w:sz w:val="24"/>
          <w:szCs w:val="24"/>
          <w:lang w:bidi="ar"/>
        </w:rPr>
        <w:t>2、智能化工程机房电气工程</w:t>
      </w:r>
    </w:p>
    <w:p>
      <w:pPr>
        <w:widowControl/>
        <w:shd w:val="clear" w:color="auto" w:fill="FFFFFF"/>
        <w:tabs>
          <w:tab w:val="left" w:pos="0"/>
        </w:tabs>
        <w:adjustRightInd w:val="0"/>
        <w:snapToGrid w:val="0"/>
        <w:spacing w:line="360" w:lineRule="auto"/>
        <w:ind w:left="360" w:firstLine="496" w:firstLineChars="200"/>
        <w:jc w:val="left"/>
        <w:rPr>
          <w:rFonts w:eastAsia="Times New Roman"/>
          <w:snapToGrid w:val="0"/>
          <w:spacing w:val="4"/>
          <w:kern w:val="0"/>
          <w:sz w:val="24"/>
          <w:szCs w:val="24"/>
        </w:rPr>
      </w:pPr>
      <w:r>
        <w:rPr>
          <w:rFonts w:hint="eastAsia" w:eastAsia="Times New Roman"/>
          <w:snapToGrid w:val="0"/>
          <w:spacing w:val="4"/>
          <w:kern w:val="0"/>
          <w:sz w:val="24"/>
          <w:szCs w:val="24"/>
          <w:lang w:bidi="ar"/>
        </w:rPr>
        <w:t>由</w:t>
      </w:r>
      <w:r>
        <w:rPr>
          <w:snapToGrid w:val="0"/>
          <w:spacing w:val="4"/>
          <w:kern w:val="0"/>
          <w:sz w:val="24"/>
          <w:szCs w:val="24"/>
          <w:lang w:bidi="ar"/>
        </w:rPr>
        <w:t>本次招标</w:t>
      </w:r>
      <w:r>
        <w:rPr>
          <w:rFonts w:hint="eastAsia"/>
          <w:snapToGrid w:val="0"/>
          <w:spacing w:val="4"/>
          <w:kern w:val="0"/>
          <w:sz w:val="24"/>
          <w:szCs w:val="24"/>
          <w:lang w:bidi="ar"/>
        </w:rPr>
        <w:t>施工总承包单位</w:t>
      </w:r>
      <w:r>
        <w:rPr>
          <w:rFonts w:hint="eastAsia" w:eastAsia="Times New Roman"/>
          <w:snapToGrid w:val="0"/>
          <w:spacing w:val="4"/>
          <w:kern w:val="0"/>
          <w:sz w:val="24"/>
          <w:szCs w:val="24"/>
          <w:lang w:bidi="ar"/>
        </w:rPr>
        <w:t>实施内容：智能化工程机房供电主干电缆以及智能化工程机房总电源配电箱（含箱内开关元器件）；由智能化工程单位实施内容：自智能化工程机房总电源配电箱至机房内各普通照明、电气末端以及配套新增UPS系统、机房接地系统。</w:t>
      </w:r>
    </w:p>
    <w:p>
      <w:pPr>
        <w:widowControl/>
        <w:shd w:val="clear" w:color="auto" w:fill="FFFFFF"/>
        <w:tabs>
          <w:tab w:val="left" w:pos="0"/>
        </w:tabs>
        <w:adjustRightInd w:val="0"/>
        <w:snapToGrid w:val="0"/>
        <w:spacing w:line="360" w:lineRule="auto"/>
        <w:ind w:left="360" w:firstLine="496" w:firstLineChars="200"/>
        <w:jc w:val="left"/>
        <w:rPr>
          <w:rFonts w:eastAsia="Times New Roman"/>
          <w:snapToGrid w:val="0"/>
          <w:spacing w:val="4"/>
          <w:kern w:val="0"/>
          <w:sz w:val="24"/>
          <w:szCs w:val="24"/>
        </w:rPr>
      </w:pPr>
      <w:r>
        <w:rPr>
          <w:rFonts w:hint="eastAsia" w:eastAsia="Times New Roman"/>
          <w:snapToGrid w:val="0"/>
          <w:spacing w:val="4"/>
          <w:kern w:val="0"/>
          <w:sz w:val="24"/>
          <w:szCs w:val="24"/>
          <w:lang w:bidi="ar"/>
        </w:rPr>
        <w:t>3、智能化工程机房消防工程。</w:t>
      </w:r>
    </w:p>
    <w:p>
      <w:pPr>
        <w:widowControl/>
        <w:shd w:val="clear" w:color="auto" w:fill="FFFFFF"/>
        <w:tabs>
          <w:tab w:val="left" w:pos="0"/>
        </w:tabs>
        <w:adjustRightInd w:val="0"/>
        <w:snapToGrid w:val="0"/>
        <w:spacing w:line="360" w:lineRule="auto"/>
        <w:ind w:left="360" w:firstLine="496" w:firstLineChars="200"/>
        <w:jc w:val="left"/>
        <w:rPr>
          <w:rFonts w:eastAsia="Times New Roman"/>
          <w:snapToGrid w:val="0"/>
          <w:spacing w:val="4"/>
          <w:kern w:val="0"/>
          <w:sz w:val="24"/>
          <w:szCs w:val="24"/>
        </w:rPr>
      </w:pPr>
      <w:r>
        <w:rPr>
          <w:rFonts w:hint="eastAsia" w:eastAsia="Times New Roman"/>
          <w:snapToGrid w:val="0"/>
          <w:spacing w:val="4"/>
          <w:kern w:val="0"/>
          <w:sz w:val="24"/>
          <w:szCs w:val="24"/>
          <w:lang w:bidi="ar"/>
        </w:rPr>
        <w:t>由</w:t>
      </w:r>
      <w:r>
        <w:rPr>
          <w:snapToGrid w:val="0"/>
          <w:spacing w:val="4"/>
          <w:kern w:val="0"/>
          <w:sz w:val="24"/>
          <w:szCs w:val="24"/>
          <w:lang w:bidi="ar"/>
        </w:rPr>
        <w:t>本次招标</w:t>
      </w:r>
      <w:r>
        <w:rPr>
          <w:rFonts w:hint="eastAsia"/>
          <w:snapToGrid w:val="0"/>
          <w:spacing w:val="4"/>
          <w:kern w:val="0"/>
          <w:sz w:val="24"/>
          <w:szCs w:val="24"/>
          <w:lang w:bidi="ar"/>
        </w:rPr>
        <w:t>施工总承包单位</w:t>
      </w:r>
      <w:r>
        <w:rPr>
          <w:rFonts w:hint="eastAsia" w:eastAsia="Times New Roman"/>
          <w:snapToGrid w:val="0"/>
          <w:spacing w:val="4"/>
          <w:kern w:val="0"/>
          <w:sz w:val="24"/>
          <w:szCs w:val="24"/>
          <w:lang w:bidi="ar"/>
        </w:rPr>
        <w:t>实施内容：气体灭火、应急照明、疏散指示、火灾报警等系统，并落实提供微模块机房消防系统的信号接入；消防系统的总体调试、验收；由智能化工程单位实施内容：微模块机房系统内的消防探测末端，并预留建筑消防信号的接入端；配合本工程的消防系统的联合调试及验收工作。</w:t>
      </w:r>
    </w:p>
    <w:p>
      <w:pPr>
        <w:widowControl/>
        <w:shd w:val="clear" w:color="auto" w:fill="FFFFFF"/>
        <w:tabs>
          <w:tab w:val="left" w:pos="0"/>
        </w:tabs>
        <w:adjustRightInd w:val="0"/>
        <w:snapToGrid w:val="0"/>
        <w:spacing w:line="360" w:lineRule="auto"/>
        <w:ind w:left="360" w:firstLine="496" w:firstLineChars="200"/>
        <w:jc w:val="left"/>
        <w:rPr>
          <w:rFonts w:eastAsia="Times New Roman"/>
          <w:snapToGrid w:val="0"/>
          <w:spacing w:val="4"/>
          <w:kern w:val="0"/>
          <w:sz w:val="24"/>
          <w:szCs w:val="24"/>
        </w:rPr>
      </w:pPr>
      <w:r>
        <w:rPr>
          <w:rFonts w:hint="eastAsia" w:eastAsia="Times New Roman"/>
          <w:snapToGrid w:val="0"/>
          <w:spacing w:val="4"/>
          <w:kern w:val="0"/>
          <w:sz w:val="24"/>
          <w:szCs w:val="24"/>
          <w:lang w:bidi="ar"/>
        </w:rPr>
        <w:t>4、智能化工程机房暖通工程。</w:t>
      </w:r>
    </w:p>
    <w:p>
      <w:pPr>
        <w:widowControl/>
        <w:shd w:val="clear" w:color="auto" w:fill="FFFFFF"/>
        <w:tabs>
          <w:tab w:val="left" w:pos="0"/>
        </w:tabs>
        <w:adjustRightInd w:val="0"/>
        <w:snapToGrid w:val="0"/>
        <w:spacing w:line="360" w:lineRule="auto"/>
        <w:ind w:left="360" w:firstLine="496" w:firstLineChars="200"/>
        <w:jc w:val="left"/>
        <w:rPr>
          <w:rFonts w:eastAsia="Times New Roman"/>
          <w:snapToGrid w:val="0"/>
          <w:spacing w:val="4"/>
          <w:kern w:val="0"/>
          <w:sz w:val="24"/>
          <w:szCs w:val="24"/>
        </w:rPr>
      </w:pPr>
      <w:r>
        <w:rPr>
          <w:rFonts w:hint="eastAsia" w:eastAsia="Times New Roman"/>
          <w:snapToGrid w:val="0"/>
          <w:spacing w:val="4"/>
          <w:kern w:val="0"/>
          <w:sz w:val="24"/>
          <w:szCs w:val="24"/>
          <w:lang w:bidi="ar"/>
        </w:rPr>
        <w:t>由</w:t>
      </w:r>
      <w:r>
        <w:rPr>
          <w:snapToGrid w:val="0"/>
          <w:spacing w:val="4"/>
          <w:kern w:val="0"/>
          <w:sz w:val="24"/>
          <w:szCs w:val="24"/>
          <w:lang w:bidi="ar"/>
        </w:rPr>
        <w:t>本次招标</w:t>
      </w:r>
      <w:r>
        <w:rPr>
          <w:rFonts w:hint="eastAsia"/>
          <w:snapToGrid w:val="0"/>
          <w:spacing w:val="4"/>
          <w:kern w:val="0"/>
          <w:sz w:val="24"/>
          <w:szCs w:val="24"/>
          <w:lang w:bidi="ar"/>
        </w:rPr>
        <w:t>施工总承包单位</w:t>
      </w:r>
      <w:r>
        <w:rPr>
          <w:rFonts w:hint="eastAsia" w:eastAsia="Times New Roman"/>
          <w:snapToGrid w:val="0"/>
          <w:spacing w:val="4"/>
          <w:kern w:val="0"/>
          <w:sz w:val="24"/>
          <w:szCs w:val="24"/>
          <w:lang w:bidi="ar"/>
        </w:rPr>
        <w:t>实施内容：智能化工程机房区域的灾后排气系统（含泄压口）、提供空调给水接驳点；由智能化工程单位实施内容：智能化工程机房区域内的空调及新风系统。</w:t>
      </w:r>
    </w:p>
    <w:p>
      <w:pPr>
        <w:widowControl/>
        <w:shd w:val="clear" w:color="auto" w:fill="FFFFFF"/>
        <w:tabs>
          <w:tab w:val="left" w:pos="0"/>
        </w:tabs>
        <w:adjustRightInd w:val="0"/>
        <w:snapToGrid w:val="0"/>
        <w:spacing w:line="360" w:lineRule="auto"/>
        <w:ind w:left="360" w:firstLine="496" w:firstLineChars="200"/>
        <w:jc w:val="left"/>
        <w:rPr>
          <w:rFonts w:eastAsia="Times New Roman"/>
          <w:snapToGrid w:val="0"/>
          <w:spacing w:val="4"/>
          <w:kern w:val="0"/>
          <w:sz w:val="24"/>
          <w:szCs w:val="24"/>
        </w:rPr>
      </w:pPr>
      <w:r>
        <w:rPr>
          <w:rFonts w:hint="eastAsia" w:eastAsia="Times New Roman"/>
          <w:snapToGrid w:val="0"/>
          <w:spacing w:val="4"/>
          <w:kern w:val="0"/>
          <w:sz w:val="24"/>
          <w:szCs w:val="24"/>
          <w:lang w:bidi="ar"/>
        </w:rPr>
        <w:t xml:space="preserve"> （二）机电专业与智能化系统工程实施界面：</w:t>
      </w:r>
    </w:p>
    <w:p>
      <w:pPr>
        <w:widowControl/>
        <w:shd w:val="clear" w:color="auto" w:fill="FFFFFF"/>
        <w:tabs>
          <w:tab w:val="left" w:pos="0"/>
        </w:tabs>
        <w:adjustRightInd w:val="0"/>
        <w:snapToGrid w:val="0"/>
        <w:spacing w:line="360" w:lineRule="auto"/>
        <w:ind w:left="360" w:firstLine="496" w:firstLineChars="200"/>
        <w:jc w:val="left"/>
        <w:rPr>
          <w:rFonts w:eastAsia="Times New Roman"/>
          <w:snapToGrid w:val="0"/>
          <w:spacing w:val="4"/>
          <w:kern w:val="0"/>
          <w:sz w:val="24"/>
          <w:szCs w:val="24"/>
          <w:lang w:bidi="ar"/>
        </w:rPr>
      </w:pPr>
      <w:r>
        <w:rPr>
          <w:rFonts w:hint="eastAsia" w:eastAsia="Times New Roman"/>
          <w:snapToGrid w:val="0"/>
          <w:spacing w:val="4"/>
          <w:kern w:val="0"/>
          <w:sz w:val="24"/>
          <w:szCs w:val="24"/>
          <w:lang w:bidi="ar"/>
        </w:rPr>
        <w:t>1、由本次招标施工总承包单位实施内容：负责各机电设备系统为智能化工程的建筑设备监控系统预留响应软硬件接口，满足智能化系统通过接口接入及接口要求。</w:t>
      </w:r>
    </w:p>
    <w:p>
      <w:pPr>
        <w:widowControl/>
        <w:shd w:val="clear" w:color="auto" w:fill="FFFFFF"/>
        <w:tabs>
          <w:tab w:val="left" w:pos="0"/>
        </w:tabs>
        <w:adjustRightInd w:val="0"/>
        <w:snapToGrid w:val="0"/>
        <w:spacing w:line="360" w:lineRule="auto"/>
        <w:ind w:left="360" w:firstLine="496" w:firstLineChars="200"/>
        <w:jc w:val="left"/>
        <w:rPr>
          <w:rFonts w:eastAsia="Times New Roman"/>
          <w:snapToGrid w:val="0"/>
          <w:spacing w:val="4"/>
          <w:kern w:val="0"/>
          <w:sz w:val="24"/>
          <w:szCs w:val="24"/>
          <w:lang w:bidi="ar"/>
        </w:rPr>
      </w:pPr>
      <w:r>
        <w:rPr>
          <w:rFonts w:hint="eastAsia" w:eastAsia="Times New Roman"/>
          <w:snapToGrid w:val="0"/>
          <w:spacing w:val="4"/>
          <w:kern w:val="0"/>
          <w:sz w:val="24"/>
          <w:szCs w:val="24"/>
          <w:lang w:bidi="ar"/>
        </w:rPr>
        <w:t>2、电梯工程</w:t>
      </w:r>
    </w:p>
    <w:p>
      <w:pPr>
        <w:widowControl/>
        <w:shd w:val="clear" w:color="auto" w:fill="FFFFFF"/>
        <w:tabs>
          <w:tab w:val="left" w:pos="0"/>
        </w:tabs>
        <w:adjustRightInd w:val="0"/>
        <w:snapToGrid w:val="0"/>
        <w:spacing w:line="360" w:lineRule="auto"/>
        <w:ind w:left="360" w:firstLine="496" w:firstLineChars="200"/>
        <w:jc w:val="left"/>
        <w:rPr>
          <w:rFonts w:eastAsia="Times New Roman"/>
          <w:snapToGrid w:val="0"/>
          <w:spacing w:val="4"/>
          <w:kern w:val="0"/>
          <w:sz w:val="24"/>
          <w:szCs w:val="24"/>
          <w:lang w:bidi="ar"/>
        </w:rPr>
      </w:pPr>
      <w:r>
        <w:rPr>
          <w:rFonts w:hint="eastAsia" w:eastAsia="Times New Roman"/>
          <w:snapToGrid w:val="0"/>
          <w:spacing w:val="4"/>
          <w:kern w:val="0"/>
          <w:sz w:val="24"/>
          <w:szCs w:val="24"/>
          <w:lang w:bidi="ar"/>
        </w:rPr>
        <w:t>由本次招标施工总承包单位实施内容：电梯设备及轿厢内视频监控的采购安装、电梯五方对讲设备的采购安装、预留与场馆智慧平台的集成数据接口。</w:t>
      </w:r>
    </w:p>
    <w:p>
      <w:pPr>
        <w:widowControl/>
        <w:shd w:val="clear" w:color="auto" w:fill="FFFFFF"/>
        <w:tabs>
          <w:tab w:val="left" w:pos="0"/>
        </w:tabs>
        <w:adjustRightInd w:val="0"/>
        <w:snapToGrid w:val="0"/>
        <w:spacing w:line="360" w:lineRule="auto"/>
        <w:ind w:left="360" w:firstLine="496" w:firstLineChars="200"/>
        <w:jc w:val="left"/>
        <w:rPr>
          <w:rFonts w:eastAsia="Times New Roman"/>
          <w:snapToGrid w:val="0"/>
          <w:spacing w:val="4"/>
          <w:kern w:val="0"/>
          <w:sz w:val="24"/>
          <w:szCs w:val="24"/>
          <w:lang w:bidi="ar"/>
        </w:rPr>
      </w:pPr>
      <w:r>
        <w:rPr>
          <w:rFonts w:hint="eastAsia" w:eastAsia="Times New Roman"/>
          <w:snapToGrid w:val="0"/>
          <w:spacing w:val="4"/>
          <w:kern w:val="0"/>
          <w:sz w:val="24"/>
          <w:szCs w:val="24"/>
          <w:lang w:bidi="ar"/>
        </w:rPr>
        <w:t>3、消防工程</w:t>
      </w:r>
    </w:p>
    <w:p>
      <w:pPr>
        <w:widowControl/>
        <w:shd w:val="clear" w:color="auto" w:fill="FFFFFF"/>
        <w:tabs>
          <w:tab w:val="left" w:pos="0"/>
        </w:tabs>
        <w:adjustRightInd w:val="0"/>
        <w:snapToGrid w:val="0"/>
        <w:spacing w:line="360" w:lineRule="auto"/>
        <w:ind w:left="360" w:firstLine="496" w:firstLineChars="200"/>
        <w:jc w:val="left"/>
        <w:rPr>
          <w:rFonts w:eastAsia="Times New Roman"/>
          <w:snapToGrid w:val="0"/>
          <w:spacing w:val="4"/>
          <w:kern w:val="0"/>
          <w:sz w:val="24"/>
          <w:szCs w:val="24"/>
          <w:lang w:bidi="ar"/>
        </w:rPr>
      </w:pPr>
      <w:r>
        <w:rPr>
          <w:rFonts w:hint="eastAsia" w:eastAsia="Times New Roman"/>
          <w:snapToGrid w:val="0"/>
          <w:spacing w:val="4"/>
          <w:kern w:val="0"/>
          <w:sz w:val="24"/>
          <w:szCs w:val="24"/>
          <w:lang w:bidi="ar"/>
        </w:rPr>
        <w:t>由本次招标施工总承包单位实施内容：负责实施消防工程的维修改造内容，并配合智能化工程单位在消防系统设备加装各类网关、数据转换模块及无线数显液位表；智能化工程单位负责安消平台的采购安装，以及消防系统的各类网关、数据转换模块及无线数显液位表的采购安装。</w:t>
      </w: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宋体-18030">
    <w:altName w:val="微软雅黑"/>
    <w:panose1 w:val="00000000000000000000"/>
    <w:charset w:val="00"/>
    <w:family w:val="modern"/>
    <w:pitch w:val="default"/>
    <w:sig w:usb0="00000000" w:usb1="00000000" w:usb2="000A005E" w:usb3="00000000" w:csb0="00040001" w:csb1="00000000"/>
  </w:font>
  <w:font w:name="华文细黑">
    <w:altName w:val="微软雅黑"/>
    <w:panose1 w:val="02010600040101010101"/>
    <w:charset w:val="86"/>
    <w:family w:val="auto"/>
    <w:pitch w:val="default"/>
    <w:sig w:usb0="00000000" w:usb1="00000000" w:usb2="00000000" w:usb3="00000000" w:csb0="0004009F" w:csb1="DFD7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7" w:lineRule="auto"/>
      <w:ind w:left="4536"/>
      <w:rPr>
        <w:rFonts w:ascii="等线" w:hAnsi="等线" w:eastAsia="等线" w:cs="等线"/>
        <w:sz w:val="18"/>
        <w:szCs w:val="18"/>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0"/>
                          </w:pPr>
                          <w:r>
                            <w:fldChar w:fldCharType="begin"/>
                          </w:r>
                          <w:r>
                            <w:instrText xml:space="preserve"> PAGE  \* MERGEFORMAT </w:instrText>
                          </w:r>
                          <w:r>
                            <w:fldChar w:fldCharType="separate"/>
                          </w:r>
                          <w:r>
                            <w:t>5</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uWqTcMBAACPAwAADgAAAGRycy9lMm9Eb2MueG1srVPNjtMwEL4j8Q6W&#10;79TZI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DevKXHc4sTPP3+cf/05//5O&#10;0IcC9QFqzLsNmJmG937AtZn9gM7Me1DR5i8yIhhHeU8XeeWQiMiPVsvVqsKQwNh8QXx2/zxESB+k&#10;tyQbDY04vyIrP36CNKbOKbma8zfamDJD4/5zIGb2sNz72GO20rAbJkI7356QT4+jb6jDTafEfHSo&#10;bN6S2YizsZuMXAPCu0PCwqWfjDpCTcVwToXRtFN5Ef69l6z7/2jz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Ca5apNwwEAAI8DAAAOAAAAAAAAAAEAIAAAAB4BAABkcnMvZTJvRG9jLnhtbFBL&#10;BQYAAAAABgAGAFkBAABTBQAAAAA=&#10;">
              <v:fill on="f" focussize="0,0"/>
              <v:stroke on="f"/>
              <v:imagedata o:title=""/>
              <o:lock v:ext="edit" aspectratio="f"/>
              <v:textbox inset="0mm,0mm,0mm,0mm" style="mso-fit-shape-to-text:t;">
                <w:txbxContent>
                  <w:p>
                    <w:pPr>
                      <w:pStyle w:val="10"/>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0"/>
                            <w:jc w:val="center"/>
                          </w:pPr>
                          <w:r>
                            <w:fldChar w:fldCharType="begin"/>
                          </w:r>
                          <w:r>
                            <w:instrText xml:space="preserve">PAGE   \* MERGEFORMAT</w:instrText>
                          </w:r>
                          <w:r>
                            <w:fldChar w:fldCharType="separate"/>
                          </w:r>
                          <w:r>
                            <w:rPr>
                              <w:lang w:val="zh-CN"/>
                            </w:rPr>
                            <w:t>1</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cvfM8MBAACPAwAADgAAAGRycy9lMm9Eb2MueG1srVPNjtMwEL6vxDtY&#10;vlNnK4G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X2zpMRxixM///xx/vV4fvhO&#10;0IcC9QFqzLsLmJmG937AtZn9gM7Me1DR5i8yIhhHeU8XeeWQiMiPVsvVqsKQwNh8QXz29DxESB+k&#10;tyQbDY04vyIrP36CNKbOKbma87famDJD4/5yIGb2sNz72GO20rAbJkI7356QT4+jb6jDTafEfHSo&#10;bN6S2YizsZuMXAPCu0PCwqWfjDpCTcVwToXRtFN5Ef68l6yn/2jz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BBy98zwwEAAI8DAAAOAAAAAAAAAAEAIAAAAB4BAABkcnMvZTJvRG9jLnhtbFBL&#10;BQYAAAAABgAGAFkBAABTBQAAAAA=&#10;">
              <v:fill on="f" focussize="0,0"/>
              <v:stroke on="f"/>
              <v:imagedata o:title=""/>
              <o:lock v:ext="edit" aspectratio="f"/>
              <v:textbox inset="0mm,0mm,0mm,0mm" style="mso-fit-shape-to-text:t;">
                <w:txbxContent>
                  <w:p>
                    <w:pPr>
                      <w:pStyle w:val="10"/>
                      <w:jc w:val="center"/>
                    </w:pPr>
                    <w:r>
                      <w:fldChar w:fldCharType="begin"/>
                    </w:r>
                    <w:r>
                      <w:instrText xml:space="preserve">PAGE   \* MERGEFORMAT</w:instrText>
                    </w:r>
                    <w:r>
                      <w:fldChar w:fldCharType="separate"/>
                    </w:r>
                    <w:r>
                      <w:rPr>
                        <w:lang w:val="zh-CN"/>
                      </w:rPr>
                      <w:t>1</w:t>
                    </w:r>
                    <w:r>
                      <w:fldChar w:fldCharType="end"/>
                    </w:r>
                  </w:p>
                </w:txbxContent>
              </v:textbox>
            </v:shape>
          </w:pict>
        </mc:Fallback>
      </mc:AlternateContent>
    </w:r>
  </w:p>
  <w:p>
    <w:pPr>
      <w:pStyle w:val="1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80" w:lineRule="auto"/>
      <w:ind w:left="11899"/>
      <w:rPr>
        <w:sz w:val="28"/>
        <w:szCs w:val="28"/>
      </w:rPr>
    </w:pPr>
    <w:r>
      <w:rPr>
        <w:sz w:val="2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0"/>
                          </w:pPr>
                          <w:r>
                            <w:fldChar w:fldCharType="begin"/>
                          </w:r>
                          <w:r>
                            <w:instrText xml:space="preserve"> PAGE  \* MERGEFORMAT </w:instrText>
                          </w:r>
                          <w:r>
                            <w:fldChar w:fldCharType="separate"/>
                          </w:r>
                          <w:r>
                            <w:t>66</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ClNyERwwEAAI8DAAAOAAAAAAAAAAEAIAAAAB4BAABkcnMvZTJvRG9jLnhtbFBL&#10;BQYAAAAABgAGAFkBAABTBQAAAAA=&#10;">
              <v:fill on="f" focussize="0,0"/>
              <v:stroke on="f"/>
              <v:imagedata o:title=""/>
              <o:lock v:ext="edit" aspectratio="f"/>
              <v:textbox inset="0mm,0mm,0mm,0mm" style="mso-fit-shape-to-text:t;">
                <w:txbxContent>
                  <w:p>
                    <w:pPr>
                      <w:pStyle w:val="10"/>
                    </w:pPr>
                    <w:r>
                      <w:fldChar w:fldCharType="begin"/>
                    </w:r>
                    <w:r>
                      <w:instrText xml:space="preserve"> PAGE  \* MERGEFORMAT </w:instrText>
                    </w:r>
                    <w:r>
                      <w:fldChar w:fldCharType="separate"/>
                    </w:r>
                    <w:r>
                      <w:t>66</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spacing w:line="14" w:lineRule="auto"/>
      <w:rPr>
        <w:sz w:val="2"/>
      </w:rPr>
    </w:pPr>
    <w:r>
      <w:rPr>
        <w:sz w:val="2"/>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0"/>
                          </w:pPr>
                          <w:r>
                            <w:fldChar w:fldCharType="begin"/>
                          </w:r>
                          <w:r>
                            <w:instrText xml:space="preserve"> PAGE  \* MERGEFORMAT </w:instrText>
                          </w:r>
                          <w:r>
                            <w:fldChar w:fldCharType="separate"/>
                          </w:r>
                          <w:r>
                            <w:t>76</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2iuQ7cMBAACPAwAADgAAAGRycy9lMm9Eb2MueG1srVPNjtMwEL4j8Q6W&#10;79TZC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DevKXHc4sTPP3+cf/05//5O&#10;0IcC9QFqzLsNmJmG937AtZn9gM7Me1DR5i8yIhhHeU8XeeWQiMiPVsvVqsKQwNh8QXx2/zxESB+k&#10;tyQbDY04vyIrP36CNKbOKbma8zfamDJD4/5zIGb2sNz72GO20rAbJkI7356QT4+jb6jDTafEfHSo&#10;bN6S2YizsZuMXAPCu0PCwqWfjDpCTcVwToXRtFN5Ef69l6z7/2jz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DaK5DtwwEAAI8DAAAOAAAAAAAAAAEAIAAAAB4BAABkcnMvZTJvRG9jLnhtbFBL&#10;BQYAAAAABgAGAFkBAABTBQAAAAA=&#10;">
              <v:fill on="f" focussize="0,0"/>
              <v:stroke on="f"/>
              <v:imagedata o:title=""/>
              <o:lock v:ext="edit" aspectratio="f"/>
              <v:textbox inset="0mm,0mm,0mm,0mm" style="mso-fit-shape-to-text:t;">
                <w:txbxContent>
                  <w:p>
                    <w:pPr>
                      <w:pStyle w:val="10"/>
                    </w:pPr>
                    <w:r>
                      <w:fldChar w:fldCharType="begin"/>
                    </w:r>
                    <w:r>
                      <w:instrText xml:space="preserve"> PAGE  \* MERGEFORMAT </w:instrText>
                    </w:r>
                    <w:r>
                      <w:fldChar w:fldCharType="separate"/>
                    </w:r>
                    <w:r>
                      <w:t>76</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tabs>
        <w:tab w:val="left" w:pos="106"/>
      </w:tabs>
      <w:spacing w:line="162" w:lineRule="auto"/>
      <w:ind w:left="10"/>
      <w:rPr>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DB4294B"/>
    <w:multiLevelType w:val="multilevel"/>
    <w:tmpl w:val="BDB4294B"/>
    <w:lvl w:ilvl="0" w:tentative="0">
      <w:start w:val="1"/>
      <w:numFmt w:val="decimal"/>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CE7D8FAB"/>
    <w:multiLevelType w:val="multilevel"/>
    <w:tmpl w:val="CE7D8FAB"/>
    <w:lvl w:ilvl="0" w:tentative="0">
      <w:start w:val="1"/>
      <w:numFmt w:val="decimal"/>
      <w:lvlText w:val="%1、"/>
      <w:lvlJc w:val="left"/>
      <w:pPr>
        <w:tabs>
          <w:tab w:val="left" w:pos="0"/>
        </w:tabs>
        <w:ind w:left="360" w:hanging="360"/>
      </w:pPr>
      <w:rPr>
        <w:rFonts w:hint="default" w:ascii="Times New Roman" w:hAnsi="Times New Roman" w:cs="Times New Roman"/>
      </w:rPr>
    </w:lvl>
    <w:lvl w:ilvl="1" w:tentative="0">
      <w:start w:val="1"/>
      <w:numFmt w:val="lowerLetter"/>
      <w:lvlText w:val="%2)"/>
      <w:lvlJc w:val="left"/>
      <w:pPr>
        <w:tabs>
          <w:tab w:val="left" w:pos="0"/>
        </w:tabs>
        <w:ind w:left="840" w:hanging="420"/>
      </w:pPr>
      <w:rPr>
        <w:rFonts w:hint="default" w:ascii="Times New Roman" w:hAnsi="Times New Roman" w:cs="Times New Roman"/>
      </w:rPr>
    </w:lvl>
    <w:lvl w:ilvl="2" w:tentative="0">
      <w:start w:val="1"/>
      <w:numFmt w:val="lowerRoman"/>
      <w:lvlText w:val="%3."/>
      <w:lvlJc w:val="right"/>
      <w:pPr>
        <w:tabs>
          <w:tab w:val="left" w:pos="0"/>
        </w:tabs>
        <w:ind w:left="1260" w:hanging="420"/>
      </w:pPr>
      <w:rPr>
        <w:rFonts w:hint="default" w:ascii="Times New Roman" w:hAnsi="Times New Roman" w:cs="Times New Roman"/>
      </w:rPr>
    </w:lvl>
    <w:lvl w:ilvl="3" w:tentative="0">
      <w:start w:val="1"/>
      <w:numFmt w:val="decimal"/>
      <w:lvlText w:val="%4."/>
      <w:lvlJc w:val="left"/>
      <w:pPr>
        <w:tabs>
          <w:tab w:val="left" w:pos="0"/>
        </w:tabs>
        <w:ind w:left="1680" w:hanging="420"/>
      </w:pPr>
      <w:rPr>
        <w:rFonts w:hint="default" w:ascii="Times New Roman" w:hAnsi="Times New Roman" w:cs="Times New Roman"/>
      </w:rPr>
    </w:lvl>
    <w:lvl w:ilvl="4" w:tentative="0">
      <w:start w:val="1"/>
      <w:numFmt w:val="lowerLetter"/>
      <w:lvlText w:val="%5)"/>
      <w:lvlJc w:val="left"/>
      <w:pPr>
        <w:tabs>
          <w:tab w:val="left" w:pos="0"/>
        </w:tabs>
        <w:ind w:left="2100" w:hanging="420"/>
      </w:pPr>
      <w:rPr>
        <w:rFonts w:hint="default" w:ascii="Times New Roman" w:hAnsi="Times New Roman" w:cs="Times New Roman"/>
      </w:rPr>
    </w:lvl>
    <w:lvl w:ilvl="5" w:tentative="0">
      <w:start w:val="1"/>
      <w:numFmt w:val="lowerRoman"/>
      <w:lvlText w:val="%6."/>
      <w:lvlJc w:val="right"/>
      <w:pPr>
        <w:tabs>
          <w:tab w:val="left" w:pos="0"/>
        </w:tabs>
        <w:ind w:left="2520" w:hanging="420"/>
      </w:pPr>
      <w:rPr>
        <w:rFonts w:hint="default" w:ascii="Times New Roman" w:hAnsi="Times New Roman" w:cs="Times New Roman"/>
      </w:rPr>
    </w:lvl>
    <w:lvl w:ilvl="6" w:tentative="0">
      <w:start w:val="1"/>
      <w:numFmt w:val="decimal"/>
      <w:lvlText w:val="%7."/>
      <w:lvlJc w:val="left"/>
      <w:pPr>
        <w:tabs>
          <w:tab w:val="left" w:pos="0"/>
        </w:tabs>
        <w:ind w:left="2940" w:hanging="420"/>
      </w:pPr>
      <w:rPr>
        <w:rFonts w:hint="default" w:ascii="Times New Roman" w:hAnsi="Times New Roman" w:cs="Times New Roman"/>
      </w:rPr>
    </w:lvl>
    <w:lvl w:ilvl="7" w:tentative="0">
      <w:start w:val="1"/>
      <w:numFmt w:val="lowerLetter"/>
      <w:lvlText w:val="%8)"/>
      <w:lvlJc w:val="left"/>
      <w:pPr>
        <w:tabs>
          <w:tab w:val="left" w:pos="0"/>
        </w:tabs>
        <w:ind w:left="3360" w:hanging="420"/>
      </w:pPr>
      <w:rPr>
        <w:rFonts w:hint="default" w:ascii="Times New Roman" w:hAnsi="Times New Roman" w:cs="Times New Roman"/>
      </w:rPr>
    </w:lvl>
    <w:lvl w:ilvl="8" w:tentative="0">
      <w:start w:val="1"/>
      <w:numFmt w:val="lowerRoman"/>
      <w:lvlText w:val="%9."/>
      <w:lvlJc w:val="right"/>
      <w:pPr>
        <w:tabs>
          <w:tab w:val="left" w:pos="0"/>
        </w:tabs>
        <w:ind w:left="3780" w:hanging="420"/>
      </w:pPr>
      <w:rPr>
        <w:rFonts w:hint="default" w:ascii="Times New Roman" w:hAnsi="Times New Roman" w:cs="Times New Roman"/>
      </w:rPr>
    </w:lvl>
  </w:abstractNum>
  <w:abstractNum w:abstractNumId="2">
    <w:nsid w:val="FFDFC62C"/>
    <w:multiLevelType w:val="multilevel"/>
    <w:tmpl w:val="FFDFC62C"/>
    <w:lvl w:ilvl="0" w:tentative="0">
      <w:start w:val="1"/>
      <w:numFmt w:val="decimal"/>
      <w:lvlText w:val="%1、"/>
      <w:lvlJc w:val="left"/>
      <w:pPr>
        <w:tabs>
          <w:tab w:val="left" w:pos="0"/>
        </w:tabs>
        <w:ind w:left="1360" w:hanging="864"/>
      </w:pPr>
      <w:rPr>
        <w:rFonts w:hint="default" w:ascii="Times New Roman" w:hAnsi="Times New Roman" w:cs="Times New Roman"/>
      </w:rPr>
    </w:lvl>
    <w:lvl w:ilvl="1" w:tentative="0">
      <w:start w:val="1"/>
      <w:numFmt w:val="lowerLetter"/>
      <w:lvlText w:val="%2)"/>
      <w:lvlJc w:val="left"/>
      <w:pPr>
        <w:tabs>
          <w:tab w:val="left" w:pos="0"/>
        </w:tabs>
        <w:ind w:left="1336" w:hanging="420"/>
      </w:pPr>
      <w:rPr>
        <w:rFonts w:hint="default" w:ascii="Times New Roman" w:hAnsi="Times New Roman" w:cs="Times New Roman"/>
      </w:rPr>
    </w:lvl>
    <w:lvl w:ilvl="2" w:tentative="0">
      <w:start w:val="1"/>
      <w:numFmt w:val="lowerRoman"/>
      <w:lvlText w:val="%3."/>
      <w:lvlJc w:val="right"/>
      <w:pPr>
        <w:tabs>
          <w:tab w:val="left" w:pos="0"/>
        </w:tabs>
        <w:ind w:left="1756" w:hanging="420"/>
      </w:pPr>
      <w:rPr>
        <w:rFonts w:hint="default" w:ascii="Times New Roman" w:hAnsi="Times New Roman" w:cs="Times New Roman"/>
      </w:rPr>
    </w:lvl>
    <w:lvl w:ilvl="3" w:tentative="0">
      <w:start w:val="1"/>
      <w:numFmt w:val="decimal"/>
      <w:lvlText w:val="%4."/>
      <w:lvlJc w:val="left"/>
      <w:pPr>
        <w:tabs>
          <w:tab w:val="left" w:pos="0"/>
        </w:tabs>
        <w:ind w:left="2176" w:hanging="420"/>
      </w:pPr>
      <w:rPr>
        <w:rFonts w:hint="default" w:ascii="Times New Roman" w:hAnsi="Times New Roman" w:cs="Times New Roman"/>
      </w:rPr>
    </w:lvl>
    <w:lvl w:ilvl="4" w:tentative="0">
      <w:start w:val="1"/>
      <w:numFmt w:val="lowerLetter"/>
      <w:lvlText w:val="%5)"/>
      <w:lvlJc w:val="left"/>
      <w:pPr>
        <w:tabs>
          <w:tab w:val="left" w:pos="0"/>
        </w:tabs>
        <w:ind w:left="2596" w:hanging="420"/>
      </w:pPr>
      <w:rPr>
        <w:rFonts w:hint="default" w:ascii="Times New Roman" w:hAnsi="Times New Roman" w:cs="Times New Roman"/>
      </w:rPr>
    </w:lvl>
    <w:lvl w:ilvl="5" w:tentative="0">
      <w:start w:val="1"/>
      <w:numFmt w:val="lowerRoman"/>
      <w:lvlText w:val="%6."/>
      <w:lvlJc w:val="right"/>
      <w:pPr>
        <w:tabs>
          <w:tab w:val="left" w:pos="0"/>
        </w:tabs>
        <w:ind w:left="3016" w:hanging="420"/>
      </w:pPr>
      <w:rPr>
        <w:rFonts w:hint="default" w:ascii="Times New Roman" w:hAnsi="Times New Roman" w:cs="Times New Roman"/>
      </w:rPr>
    </w:lvl>
    <w:lvl w:ilvl="6" w:tentative="0">
      <w:start w:val="1"/>
      <w:numFmt w:val="decimal"/>
      <w:lvlText w:val="%7."/>
      <w:lvlJc w:val="left"/>
      <w:pPr>
        <w:tabs>
          <w:tab w:val="left" w:pos="0"/>
        </w:tabs>
        <w:ind w:left="3436" w:hanging="420"/>
      </w:pPr>
      <w:rPr>
        <w:rFonts w:hint="default" w:ascii="Times New Roman" w:hAnsi="Times New Roman" w:cs="Times New Roman"/>
      </w:rPr>
    </w:lvl>
    <w:lvl w:ilvl="7" w:tentative="0">
      <w:start w:val="1"/>
      <w:numFmt w:val="lowerLetter"/>
      <w:lvlText w:val="%8)"/>
      <w:lvlJc w:val="left"/>
      <w:pPr>
        <w:tabs>
          <w:tab w:val="left" w:pos="0"/>
        </w:tabs>
        <w:ind w:left="3856" w:hanging="420"/>
      </w:pPr>
      <w:rPr>
        <w:rFonts w:hint="default" w:ascii="Times New Roman" w:hAnsi="Times New Roman" w:cs="Times New Roman"/>
      </w:rPr>
    </w:lvl>
    <w:lvl w:ilvl="8" w:tentative="0">
      <w:start w:val="1"/>
      <w:numFmt w:val="lowerRoman"/>
      <w:lvlText w:val="%9."/>
      <w:lvlJc w:val="right"/>
      <w:pPr>
        <w:tabs>
          <w:tab w:val="left" w:pos="0"/>
        </w:tabs>
        <w:ind w:left="4276" w:hanging="420"/>
      </w:pPr>
      <w:rPr>
        <w:rFonts w:hint="default" w:ascii="Times New Roman" w:hAnsi="Times New Roman" w:cs="Times New Roman"/>
      </w:rPr>
    </w:lvl>
  </w:abstractNum>
  <w:abstractNum w:abstractNumId="3">
    <w:nsid w:val="00000003"/>
    <w:multiLevelType w:val="multilevel"/>
    <w:tmpl w:val="00000003"/>
    <w:lvl w:ilvl="0" w:tentative="0">
      <w:start w:val="1"/>
      <w:numFmt w:val="decimal"/>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0000000A"/>
    <w:multiLevelType w:val="multilevel"/>
    <w:tmpl w:val="0000000A"/>
    <w:lvl w:ilvl="0" w:tentative="0">
      <w:start w:val="1"/>
      <w:numFmt w:val="decimal"/>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03214274"/>
    <w:multiLevelType w:val="multilevel"/>
    <w:tmpl w:val="03214274"/>
    <w:lvl w:ilvl="0" w:tentative="0">
      <w:start w:val="1"/>
      <w:numFmt w:val="decimal"/>
      <w:lvlText w:val="%1、"/>
      <w:lvlJc w:val="left"/>
      <w:pPr>
        <w:ind w:left="1360" w:hanging="864"/>
      </w:pPr>
      <w:rPr>
        <w:rFonts w:hint="default"/>
      </w:rPr>
    </w:lvl>
    <w:lvl w:ilvl="1" w:tentative="0">
      <w:start w:val="1"/>
      <w:numFmt w:val="lowerLetter"/>
      <w:lvlText w:val="%2)"/>
      <w:lvlJc w:val="left"/>
      <w:pPr>
        <w:ind w:left="1336" w:hanging="420"/>
      </w:pPr>
    </w:lvl>
    <w:lvl w:ilvl="2" w:tentative="0">
      <w:start w:val="1"/>
      <w:numFmt w:val="lowerRoman"/>
      <w:lvlText w:val="%3."/>
      <w:lvlJc w:val="right"/>
      <w:pPr>
        <w:ind w:left="1756" w:hanging="420"/>
      </w:pPr>
    </w:lvl>
    <w:lvl w:ilvl="3" w:tentative="0">
      <w:start w:val="1"/>
      <w:numFmt w:val="decimal"/>
      <w:lvlText w:val="%4."/>
      <w:lvlJc w:val="left"/>
      <w:pPr>
        <w:ind w:left="2176" w:hanging="420"/>
      </w:pPr>
    </w:lvl>
    <w:lvl w:ilvl="4" w:tentative="0">
      <w:start w:val="1"/>
      <w:numFmt w:val="lowerLetter"/>
      <w:lvlText w:val="%5)"/>
      <w:lvlJc w:val="left"/>
      <w:pPr>
        <w:ind w:left="2596" w:hanging="420"/>
      </w:pPr>
    </w:lvl>
    <w:lvl w:ilvl="5" w:tentative="0">
      <w:start w:val="1"/>
      <w:numFmt w:val="lowerRoman"/>
      <w:lvlText w:val="%6."/>
      <w:lvlJc w:val="right"/>
      <w:pPr>
        <w:ind w:left="3016" w:hanging="420"/>
      </w:pPr>
    </w:lvl>
    <w:lvl w:ilvl="6" w:tentative="0">
      <w:start w:val="1"/>
      <w:numFmt w:val="decimal"/>
      <w:lvlText w:val="%7."/>
      <w:lvlJc w:val="left"/>
      <w:pPr>
        <w:ind w:left="3436" w:hanging="420"/>
      </w:pPr>
    </w:lvl>
    <w:lvl w:ilvl="7" w:tentative="0">
      <w:start w:val="1"/>
      <w:numFmt w:val="lowerLetter"/>
      <w:lvlText w:val="%8)"/>
      <w:lvlJc w:val="left"/>
      <w:pPr>
        <w:ind w:left="3856" w:hanging="420"/>
      </w:pPr>
    </w:lvl>
    <w:lvl w:ilvl="8" w:tentative="0">
      <w:start w:val="1"/>
      <w:numFmt w:val="lowerRoman"/>
      <w:lvlText w:val="%9."/>
      <w:lvlJc w:val="right"/>
      <w:pPr>
        <w:ind w:left="4276" w:hanging="420"/>
      </w:pPr>
    </w:lvl>
  </w:abstractNum>
  <w:abstractNum w:abstractNumId="6">
    <w:nsid w:val="78511111"/>
    <w:multiLevelType w:val="singleLevel"/>
    <w:tmpl w:val="78511111"/>
    <w:lvl w:ilvl="0" w:tentative="0">
      <w:start w:val="1"/>
      <w:numFmt w:val="decimal"/>
      <w:suff w:val="nothing"/>
      <w:lvlText w:val="%1、"/>
      <w:lvlJc w:val="left"/>
    </w:lvl>
  </w:abstractNum>
  <w:abstractNum w:abstractNumId="7">
    <w:nsid w:val="7CD12BB6"/>
    <w:multiLevelType w:val="multilevel"/>
    <w:tmpl w:val="7CD12BB6"/>
    <w:lvl w:ilvl="0" w:tentative="0">
      <w:start w:val="1"/>
      <w:numFmt w:val="decimal"/>
      <w:lvlText w:val="%1、"/>
      <w:lvlJc w:val="left"/>
      <w:pPr>
        <w:tabs>
          <w:tab w:val="left" w:pos="1478"/>
        </w:tabs>
        <w:ind w:left="0" w:firstLine="758"/>
      </w:pPr>
      <w:rPr>
        <w:rFonts w:hint="default"/>
      </w:rPr>
    </w:lvl>
    <w:lvl w:ilvl="1" w:tentative="0">
      <w:start w:val="1"/>
      <w:numFmt w:val="lowerLetter"/>
      <w:lvlText w:val="%2)"/>
      <w:lvlJc w:val="left"/>
      <w:pPr>
        <w:tabs>
          <w:tab w:val="left" w:pos="1036"/>
        </w:tabs>
        <w:ind w:left="1036" w:hanging="420"/>
      </w:pPr>
    </w:lvl>
    <w:lvl w:ilvl="2" w:tentative="0">
      <w:start w:val="1"/>
      <w:numFmt w:val="lowerRoman"/>
      <w:lvlText w:val="%3."/>
      <w:lvlJc w:val="right"/>
      <w:pPr>
        <w:tabs>
          <w:tab w:val="left" w:pos="1456"/>
        </w:tabs>
        <w:ind w:left="1456" w:hanging="420"/>
      </w:pPr>
    </w:lvl>
    <w:lvl w:ilvl="3" w:tentative="0">
      <w:start w:val="1"/>
      <w:numFmt w:val="decimal"/>
      <w:lvlText w:val="%4."/>
      <w:lvlJc w:val="left"/>
      <w:pPr>
        <w:tabs>
          <w:tab w:val="left" w:pos="1876"/>
        </w:tabs>
        <w:ind w:left="1876" w:hanging="420"/>
      </w:pPr>
    </w:lvl>
    <w:lvl w:ilvl="4" w:tentative="0">
      <w:start w:val="1"/>
      <w:numFmt w:val="lowerLetter"/>
      <w:lvlText w:val="%5)"/>
      <w:lvlJc w:val="left"/>
      <w:pPr>
        <w:tabs>
          <w:tab w:val="left" w:pos="2296"/>
        </w:tabs>
        <w:ind w:left="2296" w:hanging="420"/>
      </w:pPr>
    </w:lvl>
    <w:lvl w:ilvl="5" w:tentative="0">
      <w:start w:val="1"/>
      <w:numFmt w:val="lowerRoman"/>
      <w:lvlText w:val="%6."/>
      <w:lvlJc w:val="right"/>
      <w:pPr>
        <w:tabs>
          <w:tab w:val="left" w:pos="2716"/>
        </w:tabs>
        <w:ind w:left="2716" w:hanging="420"/>
      </w:pPr>
    </w:lvl>
    <w:lvl w:ilvl="6" w:tentative="0">
      <w:start w:val="1"/>
      <w:numFmt w:val="decimal"/>
      <w:lvlText w:val="%7."/>
      <w:lvlJc w:val="left"/>
      <w:pPr>
        <w:tabs>
          <w:tab w:val="left" w:pos="3136"/>
        </w:tabs>
        <w:ind w:left="3136" w:hanging="420"/>
      </w:pPr>
    </w:lvl>
    <w:lvl w:ilvl="7" w:tentative="0">
      <w:start w:val="1"/>
      <w:numFmt w:val="lowerLetter"/>
      <w:lvlText w:val="%8)"/>
      <w:lvlJc w:val="left"/>
      <w:pPr>
        <w:tabs>
          <w:tab w:val="left" w:pos="3556"/>
        </w:tabs>
        <w:ind w:left="3556" w:hanging="420"/>
      </w:pPr>
    </w:lvl>
    <w:lvl w:ilvl="8" w:tentative="0">
      <w:start w:val="1"/>
      <w:numFmt w:val="lowerRoman"/>
      <w:lvlText w:val="%9."/>
      <w:lvlJc w:val="right"/>
      <w:pPr>
        <w:tabs>
          <w:tab w:val="left" w:pos="3976"/>
        </w:tabs>
        <w:ind w:left="3976" w:hanging="420"/>
      </w:pPr>
    </w:lvl>
  </w:abstractNum>
  <w:num w:numId="1">
    <w:abstractNumId w:val="4"/>
  </w:num>
  <w:num w:numId="2">
    <w:abstractNumId w:val="3"/>
  </w:num>
  <w:num w:numId="3">
    <w:abstractNumId w:val="0"/>
  </w:num>
  <w:num w:numId="4">
    <w:abstractNumId w:val="6"/>
  </w:num>
  <w:num w:numId="5">
    <w:abstractNumId w:val="7"/>
  </w:num>
  <w:num w:numId="6">
    <w:abstractNumId w:val="5"/>
  </w:num>
  <w:num w:numId="7">
    <w:abstractNumId w:val="2"/>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RlNmNlYzk1OTc3OWFkNWRjMzRmZTY2Njc5MDcyYjIifQ=="/>
  </w:docVars>
  <w:rsids>
    <w:rsidRoot w:val="68344988"/>
    <w:rsid w:val="46C219E3"/>
    <w:rsid w:val="683449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3">
    <w:name w:val="heading 1"/>
    <w:basedOn w:val="4"/>
    <w:next w:val="5"/>
    <w:qFormat/>
    <w:uiPriority w:val="0"/>
    <w:pPr>
      <w:keepNext/>
      <w:keepLines/>
      <w:spacing w:before="340" w:after="330" w:line="578" w:lineRule="auto"/>
      <w:outlineLvl w:val="0"/>
    </w:pPr>
    <w:rPr>
      <w:b w:val="0"/>
      <w:bCs/>
      <w:kern w:val="44"/>
      <w:szCs w:val="44"/>
    </w:rPr>
  </w:style>
  <w:style w:type="paragraph" w:styleId="7">
    <w:name w:val="heading 2"/>
    <w:basedOn w:val="1"/>
    <w:next w:val="1"/>
    <w:qFormat/>
    <w:uiPriority w:val="0"/>
    <w:pPr>
      <w:keepNext/>
      <w:keepLines/>
      <w:spacing w:before="120" w:after="120" w:line="415" w:lineRule="auto"/>
      <w:jc w:val="center"/>
      <w:outlineLvl w:val="1"/>
    </w:pPr>
    <w:rPr>
      <w:rFonts w:ascii="Arial" w:hAnsi="Arial"/>
      <w:b/>
      <w:color w:val="000000"/>
      <w:kern w:val="0"/>
      <w:sz w:val="28"/>
      <w:szCs w:val="24"/>
    </w:rPr>
  </w:style>
  <w:style w:type="paragraph" w:styleId="8">
    <w:name w:val="heading 3"/>
    <w:basedOn w:val="1"/>
    <w:next w:val="1"/>
    <w:qFormat/>
    <w:uiPriority w:val="0"/>
    <w:pPr>
      <w:widowControl/>
      <w:spacing w:before="100" w:beforeAutospacing="1" w:after="100" w:afterAutospacing="1"/>
      <w:jc w:val="left"/>
      <w:outlineLvl w:val="2"/>
    </w:pPr>
    <w:rPr>
      <w:rFonts w:ascii="宋体" w:hAnsi="宋体"/>
      <w:kern w:val="0"/>
      <w:sz w:val="27"/>
      <w:szCs w:val="27"/>
    </w:rPr>
  </w:style>
  <w:style w:type="character" w:default="1" w:styleId="17">
    <w:name w:val="Default Paragraph Font"/>
    <w:semiHidden/>
    <w:uiPriority w:val="0"/>
  </w:style>
  <w:style w:type="table" w:default="1" w:styleId="16">
    <w:name w:val="Normal Table"/>
    <w:semiHidden/>
    <w:uiPriority w:val="0"/>
    <w:tblPr>
      <w:tblCellMar>
        <w:top w:w="0" w:type="dxa"/>
        <w:left w:w="108" w:type="dxa"/>
        <w:bottom w:w="0" w:type="dxa"/>
        <w:right w:w="108" w:type="dxa"/>
      </w:tblCellMar>
    </w:tblPr>
  </w:style>
  <w:style w:type="paragraph" w:styleId="2">
    <w:name w:val="Plain Text"/>
    <w:basedOn w:val="1"/>
    <w:next w:val="1"/>
    <w:qFormat/>
    <w:uiPriority w:val="99"/>
    <w:rPr>
      <w:rFonts w:ascii="宋体" w:hAnsi="Courier New"/>
      <w:szCs w:val="20"/>
    </w:rPr>
  </w:style>
  <w:style w:type="paragraph" w:styleId="4">
    <w:name w:val="Title"/>
    <w:basedOn w:val="1"/>
    <w:qFormat/>
    <w:uiPriority w:val="0"/>
    <w:pPr>
      <w:spacing w:before="120" w:after="60"/>
      <w:jc w:val="center"/>
    </w:pPr>
    <w:rPr>
      <w:rFonts w:ascii="Arial" w:hAnsi="Arial"/>
      <w:b/>
      <w:sz w:val="44"/>
      <w:szCs w:val="20"/>
    </w:rPr>
  </w:style>
  <w:style w:type="paragraph" w:styleId="5">
    <w:name w:val="Body Text First Indent"/>
    <w:basedOn w:val="6"/>
    <w:qFormat/>
    <w:uiPriority w:val="0"/>
    <w:pPr>
      <w:ind w:firstLine="420"/>
    </w:pPr>
  </w:style>
  <w:style w:type="paragraph" w:styleId="6">
    <w:name w:val="Body Text"/>
    <w:basedOn w:val="1"/>
    <w:qFormat/>
    <w:uiPriority w:val="99"/>
    <w:pPr>
      <w:spacing w:after="120"/>
    </w:pPr>
    <w:rPr>
      <w:rFonts w:ascii="Calibri" w:hAnsi="Calibri"/>
      <w:kern w:val="0"/>
      <w:sz w:val="20"/>
      <w:szCs w:val="20"/>
    </w:rPr>
  </w:style>
  <w:style w:type="paragraph" w:styleId="9">
    <w:name w:val="Body Text Indent"/>
    <w:basedOn w:val="1"/>
    <w:qFormat/>
    <w:uiPriority w:val="0"/>
    <w:pPr>
      <w:ind w:firstLine="570"/>
    </w:pPr>
    <w:rPr>
      <w:kern w:val="0"/>
      <w:sz w:val="28"/>
      <w:szCs w:val="20"/>
    </w:rPr>
  </w:style>
  <w:style w:type="paragraph" w:styleId="10">
    <w:name w:val="footer"/>
    <w:basedOn w:val="1"/>
    <w:qFormat/>
    <w:uiPriority w:val="0"/>
    <w:pPr>
      <w:tabs>
        <w:tab w:val="center" w:pos="4153"/>
        <w:tab w:val="right" w:pos="8306"/>
      </w:tabs>
      <w:snapToGrid w:val="0"/>
      <w:jc w:val="left"/>
    </w:pPr>
    <w:rPr>
      <w:rFonts w:ascii="Calibri" w:hAnsi="Calibri"/>
      <w:kern w:val="0"/>
      <w:sz w:val="18"/>
      <w:szCs w:val="18"/>
    </w:rPr>
  </w:style>
  <w:style w:type="paragraph" w:styleId="11">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toc 1"/>
    <w:basedOn w:val="1"/>
    <w:next w:val="1"/>
    <w:qFormat/>
    <w:uiPriority w:val="39"/>
    <w:pPr>
      <w:tabs>
        <w:tab w:val="right" w:leader="dot" w:pos="9060"/>
      </w:tabs>
      <w:adjustRightInd w:val="0"/>
      <w:snapToGrid w:val="0"/>
      <w:spacing w:line="360" w:lineRule="auto"/>
      <w:jc w:val="left"/>
      <w:textAlignment w:val="baseline"/>
    </w:pPr>
    <w:rPr>
      <w:rFonts w:ascii="宋体" w:hAnsi="宋体"/>
      <w:caps/>
      <w:kern w:val="0"/>
      <w:sz w:val="24"/>
      <w:szCs w:val="32"/>
    </w:rPr>
  </w:style>
  <w:style w:type="paragraph" w:styleId="13">
    <w:name w:val="toc 2"/>
    <w:basedOn w:val="1"/>
    <w:next w:val="1"/>
    <w:qFormat/>
    <w:uiPriority w:val="39"/>
    <w:pPr>
      <w:tabs>
        <w:tab w:val="right" w:leader="dot" w:pos="9060"/>
      </w:tabs>
      <w:snapToGrid w:val="0"/>
      <w:spacing w:line="360" w:lineRule="auto"/>
      <w:ind w:left="420" w:leftChars="200"/>
      <w:jc w:val="left"/>
    </w:pPr>
    <w:rPr>
      <w:sz w:val="24"/>
      <w:szCs w:val="24"/>
    </w:rPr>
  </w:style>
  <w:style w:type="paragraph" w:styleId="14">
    <w:name w:val="Normal (Web)"/>
    <w:basedOn w:val="1"/>
    <w:qFormat/>
    <w:uiPriority w:val="99"/>
    <w:pPr>
      <w:widowControl/>
      <w:spacing w:before="100" w:beforeAutospacing="1" w:after="100" w:afterAutospacing="1"/>
      <w:jc w:val="left"/>
    </w:pPr>
    <w:rPr>
      <w:rFonts w:ascii="宋体" w:hAnsi="宋体"/>
      <w:kern w:val="0"/>
      <w:sz w:val="24"/>
      <w:szCs w:val="24"/>
    </w:rPr>
  </w:style>
  <w:style w:type="paragraph" w:styleId="15">
    <w:name w:val="Body Text First Indent 2"/>
    <w:basedOn w:val="9"/>
    <w:qFormat/>
    <w:uiPriority w:val="0"/>
    <w:pPr>
      <w:spacing w:after="120"/>
      <w:ind w:left="200" w:leftChars="200" w:firstLine="200" w:firstLineChars="200"/>
    </w:pPr>
    <w:rPr>
      <w:rFonts w:ascii="Calibri" w:hAnsi="Calibri"/>
      <w:color w:val="0D0D0D"/>
      <w:kern w:val="2"/>
      <w:sz w:val="21"/>
      <w:szCs w:val="24"/>
      <w:lang w:eastAsia="en-US"/>
    </w:rPr>
  </w:style>
  <w:style w:type="character" w:styleId="18">
    <w:name w:val="Hyperlink"/>
    <w:qFormat/>
    <w:uiPriority w:val="99"/>
    <w:rPr>
      <w:rFonts w:ascii="Calibri" w:hAnsi="Calibri" w:eastAsia="宋体" w:cs="Times New Roman"/>
      <w:color w:val="0000FF"/>
      <w:u w:val="single"/>
    </w:rPr>
  </w:style>
  <w:style w:type="paragraph" w:customStyle="1" w:styleId="19">
    <w:name w:val="WPSOffice手动目录 1"/>
    <w:qFormat/>
    <w:uiPriority w:val="0"/>
    <w:rPr>
      <w:rFonts w:ascii="Times New Roman" w:hAnsi="Times New Roman" w:eastAsia="宋体" w:cs="Times New Roman"/>
      <w:lang w:val="en-US" w:eastAsia="zh-CN" w:bidi="ar-SA"/>
    </w:rPr>
  </w:style>
  <w:style w:type="paragraph" w:customStyle="1" w:styleId="20">
    <w:name w:val="Body text|1"/>
    <w:basedOn w:val="1"/>
    <w:qFormat/>
    <w:uiPriority w:val="0"/>
    <w:pPr>
      <w:spacing w:line="441" w:lineRule="auto"/>
      <w:ind w:firstLine="400"/>
      <w:jc w:val="left"/>
    </w:pPr>
    <w:rPr>
      <w:rFonts w:ascii="宋体" w:hAnsi="宋体" w:cs="宋体"/>
      <w:color w:val="000000"/>
      <w:kern w:val="0"/>
      <w:sz w:val="20"/>
      <w:szCs w:val="20"/>
    </w:rPr>
  </w:style>
  <w:style w:type="paragraph" w:customStyle="1" w:styleId="21">
    <w:name w:val="文一"/>
    <w:qFormat/>
    <w:uiPriority w:val="0"/>
    <w:pPr>
      <w:topLinePunct/>
      <w:adjustRightInd w:val="0"/>
      <w:snapToGrid w:val="0"/>
      <w:spacing w:line="360" w:lineRule="auto"/>
      <w:ind w:firstLine="200" w:firstLineChars="200"/>
    </w:pPr>
    <w:rPr>
      <w:rFonts w:ascii="Times New Roman" w:hAnsi="Times New Roman" w:eastAsia="Times New Roman" w:cs="Times New Roman"/>
      <w:snapToGrid w:val="0"/>
      <w:spacing w:val="4"/>
      <w:kern w:val="2"/>
      <w:sz w:val="24"/>
      <w:szCs w:val="24"/>
      <w:lang w:val="en-US" w:eastAsia="zh-CN" w:bidi="ar-SA"/>
    </w:rPr>
  </w:style>
  <w:style w:type="paragraph" w:styleId="22">
    <w:name w:val="List Paragraph"/>
    <w:basedOn w:val="1"/>
    <w:qFormat/>
    <w:uiPriority w:val="0"/>
    <w:pPr>
      <w:ind w:firstLine="420" w:firstLineChars="200"/>
    </w:pPr>
    <w:rPr>
      <w:szCs w:val="20"/>
    </w:rPr>
  </w:style>
  <w:style w:type="paragraph" w:customStyle="1" w:styleId="23">
    <w:name w:val="文二"/>
    <w:basedOn w:val="1"/>
    <w:qFormat/>
    <w:uiPriority w:val="0"/>
    <w:pPr>
      <w:widowControl/>
      <w:spacing w:after="200" w:line="276" w:lineRule="auto"/>
      <w:jc w:val="left"/>
    </w:pPr>
    <w:rPr>
      <w:rFonts w:ascii="宋体" w:hAnsi="宋体"/>
      <w:kern w:val="0"/>
      <w:sz w:val="22"/>
      <w:szCs w:val="21"/>
      <w:lang w:eastAsia="en-US" w:bidi="en-US"/>
    </w:rPr>
  </w:style>
  <w:style w:type="paragraph" w:customStyle="1" w:styleId="24">
    <w:name w:val="正文编号"/>
    <w:basedOn w:val="1"/>
    <w:qFormat/>
    <w:uiPriority w:val="0"/>
    <w:pPr>
      <w:widowControl/>
      <w:tabs>
        <w:tab w:val="left" w:pos="0"/>
      </w:tabs>
      <w:snapToGrid w:val="0"/>
      <w:spacing w:beforeLines="50" w:line="288" w:lineRule="auto"/>
      <w:ind w:left="420"/>
      <w:jc w:val="left"/>
    </w:pPr>
    <w:rPr>
      <w:rFonts w:hint="eastAsia" w:ascii="宋体" w:hAnsi="宋体"/>
      <w:kern w:val="0"/>
      <w:sz w:val="24"/>
      <w:szCs w:val="24"/>
    </w:rPr>
  </w:style>
  <w:style w:type="paragraph" w:customStyle="1" w:styleId="25">
    <w:name w:val="Table Text"/>
    <w:basedOn w:val="1"/>
    <w:qFormat/>
    <w:uiPriority w:val="0"/>
    <w:pPr>
      <w:topLinePunct/>
      <w:adjustRightInd w:val="0"/>
      <w:snapToGrid w:val="0"/>
      <w:spacing w:before="80" w:after="80" w:line="240" w:lineRule="atLeast"/>
      <w:jc w:val="left"/>
    </w:pPr>
    <w:rPr>
      <w:rFonts w:cs="Arial"/>
      <w:snapToGrid w:val="0"/>
      <w:kern w:val="0"/>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6" Type="http://schemas.openxmlformats.org/officeDocument/2006/relationships/fontTable" Target="fontTable.xml"/><Relationship Id="rId65" Type="http://schemas.openxmlformats.org/officeDocument/2006/relationships/numbering" Target="numbering.xml"/><Relationship Id="rId64" Type="http://schemas.openxmlformats.org/officeDocument/2006/relationships/customXml" Target="../customXml/item1.xml"/><Relationship Id="rId63" Type="http://schemas.openxmlformats.org/officeDocument/2006/relationships/image" Target="media/image53.jpe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2.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jpe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jpeg"/><Relationship Id="rId50" Type="http://schemas.openxmlformats.org/officeDocument/2006/relationships/image" Target="media/image40.png"/><Relationship Id="rId5" Type="http://schemas.openxmlformats.org/officeDocument/2006/relationships/header" Target="header2.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footer" Target="footer1.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jpe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pn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emf"/><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jpe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6</TotalTime>
  <ScaleCrop>false</ScaleCrop>
  <LinksUpToDate>false</LinksUpToDate>
  <CharactersWithSpaces>0</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2024-04-03T08:21:00Z</dcterms:created>
  <dc:creator>初</dc:creator>
  <cp:lastModifiedBy>初</cp:lastModifiedBy>
  <dcterms:modified xsi:type="dcterms:W3CDTF">2024-04-03T08:31:20Z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ADBC54D11F2042AB94985E499050666F_11</vt:lpwstr>
  </property>
</Properties>
</file>