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ascii="宋体" w:hAnsi="宋体" w:eastAsia="宋体" w:cs="宋体"/>
          <w:b/>
          <w:bCs/>
          <w:sz w:val="48"/>
          <w:szCs w:val="48"/>
          <w:highlight w:val="none"/>
          <w:u w:val="none"/>
          <w:lang w:val="en-US" w:eastAsia="zh-CN"/>
        </w:rPr>
      </w:pPr>
    </w:p>
    <w:p>
      <w:pPr>
        <w:spacing w:line="300" w:lineRule="auto"/>
        <w:jc w:val="center"/>
        <w:rPr>
          <w:rFonts w:hint="eastAsia" w:ascii="宋体" w:hAnsi="宋体" w:eastAsia="宋体" w:cs="宋体"/>
          <w:b/>
          <w:bCs/>
          <w:sz w:val="48"/>
          <w:szCs w:val="48"/>
          <w:highlight w:val="none"/>
          <w:u w:val="none"/>
          <w:lang w:val="en-US" w:eastAsia="zh-CN"/>
        </w:rPr>
      </w:pPr>
    </w:p>
    <w:p>
      <w:pPr>
        <w:spacing w:line="300" w:lineRule="auto"/>
        <w:jc w:val="center"/>
        <w:rPr>
          <w:rFonts w:hint="eastAsia" w:ascii="宋体" w:hAnsi="宋体" w:eastAsia="宋体" w:cs="宋体"/>
          <w:b/>
          <w:bCs/>
          <w:sz w:val="48"/>
          <w:szCs w:val="48"/>
          <w:highlight w:val="none"/>
          <w:u w:val="none"/>
          <w:lang w:val="en-US" w:eastAsia="zh-CN"/>
        </w:rPr>
      </w:pPr>
      <w:r>
        <w:rPr>
          <w:rFonts w:hint="eastAsia" w:ascii="宋体" w:hAnsi="宋体" w:cs="宋体"/>
          <w:b/>
          <w:bCs/>
          <w:sz w:val="48"/>
          <w:szCs w:val="48"/>
          <w:highlight w:val="none"/>
          <w:u w:val="none"/>
          <w:lang w:val="en-US" w:eastAsia="zh-CN"/>
        </w:rPr>
        <w:t>天坤一路-棠陂路建设工程检测监测</w:t>
      </w:r>
    </w:p>
    <w:p>
      <w:pPr>
        <w:spacing w:line="300" w:lineRule="auto"/>
        <w:rPr>
          <w:rFonts w:ascii="华文中宋" w:hAnsi="华文中宋" w:eastAsia="华文中宋" w:cs="华文中宋"/>
          <w:sz w:val="36"/>
          <w:highlight w:val="none"/>
          <w:u w:val="single"/>
        </w:rPr>
      </w:pPr>
    </w:p>
    <w:p>
      <w:pPr>
        <w:spacing w:line="300" w:lineRule="auto"/>
        <w:jc w:val="center"/>
        <w:rPr>
          <w:rFonts w:ascii="华文中宋" w:hAnsi="华文中宋" w:eastAsia="华文中宋" w:cs="华文中宋"/>
          <w:sz w:val="36"/>
          <w:highlight w:val="none"/>
          <w:u w:val="single"/>
        </w:rPr>
      </w:pPr>
    </w:p>
    <w:p>
      <w:pPr>
        <w:spacing w:line="300" w:lineRule="auto"/>
        <w:jc w:val="center"/>
        <w:rPr>
          <w:rFonts w:ascii="华文中宋" w:hAnsi="华文中宋" w:eastAsia="华文中宋" w:cs="华文中宋"/>
          <w:sz w:val="36"/>
          <w:highlight w:val="none"/>
          <w:u w:val="single"/>
        </w:rPr>
      </w:pPr>
    </w:p>
    <w:p>
      <w:pPr>
        <w:pStyle w:val="16"/>
        <w:rPr>
          <w:rFonts w:ascii="华文中宋" w:hAnsi="华文中宋" w:eastAsia="华文中宋" w:cs="华文中宋"/>
          <w:sz w:val="36"/>
          <w:highlight w:val="none"/>
          <w:u w:val="single"/>
        </w:rPr>
      </w:pPr>
    </w:p>
    <w:p>
      <w:pPr>
        <w:pStyle w:val="16"/>
        <w:rPr>
          <w:rFonts w:ascii="华文中宋" w:hAnsi="华文中宋" w:eastAsia="华文中宋" w:cs="华文中宋"/>
          <w:sz w:val="36"/>
          <w:highlight w:val="none"/>
          <w:u w:val="single"/>
        </w:rPr>
      </w:pPr>
    </w:p>
    <w:p>
      <w:pPr>
        <w:spacing w:line="300" w:lineRule="auto"/>
        <w:jc w:val="center"/>
        <w:rPr>
          <w:rFonts w:hint="eastAsia" w:ascii="宋体" w:hAnsi="宋体" w:eastAsia="宋体" w:cs="宋体"/>
          <w:b/>
          <w:bCs/>
          <w:spacing w:val="26"/>
          <w:sz w:val="96"/>
          <w:szCs w:val="110"/>
          <w:highlight w:val="none"/>
        </w:rPr>
      </w:pPr>
      <w:r>
        <w:rPr>
          <w:rFonts w:hint="eastAsia" w:ascii="宋体" w:hAnsi="宋体" w:eastAsia="宋体" w:cs="宋体"/>
          <w:b/>
          <w:bCs/>
          <w:spacing w:val="26"/>
          <w:sz w:val="96"/>
          <w:szCs w:val="110"/>
          <w:highlight w:val="none"/>
        </w:rPr>
        <w:t>招标文件</w:t>
      </w:r>
    </w:p>
    <w:p>
      <w:pPr>
        <w:rPr>
          <w:rFonts w:ascii="华文中宋" w:hAnsi="华文中宋" w:eastAsia="华文中宋" w:cs="华文中宋"/>
          <w:highlight w:val="none"/>
        </w:rPr>
      </w:pPr>
    </w:p>
    <w:p>
      <w:pPr>
        <w:rPr>
          <w:rFonts w:ascii="华文中宋" w:hAnsi="华文中宋" w:eastAsia="华文中宋" w:cs="华文中宋"/>
          <w:highlight w:val="none"/>
        </w:rPr>
      </w:pPr>
    </w:p>
    <w:p>
      <w:pPr>
        <w:rPr>
          <w:rFonts w:ascii="华文中宋" w:hAnsi="华文中宋" w:eastAsia="华文中宋" w:cs="华文中宋"/>
          <w:highlight w:val="none"/>
        </w:rPr>
      </w:pPr>
    </w:p>
    <w:p>
      <w:pPr>
        <w:spacing w:line="300" w:lineRule="auto"/>
        <w:rPr>
          <w:rFonts w:ascii="华文中宋" w:hAnsi="华文中宋" w:eastAsia="华文中宋" w:cs="华文中宋"/>
          <w:sz w:val="52"/>
          <w:highlight w:val="none"/>
        </w:rPr>
      </w:pPr>
    </w:p>
    <w:p>
      <w:pPr>
        <w:spacing w:line="300" w:lineRule="auto"/>
        <w:rPr>
          <w:rFonts w:ascii="华文中宋" w:hAnsi="华文中宋" w:eastAsia="华文中宋" w:cs="华文中宋"/>
          <w:sz w:val="52"/>
          <w:highlight w:val="none"/>
        </w:rPr>
      </w:pPr>
    </w:p>
    <w:p>
      <w:pPr>
        <w:pStyle w:val="16"/>
        <w:rPr>
          <w:highlight w:val="none"/>
        </w:rPr>
      </w:pPr>
    </w:p>
    <w:p>
      <w:pPr>
        <w:spacing w:line="300" w:lineRule="auto"/>
        <w:rPr>
          <w:rFonts w:ascii="华文中宋" w:hAnsi="华文中宋" w:eastAsia="华文中宋" w:cs="华文中宋"/>
          <w:sz w:val="52"/>
          <w:highlight w:val="none"/>
        </w:rPr>
      </w:pPr>
    </w:p>
    <w:p>
      <w:pPr>
        <w:pStyle w:val="2"/>
        <w:rPr>
          <w:highlight w:val="none"/>
        </w:rPr>
      </w:pPr>
    </w:p>
    <w:p>
      <w:pPr>
        <w:spacing w:line="300" w:lineRule="auto"/>
        <w:ind w:firstLine="1506" w:firstLineChars="500"/>
        <w:outlineLvl w:val="0"/>
        <w:rPr>
          <w:rFonts w:hint="eastAsia" w:ascii="宋体" w:hAnsi="宋体" w:eastAsia="宋体" w:cs="宋体"/>
          <w:b/>
          <w:bCs/>
          <w:sz w:val="30"/>
          <w:szCs w:val="30"/>
          <w:highlight w:val="none"/>
          <w:u w:val="single"/>
        </w:rPr>
      </w:pPr>
      <w:bookmarkStart w:id="0" w:name="_Toc18231"/>
      <w:r>
        <w:rPr>
          <w:rFonts w:hint="eastAsia" w:ascii="宋体" w:hAnsi="宋体" w:eastAsia="宋体" w:cs="宋体"/>
          <w:b/>
          <w:bCs/>
          <w:sz w:val="30"/>
          <w:szCs w:val="30"/>
          <w:highlight w:val="none"/>
        </w:rPr>
        <w:t>招  标 单 位：</w:t>
      </w:r>
      <w:r>
        <w:rPr>
          <w:rFonts w:hint="eastAsia" w:ascii="宋体" w:hAnsi="宋体" w:eastAsia="宋体" w:cs="宋体"/>
          <w:b/>
          <w:bCs/>
          <w:sz w:val="30"/>
          <w:szCs w:val="30"/>
          <w:highlight w:val="none"/>
          <w:u w:val="single"/>
        </w:rPr>
        <w:t>广州市天河区道路扩建工程中心</w:t>
      </w:r>
      <w:bookmarkEnd w:id="0"/>
    </w:p>
    <w:p>
      <w:pPr>
        <w:widowControl/>
        <w:spacing w:line="300" w:lineRule="auto"/>
        <w:ind w:firstLine="1506" w:firstLineChars="500"/>
        <w:jc w:val="left"/>
        <w:rPr>
          <w:rFonts w:hint="eastAsia" w:ascii="宋体" w:hAnsi="宋体" w:eastAsia="宋体" w:cs="宋体"/>
          <w:b/>
          <w:bCs/>
          <w:sz w:val="30"/>
          <w:szCs w:val="30"/>
          <w:highlight w:val="none"/>
          <w:u w:val="single"/>
        </w:rPr>
      </w:pPr>
      <w:r>
        <w:rPr>
          <w:rFonts w:hint="eastAsia" w:ascii="宋体" w:hAnsi="宋体" w:eastAsia="宋体" w:cs="宋体"/>
          <w:b/>
          <w:bCs/>
          <w:sz w:val="30"/>
          <w:szCs w:val="30"/>
          <w:highlight w:val="none"/>
        </w:rPr>
        <w:t>招标代理单位：</w:t>
      </w:r>
      <w:r>
        <w:rPr>
          <w:rFonts w:hint="eastAsia" w:ascii="宋体" w:hAnsi="宋体" w:eastAsia="宋体" w:cs="宋体"/>
          <w:b/>
          <w:bCs/>
          <w:sz w:val="30"/>
          <w:szCs w:val="30"/>
          <w:highlight w:val="none"/>
          <w:u w:val="single"/>
          <w:lang w:eastAsia="zh-CN"/>
        </w:rPr>
        <w:t>永道工程咨询有限公司</w:t>
      </w:r>
    </w:p>
    <w:p>
      <w:pPr>
        <w:widowControl/>
        <w:spacing w:line="300" w:lineRule="auto"/>
        <w:ind w:firstLine="1506" w:firstLineChars="500"/>
        <w:jc w:val="left"/>
        <w:outlineLvl w:val="0"/>
        <w:rPr>
          <w:rFonts w:hint="eastAsia" w:ascii="宋体" w:hAnsi="宋体" w:eastAsia="宋体" w:cs="宋体"/>
          <w:b/>
          <w:bCs/>
          <w:sz w:val="30"/>
          <w:szCs w:val="30"/>
          <w:highlight w:val="none"/>
          <w:u w:val="single"/>
        </w:rPr>
      </w:pPr>
      <w:bookmarkStart w:id="1" w:name="_Toc19183"/>
      <w:r>
        <w:rPr>
          <w:rFonts w:hint="eastAsia" w:ascii="宋体" w:hAnsi="宋体" w:eastAsia="宋体" w:cs="宋体"/>
          <w:b/>
          <w:bCs/>
          <w:sz w:val="30"/>
          <w:szCs w:val="30"/>
          <w:highlight w:val="none"/>
        </w:rPr>
        <w:t>日        期：</w:t>
      </w:r>
      <w:r>
        <w:rPr>
          <w:rFonts w:hint="eastAsia" w:ascii="宋体" w:hAnsi="宋体" w:eastAsia="宋体" w:cs="宋体"/>
          <w:b/>
          <w:bCs/>
          <w:sz w:val="30"/>
          <w:szCs w:val="30"/>
          <w:highlight w:val="none"/>
          <w:u w:val="single"/>
        </w:rPr>
        <w:t>202</w:t>
      </w:r>
      <w:r>
        <w:rPr>
          <w:rFonts w:hint="eastAsia" w:ascii="宋体" w:hAnsi="宋体" w:cs="宋体"/>
          <w:b/>
          <w:bCs/>
          <w:sz w:val="30"/>
          <w:szCs w:val="30"/>
          <w:highlight w:val="none"/>
          <w:u w:val="single"/>
          <w:lang w:val="en-US" w:eastAsia="zh-CN"/>
        </w:rPr>
        <w:t>4</w:t>
      </w:r>
      <w:r>
        <w:rPr>
          <w:rFonts w:hint="eastAsia" w:ascii="宋体" w:hAnsi="宋体" w:eastAsia="宋体" w:cs="宋体"/>
          <w:b/>
          <w:bCs/>
          <w:sz w:val="30"/>
          <w:szCs w:val="30"/>
          <w:highlight w:val="none"/>
          <w:u w:val="single"/>
        </w:rPr>
        <w:t>年</w:t>
      </w:r>
      <w:r>
        <w:rPr>
          <w:rFonts w:hint="eastAsia" w:ascii="宋体" w:hAnsi="宋体" w:cs="宋体"/>
          <w:b/>
          <w:bCs/>
          <w:sz w:val="30"/>
          <w:szCs w:val="30"/>
          <w:highlight w:val="none"/>
          <w:u w:val="single"/>
          <w:lang w:val="en-US" w:eastAsia="zh-CN"/>
        </w:rPr>
        <w:t>4</w:t>
      </w:r>
      <w:r>
        <w:rPr>
          <w:rFonts w:hint="eastAsia" w:ascii="宋体" w:hAnsi="宋体" w:eastAsia="宋体" w:cs="宋体"/>
          <w:b/>
          <w:bCs/>
          <w:sz w:val="30"/>
          <w:szCs w:val="30"/>
          <w:highlight w:val="none"/>
          <w:u w:val="single"/>
        </w:rPr>
        <w:t>月</w:t>
      </w:r>
      <w:bookmarkEnd w:id="1"/>
    </w:p>
    <w:p>
      <w:pPr>
        <w:spacing w:line="360" w:lineRule="auto"/>
        <w:ind w:firstLine="1164" w:firstLineChars="224"/>
        <w:jc w:val="center"/>
        <w:rPr>
          <w:rFonts w:ascii="宋体" w:hAnsi="宋体" w:cs="宋体"/>
          <w:bCs/>
          <w:sz w:val="52"/>
          <w:highlight w:val="none"/>
        </w:rPr>
        <w:sectPr>
          <w:headerReference r:id="rId3" w:type="default"/>
          <w:footerReference r:id="rId4" w:type="default"/>
          <w:pgSz w:w="11905" w:h="16838"/>
          <w:pgMar w:top="1418" w:right="1701" w:bottom="1418" w:left="1701" w:header="851" w:footer="794" w:gutter="0"/>
          <w:pgNumType w:start="1"/>
          <w:cols w:space="720" w:num="1"/>
          <w:docGrid w:type="lines" w:linePitch="312" w:charSpace="0"/>
        </w:sectPr>
      </w:pPr>
    </w:p>
    <w:p>
      <w:pPr>
        <w:spacing w:line="360" w:lineRule="auto"/>
        <w:ind w:firstLine="1164" w:firstLineChars="224"/>
        <w:jc w:val="center"/>
        <w:rPr>
          <w:rFonts w:ascii="宋体" w:hAnsi="宋体" w:cs="宋体"/>
          <w:bCs/>
          <w:sz w:val="52"/>
          <w:highlight w:val="none"/>
        </w:rPr>
      </w:pPr>
      <w:r>
        <w:rPr>
          <w:rFonts w:hint="eastAsia" w:ascii="宋体" w:hAnsi="宋体" w:cs="宋体"/>
          <w:bCs/>
          <w:sz w:val="52"/>
          <w:highlight w:val="none"/>
        </w:rPr>
        <w:t>重要提示</w:t>
      </w:r>
    </w:p>
    <w:p>
      <w:pPr>
        <w:spacing w:line="360" w:lineRule="auto"/>
        <w:ind w:firstLine="537" w:firstLineChars="224"/>
        <w:jc w:val="center"/>
        <w:rPr>
          <w:rFonts w:ascii="宋体" w:hAnsi="宋体" w:cs="宋体"/>
          <w:bCs/>
          <w:sz w:val="24"/>
          <w:highlight w:val="none"/>
        </w:rPr>
      </w:pPr>
    </w:p>
    <w:p>
      <w:pPr>
        <w:spacing w:line="360" w:lineRule="auto"/>
        <w:ind w:firstLine="480" w:firstLineChars="200"/>
        <w:rPr>
          <w:rFonts w:ascii="宋体" w:hAnsi="宋体" w:cs="宋体"/>
          <w:sz w:val="24"/>
          <w:highlight w:val="none"/>
        </w:rPr>
        <w:sectPr>
          <w:footerReference r:id="rId5" w:type="default"/>
          <w:pgSz w:w="11905" w:h="16838"/>
          <w:pgMar w:top="1418" w:right="1701" w:bottom="1418" w:left="1701" w:header="851" w:footer="794" w:gutter="0"/>
          <w:pgNumType w:start="1"/>
          <w:cols w:space="720" w:num="1"/>
          <w:docGrid w:type="lines" w:linePitch="312" w:charSpace="0"/>
        </w:sectPr>
      </w:pPr>
      <w:r>
        <w:rPr>
          <w:rFonts w:hint="eastAsia" w:ascii="宋体" w:hAnsi="宋体" w:cs="宋体"/>
          <w:sz w:val="24"/>
          <w:highlight w:val="none"/>
        </w:rPr>
        <w:t>本项目实施电子招投标，投标人应先认真阅读《房屋建筑和市政基础设施工程全流程电子化项目专章》。</w:t>
      </w:r>
    </w:p>
    <w:p>
      <w:pPr>
        <w:spacing w:line="360" w:lineRule="auto"/>
        <w:jc w:val="center"/>
        <w:rPr>
          <w:sz w:val="32"/>
          <w:szCs w:val="32"/>
          <w:highlight w:val="none"/>
        </w:rPr>
      </w:pPr>
      <w:bookmarkStart w:id="2" w:name="_Toc377719897"/>
      <w:r>
        <w:rPr>
          <w:rFonts w:ascii="宋体" w:hAnsi="宋体"/>
          <w:b/>
          <w:sz w:val="40"/>
          <w:szCs w:val="44"/>
          <w:highlight w:val="none"/>
        </w:rPr>
        <w:t>目录</w:t>
      </w:r>
      <w:r>
        <w:rPr>
          <w:rFonts w:hint="eastAsia"/>
          <w:sz w:val="32"/>
          <w:szCs w:val="32"/>
          <w:highlight w:val="none"/>
        </w:rPr>
        <w:fldChar w:fldCharType="begin"/>
      </w:r>
      <w:r>
        <w:rPr>
          <w:rFonts w:hint="eastAsia"/>
          <w:sz w:val="32"/>
          <w:szCs w:val="32"/>
          <w:highlight w:val="none"/>
        </w:rPr>
        <w:instrText xml:space="preserve">TOC \o "1-1" \h \u </w:instrText>
      </w:r>
      <w:r>
        <w:rPr>
          <w:rFonts w:hint="eastAsia"/>
          <w:sz w:val="32"/>
          <w:szCs w:val="32"/>
          <w:highlight w:val="none"/>
        </w:rPr>
        <w:fldChar w:fldCharType="separate"/>
      </w:r>
    </w:p>
    <w:p>
      <w:pPr>
        <w:pStyle w:val="304"/>
        <w:tabs>
          <w:tab w:val="right" w:leader="dot" w:pos="8503"/>
        </w:tabs>
        <w:spacing w:line="360" w:lineRule="auto"/>
        <w:rPr>
          <w:sz w:val="24"/>
          <w:szCs w:val="24"/>
          <w:highlight w:val="none"/>
        </w:rPr>
      </w:pPr>
      <w:r>
        <w:rPr>
          <w:highlight w:val="none"/>
        </w:rPr>
        <w:fldChar w:fldCharType="begin"/>
      </w:r>
      <w:r>
        <w:rPr>
          <w:highlight w:val="none"/>
        </w:rPr>
        <w:instrText xml:space="preserve"> HYPERLINK \l "_Toc22655" </w:instrText>
      </w:r>
      <w:r>
        <w:rPr>
          <w:highlight w:val="none"/>
        </w:rPr>
        <w:fldChar w:fldCharType="separate"/>
      </w:r>
      <w:r>
        <w:rPr>
          <w:rFonts w:hint="eastAsia" w:ascii="宋体" w:hAnsi="宋体" w:cs="宋体"/>
          <w:sz w:val="24"/>
          <w:szCs w:val="24"/>
          <w:highlight w:val="none"/>
        </w:rPr>
        <w:t>第一章 招标公告</w:t>
      </w:r>
      <w:r>
        <w:rPr>
          <w:sz w:val="24"/>
          <w:szCs w:val="24"/>
          <w:highlight w:val="none"/>
        </w:rPr>
        <w:tab/>
      </w:r>
      <w:r>
        <w:rPr>
          <w:sz w:val="24"/>
          <w:szCs w:val="24"/>
          <w:highlight w:val="none"/>
        </w:rPr>
        <w:fldChar w:fldCharType="begin"/>
      </w:r>
      <w:r>
        <w:rPr>
          <w:sz w:val="24"/>
          <w:szCs w:val="24"/>
          <w:highlight w:val="none"/>
        </w:rPr>
        <w:instrText xml:space="preserve"> PAGEREF _Toc22655 \h </w:instrText>
      </w:r>
      <w:r>
        <w:rPr>
          <w:sz w:val="24"/>
          <w:szCs w:val="24"/>
          <w:highlight w:val="none"/>
        </w:rPr>
        <w:fldChar w:fldCharType="separate"/>
      </w:r>
      <w:r>
        <w:rPr>
          <w:sz w:val="24"/>
          <w:szCs w:val="24"/>
          <w:highlight w:val="none"/>
        </w:rPr>
        <w:t>1</w:t>
      </w:r>
      <w:r>
        <w:rPr>
          <w:sz w:val="24"/>
          <w:szCs w:val="24"/>
          <w:highlight w:val="none"/>
        </w:rPr>
        <w:fldChar w:fldCharType="end"/>
      </w:r>
      <w:r>
        <w:rPr>
          <w:sz w:val="24"/>
          <w:szCs w:val="24"/>
          <w:highlight w:val="none"/>
        </w:rPr>
        <w:fldChar w:fldCharType="end"/>
      </w:r>
    </w:p>
    <w:p>
      <w:pPr>
        <w:pStyle w:val="304"/>
        <w:tabs>
          <w:tab w:val="right" w:leader="dot" w:pos="8503"/>
        </w:tabs>
        <w:spacing w:line="360" w:lineRule="auto"/>
        <w:rPr>
          <w:sz w:val="24"/>
          <w:szCs w:val="24"/>
          <w:highlight w:val="none"/>
        </w:rPr>
      </w:pPr>
      <w:r>
        <w:rPr>
          <w:highlight w:val="none"/>
        </w:rPr>
        <w:fldChar w:fldCharType="begin"/>
      </w:r>
      <w:r>
        <w:rPr>
          <w:highlight w:val="none"/>
        </w:rPr>
        <w:instrText xml:space="preserve"> HYPERLINK \l "_Toc24533" </w:instrText>
      </w:r>
      <w:r>
        <w:rPr>
          <w:highlight w:val="none"/>
        </w:rPr>
        <w:fldChar w:fldCharType="separate"/>
      </w:r>
      <w:r>
        <w:rPr>
          <w:rFonts w:hint="eastAsia" w:ascii="宋体" w:hAnsi="宋体" w:cs="宋体"/>
          <w:sz w:val="24"/>
          <w:szCs w:val="24"/>
          <w:highlight w:val="none"/>
        </w:rPr>
        <w:t>第二章 投标人须知</w:t>
      </w:r>
      <w:r>
        <w:rPr>
          <w:sz w:val="24"/>
          <w:szCs w:val="24"/>
          <w:highlight w:val="none"/>
        </w:rPr>
        <w:tab/>
      </w:r>
      <w:r>
        <w:rPr>
          <w:sz w:val="24"/>
          <w:szCs w:val="24"/>
          <w:highlight w:val="none"/>
        </w:rPr>
        <w:fldChar w:fldCharType="begin"/>
      </w:r>
      <w:r>
        <w:rPr>
          <w:sz w:val="24"/>
          <w:szCs w:val="24"/>
          <w:highlight w:val="none"/>
        </w:rPr>
        <w:instrText xml:space="preserve"> PAGEREF _Toc24533 \h </w:instrText>
      </w:r>
      <w:r>
        <w:rPr>
          <w:sz w:val="24"/>
          <w:szCs w:val="24"/>
          <w:highlight w:val="none"/>
        </w:rPr>
        <w:fldChar w:fldCharType="separate"/>
      </w:r>
      <w:r>
        <w:rPr>
          <w:sz w:val="24"/>
          <w:szCs w:val="24"/>
          <w:highlight w:val="none"/>
        </w:rPr>
        <w:t>2</w:t>
      </w:r>
      <w:r>
        <w:rPr>
          <w:sz w:val="24"/>
          <w:szCs w:val="24"/>
          <w:highlight w:val="none"/>
        </w:rPr>
        <w:fldChar w:fldCharType="end"/>
      </w:r>
      <w:r>
        <w:rPr>
          <w:sz w:val="24"/>
          <w:szCs w:val="24"/>
          <w:highlight w:val="none"/>
        </w:rPr>
        <w:fldChar w:fldCharType="end"/>
      </w:r>
    </w:p>
    <w:p>
      <w:pPr>
        <w:pStyle w:val="304"/>
        <w:tabs>
          <w:tab w:val="right" w:leader="dot" w:pos="8503"/>
        </w:tabs>
        <w:spacing w:line="360" w:lineRule="auto"/>
        <w:rPr>
          <w:sz w:val="24"/>
          <w:szCs w:val="24"/>
          <w:highlight w:val="none"/>
        </w:rPr>
      </w:pPr>
      <w:r>
        <w:rPr>
          <w:highlight w:val="none"/>
        </w:rPr>
        <w:fldChar w:fldCharType="begin"/>
      </w:r>
      <w:r>
        <w:rPr>
          <w:highlight w:val="none"/>
        </w:rPr>
        <w:instrText xml:space="preserve"> HYPERLINK \l "_Toc4273" </w:instrText>
      </w:r>
      <w:r>
        <w:rPr>
          <w:highlight w:val="none"/>
        </w:rPr>
        <w:fldChar w:fldCharType="separate"/>
      </w:r>
      <w:r>
        <w:rPr>
          <w:rFonts w:hint="eastAsia" w:ascii="宋体" w:hAnsi="宋体" w:cs="宋体"/>
          <w:bCs/>
          <w:sz w:val="24"/>
          <w:szCs w:val="56"/>
          <w:highlight w:val="none"/>
        </w:rPr>
        <w:t>第三章 评标办法（综合评分法）</w:t>
      </w:r>
      <w:r>
        <w:rPr>
          <w:sz w:val="24"/>
          <w:szCs w:val="24"/>
          <w:highlight w:val="none"/>
        </w:rPr>
        <w:tab/>
      </w:r>
      <w:r>
        <w:rPr>
          <w:sz w:val="24"/>
          <w:szCs w:val="24"/>
          <w:highlight w:val="none"/>
        </w:rPr>
        <w:fldChar w:fldCharType="begin"/>
      </w:r>
      <w:r>
        <w:rPr>
          <w:sz w:val="24"/>
          <w:szCs w:val="24"/>
          <w:highlight w:val="none"/>
        </w:rPr>
        <w:instrText xml:space="preserve"> PAGEREF _Toc4273 \h </w:instrText>
      </w:r>
      <w:r>
        <w:rPr>
          <w:sz w:val="24"/>
          <w:szCs w:val="24"/>
          <w:highlight w:val="none"/>
        </w:rPr>
        <w:fldChar w:fldCharType="separate"/>
      </w:r>
      <w:r>
        <w:rPr>
          <w:sz w:val="24"/>
          <w:szCs w:val="24"/>
          <w:highlight w:val="none"/>
        </w:rPr>
        <w:t>26</w:t>
      </w:r>
      <w:r>
        <w:rPr>
          <w:sz w:val="24"/>
          <w:szCs w:val="24"/>
          <w:highlight w:val="none"/>
        </w:rPr>
        <w:fldChar w:fldCharType="end"/>
      </w:r>
      <w:r>
        <w:rPr>
          <w:sz w:val="24"/>
          <w:szCs w:val="24"/>
          <w:highlight w:val="none"/>
        </w:rPr>
        <w:fldChar w:fldCharType="end"/>
      </w:r>
    </w:p>
    <w:p>
      <w:pPr>
        <w:pStyle w:val="304"/>
        <w:tabs>
          <w:tab w:val="right" w:leader="dot" w:pos="8503"/>
        </w:tabs>
        <w:spacing w:line="360" w:lineRule="auto"/>
        <w:rPr>
          <w:sz w:val="24"/>
          <w:szCs w:val="24"/>
          <w:highlight w:val="none"/>
        </w:rPr>
      </w:pPr>
      <w:r>
        <w:rPr>
          <w:highlight w:val="none"/>
        </w:rPr>
        <w:fldChar w:fldCharType="begin"/>
      </w:r>
      <w:r>
        <w:rPr>
          <w:highlight w:val="none"/>
        </w:rPr>
        <w:instrText xml:space="preserve"> HYPERLINK \l "_Toc18025" </w:instrText>
      </w:r>
      <w:r>
        <w:rPr>
          <w:highlight w:val="none"/>
        </w:rPr>
        <w:fldChar w:fldCharType="separate"/>
      </w:r>
      <w:r>
        <w:rPr>
          <w:rFonts w:hint="eastAsia" w:ascii="宋体" w:hAnsi="宋体" w:cs="宋体"/>
          <w:bCs/>
          <w:sz w:val="24"/>
          <w:szCs w:val="56"/>
          <w:highlight w:val="none"/>
        </w:rPr>
        <w:t>第四章 合同条款及格式</w:t>
      </w:r>
      <w:r>
        <w:rPr>
          <w:sz w:val="24"/>
          <w:szCs w:val="24"/>
          <w:highlight w:val="none"/>
        </w:rPr>
        <w:tab/>
      </w:r>
      <w:r>
        <w:rPr>
          <w:sz w:val="24"/>
          <w:szCs w:val="24"/>
          <w:highlight w:val="none"/>
        </w:rPr>
        <w:fldChar w:fldCharType="begin"/>
      </w:r>
      <w:r>
        <w:rPr>
          <w:sz w:val="24"/>
          <w:szCs w:val="24"/>
          <w:highlight w:val="none"/>
        </w:rPr>
        <w:instrText xml:space="preserve"> PAGEREF _Toc18025 \h </w:instrText>
      </w:r>
      <w:r>
        <w:rPr>
          <w:sz w:val="24"/>
          <w:szCs w:val="24"/>
          <w:highlight w:val="none"/>
        </w:rPr>
        <w:fldChar w:fldCharType="separate"/>
      </w:r>
      <w:r>
        <w:rPr>
          <w:sz w:val="24"/>
          <w:szCs w:val="24"/>
          <w:highlight w:val="none"/>
        </w:rPr>
        <w:t>36</w:t>
      </w:r>
      <w:r>
        <w:rPr>
          <w:sz w:val="24"/>
          <w:szCs w:val="24"/>
          <w:highlight w:val="none"/>
        </w:rPr>
        <w:fldChar w:fldCharType="end"/>
      </w:r>
      <w:r>
        <w:rPr>
          <w:sz w:val="24"/>
          <w:szCs w:val="24"/>
          <w:highlight w:val="none"/>
        </w:rPr>
        <w:fldChar w:fldCharType="end"/>
      </w:r>
    </w:p>
    <w:p>
      <w:pPr>
        <w:pStyle w:val="304"/>
        <w:tabs>
          <w:tab w:val="right" w:leader="dot" w:pos="8503"/>
        </w:tabs>
        <w:spacing w:line="360" w:lineRule="auto"/>
        <w:rPr>
          <w:sz w:val="24"/>
          <w:szCs w:val="24"/>
          <w:highlight w:val="none"/>
        </w:rPr>
      </w:pPr>
      <w:r>
        <w:rPr>
          <w:highlight w:val="none"/>
        </w:rPr>
        <w:fldChar w:fldCharType="begin"/>
      </w:r>
      <w:r>
        <w:rPr>
          <w:highlight w:val="none"/>
        </w:rPr>
        <w:instrText xml:space="preserve"> HYPERLINK \l "_Toc31688" </w:instrText>
      </w:r>
      <w:r>
        <w:rPr>
          <w:highlight w:val="none"/>
        </w:rPr>
        <w:fldChar w:fldCharType="separate"/>
      </w:r>
      <w:r>
        <w:rPr>
          <w:rFonts w:hint="eastAsia" w:ascii="宋体" w:hAnsi="宋体" w:cs="宋体"/>
          <w:bCs/>
          <w:sz w:val="24"/>
          <w:szCs w:val="56"/>
          <w:highlight w:val="none"/>
        </w:rPr>
        <w:t>第五章 技术要求</w:t>
      </w:r>
      <w:r>
        <w:rPr>
          <w:sz w:val="24"/>
          <w:szCs w:val="24"/>
          <w:highlight w:val="none"/>
        </w:rPr>
        <w:tab/>
      </w:r>
      <w:r>
        <w:rPr>
          <w:sz w:val="24"/>
          <w:szCs w:val="24"/>
          <w:highlight w:val="none"/>
        </w:rPr>
        <w:fldChar w:fldCharType="begin"/>
      </w:r>
      <w:r>
        <w:rPr>
          <w:sz w:val="24"/>
          <w:szCs w:val="24"/>
          <w:highlight w:val="none"/>
        </w:rPr>
        <w:instrText xml:space="preserve"> PAGEREF _Toc31688 \h </w:instrText>
      </w:r>
      <w:r>
        <w:rPr>
          <w:sz w:val="24"/>
          <w:szCs w:val="24"/>
          <w:highlight w:val="none"/>
        </w:rPr>
        <w:fldChar w:fldCharType="separate"/>
      </w:r>
      <w:r>
        <w:rPr>
          <w:sz w:val="24"/>
          <w:szCs w:val="24"/>
          <w:highlight w:val="none"/>
        </w:rPr>
        <w:t>37</w:t>
      </w:r>
      <w:r>
        <w:rPr>
          <w:sz w:val="24"/>
          <w:szCs w:val="24"/>
          <w:highlight w:val="none"/>
        </w:rPr>
        <w:fldChar w:fldCharType="end"/>
      </w:r>
      <w:r>
        <w:rPr>
          <w:sz w:val="24"/>
          <w:szCs w:val="24"/>
          <w:highlight w:val="none"/>
        </w:rPr>
        <w:fldChar w:fldCharType="end"/>
      </w:r>
    </w:p>
    <w:p>
      <w:pPr>
        <w:pStyle w:val="304"/>
        <w:tabs>
          <w:tab w:val="right" w:leader="dot" w:pos="8503"/>
        </w:tabs>
        <w:spacing w:line="360" w:lineRule="auto"/>
        <w:rPr>
          <w:sz w:val="24"/>
          <w:szCs w:val="24"/>
          <w:highlight w:val="none"/>
        </w:rPr>
      </w:pPr>
      <w:r>
        <w:rPr>
          <w:highlight w:val="none"/>
        </w:rPr>
        <w:fldChar w:fldCharType="begin"/>
      </w:r>
      <w:r>
        <w:rPr>
          <w:highlight w:val="none"/>
        </w:rPr>
        <w:instrText xml:space="preserve"> HYPERLINK \l "_Toc7304" </w:instrText>
      </w:r>
      <w:r>
        <w:rPr>
          <w:highlight w:val="none"/>
        </w:rPr>
        <w:fldChar w:fldCharType="separate"/>
      </w:r>
      <w:r>
        <w:rPr>
          <w:rFonts w:hint="eastAsia" w:ascii="宋体" w:hAnsi="宋体" w:cs="宋体"/>
          <w:kern w:val="2"/>
          <w:sz w:val="24"/>
          <w:szCs w:val="24"/>
          <w:highlight w:val="none"/>
        </w:rPr>
        <w:t>第六章 投标文件格式</w:t>
      </w:r>
      <w:r>
        <w:rPr>
          <w:sz w:val="24"/>
          <w:szCs w:val="24"/>
          <w:highlight w:val="none"/>
        </w:rPr>
        <w:tab/>
      </w:r>
      <w:r>
        <w:rPr>
          <w:sz w:val="24"/>
          <w:szCs w:val="24"/>
          <w:highlight w:val="none"/>
        </w:rPr>
        <w:fldChar w:fldCharType="begin"/>
      </w:r>
      <w:r>
        <w:rPr>
          <w:sz w:val="24"/>
          <w:szCs w:val="24"/>
          <w:highlight w:val="none"/>
        </w:rPr>
        <w:instrText xml:space="preserve"> PAGEREF _Toc7304 \h </w:instrText>
      </w:r>
      <w:r>
        <w:rPr>
          <w:sz w:val="24"/>
          <w:szCs w:val="24"/>
          <w:highlight w:val="none"/>
        </w:rPr>
        <w:fldChar w:fldCharType="separate"/>
      </w:r>
      <w:r>
        <w:rPr>
          <w:sz w:val="24"/>
          <w:szCs w:val="24"/>
          <w:highlight w:val="none"/>
        </w:rPr>
        <w:t>40</w:t>
      </w:r>
      <w:r>
        <w:rPr>
          <w:sz w:val="24"/>
          <w:szCs w:val="24"/>
          <w:highlight w:val="none"/>
        </w:rPr>
        <w:fldChar w:fldCharType="end"/>
      </w:r>
      <w:r>
        <w:rPr>
          <w:sz w:val="24"/>
          <w:szCs w:val="24"/>
          <w:highlight w:val="none"/>
        </w:rPr>
        <w:fldChar w:fldCharType="end"/>
      </w:r>
    </w:p>
    <w:p>
      <w:pPr>
        <w:pStyle w:val="304"/>
        <w:tabs>
          <w:tab w:val="right" w:leader="dot" w:pos="8503"/>
        </w:tabs>
        <w:spacing w:line="360" w:lineRule="auto"/>
        <w:rPr>
          <w:sz w:val="24"/>
          <w:szCs w:val="24"/>
          <w:highlight w:val="none"/>
        </w:rPr>
      </w:pPr>
      <w:r>
        <w:rPr>
          <w:highlight w:val="none"/>
        </w:rPr>
        <w:fldChar w:fldCharType="begin"/>
      </w:r>
      <w:r>
        <w:rPr>
          <w:highlight w:val="none"/>
        </w:rPr>
        <w:instrText xml:space="preserve"> HYPERLINK \l "_Toc27232" </w:instrText>
      </w:r>
      <w:r>
        <w:rPr>
          <w:highlight w:val="none"/>
        </w:rPr>
        <w:fldChar w:fldCharType="separate"/>
      </w:r>
      <w:r>
        <w:rPr>
          <w:rFonts w:hint="eastAsia" w:ascii="宋体" w:hAnsi="宋体" w:cs="宋体"/>
          <w:kern w:val="2"/>
          <w:sz w:val="24"/>
          <w:szCs w:val="24"/>
          <w:highlight w:val="none"/>
        </w:rPr>
        <w:t>第七章 工程量清单</w:t>
      </w:r>
      <w:r>
        <w:rPr>
          <w:sz w:val="24"/>
          <w:szCs w:val="24"/>
          <w:highlight w:val="none"/>
        </w:rPr>
        <w:tab/>
      </w:r>
      <w:r>
        <w:rPr>
          <w:sz w:val="24"/>
          <w:szCs w:val="24"/>
          <w:highlight w:val="none"/>
        </w:rPr>
        <w:fldChar w:fldCharType="begin"/>
      </w:r>
      <w:r>
        <w:rPr>
          <w:sz w:val="24"/>
          <w:szCs w:val="24"/>
          <w:highlight w:val="none"/>
        </w:rPr>
        <w:instrText xml:space="preserve"> PAGEREF _Toc27232 \h </w:instrText>
      </w:r>
      <w:r>
        <w:rPr>
          <w:sz w:val="24"/>
          <w:szCs w:val="24"/>
          <w:highlight w:val="none"/>
        </w:rPr>
        <w:fldChar w:fldCharType="separate"/>
      </w:r>
      <w:r>
        <w:rPr>
          <w:sz w:val="24"/>
          <w:szCs w:val="24"/>
          <w:highlight w:val="none"/>
        </w:rPr>
        <w:t>56</w:t>
      </w:r>
      <w:r>
        <w:rPr>
          <w:sz w:val="24"/>
          <w:szCs w:val="24"/>
          <w:highlight w:val="none"/>
        </w:rPr>
        <w:fldChar w:fldCharType="end"/>
      </w:r>
      <w:r>
        <w:rPr>
          <w:sz w:val="24"/>
          <w:szCs w:val="24"/>
          <w:highlight w:val="none"/>
        </w:rPr>
        <w:fldChar w:fldCharType="end"/>
      </w:r>
    </w:p>
    <w:p>
      <w:pPr>
        <w:pStyle w:val="22"/>
        <w:spacing w:line="360" w:lineRule="auto"/>
        <w:rPr>
          <w:sz w:val="32"/>
          <w:szCs w:val="36"/>
          <w:highlight w:val="none"/>
        </w:rPr>
        <w:sectPr>
          <w:footerReference r:id="rId6" w:type="default"/>
          <w:pgSz w:w="11905" w:h="16838"/>
          <w:pgMar w:top="1418" w:right="1701" w:bottom="1418" w:left="1701" w:header="851" w:footer="794" w:gutter="0"/>
          <w:cols w:space="720" w:num="1"/>
          <w:docGrid w:type="lines" w:linePitch="312" w:charSpace="0"/>
        </w:sectPr>
      </w:pPr>
      <w:r>
        <w:rPr>
          <w:rFonts w:hint="eastAsia"/>
          <w:sz w:val="32"/>
          <w:szCs w:val="36"/>
          <w:highlight w:val="none"/>
        </w:rPr>
        <w:fldChar w:fldCharType="end"/>
      </w:r>
    </w:p>
    <w:p>
      <w:pPr>
        <w:pStyle w:val="3"/>
        <w:keepNext w:val="0"/>
        <w:keepLines w:val="0"/>
        <w:spacing w:line="480" w:lineRule="auto"/>
        <w:jc w:val="center"/>
        <w:rPr>
          <w:rFonts w:ascii="宋体" w:hAnsi="宋体" w:eastAsia="宋体" w:cs="宋体"/>
          <w:highlight w:val="none"/>
        </w:rPr>
      </w:pPr>
      <w:bookmarkStart w:id="3" w:name="_Toc525063243"/>
      <w:bookmarkStart w:id="4" w:name="_Toc11832"/>
      <w:bookmarkStart w:id="5" w:name="_Toc17573"/>
      <w:bookmarkStart w:id="6" w:name="_Toc8029"/>
      <w:bookmarkStart w:id="7" w:name="_Toc3857"/>
      <w:bookmarkStart w:id="8" w:name="_Toc532367869"/>
      <w:bookmarkStart w:id="9" w:name="_Toc5050"/>
      <w:bookmarkStart w:id="10" w:name="_Toc22655"/>
      <w:bookmarkStart w:id="11" w:name="_Toc38224835"/>
      <w:bookmarkStart w:id="12" w:name="_Toc18030"/>
      <w:bookmarkStart w:id="13" w:name="_Toc30437"/>
      <w:r>
        <w:rPr>
          <w:rFonts w:hint="eastAsia" w:ascii="宋体" w:hAnsi="宋体" w:eastAsia="宋体" w:cs="宋体"/>
          <w:highlight w:val="none"/>
        </w:rPr>
        <w:t>第一章 招标公告</w:t>
      </w:r>
      <w:bookmarkEnd w:id="3"/>
      <w:bookmarkEnd w:id="4"/>
      <w:bookmarkEnd w:id="5"/>
      <w:bookmarkEnd w:id="6"/>
      <w:bookmarkEnd w:id="7"/>
      <w:bookmarkEnd w:id="8"/>
      <w:bookmarkEnd w:id="9"/>
      <w:bookmarkEnd w:id="10"/>
      <w:bookmarkEnd w:id="11"/>
      <w:bookmarkEnd w:id="12"/>
      <w:bookmarkEnd w:id="13"/>
    </w:p>
    <w:p>
      <w:pPr>
        <w:spacing w:line="480" w:lineRule="auto"/>
        <w:jc w:val="center"/>
        <w:rPr>
          <w:rFonts w:ascii="宋体" w:hAnsi="宋体" w:cs="宋体"/>
          <w:sz w:val="28"/>
          <w:highlight w:val="none"/>
        </w:rPr>
      </w:pPr>
      <w:r>
        <w:rPr>
          <w:rFonts w:hint="eastAsia" w:ascii="宋体" w:hAnsi="宋体" w:cs="宋体"/>
          <w:sz w:val="28"/>
          <w:highlight w:val="none"/>
        </w:rPr>
        <w:t>（另册）</w:t>
      </w:r>
    </w:p>
    <w:p>
      <w:pPr>
        <w:rPr>
          <w:rFonts w:ascii="宋体" w:hAnsi="宋体" w:cs="宋体"/>
          <w:b/>
          <w:bCs/>
          <w:sz w:val="44"/>
          <w:szCs w:val="44"/>
          <w:highlight w:val="none"/>
        </w:rPr>
      </w:pPr>
    </w:p>
    <w:p>
      <w:pPr>
        <w:rPr>
          <w:rFonts w:ascii="宋体" w:hAnsi="宋体" w:cs="宋体"/>
          <w:b/>
          <w:bCs/>
          <w:sz w:val="44"/>
          <w:szCs w:val="44"/>
          <w:highlight w:val="none"/>
        </w:rPr>
        <w:sectPr>
          <w:footerReference r:id="rId7" w:type="default"/>
          <w:pgSz w:w="11905" w:h="16838"/>
          <w:pgMar w:top="1418" w:right="1701" w:bottom="1418" w:left="1701" w:header="851" w:footer="794" w:gutter="0"/>
          <w:pgNumType w:start="1"/>
          <w:cols w:space="720" w:num="1"/>
          <w:docGrid w:type="lines" w:linePitch="312" w:charSpace="0"/>
        </w:sectPr>
      </w:pPr>
    </w:p>
    <w:bookmarkEnd w:id="2"/>
    <w:p>
      <w:pPr>
        <w:pStyle w:val="3"/>
        <w:keepNext w:val="0"/>
        <w:keepLines w:val="0"/>
        <w:jc w:val="center"/>
        <w:rPr>
          <w:rFonts w:ascii="宋体" w:hAnsi="宋体" w:eastAsia="宋体" w:cs="宋体"/>
          <w:highlight w:val="none"/>
        </w:rPr>
      </w:pPr>
      <w:bookmarkStart w:id="14" w:name="_Toc21577"/>
      <w:bookmarkStart w:id="15" w:name="_Toc38224836"/>
      <w:bookmarkStart w:id="16" w:name="_Toc10944"/>
      <w:bookmarkStart w:id="17" w:name="_Toc25508"/>
      <w:bookmarkStart w:id="18" w:name="_Toc525063244"/>
      <w:bookmarkStart w:id="19" w:name="_Toc8572"/>
      <w:bookmarkStart w:id="20" w:name="_Toc17191"/>
      <w:bookmarkStart w:id="21" w:name="_Toc24533"/>
      <w:bookmarkStart w:id="22" w:name="_Toc32023"/>
      <w:bookmarkStart w:id="23" w:name="_Toc532367870"/>
      <w:bookmarkStart w:id="24" w:name="_Toc25716"/>
      <w:r>
        <w:rPr>
          <w:rFonts w:hint="eastAsia" w:ascii="宋体" w:hAnsi="宋体" w:eastAsia="宋体" w:cs="宋体"/>
          <w:highlight w:val="none"/>
        </w:rPr>
        <w:t>第二章 投标人须知</w:t>
      </w:r>
      <w:bookmarkEnd w:id="14"/>
      <w:bookmarkEnd w:id="15"/>
      <w:bookmarkEnd w:id="16"/>
      <w:bookmarkEnd w:id="17"/>
      <w:bookmarkEnd w:id="18"/>
      <w:bookmarkEnd w:id="19"/>
      <w:bookmarkEnd w:id="20"/>
      <w:bookmarkEnd w:id="21"/>
      <w:bookmarkEnd w:id="22"/>
      <w:bookmarkEnd w:id="23"/>
      <w:bookmarkEnd w:id="24"/>
    </w:p>
    <w:p>
      <w:pPr>
        <w:pStyle w:val="4"/>
        <w:keepNext w:val="0"/>
        <w:keepLines w:val="0"/>
        <w:jc w:val="center"/>
        <w:rPr>
          <w:rFonts w:ascii="宋体" w:hAnsi="宋体" w:eastAsia="宋体" w:cs="宋体"/>
          <w:highlight w:val="none"/>
        </w:rPr>
      </w:pPr>
      <w:bookmarkStart w:id="25" w:name="_Toc532367871"/>
      <w:bookmarkStart w:id="26" w:name="_Toc24433"/>
      <w:bookmarkStart w:id="27" w:name="_Toc25608"/>
      <w:bookmarkStart w:id="28" w:name="_Toc16303"/>
      <w:bookmarkStart w:id="29" w:name="_Toc525063245"/>
      <w:bookmarkStart w:id="30" w:name="_Toc32479"/>
      <w:bookmarkStart w:id="31" w:name="_Toc38224837"/>
      <w:bookmarkStart w:id="32" w:name="_Toc390"/>
      <w:bookmarkStart w:id="33" w:name="_Toc25024"/>
      <w:bookmarkStart w:id="34" w:name="_Toc21151"/>
      <w:r>
        <w:rPr>
          <w:rFonts w:hint="eastAsia" w:ascii="宋体" w:hAnsi="宋体" w:eastAsia="宋体" w:cs="宋体"/>
          <w:highlight w:val="none"/>
        </w:rPr>
        <w:t>投标人须知前附表</w:t>
      </w:r>
      <w:bookmarkEnd w:id="25"/>
      <w:bookmarkEnd w:id="26"/>
      <w:bookmarkEnd w:id="27"/>
      <w:bookmarkEnd w:id="28"/>
      <w:bookmarkEnd w:id="29"/>
      <w:bookmarkEnd w:id="30"/>
      <w:bookmarkEnd w:id="31"/>
      <w:bookmarkEnd w:id="32"/>
      <w:bookmarkEnd w:id="33"/>
      <w:bookmarkEnd w:id="34"/>
    </w:p>
    <w:tbl>
      <w:tblPr>
        <w:tblStyle w:val="45"/>
        <w:tblW w:w="1003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59"/>
        <w:gridCol w:w="3118"/>
        <w:gridCol w:w="595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tblHeader/>
          <w:jc w:val="center"/>
        </w:trPr>
        <w:tc>
          <w:tcPr>
            <w:tcW w:w="959" w:type="dxa"/>
            <w:vAlign w:val="center"/>
          </w:tcPr>
          <w:p>
            <w:pPr>
              <w:snapToGrid w:val="0"/>
              <w:spacing w:line="360" w:lineRule="auto"/>
              <w:jc w:val="center"/>
              <w:rPr>
                <w:rFonts w:ascii="宋体" w:hAnsi="宋体" w:cs="宋体"/>
                <w:b/>
                <w:sz w:val="22"/>
                <w:highlight w:val="none"/>
              </w:rPr>
            </w:pPr>
            <w:r>
              <w:rPr>
                <w:rFonts w:hint="eastAsia" w:ascii="宋体" w:hAnsi="宋体" w:cs="宋体"/>
                <w:b/>
                <w:sz w:val="22"/>
                <w:highlight w:val="none"/>
              </w:rPr>
              <w:t>条款号</w:t>
            </w:r>
          </w:p>
        </w:tc>
        <w:tc>
          <w:tcPr>
            <w:tcW w:w="3118" w:type="dxa"/>
            <w:vAlign w:val="center"/>
          </w:tcPr>
          <w:p>
            <w:pPr>
              <w:snapToGrid w:val="0"/>
              <w:spacing w:line="360" w:lineRule="auto"/>
              <w:jc w:val="center"/>
              <w:rPr>
                <w:rFonts w:ascii="宋体" w:hAnsi="宋体" w:cs="宋体"/>
                <w:b/>
                <w:sz w:val="22"/>
                <w:highlight w:val="none"/>
              </w:rPr>
            </w:pPr>
            <w:r>
              <w:rPr>
                <w:rFonts w:hint="eastAsia" w:ascii="宋体" w:hAnsi="宋体" w:cs="宋体"/>
                <w:b/>
                <w:sz w:val="22"/>
                <w:highlight w:val="none"/>
              </w:rPr>
              <w:t>条款名称</w:t>
            </w:r>
          </w:p>
        </w:tc>
        <w:tc>
          <w:tcPr>
            <w:tcW w:w="5954" w:type="dxa"/>
            <w:vAlign w:val="center"/>
          </w:tcPr>
          <w:p>
            <w:pPr>
              <w:snapToGrid w:val="0"/>
              <w:spacing w:line="360" w:lineRule="auto"/>
              <w:jc w:val="center"/>
              <w:rPr>
                <w:rFonts w:ascii="宋体" w:hAnsi="宋体" w:cs="宋体"/>
                <w:b/>
                <w:sz w:val="22"/>
                <w:highlight w:val="none"/>
              </w:rPr>
            </w:pPr>
            <w:r>
              <w:rPr>
                <w:rFonts w:hint="eastAsia" w:ascii="宋体" w:hAnsi="宋体" w:cs="宋体"/>
                <w:b/>
                <w:sz w:val="22"/>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52"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1.1.2</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招标人</w:t>
            </w:r>
          </w:p>
        </w:tc>
        <w:tc>
          <w:tcPr>
            <w:tcW w:w="5954" w:type="dxa"/>
            <w:vAlign w:val="center"/>
          </w:tcPr>
          <w:p>
            <w:pPr>
              <w:widowControl/>
              <w:jc w:val="left"/>
              <w:rPr>
                <w:rFonts w:ascii="宋体" w:hAnsi="宋体" w:cs="宋体"/>
                <w:sz w:val="22"/>
                <w:highlight w:val="none"/>
                <w:u w:val="single"/>
              </w:rPr>
            </w:pPr>
            <w:r>
              <w:rPr>
                <w:rFonts w:hint="eastAsia" w:ascii="宋体" w:hAnsi="宋体" w:cs="宋体"/>
                <w:sz w:val="22"/>
                <w:highlight w:val="none"/>
              </w:rPr>
              <w:t>名称：广州市天河区道路扩建工程中心</w:t>
            </w:r>
          </w:p>
          <w:p>
            <w:pPr>
              <w:snapToGrid w:val="0"/>
              <w:rPr>
                <w:rFonts w:ascii="宋体" w:hAnsi="宋体" w:cs="宋体"/>
                <w:sz w:val="22"/>
                <w:highlight w:val="none"/>
              </w:rPr>
            </w:pPr>
            <w:r>
              <w:rPr>
                <w:rFonts w:hint="eastAsia" w:ascii="宋体" w:hAnsi="宋体" w:cs="宋体"/>
                <w:sz w:val="22"/>
                <w:highlight w:val="none"/>
              </w:rPr>
              <w:t>地址：广州市天河区黄埔大道中166号</w:t>
            </w:r>
            <w:r>
              <w:rPr>
                <w:rFonts w:hint="eastAsia" w:ascii="宋体" w:hAnsi="宋体" w:cs="宋体"/>
                <w:sz w:val="22"/>
                <w:highlight w:val="none"/>
                <w:lang w:val="en-US" w:eastAsia="zh-CN"/>
              </w:rPr>
              <w:t>1</w:t>
            </w:r>
            <w:r>
              <w:rPr>
                <w:rFonts w:hint="eastAsia" w:ascii="宋体" w:hAnsi="宋体" w:cs="宋体"/>
                <w:sz w:val="22"/>
                <w:highlight w:val="none"/>
              </w:rPr>
              <w:t>01室</w:t>
            </w:r>
          </w:p>
          <w:p>
            <w:pPr>
              <w:snapToGrid w:val="0"/>
              <w:rPr>
                <w:rFonts w:ascii="宋体" w:hAnsi="宋体" w:cs="宋体"/>
                <w:sz w:val="22"/>
                <w:highlight w:val="none"/>
              </w:rPr>
            </w:pPr>
            <w:r>
              <w:rPr>
                <w:rFonts w:hint="eastAsia" w:ascii="宋体" w:hAnsi="宋体" w:cs="宋体"/>
                <w:sz w:val="22"/>
                <w:highlight w:val="none"/>
              </w:rPr>
              <w:t>联系人：杨工</w:t>
            </w:r>
          </w:p>
          <w:p>
            <w:pPr>
              <w:rPr>
                <w:rFonts w:ascii="宋体" w:hAnsi="宋体" w:cs="宋体"/>
                <w:sz w:val="22"/>
                <w:highlight w:val="none"/>
              </w:rPr>
            </w:pPr>
            <w:r>
              <w:rPr>
                <w:rFonts w:hint="eastAsia" w:ascii="宋体" w:hAnsi="宋体" w:cs="宋体"/>
                <w:sz w:val="22"/>
                <w:highlight w:val="none"/>
              </w:rPr>
              <w:t>电话：020-38801907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98"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1.1.3</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招标代理机构</w:t>
            </w:r>
          </w:p>
        </w:tc>
        <w:tc>
          <w:tcPr>
            <w:tcW w:w="5954" w:type="dxa"/>
            <w:vAlign w:val="center"/>
          </w:tcPr>
          <w:p>
            <w:pPr>
              <w:snapToGrid w:val="0"/>
              <w:rPr>
                <w:rFonts w:ascii="宋体" w:hAnsi="宋体" w:cs="宋体"/>
                <w:sz w:val="22"/>
                <w:highlight w:val="none"/>
              </w:rPr>
            </w:pPr>
            <w:r>
              <w:rPr>
                <w:rFonts w:hint="eastAsia" w:ascii="宋体" w:hAnsi="宋体" w:cs="宋体"/>
                <w:sz w:val="22"/>
                <w:highlight w:val="none"/>
              </w:rPr>
              <w:t>名称：</w:t>
            </w:r>
            <w:r>
              <w:rPr>
                <w:rFonts w:hint="eastAsia" w:ascii="宋体" w:hAnsi="宋体" w:cs="宋体"/>
                <w:sz w:val="22"/>
                <w:highlight w:val="none"/>
                <w:lang w:eastAsia="zh-CN"/>
              </w:rPr>
              <w:t>永道工程咨询有限公司</w:t>
            </w:r>
          </w:p>
          <w:p>
            <w:pPr>
              <w:snapToGrid w:val="0"/>
              <w:rPr>
                <w:rFonts w:ascii="宋体" w:hAnsi="宋体" w:cs="宋体"/>
                <w:sz w:val="22"/>
                <w:highlight w:val="none"/>
              </w:rPr>
            </w:pPr>
            <w:r>
              <w:rPr>
                <w:rFonts w:hint="eastAsia" w:ascii="宋体" w:hAnsi="宋体" w:cs="宋体"/>
                <w:sz w:val="22"/>
                <w:highlight w:val="none"/>
              </w:rPr>
              <w:t>地址：广州市天河区</w:t>
            </w:r>
            <w:r>
              <w:rPr>
                <w:rFonts w:hint="eastAsia" w:ascii="宋体" w:hAnsi="宋体" w:cs="宋体"/>
                <w:sz w:val="22"/>
                <w:highlight w:val="none"/>
                <w:lang w:val="en-US" w:eastAsia="zh-CN"/>
              </w:rPr>
              <w:t>华强路9号2701、2710房</w:t>
            </w:r>
          </w:p>
          <w:p>
            <w:pPr>
              <w:snapToGrid w:val="0"/>
              <w:rPr>
                <w:rFonts w:ascii="宋体" w:hAnsi="宋体" w:cs="宋体"/>
                <w:sz w:val="22"/>
                <w:highlight w:val="none"/>
              </w:rPr>
            </w:pPr>
            <w:r>
              <w:rPr>
                <w:rFonts w:hint="eastAsia" w:ascii="宋体" w:hAnsi="宋体" w:cs="宋体"/>
                <w:sz w:val="22"/>
                <w:highlight w:val="none"/>
              </w:rPr>
              <w:t>联系人：</w:t>
            </w:r>
            <w:r>
              <w:rPr>
                <w:rFonts w:hint="eastAsia" w:ascii="宋体" w:hAnsi="宋体" w:cs="宋体"/>
                <w:sz w:val="22"/>
                <w:highlight w:val="none"/>
                <w:lang w:val="en-US" w:eastAsia="zh-CN"/>
              </w:rPr>
              <w:t>郑工</w:t>
            </w:r>
          </w:p>
          <w:p>
            <w:pPr>
              <w:snapToGrid w:val="0"/>
              <w:rPr>
                <w:rFonts w:ascii="宋体" w:hAnsi="宋体" w:cs="宋体"/>
                <w:sz w:val="22"/>
                <w:highlight w:val="none"/>
              </w:rPr>
            </w:pPr>
            <w:r>
              <w:rPr>
                <w:rFonts w:hint="eastAsia" w:ascii="宋体" w:hAnsi="宋体" w:cs="宋体"/>
                <w:sz w:val="22"/>
                <w:highlight w:val="none"/>
              </w:rPr>
              <w:t>联系电话：020-38818808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1.1.4</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招标项目名称</w:t>
            </w:r>
          </w:p>
        </w:tc>
        <w:tc>
          <w:tcPr>
            <w:tcW w:w="5954" w:type="dxa"/>
            <w:vAlign w:val="center"/>
          </w:tcPr>
          <w:p>
            <w:pPr>
              <w:rPr>
                <w:rFonts w:ascii="宋体" w:hAnsi="宋体" w:cs="宋体"/>
                <w:sz w:val="22"/>
                <w:highlight w:val="none"/>
              </w:rPr>
            </w:pPr>
            <w:r>
              <w:rPr>
                <w:rFonts w:hint="eastAsia" w:ascii="宋体" w:hAnsi="宋体" w:cs="宋体"/>
                <w:sz w:val="22"/>
                <w:highlight w:val="none"/>
                <w:lang w:val="en-US" w:eastAsia="zh-CN"/>
              </w:rPr>
              <w:t>天坤一路-棠陂路建设工程检测监测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1.1.5</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项目建设地点</w:t>
            </w:r>
          </w:p>
        </w:tc>
        <w:tc>
          <w:tcPr>
            <w:tcW w:w="5954" w:type="dxa"/>
            <w:vAlign w:val="center"/>
          </w:tcPr>
          <w:p>
            <w:pPr>
              <w:snapToGrid w:val="0"/>
              <w:spacing w:line="360" w:lineRule="auto"/>
              <w:jc w:val="left"/>
              <w:rPr>
                <w:rFonts w:ascii="宋体" w:hAnsi="宋体" w:cs="宋体"/>
                <w:sz w:val="22"/>
                <w:highlight w:val="none"/>
              </w:rPr>
            </w:pPr>
            <w:r>
              <w:rPr>
                <w:rFonts w:hint="eastAsia" w:ascii="宋体" w:hAnsi="宋体" w:cs="宋体"/>
                <w:sz w:val="22"/>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1.1.6</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项目建设规模</w:t>
            </w:r>
          </w:p>
        </w:tc>
        <w:tc>
          <w:tcPr>
            <w:tcW w:w="5954" w:type="dxa"/>
          </w:tcPr>
          <w:p>
            <w:pPr>
              <w:snapToGrid w:val="0"/>
              <w:spacing w:line="360" w:lineRule="auto"/>
              <w:ind w:right="106"/>
              <w:jc w:val="left"/>
              <w:rPr>
                <w:rFonts w:ascii="宋体" w:hAnsi="宋体" w:cs="宋体"/>
                <w:sz w:val="22"/>
                <w:highlight w:val="none"/>
              </w:rPr>
            </w:pPr>
            <w:r>
              <w:rPr>
                <w:rFonts w:hint="eastAsia" w:ascii="宋体" w:hAnsi="宋体" w:cs="宋体"/>
                <w:sz w:val="22"/>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94"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1.1.7</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工程项目施工预计开工日期和建设周期</w:t>
            </w:r>
          </w:p>
        </w:tc>
        <w:tc>
          <w:tcPr>
            <w:tcW w:w="5954" w:type="dxa"/>
            <w:vAlign w:val="center"/>
          </w:tcPr>
          <w:p>
            <w:pPr>
              <w:snapToGrid w:val="0"/>
              <w:spacing w:line="360" w:lineRule="auto"/>
              <w:ind w:right="106"/>
              <w:jc w:val="left"/>
              <w:rPr>
                <w:rFonts w:ascii="宋体" w:hAnsi="宋体" w:cs="宋体"/>
                <w:sz w:val="22"/>
                <w:highlight w:val="none"/>
              </w:rPr>
            </w:pPr>
            <w:r>
              <w:rPr>
                <w:rFonts w:hint="eastAsia" w:ascii="宋体" w:hAnsi="宋体" w:cs="宋体"/>
                <w:sz w:val="22"/>
                <w:highlight w:val="none"/>
              </w:rPr>
              <w:t>工程项目预计开工日期：开工时间以招标人通知为准。</w:t>
            </w:r>
          </w:p>
          <w:p>
            <w:pPr>
              <w:snapToGrid w:val="0"/>
              <w:spacing w:line="360" w:lineRule="auto"/>
              <w:ind w:right="106"/>
              <w:jc w:val="left"/>
              <w:rPr>
                <w:rFonts w:ascii="宋体" w:hAnsi="宋体" w:cs="宋体"/>
                <w:sz w:val="22"/>
                <w:highlight w:val="none"/>
              </w:rPr>
            </w:pPr>
            <w:r>
              <w:rPr>
                <w:rFonts w:hint="eastAsia" w:ascii="宋体" w:hAnsi="宋体" w:cs="宋体"/>
                <w:sz w:val="22"/>
                <w:highlight w:val="none"/>
              </w:rPr>
              <w:t>建设周期：以招标人通知为准。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6"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1.1.8</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建筑安装工程费/工程概算</w:t>
            </w:r>
          </w:p>
        </w:tc>
        <w:tc>
          <w:tcPr>
            <w:tcW w:w="5954" w:type="dxa"/>
            <w:vAlign w:val="center"/>
          </w:tcPr>
          <w:p>
            <w:pPr>
              <w:snapToGrid w:val="0"/>
              <w:spacing w:line="360" w:lineRule="auto"/>
              <w:jc w:val="left"/>
              <w:rPr>
                <w:rFonts w:ascii="宋体" w:hAnsi="宋体" w:cs="宋体"/>
                <w:sz w:val="22"/>
                <w:highlight w:val="none"/>
              </w:rPr>
            </w:pPr>
            <w:r>
              <w:rPr>
                <w:rFonts w:hint="eastAsia" w:ascii="宋体" w:hAnsi="宋体" w:cs="宋体"/>
                <w:sz w:val="22"/>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1.2.1</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资金来源及比例</w:t>
            </w:r>
          </w:p>
        </w:tc>
        <w:tc>
          <w:tcPr>
            <w:tcW w:w="5954" w:type="dxa"/>
            <w:vAlign w:val="center"/>
          </w:tcPr>
          <w:p>
            <w:pPr>
              <w:snapToGrid w:val="0"/>
              <w:spacing w:line="360" w:lineRule="auto"/>
              <w:jc w:val="left"/>
              <w:rPr>
                <w:rFonts w:ascii="宋体" w:hAnsi="宋体" w:cs="宋体"/>
                <w:sz w:val="22"/>
                <w:highlight w:val="none"/>
              </w:rPr>
            </w:pPr>
            <w:r>
              <w:rPr>
                <w:rFonts w:hint="eastAsia" w:ascii="宋体" w:hAnsi="宋体" w:cs="宋体"/>
                <w:sz w:val="22"/>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1.2.2</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资金落实情况</w:t>
            </w:r>
          </w:p>
        </w:tc>
        <w:tc>
          <w:tcPr>
            <w:tcW w:w="5954" w:type="dxa"/>
            <w:vAlign w:val="center"/>
          </w:tcPr>
          <w:p>
            <w:pPr>
              <w:snapToGrid w:val="0"/>
              <w:spacing w:line="360" w:lineRule="auto"/>
              <w:jc w:val="left"/>
              <w:rPr>
                <w:rFonts w:ascii="宋体" w:hAnsi="宋体" w:cs="宋体"/>
                <w:sz w:val="22"/>
                <w:highlight w:val="none"/>
              </w:rPr>
            </w:pPr>
            <w:r>
              <w:rPr>
                <w:rFonts w:hint="eastAsia" w:ascii="宋体" w:hAnsi="宋体" w:cs="宋体"/>
                <w:sz w:val="22"/>
                <w:highlight w:val="none"/>
              </w:rPr>
              <w:t>已落实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3"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1.3.1</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招标范围</w:t>
            </w:r>
          </w:p>
        </w:tc>
        <w:tc>
          <w:tcPr>
            <w:tcW w:w="5954" w:type="dxa"/>
          </w:tcPr>
          <w:p>
            <w:pPr>
              <w:snapToGrid w:val="0"/>
              <w:spacing w:line="360" w:lineRule="auto"/>
              <w:ind w:right="106"/>
              <w:jc w:val="left"/>
              <w:rPr>
                <w:rFonts w:ascii="宋体" w:hAnsi="宋体" w:cs="宋体"/>
                <w:sz w:val="22"/>
                <w:highlight w:val="none"/>
              </w:rPr>
            </w:pPr>
            <w:r>
              <w:rPr>
                <w:rFonts w:hint="eastAsia" w:ascii="宋体" w:hAnsi="宋体" w:cs="宋体"/>
                <w:sz w:val="22"/>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7"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1.3.2</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服务期</w:t>
            </w:r>
          </w:p>
        </w:tc>
        <w:tc>
          <w:tcPr>
            <w:tcW w:w="5954" w:type="dxa"/>
          </w:tcPr>
          <w:p>
            <w:pPr>
              <w:rPr>
                <w:rFonts w:ascii="宋体" w:hAnsi="宋体" w:cs="宋体"/>
                <w:sz w:val="22"/>
                <w:highlight w:val="none"/>
              </w:rPr>
            </w:pPr>
            <w:r>
              <w:rPr>
                <w:rFonts w:hint="eastAsia" w:ascii="宋体" w:hAnsi="宋体" w:cs="宋体"/>
                <w:sz w:val="22"/>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1.3.3</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质量标准</w:t>
            </w:r>
          </w:p>
        </w:tc>
        <w:tc>
          <w:tcPr>
            <w:tcW w:w="5954" w:type="dxa"/>
            <w:vAlign w:val="center"/>
          </w:tcPr>
          <w:p>
            <w:pPr>
              <w:pStyle w:val="43"/>
              <w:snapToGrid w:val="0"/>
              <w:spacing w:after="0" w:line="360" w:lineRule="auto"/>
              <w:ind w:firstLine="0"/>
              <w:rPr>
                <w:rFonts w:ascii="宋体" w:hAnsi="宋体" w:cs="宋体"/>
                <w:sz w:val="22"/>
                <w:szCs w:val="22"/>
                <w:highlight w:val="none"/>
              </w:rPr>
            </w:pPr>
            <w:r>
              <w:rPr>
                <w:rFonts w:hint="eastAsia" w:ascii="宋体" w:hAnsi="宋体" w:cs="宋体"/>
                <w:kern w:val="0"/>
                <w:sz w:val="22"/>
                <w:szCs w:val="22"/>
                <w:highlight w:val="none"/>
              </w:rPr>
              <w:t>符合国家及省、市有关检验标准。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3"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1.4.1</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投标人资质条件、能力、信誉</w:t>
            </w:r>
          </w:p>
        </w:tc>
        <w:tc>
          <w:tcPr>
            <w:tcW w:w="5954" w:type="dxa"/>
            <w:vAlign w:val="center"/>
          </w:tcPr>
          <w:p>
            <w:pPr>
              <w:snapToGrid w:val="0"/>
              <w:spacing w:line="360" w:lineRule="auto"/>
              <w:ind w:firstLine="30" w:firstLineChars="14"/>
              <w:rPr>
                <w:rFonts w:ascii="宋体" w:hAnsi="宋体" w:cs="宋体"/>
                <w:sz w:val="22"/>
                <w:highlight w:val="none"/>
              </w:rPr>
            </w:pPr>
            <w:r>
              <w:rPr>
                <w:rFonts w:hint="eastAsia" w:ascii="宋体" w:hAnsi="宋体" w:cs="宋体"/>
                <w:sz w:val="22"/>
                <w:highlight w:val="none"/>
              </w:rPr>
              <w:t>（1）资质要求：详见招标公告投标人资格要求。</w:t>
            </w:r>
          </w:p>
          <w:p>
            <w:pPr>
              <w:snapToGrid w:val="0"/>
              <w:spacing w:line="360" w:lineRule="auto"/>
              <w:ind w:firstLine="30" w:firstLineChars="14"/>
              <w:rPr>
                <w:rFonts w:ascii="宋体" w:hAnsi="宋体" w:cs="宋体"/>
                <w:sz w:val="22"/>
                <w:highlight w:val="none"/>
              </w:rPr>
            </w:pPr>
            <w:r>
              <w:rPr>
                <w:rFonts w:hint="eastAsia" w:ascii="宋体" w:hAnsi="宋体" w:cs="宋体"/>
                <w:sz w:val="22"/>
                <w:highlight w:val="none"/>
              </w:rPr>
              <w:t>（2）财务要求：</w:t>
            </w:r>
            <w:r>
              <w:rPr>
                <w:rFonts w:hint="eastAsia" w:ascii="宋体" w:hAnsi="宋体" w:cs="宋体"/>
                <w:sz w:val="22"/>
                <w:highlight w:val="none"/>
                <w:u w:val="single"/>
              </w:rPr>
              <w:t xml:space="preserve"> / </w:t>
            </w:r>
            <w:r>
              <w:rPr>
                <w:rFonts w:hint="eastAsia" w:ascii="宋体" w:hAnsi="宋体" w:cs="宋体"/>
                <w:sz w:val="22"/>
                <w:highlight w:val="none"/>
              </w:rPr>
              <w:t>（不作为资格审查内容）</w:t>
            </w:r>
          </w:p>
          <w:p>
            <w:pPr>
              <w:snapToGrid w:val="0"/>
              <w:spacing w:line="360" w:lineRule="auto"/>
              <w:ind w:right="106"/>
              <w:rPr>
                <w:rFonts w:ascii="宋体" w:hAnsi="宋体" w:cs="宋体"/>
                <w:sz w:val="22"/>
                <w:highlight w:val="none"/>
              </w:rPr>
            </w:pPr>
            <w:r>
              <w:rPr>
                <w:rFonts w:hint="eastAsia" w:ascii="宋体" w:hAnsi="宋体" w:cs="宋体"/>
                <w:sz w:val="22"/>
                <w:highlight w:val="none"/>
              </w:rPr>
              <w:t>（3）业绩要求：</w:t>
            </w:r>
            <w:r>
              <w:rPr>
                <w:rFonts w:hint="eastAsia" w:ascii="宋体" w:hAnsi="宋体" w:cs="宋体"/>
                <w:sz w:val="22"/>
                <w:highlight w:val="none"/>
                <w:u w:val="single"/>
              </w:rPr>
              <w:t xml:space="preserve"> / </w:t>
            </w:r>
            <w:r>
              <w:rPr>
                <w:rFonts w:hint="eastAsia" w:ascii="宋体" w:hAnsi="宋体" w:cs="宋体"/>
                <w:sz w:val="22"/>
                <w:highlight w:val="none"/>
              </w:rPr>
              <w:t>（不作为资格审查内容）</w:t>
            </w:r>
          </w:p>
          <w:p>
            <w:pPr>
              <w:snapToGrid w:val="0"/>
              <w:spacing w:line="360" w:lineRule="auto"/>
              <w:rPr>
                <w:rFonts w:ascii="宋体" w:hAnsi="宋体" w:cs="宋体"/>
                <w:sz w:val="22"/>
                <w:highlight w:val="none"/>
              </w:rPr>
            </w:pPr>
            <w:r>
              <w:rPr>
                <w:rFonts w:hint="eastAsia" w:ascii="宋体" w:hAnsi="宋体" w:cs="宋体"/>
                <w:sz w:val="22"/>
                <w:highlight w:val="none"/>
              </w:rPr>
              <w:t>（4）信誉要求：</w:t>
            </w:r>
            <w:r>
              <w:rPr>
                <w:rFonts w:hint="eastAsia" w:ascii="宋体" w:hAnsi="宋体" w:cs="宋体"/>
                <w:sz w:val="22"/>
                <w:highlight w:val="none"/>
                <w:u w:val="single"/>
              </w:rPr>
              <w:t xml:space="preserve"> / </w:t>
            </w:r>
            <w:r>
              <w:rPr>
                <w:rFonts w:hint="eastAsia" w:ascii="宋体" w:hAnsi="宋体" w:cs="宋体"/>
                <w:sz w:val="22"/>
                <w:highlight w:val="none"/>
              </w:rPr>
              <w:t>（不作为资格审查内容）</w:t>
            </w:r>
          </w:p>
          <w:p>
            <w:pPr>
              <w:snapToGrid w:val="0"/>
              <w:spacing w:line="360" w:lineRule="auto"/>
              <w:rPr>
                <w:rFonts w:ascii="宋体" w:hAnsi="宋体" w:cs="宋体"/>
                <w:sz w:val="22"/>
                <w:highlight w:val="none"/>
              </w:rPr>
            </w:pPr>
            <w:r>
              <w:rPr>
                <w:rFonts w:hint="eastAsia" w:ascii="宋体" w:hAnsi="宋体" w:cs="宋体"/>
                <w:sz w:val="22"/>
                <w:highlight w:val="none"/>
              </w:rPr>
              <w:t>（5）项目负责人的资格要求：详见招标公告投标人资格要求。</w:t>
            </w:r>
          </w:p>
          <w:p>
            <w:pPr>
              <w:snapToGrid w:val="0"/>
              <w:spacing w:line="360" w:lineRule="auto"/>
              <w:ind w:right="106"/>
              <w:rPr>
                <w:rFonts w:ascii="宋体" w:hAnsi="宋体" w:cs="宋体"/>
                <w:sz w:val="22"/>
                <w:highlight w:val="none"/>
              </w:rPr>
            </w:pPr>
            <w:r>
              <w:rPr>
                <w:rFonts w:hint="eastAsia" w:ascii="宋体" w:hAnsi="宋体" w:cs="宋体"/>
                <w:sz w:val="22"/>
                <w:highlight w:val="none"/>
              </w:rPr>
              <w:t>（6）其他主要人员要求：</w:t>
            </w:r>
            <w:r>
              <w:rPr>
                <w:rFonts w:hint="eastAsia" w:ascii="宋体" w:hAnsi="宋体" w:cs="宋体"/>
                <w:sz w:val="22"/>
                <w:highlight w:val="none"/>
                <w:u w:val="single"/>
              </w:rPr>
              <w:t xml:space="preserve"> / </w:t>
            </w:r>
            <w:r>
              <w:rPr>
                <w:rFonts w:hint="eastAsia" w:ascii="宋体" w:hAnsi="宋体" w:cs="宋体"/>
                <w:sz w:val="22"/>
                <w:highlight w:val="none"/>
              </w:rPr>
              <w:t>（不作为资格审查内容）</w:t>
            </w:r>
          </w:p>
          <w:p>
            <w:pPr>
              <w:snapToGrid w:val="0"/>
              <w:spacing w:line="360" w:lineRule="auto"/>
              <w:rPr>
                <w:rFonts w:ascii="宋体" w:hAnsi="宋体" w:cs="宋体"/>
                <w:sz w:val="22"/>
                <w:highlight w:val="none"/>
              </w:rPr>
            </w:pPr>
            <w:r>
              <w:rPr>
                <w:rFonts w:hint="eastAsia" w:ascii="宋体" w:hAnsi="宋体" w:cs="宋体"/>
                <w:sz w:val="22"/>
                <w:highlight w:val="none"/>
              </w:rPr>
              <w:t>（7）试验检测仪器设备要求：</w:t>
            </w:r>
            <w:r>
              <w:rPr>
                <w:rFonts w:hint="eastAsia" w:ascii="宋体" w:hAnsi="宋体" w:cs="宋体"/>
                <w:sz w:val="22"/>
                <w:highlight w:val="none"/>
                <w:u w:val="single"/>
              </w:rPr>
              <w:t xml:space="preserve"> / </w:t>
            </w:r>
            <w:r>
              <w:rPr>
                <w:rFonts w:hint="eastAsia" w:ascii="宋体" w:hAnsi="宋体" w:cs="宋体"/>
                <w:sz w:val="22"/>
                <w:highlight w:val="none"/>
              </w:rPr>
              <w:t>（不作为资格审查内容）</w:t>
            </w:r>
          </w:p>
          <w:p>
            <w:pPr>
              <w:snapToGrid w:val="0"/>
              <w:spacing w:line="360" w:lineRule="auto"/>
              <w:rPr>
                <w:rFonts w:ascii="宋体" w:hAnsi="宋体" w:cs="宋体"/>
                <w:sz w:val="22"/>
                <w:highlight w:val="none"/>
              </w:rPr>
            </w:pPr>
            <w:r>
              <w:rPr>
                <w:rFonts w:hint="eastAsia" w:ascii="宋体" w:hAnsi="宋体" w:cs="宋体"/>
                <w:sz w:val="22"/>
                <w:highlight w:val="none"/>
              </w:rPr>
              <w:t>（8）其他要求：详见招标公告投标人资格要求。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84"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1.4.2</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是否接受联合体投标</w:t>
            </w:r>
          </w:p>
        </w:tc>
        <w:tc>
          <w:tcPr>
            <w:tcW w:w="5954" w:type="dxa"/>
            <w:vAlign w:val="center"/>
          </w:tcPr>
          <w:p>
            <w:pPr>
              <w:topLinePunct/>
              <w:spacing w:line="360" w:lineRule="auto"/>
              <w:rPr>
                <w:rFonts w:ascii="宋体" w:hAnsi="宋体" w:cs="宋体"/>
                <w:sz w:val="22"/>
                <w:highlight w:val="none"/>
              </w:rPr>
            </w:pPr>
            <w:r>
              <w:rPr>
                <w:rFonts w:hint="eastAsia" w:hAnsi="宋体" w:cs="宋体"/>
                <w:sz w:val="22"/>
                <w:szCs w:val="22"/>
                <w:highlight w:val="none"/>
              </w:rPr>
              <w:t>■</w:t>
            </w:r>
            <w:r>
              <w:rPr>
                <w:rFonts w:hint="eastAsia" w:ascii="宋体" w:hAnsi="宋体" w:cs="宋体"/>
                <w:sz w:val="22"/>
                <w:highlight w:val="none"/>
              </w:rPr>
              <w:t>不接受</w:t>
            </w:r>
          </w:p>
          <w:p>
            <w:pPr>
              <w:topLinePunct/>
              <w:spacing w:line="360" w:lineRule="auto"/>
              <w:rPr>
                <w:rFonts w:ascii="宋体" w:hAnsi="宋体" w:cs="宋体"/>
                <w:sz w:val="22"/>
                <w:highlight w:val="none"/>
              </w:rPr>
            </w:pPr>
            <w:r>
              <w:rPr>
                <w:rFonts w:hint="eastAsia" w:ascii="宋体" w:hAnsi="宋体" w:cs="宋体"/>
                <w:sz w:val="22"/>
                <w:highlight w:val="none"/>
              </w:rPr>
              <w:t>□接受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5"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1.4.3</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投标人不得存在的其他情形</w:t>
            </w:r>
          </w:p>
        </w:tc>
        <w:tc>
          <w:tcPr>
            <w:tcW w:w="5954" w:type="dxa"/>
            <w:vAlign w:val="center"/>
          </w:tcPr>
          <w:p>
            <w:pPr>
              <w:pStyle w:val="244"/>
              <w:ind w:firstLine="0"/>
              <w:rPr>
                <w:rFonts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43"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1.9.1</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踏勘现场</w:t>
            </w:r>
          </w:p>
        </w:tc>
        <w:tc>
          <w:tcPr>
            <w:tcW w:w="5954" w:type="dxa"/>
            <w:vAlign w:val="center"/>
          </w:tcPr>
          <w:p>
            <w:pPr>
              <w:pStyle w:val="15"/>
              <w:topLinePunct/>
              <w:spacing w:line="360" w:lineRule="auto"/>
              <w:rPr>
                <w:rFonts w:hAnsi="宋体" w:cs="宋体"/>
                <w:sz w:val="22"/>
                <w:szCs w:val="22"/>
                <w:highlight w:val="none"/>
              </w:rPr>
            </w:pPr>
            <w:r>
              <w:rPr>
                <w:rFonts w:hint="eastAsia" w:hAnsi="宋体" w:cs="宋体"/>
                <w:sz w:val="22"/>
                <w:szCs w:val="22"/>
                <w:highlight w:val="none"/>
              </w:rPr>
              <w:t>■不组织，</w:t>
            </w:r>
            <w:r>
              <w:rPr>
                <w:rFonts w:hint="eastAsia" w:hAnsi="宋体" w:cs="宋体"/>
                <w:sz w:val="22"/>
                <w:szCs w:val="22"/>
                <w:highlight w:val="none"/>
                <w:u w:val="single"/>
              </w:rPr>
              <w:t>由投标人自行现场考察。</w:t>
            </w:r>
          </w:p>
          <w:p>
            <w:pPr>
              <w:pStyle w:val="15"/>
              <w:topLinePunct/>
              <w:spacing w:line="360" w:lineRule="auto"/>
              <w:rPr>
                <w:rFonts w:hAnsi="宋体" w:cs="宋体"/>
                <w:sz w:val="22"/>
                <w:szCs w:val="22"/>
                <w:highlight w:val="none"/>
              </w:rPr>
            </w:pPr>
            <w:r>
              <w:rPr>
                <w:rFonts w:hint="eastAsia" w:hAnsi="宋体" w:cs="宋体"/>
                <w:sz w:val="22"/>
                <w:szCs w:val="22"/>
                <w:highlight w:val="none"/>
              </w:rPr>
              <w:t>□组织，踏勘时间：</w:t>
            </w:r>
          </w:p>
          <w:p>
            <w:pPr>
              <w:pStyle w:val="15"/>
              <w:topLinePunct/>
              <w:spacing w:line="360" w:lineRule="auto"/>
              <w:ind w:firstLine="880" w:firstLineChars="400"/>
              <w:rPr>
                <w:rFonts w:hAnsi="宋体" w:cs="宋体"/>
                <w:sz w:val="22"/>
                <w:szCs w:val="22"/>
                <w:highlight w:val="none"/>
              </w:rPr>
            </w:pPr>
            <w:r>
              <w:rPr>
                <w:rFonts w:hint="eastAsia" w:hAnsi="宋体" w:cs="宋体"/>
                <w:sz w:val="22"/>
                <w:szCs w:val="22"/>
                <w:highlight w:val="none"/>
              </w:rPr>
              <w:t>踏勘集中地点：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03"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1.10.1</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投标预备会</w:t>
            </w:r>
          </w:p>
        </w:tc>
        <w:tc>
          <w:tcPr>
            <w:tcW w:w="5954" w:type="dxa"/>
            <w:vAlign w:val="center"/>
          </w:tcPr>
          <w:p>
            <w:pPr>
              <w:pStyle w:val="15"/>
              <w:topLinePunct/>
              <w:spacing w:line="360" w:lineRule="auto"/>
              <w:rPr>
                <w:rFonts w:hAnsi="宋体" w:cs="宋体"/>
                <w:sz w:val="22"/>
                <w:szCs w:val="22"/>
                <w:highlight w:val="none"/>
              </w:rPr>
            </w:pPr>
            <w:r>
              <w:rPr>
                <w:rFonts w:hint="eastAsia" w:hAnsi="宋体" w:cs="宋体"/>
                <w:sz w:val="22"/>
                <w:szCs w:val="22"/>
                <w:highlight w:val="none"/>
              </w:rPr>
              <w:t>■不召开</w:t>
            </w:r>
          </w:p>
          <w:p>
            <w:pPr>
              <w:spacing w:line="360" w:lineRule="auto"/>
              <w:rPr>
                <w:rFonts w:ascii="宋体" w:hAnsi="宋体" w:cs="宋体"/>
                <w:sz w:val="22"/>
                <w:highlight w:val="none"/>
              </w:rPr>
            </w:pPr>
            <w:r>
              <w:rPr>
                <w:rFonts w:hint="eastAsia" w:ascii="宋体" w:hAnsi="宋体" w:cs="宋体"/>
                <w:sz w:val="22"/>
                <w:highlight w:val="none"/>
              </w:rPr>
              <w:t>□召开，召开时间：</w:t>
            </w:r>
          </w:p>
          <w:p>
            <w:pPr>
              <w:spacing w:line="360" w:lineRule="auto"/>
              <w:ind w:firstLine="880" w:firstLineChars="400"/>
              <w:rPr>
                <w:rFonts w:ascii="宋体" w:hAnsi="宋体" w:cs="宋体"/>
                <w:sz w:val="22"/>
                <w:highlight w:val="none"/>
              </w:rPr>
            </w:pPr>
            <w:r>
              <w:rPr>
                <w:rFonts w:hint="eastAsia" w:ascii="宋体" w:hAnsi="宋体" w:cs="宋体"/>
                <w:sz w:val="22"/>
                <w:highlight w:val="none"/>
              </w:rPr>
              <w:t>召开地点：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3" w:hRule="atLeast"/>
          <w:jc w:val="center"/>
        </w:trPr>
        <w:tc>
          <w:tcPr>
            <w:tcW w:w="959" w:type="dxa"/>
            <w:vMerge w:val="restart"/>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1.10.2</w:t>
            </w:r>
          </w:p>
        </w:tc>
        <w:tc>
          <w:tcPr>
            <w:tcW w:w="3118" w:type="dxa"/>
            <w:vMerge w:val="restart"/>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投标人在投标预备会前提出问题</w:t>
            </w:r>
          </w:p>
        </w:tc>
        <w:tc>
          <w:tcPr>
            <w:tcW w:w="5954" w:type="dxa"/>
            <w:vAlign w:val="center"/>
          </w:tcPr>
          <w:p>
            <w:pPr>
              <w:snapToGrid w:val="0"/>
              <w:spacing w:line="360" w:lineRule="auto"/>
              <w:rPr>
                <w:rFonts w:ascii="宋体" w:hAnsi="宋体" w:cs="宋体"/>
                <w:sz w:val="22"/>
                <w:highlight w:val="none"/>
              </w:rPr>
            </w:pPr>
            <w:r>
              <w:rPr>
                <w:rFonts w:hint="eastAsia" w:ascii="宋体" w:hAnsi="宋体" w:cs="宋体"/>
                <w:sz w:val="22"/>
                <w:highlight w:val="none"/>
              </w:rPr>
              <w:t>时间：</w:t>
            </w:r>
            <w:r>
              <w:rPr>
                <w:rFonts w:hint="eastAsia" w:ascii="宋体" w:hAnsi="宋体" w:cs="宋体"/>
                <w:sz w:val="22"/>
                <w:highlight w:val="none"/>
                <w:u w:val="single"/>
              </w:rPr>
              <w:t xml:space="preserve"> / </w:t>
            </w:r>
            <w:r>
              <w:rPr>
                <w:rFonts w:hint="eastAsia" w:ascii="宋体" w:hAnsi="宋体" w:cs="宋体"/>
                <w:sz w:val="22"/>
                <w:highlight w:val="none"/>
              </w:rPr>
              <w:t>（本项目不召开投标预备会）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7" w:hRule="atLeast"/>
          <w:jc w:val="center"/>
        </w:trPr>
        <w:tc>
          <w:tcPr>
            <w:tcW w:w="959" w:type="dxa"/>
            <w:vMerge w:val="continue"/>
            <w:vAlign w:val="center"/>
          </w:tcPr>
          <w:p>
            <w:pPr>
              <w:keepNext/>
              <w:keepLines/>
              <w:snapToGrid w:val="0"/>
              <w:spacing w:before="120" w:after="120" w:line="360" w:lineRule="auto"/>
              <w:jc w:val="center"/>
              <w:rPr>
                <w:rFonts w:ascii="宋体" w:hAnsi="宋体" w:cs="宋体"/>
                <w:sz w:val="22"/>
                <w:highlight w:val="none"/>
              </w:rPr>
            </w:pPr>
          </w:p>
        </w:tc>
        <w:tc>
          <w:tcPr>
            <w:tcW w:w="3118" w:type="dxa"/>
            <w:vMerge w:val="continue"/>
            <w:vAlign w:val="center"/>
          </w:tcPr>
          <w:p>
            <w:pPr>
              <w:keepNext/>
              <w:keepLines/>
              <w:snapToGrid w:val="0"/>
              <w:spacing w:before="120" w:after="120" w:line="360" w:lineRule="auto"/>
              <w:jc w:val="center"/>
              <w:rPr>
                <w:rFonts w:ascii="宋体" w:hAnsi="宋体" w:cs="宋体"/>
                <w:sz w:val="22"/>
                <w:highlight w:val="none"/>
              </w:rPr>
            </w:pPr>
          </w:p>
        </w:tc>
        <w:tc>
          <w:tcPr>
            <w:tcW w:w="5954" w:type="dxa"/>
            <w:vAlign w:val="center"/>
          </w:tcPr>
          <w:p>
            <w:pPr>
              <w:snapToGrid w:val="0"/>
              <w:spacing w:line="360" w:lineRule="auto"/>
              <w:rPr>
                <w:rFonts w:ascii="宋体" w:hAnsi="宋体" w:cs="宋体"/>
                <w:sz w:val="22"/>
                <w:highlight w:val="none"/>
              </w:rPr>
            </w:pPr>
            <w:r>
              <w:rPr>
                <w:rFonts w:hint="eastAsia" w:ascii="宋体" w:hAnsi="宋体" w:cs="宋体"/>
                <w:sz w:val="22"/>
                <w:highlight w:val="none"/>
              </w:rPr>
              <w:t>形式：</w:t>
            </w:r>
            <w:r>
              <w:rPr>
                <w:rFonts w:hint="eastAsia" w:ascii="宋体" w:hAnsi="宋体" w:cs="宋体"/>
                <w:sz w:val="22"/>
                <w:highlight w:val="none"/>
                <w:u w:val="single"/>
              </w:rPr>
              <w:t xml:space="preserve"> / </w:t>
            </w:r>
            <w:r>
              <w:rPr>
                <w:rFonts w:hint="eastAsia" w:ascii="宋体" w:hAnsi="宋体" w:cs="宋体"/>
                <w:sz w:val="22"/>
                <w:highlight w:val="none"/>
              </w:rPr>
              <w:t>（本项目不召开投标预备会）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31"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1.10.3</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招标文件澄清发出的形式</w:t>
            </w:r>
          </w:p>
        </w:tc>
        <w:tc>
          <w:tcPr>
            <w:tcW w:w="5954" w:type="dxa"/>
            <w:vAlign w:val="center"/>
          </w:tcPr>
          <w:p>
            <w:pPr>
              <w:snapToGrid w:val="0"/>
              <w:spacing w:line="360" w:lineRule="auto"/>
              <w:rPr>
                <w:rFonts w:ascii="宋体" w:hAnsi="宋体" w:cs="宋体"/>
                <w:sz w:val="22"/>
                <w:highlight w:val="none"/>
                <w:u w:val="single"/>
              </w:rPr>
            </w:pPr>
            <w:r>
              <w:rPr>
                <w:rFonts w:hint="eastAsia" w:ascii="宋体" w:hAnsi="宋体" w:cs="宋体"/>
                <w:sz w:val="22"/>
                <w:highlight w:val="none"/>
                <w:u w:val="single"/>
              </w:rPr>
              <w:t xml:space="preserve">   /  </w:t>
            </w:r>
            <w:r>
              <w:rPr>
                <w:rFonts w:hint="eastAsia" w:ascii="宋体" w:hAnsi="宋体" w:cs="宋体"/>
                <w:sz w:val="22"/>
                <w:highlight w:val="none"/>
              </w:rPr>
              <w:t>（不召开投标预备会，此为投标预备会的答疑澄清）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1.12.1</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实质性要求和条件</w:t>
            </w:r>
          </w:p>
        </w:tc>
        <w:tc>
          <w:tcPr>
            <w:tcW w:w="5954" w:type="dxa"/>
            <w:vAlign w:val="center"/>
          </w:tcPr>
          <w:p>
            <w:pPr>
              <w:pStyle w:val="15"/>
              <w:topLinePunct/>
              <w:snapToGrid w:val="0"/>
              <w:spacing w:line="360" w:lineRule="auto"/>
              <w:rPr>
                <w:rFonts w:hAnsi="宋体" w:cs="宋体"/>
                <w:sz w:val="22"/>
                <w:szCs w:val="22"/>
                <w:highlight w:val="none"/>
              </w:rPr>
            </w:pPr>
            <w:r>
              <w:rPr>
                <w:rFonts w:hint="eastAsia" w:hAnsi="宋体" w:cs="宋体"/>
                <w:sz w:val="22"/>
                <w:szCs w:val="22"/>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34"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1.12.3</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偏差</w:t>
            </w:r>
          </w:p>
        </w:tc>
        <w:tc>
          <w:tcPr>
            <w:tcW w:w="5954" w:type="dxa"/>
          </w:tcPr>
          <w:p>
            <w:pPr>
              <w:spacing w:line="360" w:lineRule="auto"/>
              <w:rPr>
                <w:rFonts w:ascii="宋体" w:hAnsi="宋体" w:cs="宋体"/>
                <w:sz w:val="22"/>
                <w:highlight w:val="none"/>
              </w:rPr>
            </w:pPr>
            <w:r>
              <w:rPr>
                <w:rFonts w:hint="eastAsia" w:ascii="宋体" w:hAnsi="宋体" w:cs="宋体"/>
                <w:sz w:val="22"/>
                <w:highlight w:val="none"/>
              </w:rPr>
              <w:t>■不允许</w:t>
            </w:r>
          </w:p>
          <w:p>
            <w:pPr>
              <w:pStyle w:val="15"/>
              <w:topLinePunct/>
              <w:spacing w:line="360" w:lineRule="auto"/>
              <w:rPr>
                <w:rFonts w:hAnsi="宋体" w:cs="宋体"/>
                <w:sz w:val="22"/>
                <w:szCs w:val="22"/>
                <w:highlight w:val="none"/>
              </w:rPr>
            </w:pPr>
            <w:r>
              <w:rPr>
                <w:rFonts w:hint="eastAsia" w:hAnsi="宋体" w:cs="宋体"/>
                <w:sz w:val="22"/>
                <w:szCs w:val="22"/>
                <w:highlight w:val="none"/>
              </w:rPr>
              <w:t>□允许，偏差范围：</w:t>
            </w:r>
          </w:p>
          <w:p>
            <w:pPr>
              <w:pStyle w:val="15"/>
              <w:topLinePunct/>
              <w:spacing w:line="360" w:lineRule="auto"/>
              <w:ind w:firstLine="880" w:firstLineChars="400"/>
              <w:rPr>
                <w:rFonts w:hAnsi="宋体" w:cs="宋体"/>
                <w:sz w:val="22"/>
                <w:szCs w:val="22"/>
                <w:highlight w:val="none"/>
              </w:rPr>
            </w:pPr>
            <w:r>
              <w:rPr>
                <w:rFonts w:hint="eastAsia" w:hAnsi="宋体" w:cs="宋体"/>
                <w:sz w:val="22"/>
                <w:szCs w:val="22"/>
                <w:highlight w:val="none"/>
              </w:rPr>
              <w:t>偏差幅度：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61"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2.1</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构成招标文件的其他资料</w:t>
            </w:r>
          </w:p>
        </w:tc>
        <w:tc>
          <w:tcPr>
            <w:tcW w:w="5954" w:type="dxa"/>
            <w:vAlign w:val="center"/>
          </w:tcPr>
          <w:p>
            <w:pPr>
              <w:snapToGrid w:val="0"/>
              <w:spacing w:line="360" w:lineRule="auto"/>
              <w:rPr>
                <w:rFonts w:ascii="宋体" w:hAnsi="宋体" w:cs="宋体"/>
                <w:sz w:val="22"/>
                <w:highlight w:val="none"/>
              </w:rPr>
            </w:pPr>
            <w:r>
              <w:rPr>
                <w:rFonts w:hint="eastAsia" w:ascii="宋体" w:hAnsi="宋体" w:cs="宋体"/>
                <w:sz w:val="22"/>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8"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2.2.1</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投标人要求澄清招标文件</w:t>
            </w:r>
          </w:p>
        </w:tc>
        <w:tc>
          <w:tcPr>
            <w:tcW w:w="5954" w:type="dxa"/>
            <w:vAlign w:val="center"/>
          </w:tcPr>
          <w:p>
            <w:pPr>
              <w:spacing w:line="360" w:lineRule="auto"/>
              <w:rPr>
                <w:rFonts w:ascii="宋体" w:hAnsi="宋体" w:cs="宋体"/>
                <w:sz w:val="22"/>
                <w:highlight w:val="none"/>
              </w:rPr>
            </w:pPr>
            <w:r>
              <w:rPr>
                <w:rFonts w:hint="eastAsia" w:ascii="宋体" w:hAnsi="宋体" w:cs="宋体"/>
                <w:sz w:val="22"/>
                <w:highlight w:val="none"/>
              </w:rPr>
              <w:t>时间：投标人在递交投标文件截止时间18天前提出；</w:t>
            </w:r>
          </w:p>
          <w:p>
            <w:pPr>
              <w:spacing w:line="360" w:lineRule="auto"/>
              <w:rPr>
                <w:rFonts w:ascii="宋体" w:hAnsi="宋体" w:cs="宋体"/>
                <w:sz w:val="22"/>
                <w:highlight w:val="none"/>
              </w:rPr>
            </w:pPr>
            <w:r>
              <w:rPr>
                <w:rFonts w:hint="eastAsia" w:ascii="宋体" w:hAnsi="宋体" w:cs="宋体"/>
                <w:sz w:val="22"/>
                <w:highlight w:val="none"/>
              </w:rPr>
              <w:t>形式：招标答疑采用网上答疑方式进行。投标人若对招标文件（包括合同版本、最高投标限价等）有疑问的，可在规定的时间内通过广州公共资源交易中心网站将问题提交给招标人或招标代理人，提交问题时一律不得署名。</w:t>
            </w:r>
          </w:p>
          <w:p>
            <w:pPr>
              <w:spacing w:line="360" w:lineRule="auto"/>
              <w:rPr>
                <w:rFonts w:ascii="宋体" w:hAnsi="宋体" w:cs="宋体"/>
                <w:sz w:val="22"/>
                <w:highlight w:val="none"/>
              </w:rPr>
            </w:pPr>
            <w:r>
              <w:rPr>
                <w:rFonts w:hint="eastAsia" w:ascii="宋体" w:hAnsi="宋体" w:cs="宋体"/>
                <w:sz w:val="22"/>
                <w:highlight w:val="none"/>
              </w:rPr>
              <w:t>网上答疑的操作指南为：登陆广州公共资源交易中心网站-&gt;进入“我是投标人（供应商）”-&gt;“我的投标”-&gt;“招标答疑提问”查询项目并提问。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4"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2.2.2</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招标文件澄清发出的形式</w:t>
            </w:r>
          </w:p>
        </w:tc>
        <w:tc>
          <w:tcPr>
            <w:tcW w:w="5954" w:type="dxa"/>
            <w:vAlign w:val="center"/>
          </w:tcPr>
          <w:p>
            <w:pPr>
              <w:pStyle w:val="43"/>
              <w:snapToGrid w:val="0"/>
              <w:spacing w:after="0" w:line="360" w:lineRule="auto"/>
              <w:ind w:firstLine="0"/>
              <w:rPr>
                <w:rFonts w:ascii="宋体" w:hAnsi="宋体" w:cs="宋体"/>
                <w:sz w:val="22"/>
                <w:szCs w:val="22"/>
                <w:highlight w:val="none"/>
                <w:u w:val="single"/>
              </w:rPr>
            </w:pPr>
            <w:r>
              <w:rPr>
                <w:rFonts w:hint="eastAsia" w:ascii="宋体" w:hAnsi="宋体" w:cs="宋体"/>
                <w:sz w:val="22"/>
                <w:szCs w:val="22"/>
                <w:highlight w:val="none"/>
                <w:u w:val="single"/>
              </w:rPr>
              <w:t>在广州公共资源交易中心网站通过项目“建设工程-项目查询（日程安排、答疑纪要）”专区网上公开发布。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959" w:type="dxa"/>
            <w:vMerge w:val="restart"/>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2.2.3</w:t>
            </w:r>
          </w:p>
        </w:tc>
        <w:tc>
          <w:tcPr>
            <w:tcW w:w="3118" w:type="dxa"/>
            <w:vMerge w:val="restart"/>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投标人确认收到招标文件澄清</w:t>
            </w:r>
          </w:p>
        </w:tc>
        <w:tc>
          <w:tcPr>
            <w:tcW w:w="5954" w:type="dxa"/>
            <w:vAlign w:val="center"/>
          </w:tcPr>
          <w:p>
            <w:pPr>
              <w:spacing w:line="360" w:lineRule="auto"/>
              <w:rPr>
                <w:rFonts w:ascii="宋体" w:hAnsi="宋体" w:cs="宋体"/>
                <w:sz w:val="22"/>
                <w:highlight w:val="none"/>
              </w:rPr>
            </w:pPr>
            <w:r>
              <w:rPr>
                <w:rFonts w:hint="eastAsia" w:ascii="宋体" w:hAnsi="宋体" w:cs="宋体"/>
                <w:sz w:val="22"/>
                <w:highlight w:val="none"/>
              </w:rPr>
              <w:t>时间：</w:t>
            </w:r>
            <w:r>
              <w:rPr>
                <w:rFonts w:hint="eastAsia" w:ascii="宋体" w:hAnsi="宋体" w:cs="宋体"/>
                <w:sz w:val="22"/>
                <w:highlight w:val="none"/>
                <w:u w:val="single"/>
              </w:rPr>
              <w:t>发出即视作收到。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76" w:hRule="atLeast"/>
          <w:jc w:val="center"/>
        </w:trPr>
        <w:tc>
          <w:tcPr>
            <w:tcW w:w="959" w:type="dxa"/>
            <w:vMerge w:val="continue"/>
            <w:vAlign w:val="center"/>
          </w:tcPr>
          <w:p>
            <w:pPr>
              <w:keepNext/>
              <w:keepLines/>
              <w:snapToGrid w:val="0"/>
              <w:spacing w:before="120" w:after="120" w:line="360" w:lineRule="auto"/>
              <w:jc w:val="center"/>
              <w:rPr>
                <w:rFonts w:ascii="宋体" w:hAnsi="宋体" w:cs="宋体"/>
                <w:sz w:val="22"/>
                <w:highlight w:val="none"/>
              </w:rPr>
            </w:pPr>
          </w:p>
        </w:tc>
        <w:tc>
          <w:tcPr>
            <w:tcW w:w="3118" w:type="dxa"/>
            <w:vMerge w:val="continue"/>
            <w:vAlign w:val="center"/>
          </w:tcPr>
          <w:p>
            <w:pPr>
              <w:keepNext/>
              <w:keepLines/>
              <w:snapToGrid w:val="0"/>
              <w:spacing w:before="120" w:after="120" w:line="360" w:lineRule="auto"/>
              <w:jc w:val="center"/>
              <w:rPr>
                <w:rFonts w:ascii="宋体" w:hAnsi="宋体" w:cs="宋体"/>
                <w:sz w:val="22"/>
                <w:highlight w:val="none"/>
              </w:rPr>
            </w:pPr>
          </w:p>
        </w:tc>
        <w:tc>
          <w:tcPr>
            <w:tcW w:w="5954" w:type="dxa"/>
            <w:vAlign w:val="center"/>
          </w:tcPr>
          <w:p>
            <w:pPr>
              <w:spacing w:line="360" w:lineRule="auto"/>
              <w:rPr>
                <w:rFonts w:ascii="宋体" w:hAnsi="宋体" w:cs="宋体"/>
                <w:sz w:val="22"/>
                <w:highlight w:val="none"/>
              </w:rPr>
            </w:pPr>
            <w:r>
              <w:rPr>
                <w:rFonts w:hint="eastAsia" w:ascii="宋体" w:hAnsi="宋体" w:cs="宋体"/>
                <w:sz w:val="22"/>
                <w:highlight w:val="none"/>
              </w:rPr>
              <w:t>形式：</w:t>
            </w:r>
            <w:r>
              <w:rPr>
                <w:rFonts w:hint="eastAsia" w:ascii="宋体" w:hAnsi="宋体" w:cs="宋体"/>
                <w:sz w:val="22"/>
                <w:highlight w:val="none"/>
                <w:u w:val="single"/>
              </w:rPr>
              <w:t>招标文件澄清（招标答疑纪要）一经在广州公共资源交易中心网站发布，视作已发放给所有投标人，无需确认。</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40"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2.3.1</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招标文件修改发出的形式</w:t>
            </w:r>
          </w:p>
        </w:tc>
        <w:tc>
          <w:tcPr>
            <w:tcW w:w="5954" w:type="dxa"/>
            <w:vAlign w:val="center"/>
          </w:tcPr>
          <w:p>
            <w:pPr>
              <w:snapToGrid w:val="0"/>
              <w:spacing w:line="360" w:lineRule="auto"/>
              <w:rPr>
                <w:rFonts w:ascii="宋体" w:hAnsi="宋体" w:cs="宋体"/>
                <w:sz w:val="22"/>
                <w:highlight w:val="none"/>
                <w:u w:val="single"/>
              </w:rPr>
            </w:pPr>
            <w:r>
              <w:rPr>
                <w:rFonts w:hint="eastAsia" w:ascii="宋体" w:hAnsi="宋体" w:cs="宋体"/>
                <w:sz w:val="22"/>
                <w:highlight w:val="none"/>
                <w:u w:val="single"/>
              </w:rPr>
              <w:t>以补充公告或项目答疑澄清的方式在广州公共资源交易中心网站发布。当招标文件的修改在同一内容的表述不一致时，以广州公共资源交易中心网站最后发布的内容为准。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30"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2.3.2</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投标人确认收到招标文件修改</w:t>
            </w:r>
          </w:p>
        </w:tc>
        <w:tc>
          <w:tcPr>
            <w:tcW w:w="5954" w:type="dxa"/>
            <w:vAlign w:val="center"/>
          </w:tcPr>
          <w:p>
            <w:pPr>
              <w:spacing w:line="360" w:lineRule="auto"/>
              <w:rPr>
                <w:rFonts w:ascii="宋体" w:hAnsi="宋体" w:cs="宋体"/>
                <w:sz w:val="22"/>
                <w:highlight w:val="none"/>
              </w:rPr>
            </w:pPr>
            <w:r>
              <w:rPr>
                <w:rFonts w:hint="eastAsia" w:ascii="宋体" w:hAnsi="宋体" w:cs="宋体"/>
                <w:sz w:val="22"/>
                <w:highlight w:val="none"/>
              </w:rPr>
              <w:t>时间：发出即视作收到</w:t>
            </w:r>
          </w:p>
          <w:p>
            <w:pPr>
              <w:spacing w:line="360" w:lineRule="auto"/>
              <w:rPr>
                <w:rFonts w:ascii="宋体" w:hAnsi="宋体" w:cs="宋体"/>
                <w:sz w:val="22"/>
                <w:highlight w:val="none"/>
              </w:rPr>
            </w:pPr>
            <w:r>
              <w:rPr>
                <w:rFonts w:hint="eastAsia" w:ascii="宋体" w:hAnsi="宋体" w:cs="宋体"/>
                <w:sz w:val="22"/>
                <w:highlight w:val="none"/>
              </w:rPr>
              <w:t>形式：招标文件修改一经在广州公共资源交易中心网站发布，视作已发放给所有投标人，无需确认。潜在投标人应自行关注招标公告公布的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7"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3.1.1</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构成投标文件的其他资料</w:t>
            </w:r>
          </w:p>
        </w:tc>
        <w:tc>
          <w:tcPr>
            <w:tcW w:w="5954" w:type="dxa"/>
            <w:vAlign w:val="center"/>
          </w:tcPr>
          <w:p>
            <w:pPr>
              <w:snapToGrid w:val="0"/>
              <w:spacing w:line="360" w:lineRule="auto"/>
              <w:rPr>
                <w:rFonts w:ascii="宋体" w:hAnsi="宋体" w:cs="宋体"/>
                <w:sz w:val="22"/>
                <w:highlight w:val="none"/>
              </w:rPr>
            </w:pPr>
            <w:r>
              <w:rPr>
                <w:rFonts w:hint="eastAsia" w:ascii="宋体" w:hAnsi="宋体" w:cs="宋体"/>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3.2.1</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增值税税金的计算方法</w:t>
            </w:r>
          </w:p>
        </w:tc>
        <w:tc>
          <w:tcPr>
            <w:tcW w:w="5954" w:type="dxa"/>
            <w:vAlign w:val="center"/>
          </w:tcPr>
          <w:p>
            <w:pPr>
              <w:snapToGrid w:val="0"/>
              <w:spacing w:line="360" w:lineRule="auto"/>
              <w:rPr>
                <w:rFonts w:ascii="宋体" w:hAnsi="宋体" w:cs="宋体"/>
                <w:sz w:val="22"/>
                <w:highlight w:val="none"/>
                <w:u w:val="single"/>
              </w:rPr>
            </w:pPr>
            <w:r>
              <w:rPr>
                <w:rFonts w:hint="eastAsia" w:ascii="宋体" w:hAnsi="宋体" w:cs="宋体"/>
                <w:sz w:val="22"/>
                <w:highlight w:val="none"/>
                <w:u w:val="single"/>
              </w:rPr>
              <w:t>按国家税务机关的规定执行。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3.2.3</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报价方式</w:t>
            </w:r>
          </w:p>
        </w:tc>
        <w:tc>
          <w:tcPr>
            <w:tcW w:w="5954" w:type="dxa"/>
            <w:vAlign w:val="center"/>
          </w:tcPr>
          <w:p>
            <w:pPr>
              <w:spacing w:line="360" w:lineRule="auto"/>
              <w:rPr>
                <w:rFonts w:ascii="宋体" w:hAnsi="宋体" w:cs="宋体"/>
                <w:sz w:val="22"/>
                <w:highlight w:val="none"/>
                <w:u w:val="single"/>
              </w:rPr>
            </w:pPr>
            <w:r>
              <w:rPr>
                <w:rFonts w:hint="eastAsia" w:ascii="宋体" w:hAnsi="宋体" w:cs="宋体"/>
                <w:sz w:val="22"/>
                <w:highlight w:val="none"/>
                <w:u w:val="single"/>
              </w:rPr>
              <w:t>（1）投标报价:本项目按投标价进行报价。（若超过最高投标限价视为无效报价，投标文件被视为无效处理。）</w:t>
            </w:r>
          </w:p>
          <w:p>
            <w:pPr>
              <w:spacing w:line="360" w:lineRule="auto"/>
              <w:rPr>
                <w:rFonts w:ascii="宋体" w:hAnsi="宋体" w:cs="宋体"/>
                <w:sz w:val="22"/>
                <w:highlight w:val="none"/>
                <w:u w:val="single"/>
              </w:rPr>
            </w:pPr>
            <w:r>
              <w:rPr>
                <w:rFonts w:hint="eastAsia" w:ascii="宋体" w:hAnsi="宋体" w:cs="宋体"/>
                <w:sz w:val="22"/>
                <w:highlight w:val="none"/>
                <w:u w:val="single"/>
              </w:rPr>
              <w:t>（2）本项目最高投标限价只作为招标的依据，投标价作为签订合同的依据。</w:t>
            </w:r>
          </w:p>
          <w:p>
            <w:pPr>
              <w:spacing w:line="360" w:lineRule="auto"/>
              <w:rPr>
                <w:rFonts w:hint="eastAsia" w:ascii="宋体" w:hAnsi="宋体" w:cs="宋体"/>
                <w:sz w:val="22"/>
                <w:highlight w:val="none"/>
                <w:u w:val="single"/>
              </w:rPr>
            </w:pPr>
            <w:r>
              <w:rPr>
                <w:rFonts w:hint="eastAsia" w:ascii="宋体" w:hAnsi="宋体" w:cs="宋体"/>
                <w:sz w:val="22"/>
                <w:highlight w:val="none"/>
                <w:u w:val="single"/>
              </w:rPr>
              <w:t>（3）最终结算金额以甲方审核确定的结算价为准。如最终结算金额超过合同总价时，按合同总价进行结算。</w:t>
            </w:r>
          </w:p>
          <w:p>
            <w:pPr>
              <w:pStyle w:val="2"/>
              <w:ind w:firstLine="0"/>
              <w:rPr>
                <w:sz w:val="22"/>
                <w:szCs w:val="22"/>
                <w:highlight w:val="none"/>
              </w:rPr>
            </w:pPr>
            <w:r>
              <w:rPr>
                <w:rFonts w:hint="eastAsia" w:ascii="宋体" w:hAnsi="宋体" w:eastAsia="宋体" w:cs="宋体"/>
                <w:sz w:val="22"/>
                <w:szCs w:val="22"/>
                <w:highlight w:val="none"/>
                <w:u w:val="single"/>
                <w:lang w:eastAsia="zh-CN"/>
              </w:rPr>
              <w:t>（</w:t>
            </w:r>
            <w:r>
              <w:rPr>
                <w:rFonts w:hint="eastAsia" w:ascii="宋体" w:hAnsi="宋体" w:cs="宋体"/>
                <w:sz w:val="22"/>
                <w:szCs w:val="22"/>
                <w:highlight w:val="none"/>
                <w:u w:val="single"/>
              </w:rPr>
              <w:t>4）本项目结算款计算方式详见合同条款。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4"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3.2.4</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最高投标限价</w:t>
            </w:r>
          </w:p>
        </w:tc>
        <w:tc>
          <w:tcPr>
            <w:tcW w:w="5954" w:type="dxa"/>
            <w:vAlign w:val="center"/>
          </w:tcPr>
          <w:p>
            <w:pPr>
              <w:spacing w:line="360" w:lineRule="auto"/>
              <w:rPr>
                <w:rFonts w:ascii="宋体" w:hAnsi="宋体" w:cs="宋体"/>
                <w:sz w:val="22"/>
                <w:highlight w:val="none"/>
              </w:rPr>
            </w:pPr>
            <w:r>
              <w:rPr>
                <w:rFonts w:hint="eastAsia" w:ascii="宋体" w:hAnsi="宋体" w:cs="宋体"/>
                <w:sz w:val="22"/>
                <w:highlight w:val="none"/>
              </w:rPr>
              <w:t>□无</w:t>
            </w:r>
          </w:p>
          <w:p>
            <w:pPr>
              <w:spacing w:line="360" w:lineRule="auto"/>
              <w:rPr>
                <w:rFonts w:ascii="宋体" w:hAnsi="宋体" w:cs="宋体"/>
                <w:sz w:val="22"/>
                <w:highlight w:val="none"/>
              </w:rPr>
            </w:pPr>
            <w:r>
              <w:rPr>
                <w:rFonts w:hint="eastAsia" w:ascii="宋体" w:hAnsi="宋体" w:cs="宋体"/>
                <w:sz w:val="22"/>
                <w:highlight w:val="none"/>
              </w:rPr>
              <w:t>■有，最高投标限价：人民币</w:t>
            </w:r>
            <w:r>
              <w:rPr>
                <w:rFonts w:hint="eastAsia" w:ascii="宋体" w:hAnsi="宋体" w:cs="宋体"/>
                <w:sz w:val="22"/>
                <w:highlight w:val="none"/>
                <w:u w:val="single"/>
                <w:lang w:val="en-US" w:eastAsia="zh-CN"/>
              </w:rPr>
              <w:t>323.67</w:t>
            </w:r>
            <w:r>
              <w:rPr>
                <w:rFonts w:hint="eastAsia" w:ascii="宋体" w:hAnsi="宋体" w:cs="宋体"/>
                <w:sz w:val="22"/>
                <w:highlight w:val="none"/>
                <w:u w:val="single"/>
              </w:rPr>
              <w:t>万元</w:t>
            </w:r>
            <w:r>
              <w:rPr>
                <w:rFonts w:hint="eastAsia" w:ascii="宋体" w:hAnsi="宋体" w:cs="宋体"/>
                <w:sz w:val="22"/>
                <w:szCs w:val="22"/>
                <w:highlight w:val="none"/>
                <w:u w:val="single"/>
              </w:rPr>
              <w:t>。投标人总报价超过最高投标限价的投标文件将被拒绝。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3.2.5</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投标报价的其他要求</w:t>
            </w:r>
          </w:p>
        </w:tc>
        <w:tc>
          <w:tcPr>
            <w:tcW w:w="5954" w:type="dxa"/>
            <w:vAlign w:val="center"/>
          </w:tcPr>
          <w:p>
            <w:pPr>
              <w:snapToGrid w:val="0"/>
              <w:spacing w:line="360" w:lineRule="auto"/>
              <w:rPr>
                <w:rFonts w:ascii="宋体" w:hAnsi="宋体" w:cs="宋体"/>
                <w:sz w:val="22"/>
                <w:highlight w:val="none"/>
                <w:u w:val="single"/>
              </w:rPr>
            </w:pPr>
            <w:r>
              <w:rPr>
                <w:rFonts w:hint="eastAsia" w:ascii="宋体" w:hAnsi="宋体" w:cs="宋体"/>
                <w:sz w:val="22"/>
                <w:highlight w:val="none"/>
              </w:rPr>
              <w:t>投标人必须详细审阅全部招标文件,充分考虑职责和义务,全面地理解招标文件对投标报价的要求,并按招标人提出的条件及内容进行报价。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3.3.1</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投标有效期</w:t>
            </w:r>
          </w:p>
        </w:tc>
        <w:tc>
          <w:tcPr>
            <w:tcW w:w="5954" w:type="dxa"/>
            <w:vAlign w:val="center"/>
          </w:tcPr>
          <w:p>
            <w:pPr>
              <w:snapToGrid w:val="0"/>
              <w:spacing w:line="360" w:lineRule="auto"/>
              <w:rPr>
                <w:rFonts w:ascii="宋体" w:hAnsi="宋体" w:cs="宋体"/>
                <w:sz w:val="22"/>
                <w:highlight w:val="none"/>
              </w:rPr>
            </w:pPr>
            <w:r>
              <w:rPr>
                <w:rFonts w:hint="eastAsia" w:ascii="宋体" w:hAnsi="宋体" w:cs="宋体"/>
                <w:sz w:val="22"/>
                <w:highlight w:val="none"/>
                <w:u w:val="single"/>
              </w:rPr>
              <w:t>90</w:t>
            </w:r>
            <w:r>
              <w:rPr>
                <w:rFonts w:hint="eastAsia" w:ascii="宋体" w:hAnsi="宋体" w:cs="宋体"/>
                <w:sz w:val="22"/>
                <w:highlight w:val="none"/>
              </w:rPr>
              <w:t>日历天（从投标截止之日算起）。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21"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3.4.1</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投标保证金</w:t>
            </w:r>
          </w:p>
        </w:tc>
        <w:tc>
          <w:tcPr>
            <w:tcW w:w="5954" w:type="dxa"/>
            <w:vAlign w:val="center"/>
          </w:tcPr>
          <w:p>
            <w:pPr>
              <w:pStyle w:val="15"/>
              <w:topLinePunct/>
              <w:spacing w:line="360" w:lineRule="auto"/>
              <w:rPr>
                <w:rFonts w:hAnsi="宋体" w:cs="宋体"/>
                <w:sz w:val="22"/>
                <w:szCs w:val="22"/>
                <w:highlight w:val="none"/>
              </w:rPr>
            </w:pPr>
            <w:r>
              <w:rPr>
                <w:rFonts w:hint="eastAsia" w:hAnsi="宋体" w:cs="宋体"/>
                <w:sz w:val="22"/>
                <w:szCs w:val="22"/>
                <w:highlight w:val="none"/>
              </w:rPr>
              <w:t>□要求</w:t>
            </w:r>
          </w:p>
          <w:p>
            <w:pPr>
              <w:pStyle w:val="15"/>
              <w:topLinePunct/>
              <w:snapToGrid w:val="0"/>
              <w:spacing w:line="360" w:lineRule="auto"/>
              <w:rPr>
                <w:rFonts w:ascii="Calibri" w:hAnsi="宋体" w:cs="宋体"/>
                <w:sz w:val="22"/>
                <w:szCs w:val="22"/>
                <w:highlight w:val="none"/>
              </w:rPr>
            </w:pPr>
            <w:r>
              <w:rPr>
                <w:rFonts w:hint="eastAsia" w:hAnsi="宋体" w:cs="宋体"/>
                <w:sz w:val="22"/>
                <w:szCs w:val="22"/>
                <w:highlight w:val="none"/>
              </w:rPr>
              <w:t>■不要求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64"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3.4.4</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其他可以不予退还投标保证金的情形</w:t>
            </w:r>
          </w:p>
        </w:tc>
        <w:tc>
          <w:tcPr>
            <w:tcW w:w="5954" w:type="dxa"/>
            <w:vAlign w:val="center"/>
          </w:tcPr>
          <w:p>
            <w:pPr>
              <w:spacing w:line="360" w:lineRule="auto"/>
              <w:rPr>
                <w:rFonts w:ascii="宋体" w:hAnsi="宋体" w:cs="宋体"/>
                <w:sz w:val="22"/>
                <w:highlight w:val="none"/>
                <w:u w:val="single"/>
              </w:rPr>
            </w:pPr>
            <w:r>
              <w:rPr>
                <w:rFonts w:hint="eastAsia" w:ascii="宋体" w:hAnsi="宋体" w:cs="宋体"/>
                <w:sz w:val="22"/>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1"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3.5</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资格审查资料的特殊要求</w:t>
            </w:r>
          </w:p>
        </w:tc>
        <w:tc>
          <w:tcPr>
            <w:tcW w:w="5954" w:type="dxa"/>
            <w:vAlign w:val="center"/>
          </w:tcPr>
          <w:p>
            <w:pPr>
              <w:pStyle w:val="15"/>
              <w:topLinePunct/>
              <w:rPr>
                <w:rFonts w:hAnsi="宋体" w:cs="宋体"/>
                <w:sz w:val="22"/>
                <w:szCs w:val="22"/>
                <w:highlight w:val="none"/>
              </w:rPr>
            </w:pPr>
            <w:r>
              <w:rPr>
                <w:rFonts w:hint="eastAsia" w:hAnsi="宋体" w:cs="宋体"/>
                <w:sz w:val="22"/>
                <w:szCs w:val="22"/>
                <w:highlight w:val="none"/>
              </w:rPr>
              <w:t>■无</w:t>
            </w:r>
          </w:p>
          <w:p>
            <w:pPr>
              <w:pStyle w:val="15"/>
              <w:topLinePunct/>
              <w:rPr>
                <w:rFonts w:hAnsi="宋体" w:cs="宋体"/>
                <w:sz w:val="22"/>
                <w:szCs w:val="22"/>
                <w:highlight w:val="none"/>
              </w:rPr>
            </w:pPr>
            <w:r>
              <w:rPr>
                <w:rFonts w:hint="eastAsia" w:hAnsi="宋体" w:cs="宋体"/>
                <w:sz w:val="22"/>
                <w:szCs w:val="22"/>
                <w:highlight w:val="none"/>
              </w:rPr>
              <w:t>□有，具体要求：/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3.5.2</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近年财务状况的年份要求</w:t>
            </w:r>
          </w:p>
        </w:tc>
        <w:tc>
          <w:tcPr>
            <w:tcW w:w="5954" w:type="dxa"/>
            <w:vAlign w:val="center"/>
          </w:tcPr>
          <w:p>
            <w:pPr>
              <w:snapToGrid w:val="0"/>
              <w:spacing w:line="360" w:lineRule="auto"/>
              <w:rPr>
                <w:rFonts w:ascii="宋体" w:hAnsi="宋体" w:cs="宋体"/>
                <w:sz w:val="22"/>
                <w:highlight w:val="none"/>
                <w:u w:val="single"/>
              </w:rPr>
            </w:pPr>
            <w:r>
              <w:rPr>
                <w:rFonts w:hint="eastAsia" w:ascii="宋体" w:hAnsi="宋体" w:cs="宋体"/>
                <w:sz w:val="22"/>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0"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3.5.3</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近年完成的类似项目情况的时间要求</w:t>
            </w:r>
          </w:p>
        </w:tc>
        <w:tc>
          <w:tcPr>
            <w:tcW w:w="5954" w:type="dxa"/>
            <w:vAlign w:val="center"/>
          </w:tcPr>
          <w:p>
            <w:pPr>
              <w:snapToGrid w:val="0"/>
              <w:spacing w:line="360" w:lineRule="auto"/>
              <w:rPr>
                <w:rFonts w:ascii="宋体" w:hAnsi="宋体" w:cs="宋体"/>
                <w:sz w:val="22"/>
                <w:highlight w:val="none"/>
                <w:u w:val="single"/>
              </w:rPr>
            </w:pPr>
            <w:r>
              <w:rPr>
                <w:rFonts w:hint="eastAsia" w:ascii="宋体" w:hAnsi="宋体" w:cs="宋体"/>
                <w:sz w:val="22"/>
                <w:highlight w:val="none"/>
                <w:u w:val="single"/>
              </w:rPr>
              <w:t xml:space="preserve"> / </w:t>
            </w:r>
            <w:r>
              <w:rPr>
                <w:rFonts w:hint="eastAsia" w:ascii="宋体" w:hAnsi="宋体" w:cs="宋体"/>
                <w:sz w:val="2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3.5.5</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近年发生的诉讼及仲裁情况的时间要求</w:t>
            </w:r>
          </w:p>
        </w:tc>
        <w:tc>
          <w:tcPr>
            <w:tcW w:w="5954" w:type="dxa"/>
            <w:vAlign w:val="center"/>
          </w:tcPr>
          <w:p>
            <w:pPr>
              <w:snapToGrid w:val="0"/>
              <w:spacing w:line="360" w:lineRule="auto"/>
              <w:rPr>
                <w:rFonts w:ascii="宋体" w:hAnsi="宋体" w:cs="宋体"/>
                <w:sz w:val="22"/>
                <w:highlight w:val="none"/>
              </w:rPr>
            </w:pPr>
            <w:r>
              <w:rPr>
                <w:rFonts w:hint="eastAsia" w:ascii="宋体" w:hAnsi="宋体" w:cs="宋体"/>
                <w:sz w:val="22"/>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3.6.1</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是否允许递交备选投标方案</w:t>
            </w:r>
          </w:p>
        </w:tc>
        <w:tc>
          <w:tcPr>
            <w:tcW w:w="5954" w:type="dxa"/>
            <w:vAlign w:val="center"/>
          </w:tcPr>
          <w:p>
            <w:pPr>
              <w:pStyle w:val="15"/>
              <w:topLinePunct/>
              <w:spacing w:line="360" w:lineRule="auto"/>
              <w:rPr>
                <w:rFonts w:hAnsi="宋体" w:cs="宋体"/>
                <w:sz w:val="22"/>
                <w:szCs w:val="22"/>
                <w:highlight w:val="none"/>
              </w:rPr>
            </w:pPr>
            <w:r>
              <w:rPr>
                <w:rFonts w:hint="eastAsia" w:hAnsi="宋体" w:cs="宋体"/>
                <w:sz w:val="22"/>
                <w:szCs w:val="22"/>
                <w:highlight w:val="none"/>
              </w:rPr>
              <w:t>■不允许</w:t>
            </w:r>
          </w:p>
          <w:p>
            <w:pPr>
              <w:spacing w:line="360" w:lineRule="auto"/>
              <w:rPr>
                <w:rFonts w:ascii="宋体" w:hAnsi="宋体" w:cs="宋体"/>
                <w:sz w:val="22"/>
                <w:highlight w:val="none"/>
              </w:rPr>
            </w:pPr>
            <w:r>
              <w:rPr>
                <w:rFonts w:hint="eastAsia" w:ascii="宋体" w:hAnsi="宋体" w:cs="宋体"/>
                <w:sz w:val="22"/>
                <w:highlight w:val="none"/>
              </w:rPr>
              <w:t>□允许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3" w:hRule="atLeast"/>
          <w:jc w:val="center"/>
        </w:trPr>
        <w:tc>
          <w:tcPr>
            <w:tcW w:w="959" w:type="dxa"/>
            <w:vAlign w:val="center"/>
          </w:tcPr>
          <w:p>
            <w:pPr>
              <w:spacing w:line="360" w:lineRule="auto"/>
              <w:jc w:val="center"/>
              <w:rPr>
                <w:rFonts w:ascii="宋体" w:hAnsi="宋体" w:cs="宋体"/>
                <w:sz w:val="22"/>
                <w:highlight w:val="none"/>
              </w:rPr>
            </w:pPr>
            <w:r>
              <w:rPr>
                <w:rFonts w:hint="eastAsia" w:ascii="宋体" w:hAnsi="宋体" w:cs="宋体"/>
                <w:sz w:val="22"/>
                <w:highlight w:val="none"/>
              </w:rPr>
              <w:t>3.7.3</w:t>
            </w:r>
          </w:p>
        </w:tc>
        <w:tc>
          <w:tcPr>
            <w:tcW w:w="3118" w:type="dxa"/>
            <w:vAlign w:val="center"/>
          </w:tcPr>
          <w:p>
            <w:pPr>
              <w:spacing w:line="360" w:lineRule="auto"/>
              <w:jc w:val="center"/>
              <w:rPr>
                <w:rFonts w:ascii="宋体" w:hAnsi="宋体" w:cs="宋体"/>
                <w:sz w:val="22"/>
                <w:highlight w:val="none"/>
              </w:rPr>
            </w:pPr>
            <w:r>
              <w:rPr>
                <w:rFonts w:hint="eastAsia" w:ascii="宋体" w:hAnsi="宋体" w:cs="宋体"/>
                <w:sz w:val="22"/>
                <w:highlight w:val="none"/>
              </w:rPr>
              <w:t>投标文件所附证书证件要求</w:t>
            </w:r>
          </w:p>
        </w:tc>
        <w:tc>
          <w:tcPr>
            <w:tcW w:w="5954" w:type="dxa"/>
            <w:vAlign w:val="center"/>
          </w:tcPr>
          <w:p>
            <w:pPr>
              <w:pStyle w:val="15"/>
              <w:rPr>
                <w:rFonts w:hAnsi="宋体" w:cs="宋体"/>
                <w:sz w:val="22"/>
                <w:szCs w:val="22"/>
                <w:highlight w:val="none"/>
              </w:rPr>
            </w:pPr>
            <w:r>
              <w:rPr>
                <w:rFonts w:hint="eastAsia" w:hAnsi="宋体" w:cs="宋体"/>
                <w:sz w:val="22"/>
                <w:szCs w:val="22"/>
                <w:highlight w:val="none"/>
              </w:rPr>
              <w:t>证书证件需为原件清晰扫描件，并采用单位数字证书，按照招标文件要求在相应位置加盖电子印章。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35"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3.7.3</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投标文件签字或盖章要求</w:t>
            </w:r>
          </w:p>
        </w:tc>
        <w:tc>
          <w:tcPr>
            <w:tcW w:w="5954" w:type="dxa"/>
            <w:vAlign w:val="center"/>
          </w:tcPr>
          <w:p>
            <w:pPr>
              <w:pStyle w:val="55"/>
              <w:topLinePunct/>
              <w:adjustRightInd w:val="0"/>
              <w:snapToGrid w:val="0"/>
              <w:spacing w:line="320" w:lineRule="atLeast"/>
              <w:jc w:val="left"/>
              <w:rPr>
                <w:rFonts w:hAnsi="宋体" w:cs="宋体"/>
                <w:sz w:val="22"/>
                <w:szCs w:val="22"/>
                <w:highlight w:val="none"/>
                <w:u w:val="single"/>
              </w:rPr>
            </w:pPr>
            <w:r>
              <w:rPr>
                <w:rFonts w:hint="eastAsia" w:ascii="宋体" w:hAnsi="宋体" w:eastAsia="宋体" w:cs="宋体"/>
                <w:kern w:val="2"/>
                <w:sz w:val="22"/>
                <w:szCs w:val="22"/>
                <w:highlight w:val="none"/>
                <w:lang w:val="en-US" w:eastAsia="zh-CN" w:bidi="ar-SA"/>
              </w:rPr>
              <w:t>取消在招标文件中采用个人数字证书和加盖个人电子印章要求，投标文件中需法定代表人、代理人签字或加盖电子印章的，应加盖个人电子印章或在线下完成后扫描上传。投标文件按招标文件要求加盖单位电子印章。相关操作详见广州公共资源交易中心网站最新发布的</w:t>
            </w:r>
            <w:r>
              <w:rPr>
                <w:rFonts w:hint="eastAsia" w:ascii="宋体" w:hAnsi="宋体" w:cs="宋体"/>
                <w:kern w:val="2"/>
                <w:sz w:val="22"/>
                <w:szCs w:val="22"/>
                <w:highlight w:val="none"/>
                <w:lang w:val="en-US" w:eastAsia="zh-CN" w:bidi="ar-SA"/>
              </w:rPr>
              <w:t>操作指引</w:t>
            </w:r>
            <w:r>
              <w:rPr>
                <w:rFonts w:hint="eastAsia" w:ascii="宋体" w:hAnsi="宋体" w:eastAsia="宋体" w:cs="宋体"/>
                <w:kern w:val="2"/>
                <w:sz w:val="22"/>
                <w:szCs w:val="22"/>
                <w:highlight w:val="none"/>
                <w:lang w:val="en-US" w:eastAsia="zh-CN" w:bidi="ar-SA"/>
              </w:rPr>
              <w:t>。</w:t>
            </w:r>
            <w:r>
              <w:rPr>
                <w:rFonts w:hint="eastAsia" w:hAnsi="宋体" w:cs="宋体"/>
                <w:b/>
                <w:szCs w:val="21"/>
                <w:highlight w:val="none"/>
                <w:u w:val="single"/>
              </w:rPr>
              <w:t>联合体投标时，除“联合体共同投标协议”需由联合体各方分别按要求进行签字或盖章外，其他资料若需要签字或盖章的均可由联合体牵头人（主办方）签字或盖章即可；投标资料封面及其他内容及落款中的“投标人”应填写联合体各方的单位全称【格式示例为：（主）单位全称（成）单位全称】，由联合体主办方按要求签字或盖章即可。电子签章由主办方进行签章即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4.1.1</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投标文件加密要求</w:t>
            </w:r>
          </w:p>
        </w:tc>
        <w:tc>
          <w:tcPr>
            <w:tcW w:w="5954" w:type="dxa"/>
            <w:vAlign w:val="center"/>
          </w:tcPr>
          <w:p>
            <w:pPr>
              <w:pStyle w:val="15"/>
              <w:topLinePunct/>
              <w:snapToGrid w:val="0"/>
              <w:spacing w:line="360" w:lineRule="auto"/>
              <w:rPr>
                <w:rFonts w:hAnsi="宋体" w:cs="宋体"/>
                <w:sz w:val="22"/>
                <w:szCs w:val="22"/>
                <w:highlight w:val="none"/>
                <w:u w:val="single"/>
              </w:rPr>
            </w:pPr>
            <w:r>
              <w:rPr>
                <w:rFonts w:hint="eastAsia" w:hAnsi="宋体" w:cs="宋体"/>
                <w:sz w:val="22"/>
                <w:szCs w:val="22"/>
                <w:highlight w:val="none"/>
              </w:rPr>
              <w:t>网上递交的电子投标文件须进行加密。具体操作详见广州公共资源交易中心网站最新发布的最新指引。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8"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4.1.2</w:t>
            </w:r>
          </w:p>
        </w:tc>
        <w:tc>
          <w:tcPr>
            <w:tcW w:w="3118" w:type="dxa"/>
            <w:vAlign w:val="center"/>
          </w:tcPr>
          <w:p>
            <w:pPr>
              <w:snapToGrid w:val="0"/>
              <w:spacing w:line="360" w:lineRule="auto"/>
              <w:jc w:val="center"/>
              <w:rPr>
                <w:rFonts w:ascii="宋体" w:hAnsi="宋体" w:cs="宋体"/>
                <w:sz w:val="22"/>
                <w:highlight w:val="none"/>
                <w:shd w:val="clear" w:color="FFFFFF" w:fill="D9D9D9"/>
              </w:rPr>
            </w:pPr>
            <w:r>
              <w:rPr>
                <w:rFonts w:hint="eastAsia" w:ascii="宋体" w:hAnsi="宋体" w:cs="宋体"/>
                <w:sz w:val="22"/>
                <w:highlight w:val="none"/>
              </w:rPr>
              <w:t>封套上应载明的信息</w:t>
            </w:r>
          </w:p>
        </w:tc>
        <w:tc>
          <w:tcPr>
            <w:tcW w:w="5954" w:type="dxa"/>
            <w:vAlign w:val="center"/>
          </w:tcPr>
          <w:p>
            <w:pPr>
              <w:pStyle w:val="15"/>
              <w:topLinePunct/>
              <w:snapToGrid w:val="0"/>
              <w:spacing w:line="276" w:lineRule="auto"/>
              <w:rPr>
                <w:rFonts w:hAnsi="宋体"/>
                <w:sz w:val="22"/>
                <w:szCs w:val="22"/>
                <w:highlight w:val="none"/>
              </w:rPr>
            </w:pPr>
            <w:r>
              <w:rPr>
                <w:rFonts w:hint="eastAsia" w:hAnsi="宋体"/>
                <w:sz w:val="22"/>
                <w:szCs w:val="22"/>
                <w:highlight w:val="none"/>
              </w:rPr>
              <w:t>如有提交投标文件光盘备用，封套上应注明如下信息：</w:t>
            </w:r>
          </w:p>
          <w:p>
            <w:pPr>
              <w:pStyle w:val="15"/>
              <w:topLinePunct/>
              <w:snapToGrid w:val="0"/>
              <w:spacing w:line="276" w:lineRule="auto"/>
              <w:rPr>
                <w:rFonts w:hAnsi="宋体"/>
                <w:sz w:val="22"/>
                <w:szCs w:val="22"/>
                <w:highlight w:val="none"/>
              </w:rPr>
            </w:pPr>
            <w:r>
              <w:rPr>
                <w:rFonts w:hint="eastAsia" w:hAnsi="宋体"/>
                <w:sz w:val="22"/>
                <w:szCs w:val="22"/>
                <w:highlight w:val="none"/>
              </w:rPr>
              <w:t>招标人名称：</w:t>
            </w:r>
            <w:r>
              <w:rPr>
                <w:rFonts w:hint="eastAsia" w:hAnsi="宋体"/>
                <w:sz w:val="22"/>
                <w:szCs w:val="22"/>
                <w:highlight w:val="none"/>
                <w:u w:val="single"/>
              </w:rPr>
              <w:t>广州市天河区道路扩建工程中心</w:t>
            </w:r>
          </w:p>
          <w:p>
            <w:pPr>
              <w:pStyle w:val="15"/>
              <w:topLinePunct/>
              <w:snapToGrid w:val="0"/>
              <w:spacing w:line="276" w:lineRule="auto"/>
              <w:rPr>
                <w:rFonts w:hAnsi="宋体"/>
                <w:sz w:val="22"/>
                <w:szCs w:val="22"/>
                <w:highlight w:val="none"/>
              </w:rPr>
            </w:pPr>
            <w:r>
              <w:rPr>
                <w:rFonts w:hint="eastAsia" w:hAnsi="宋体"/>
                <w:sz w:val="22"/>
                <w:szCs w:val="22"/>
                <w:highlight w:val="none"/>
              </w:rPr>
              <w:t>招标人地址：</w:t>
            </w:r>
            <w:r>
              <w:rPr>
                <w:rFonts w:hint="eastAsia" w:hAnsi="宋体" w:cs="宋体"/>
                <w:color w:val="000000"/>
                <w:highlight w:val="none"/>
                <w:u w:val="single"/>
                <w:lang w:bidi="ar"/>
              </w:rPr>
              <w:t>广州市天河区黄埔大道中166号101室</w:t>
            </w:r>
          </w:p>
          <w:p>
            <w:pPr>
              <w:pStyle w:val="15"/>
              <w:topLinePunct/>
              <w:snapToGrid w:val="0"/>
              <w:spacing w:line="276" w:lineRule="auto"/>
              <w:rPr>
                <w:rFonts w:hAnsi="宋体"/>
                <w:sz w:val="22"/>
                <w:szCs w:val="22"/>
                <w:highlight w:val="none"/>
              </w:rPr>
            </w:pPr>
            <w:r>
              <w:rPr>
                <w:rFonts w:hint="eastAsia" w:hAnsi="宋体"/>
                <w:sz w:val="22"/>
                <w:szCs w:val="22"/>
                <w:highlight w:val="none"/>
                <w:u w:val="single"/>
                <w:lang w:val="en-US" w:eastAsia="zh-CN"/>
              </w:rPr>
              <w:t>天坤一路-棠陂路建设工程检测监测</w:t>
            </w:r>
            <w:r>
              <w:rPr>
                <w:rFonts w:hint="eastAsia" w:hAnsi="宋体"/>
                <w:sz w:val="22"/>
                <w:szCs w:val="22"/>
                <w:highlight w:val="none"/>
              </w:rPr>
              <w:t>（项目名称）招标项目投标文件</w:t>
            </w:r>
          </w:p>
          <w:p>
            <w:pPr>
              <w:pStyle w:val="15"/>
              <w:topLinePunct/>
              <w:snapToGrid w:val="0"/>
              <w:spacing w:line="276" w:lineRule="auto"/>
              <w:rPr>
                <w:rFonts w:hAnsi="宋体"/>
                <w:sz w:val="22"/>
                <w:szCs w:val="22"/>
                <w:highlight w:val="none"/>
              </w:rPr>
            </w:pPr>
            <w:r>
              <w:rPr>
                <w:rFonts w:hint="eastAsia" w:hAnsi="宋体"/>
                <w:sz w:val="22"/>
                <w:szCs w:val="22"/>
                <w:highlight w:val="none"/>
              </w:rPr>
              <w:t>招标项目编号：</w:t>
            </w:r>
          </w:p>
          <w:p>
            <w:pPr>
              <w:pStyle w:val="15"/>
              <w:topLinePunct/>
              <w:snapToGrid w:val="0"/>
              <w:spacing w:line="360" w:lineRule="auto"/>
              <w:rPr>
                <w:rFonts w:hAnsi="宋体" w:cs="宋体"/>
                <w:sz w:val="22"/>
                <w:szCs w:val="22"/>
                <w:highlight w:val="none"/>
              </w:rPr>
            </w:pPr>
            <w:r>
              <w:rPr>
                <w:rFonts w:hint="eastAsia" w:hAnsi="宋体" w:cs="宋体"/>
                <w:sz w:val="22"/>
                <w:szCs w:val="22"/>
                <w:highlight w:val="none"/>
              </w:rPr>
              <w:t>在</w:t>
            </w:r>
            <w:r>
              <w:rPr>
                <w:rFonts w:hint="eastAsia" w:hAnsi="宋体" w:cs="宋体"/>
                <w:sz w:val="22"/>
                <w:szCs w:val="22"/>
                <w:highlight w:val="none"/>
                <w:u w:val="single"/>
              </w:rPr>
              <w:t xml:space="preserve">     </w:t>
            </w:r>
            <w:r>
              <w:rPr>
                <w:rFonts w:hint="eastAsia" w:hAnsi="宋体" w:cs="宋体"/>
                <w:sz w:val="22"/>
                <w:szCs w:val="22"/>
                <w:highlight w:val="none"/>
              </w:rPr>
              <w:t>年</w:t>
            </w:r>
            <w:r>
              <w:rPr>
                <w:rFonts w:hint="eastAsia" w:hAnsi="宋体" w:cs="宋体"/>
                <w:sz w:val="22"/>
                <w:szCs w:val="22"/>
                <w:highlight w:val="none"/>
                <w:u w:val="single"/>
              </w:rPr>
              <w:t xml:space="preserve">  </w:t>
            </w:r>
            <w:r>
              <w:rPr>
                <w:rFonts w:hint="eastAsia" w:hAnsi="宋体" w:cs="宋体"/>
                <w:sz w:val="22"/>
                <w:szCs w:val="22"/>
                <w:highlight w:val="none"/>
              </w:rPr>
              <w:t>月</w:t>
            </w:r>
            <w:r>
              <w:rPr>
                <w:rFonts w:hint="eastAsia" w:hAnsi="宋体" w:cs="宋体"/>
                <w:sz w:val="22"/>
                <w:szCs w:val="22"/>
                <w:highlight w:val="none"/>
                <w:u w:val="single"/>
              </w:rPr>
              <w:t xml:space="preserve">   </w:t>
            </w:r>
            <w:r>
              <w:rPr>
                <w:rFonts w:hint="eastAsia" w:hAnsi="宋体" w:cs="宋体"/>
                <w:sz w:val="22"/>
                <w:szCs w:val="22"/>
                <w:highlight w:val="none"/>
              </w:rPr>
              <w:t>日</w:t>
            </w:r>
            <w:r>
              <w:rPr>
                <w:rFonts w:hint="eastAsia" w:hAnsi="宋体" w:cs="宋体"/>
                <w:sz w:val="22"/>
                <w:szCs w:val="22"/>
                <w:highlight w:val="none"/>
                <w:u w:val="single"/>
              </w:rPr>
              <w:t xml:space="preserve">     </w:t>
            </w:r>
            <w:r>
              <w:rPr>
                <w:rFonts w:hint="eastAsia" w:hAnsi="宋体" w:cs="宋体"/>
                <w:sz w:val="22"/>
                <w:szCs w:val="22"/>
                <w:highlight w:val="none"/>
              </w:rPr>
              <w:t>时前不得开启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4.2.1</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投标截止时间</w:t>
            </w:r>
          </w:p>
        </w:tc>
        <w:tc>
          <w:tcPr>
            <w:tcW w:w="5954" w:type="dxa"/>
            <w:vAlign w:val="center"/>
          </w:tcPr>
          <w:p>
            <w:pPr>
              <w:snapToGrid w:val="0"/>
              <w:spacing w:line="360" w:lineRule="auto"/>
              <w:rPr>
                <w:rFonts w:ascii="宋体" w:hAnsi="宋体" w:cs="宋体"/>
                <w:sz w:val="22"/>
                <w:highlight w:val="none"/>
                <w:u w:val="single"/>
              </w:rPr>
            </w:pPr>
            <w:r>
              <w:rPr>
                <w:rFonts w:hint="eastAsia" w:ascii="宋体" w:hAnsi="宋体" w:cs="宋体"/>
                <w:sz w:val="22"/>
                <w:highlight w:val="none"/>
                <w:u w:val="single"/>
              </w:rPr>
              <w:t xml:space="preserve"> 202</w:t>
            </w:r>
            <w:r>
              <w:rPr>
                <w:rFonts w:hint="eastAsia" w:ascii="宋体" w:hAnsi="宋体" w:cs="宋体"/>
                <w:sz w:val="22"/>
                <w:highlight w:val="none"/>
                <w:u w:val="single"/>
                <w:lang w:val="en-US" w:eastAsia="zh-CN"/>
              </w:rPr>
              <w:t>4</w:t>
            </w:r>
            <w:r>
              <w:rPr>
                <w:rFonts w:hint="eastAsia" w:ascii="宋体" w:hAnsi="宋体" w:cs="宋体"/>
                <w:sz w:val="22"/>
                <w:highlight w:val="none"/>
                <w:u w:val="single"/>
              </w:rPr>
              <w:t>年  月  日  时  分（北京时间）</w:t>
            </w:r>
          </w:p>
          <w:p>
            <w:pPr>
              <w:snapToGrid w:val="0"/>
              <w:spacing w:line="360" w:lineRule="auto"/>
              <w:rPr>
                <w:rFonts w:ascii="宋体" w:hAnsi="宋体" w:cs="宋体"/>
                <w:sz w:val="22"/>
                <w:highlight w:val="none"/>
              </w:rPr>
            </w:pPr>
            <w:r>
              <w:rPr>
                <w:rFonts w:hint="eastAsia" w:ascii="宋体" w:hAnsi="宋体" w:cs="宋体"/>
                <w:sz w:val="22"/>
                <w:highlight w:val="none"/>
                <w:u w:val="single"/>
              </w:rPr>
              <w:t>（详见广州公共资源交易中心网站信息）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6"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4.2.2</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递交电子投标文件交易平台</w:t>
            </w:r>
          </w:p>
        </w:tc>
        <w:tc>
          <w:tcPr>
            <w:tcW w:w="5954" w:type="dxa"/>
            <w:vAlign w:val="center"/>
          </w:tcPr>
          <w:p>
            <w:pPr>
              <w:snapToGrid w:val="0"/>
              <w:spacing w:line="360" w:lineRule="auto"/>
              <w:rPr>
                <w:rFonts w:ascii="宋体" w:hAnsi="宋体" w:cs="宋体"/>
                <w:sz w:val="22"/>
                <w:highlight w:val="none"/>
                <w:u w:val="single"/>
              </w:rPr>
            </w:pPr>
            <w:r>
              <w:rPr>
                <w:rFonts w:hint="eastAsia" w:ascii="宋体" w:hAnsi="宋体" w:cs="宋体"/>
                <w:sz w:val="22"/>
                <w:highlight w:val="none"/>
                <w:u w:val="single"/>
              </w:rPr>
              <w:t>1.递交方式：网上递交投标文件</w:t>
            </w:r>
          </w:p>
          <w:p>
            <w:pPr>
              <w:snapToGrid w:val="0"/>
              <w:spacing w:line="360" w:lineRule="auto"/>
              <w:rPr>
                <w:rFonts w:ascii="宋体" w:hAnsi="宋体" w:cs="宋体"/>
                <w:sz w:val="22"/>
                <w:highlight w:val="none"/>
                <w:u w:val="single"/>
              </w:rPr>
            </w:pPr>
            <w:r>
              <w:rPr>
                <w:rFonts w:hint="eastAsia" w:ascii="宋体" w:hAnsi="宋体" w:cs="宋体"/>
                <w:sz w:val="22"/>
                <w:highlight w:val="none"/>
                <w:u w:val="single"/>
              </w:rPr>
              <w:t>2.递交投标文件的起始时间：（详见广州公共资源交易中心网站信息）。</w:t>
            </w:r>
          </w:p>
          <w:p>
            <w:pPr>
              <w:snapToGrid w:val="0"/>
              <w:spacing w:line="360" w:lineRule="auto"/>
              <w:rPr>
                <w:rFonts w:ascii="宋体" w:hAnsi="宋体" w:cs="宋体"/>
                <w:sz w:val="22"/>
                <w:highlight w:val="none"/>
                <w:u w:val="single"/>
              </w:rPr>
            </w:pPr>
            <w:r>
              <w:rPr>
                <w:rFonts w:hint="eastAsia" w:ascii="宋体" w:hAnsi="宋体" w:cs="宋体"/>
                <w:sz w:val="22"/>
                <w:highlight w:val="none"/>
                <w:u w:val="single"/>
              </w:rPr>
              <w:t>截止时间：（详见广州公共资源交易中心网站信息）</w:t>
            </w:r>
          </w:p>
          <w:p>
            <w:pPr>
              <w:snapToGrid w:val="0"/>
              <w:spacing w:line="360" w:lineRule="auto"/>
              <w:rPr>
                <w:rFonts w:ascii="宋体" w:hAnsi="宋体" w:cs="宋体"/>
                <w:sz w:val="22"/>
                <w:highlight w:val="none"/>
                <w:u w:val="single"/>
              </w:rPr>
            </w:pPr>
            <w:r>
              <w:rPr>
                <w:rFonts w:hint="eastAsia" w:ascii="宋体" w:hAnsi="宋体" w:cs="宋体"/>
                <w:sz w:val="22"/>
                <w:highlight w:val="none"/>
                <w:u w:val="single"/>
              </w:rPr>
              <w:t>3.地点：广州公共资源交易中心网站。</w:t>
            </w:r>
          </w:p>
          <w:p>
            <w:pPr>
              <w:snapToGrid w:val="0"/>
              <w:spacing w:line="360" w:lineRule="auto"/>
              <w:rPr>
                <w:rFonts w:ascii="宋体" w:hAnsi="宋体" w:cs="宋体"/>
                <w:sz w:val="22"/>
                <w:highlight w:val="none"/>
              </w:rPr>
            </w:pPr>
            <w:r>
              <w:rPr>
                <w:rFonts w:hint="eastAsia" w:ascii="宋体" w:hAnsi="宋体" w:cs="宋体"/>
                <w:sz w:val="22"/>
                <w:highlight w:val="none"/>
                <w:u w:val="single"/>
              </w:rPr>
              <w:t>4.上述时间及地点是否有改变，请密切留意招标答疑中的相关信息。也可登录广州公共资源交易中心网站首页，点击“服务指南”专栏中的“交易活动安排”，输入项目编号或项目名称查询最新信息。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4.2.3</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投标文件是否退还</w:t>
            </w:r>
          </w:p>
        </w:tc>
        <w:tc>
          <w:tcPr>
            <w:tcW w:w="5954" w:type="dxa"/>
            <w:vAlign w:val="center"/>
          </w:tcPr>
          <w:p>
            <w:pPr>
              <w:pStyle w:val="15"/>
              <w:topLinePunct/>
              <w:spacing w:line="360" w:lineRule="auto"/>
              <w:rPr>
                <w:rFonts w:hAnsi="宋体" w:cs="宋体"/>
                <w:sz w:val="22"/>
                <w:szCs w:val="22"/>
                <w:highlight w:val="none"/>
              </w:rPr>
            </w:pPr>
            <w:r>
              <w:rPr>
                <w:rFonts w:hint="eastAsia" w:hAnsi="宋体" w:cs="宋体"/>
                <w:sz w:val="22"/>
                <w:szCs w:val="22"/>
                <w:highlight w:val="none"/>
              </w:rPr>
              <w:t>■否</w:t>
            </w:r>
          </w:p>
          <w:p>
            <w:pPr>
              <w:pStyle w:val="15"/>
              <w:topLinePunct/>
              <w:spacing w:line="360" w:lineRule="auto"/>
              <w:rPr>
                <w:rFonts w:hAnsi="宋体" w:cs="宋体"/>
                <w:sz w:val="22"/>
                <w:szCs w:val="22"/>
                <w:highlight w:val="none"/>
              </w:rPr>
            </w:pPr>
            <w:r>
              <w:rPr>
                <w:rFonts w:hint="eastAsia" w:hAnsi="宋体" w:cs="宋体"/>
                <w:sz w:val="22"/>
                <w:szCs w:val="22"/>
                <w:highlight w:val="none"/>
              </w:rPr>
              <w:t>□是，退还时间：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3"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5.1</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开标时间和地点</w:t>
            </w:r>
          </w:p>
        </w:tc>
        <w:tc>
          <w:tcPr>
            <w:tcW w:w="5954" w:type="dxa"/>
            <w:vAlign w:val="center"/>
          </w:tcPr>
          <w:p>
            <w:pPr>
              <w:snapToGrid w:val="0"/>
              <w:spacing w:line="276" w:lineRule="auto"/>
              <w:rPr>
                <w:rFonts w:ascii="宋体" w:hAnsi="宋体"/>
                <w:sz w:val="22"/>
                <w:highlight w:val="none"/>
              </w:rPr>
            </w:pPr>
            <w:r>
              <w:rPr>
                <w:rFonts w:hint="eastAsia" w:ascii="宋体" w:hAnsi="宋体"/>
                <w:sz w:val="22"/>
                <w:highlight w:val="none"/>
              </w:rPr>
              <w:t>开标时间：同投标截止时间</w:t>
            </w:r>
          </w:p>
          <w:p>
            <w:pPr>
              <w:snapToGrid w:val="0"/>
              <w:spacing w:line="360" w:lineRule="auto"/>
              <w:rPr>
                <w:rFonts w:ascii="宋体" w:hAnsi="宋体" w:cs="宋体"/>
                <w:sz w:val="22"/>
                <w:highlight w:val="none"/>
              </w:rPr>
            </w:pPr>
            <w:r>
              <w:rPr>
                <w:rFonts w:hint="eastAsia" w:ascii="宋体" w:hAnsi="宋体"/>
                <w:sz w:val="22"/>
                <w:highlight w:val="none"/>
              </w:rPr>
              <w:t>开标地点：广州公共资源交易中心</w:t>
            </w:r>
          </w:p>
          <w:p>
            <w:pPr>
              <w:snapToGrid w:val="0"/>
              <w:spacing w:line="360" w:lineRule="auto"/>
              <w:rPr>
                <w:rFonts w:ascii="宋体" w:hAnsi="宋体" w:cs="宋体"/>
                <w:sz w:val="22"/>
                <w:highlight w:val="none"/>
              </w:rPr>
            </w:pPr>
            <w:r>
              <w:rPr>
                <w:rFonts w:hint="eastAsia" w:ascii="宋体" w:hAnsi="宋体"/>
                <w:sz w:val="22"/>
                <w:highlight w:val="none"/>
                <w:u w:val="single"/>
              </w:rPr>
              <w:t>开标时，投标人代表有权出席开标会，也可以自主决定不参加开标会，若投标人代表对开标过程提出异议，该投标人代表须同时出示本人身份证原件。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5.2</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开标程序</w:t>
            </w:r>
          </w:p>
        </w:tc>
        <w:tc>
          <w:tcPr>
            <w:tcW w:w="5954" w:type="dxa"/>
            <w:vAlign w:val="center"/>
          </w:tcPr>
          <w:p>
            <w:pPr>
              <w:snapToGrid w:val="0"/>
              <w:spacing w:line="360" w:lineRule="auto"/>
              <w:rPr>
                <w:rFonts w:ascii="宋体" w:hAnsi="宋体" w:cs="宋体"/>
                <w:sz w:val="22"/>
                <w:highlight w:val="none"/>
              </w:rPr>
            </w:pPr>
            <w:r>
              <w:rPr>
                <w:rFonts w:hint="eastAsia" w:ascii="宋体" w:hAnsi="宋体" w:cs="宋体"/>
                <w:sz w:val="22"/>
                <w:highlight w:val="none"/>
              </w:rPr>
              <w:t>电子招投标项目开标按下列程序进行：</w:t>
            </w:r>
          </w:p>
          <w:p>
            <w:pPr>
              <w:snapToGrid w:val="0"/>
              <w:spacing w:line="360" w:lineRule="auto"/>
              <w:rPr>
                <w:rFonts w:ascii="宋体" w:hAnsi="宋体" w:cs="宋体"/>
                <w:sz w:val="22"/>
                <w:highlight w:val="none"/>
                <w:u w:val="single"/>
              </w:rPr>
            </w:pPr>
            <w:r>
              <w:rPr>
                <w:rFonts w:hint="eastAsia" w:ascii="宋体" w:hAnsi="宋体" w:cs="宋体"/>
                <w:sz w:val="22"/>
                <w:highlight w:val="none"/>
                <w:u w:val="single"/>
              </w:rPr>
              <w:t>5.2.1主持人按下列程序进行开标：</w:t>
            </w:r>
          </w:p>
          <w:p>
            <w:pPr>
              <w:snapToGrid w:val="0"/>
              <w:spacing w:line="360" w:lineRule="auto"/>
              <w:rPr>
                <w:rFonts w:ascii="宋体" w:hAnsi="宋体" w:cs="宋体"/>
                <w:sz w:val="22"/>
                <w:highlight w:val="none"/>
                <w:u w:val="single"/>
              </w:rPr>
            </w:pPr>
            <w:r>
              <w:rPr>
                <w:rFonts w:hint="eastAsia" w:ascii="宋体" w:hAnsi="宋体" w:cs="宋体"/>
                <w:sz w:val="22"/>
                <w:highlight w:val="none"/>
                <w:u w:val="single"/>
              </w:rPr>
              <w:t>（1）宣布开标纪律；</w:t>
            </w:r>
          </w:p>
          <w:p>
            <w:pPr>
              <w:snapToGrid w:val="0"/>
              <w:spacing w:line="360" w:lineRule="auto"/>
              <w:rPr>
                <w:rFonts w:ascii="宋体" w:hAnsi="宋体" w:cs="宋体"/>
                <w:sz w:val="22"/>
                <w:highlight w:val="none"/>
                <w:u w:val="single"/>
              </w:rPr>
            </w:pPr>
            <w:r>
              <w:rPr>
                <w:rFonts w:hint="eastAsia" w:ascii="宋体" w:hAnsi="宋体" w:cs="宋体"/>
                <w:sz w:val="22"/>
                <w:highlight w:val="none"/>
                <w:u w:val="single"/>
              </w:rPr>
              <w:t>（2）公布在投标截止时间前递交投标文件的投标人名称；</w:t>
            </w:r>
          </w:p>
          <w:p>
            <w:pPr>
              <w:snapToGrid w:val="0"/>
              <w:spacing w:line="360" w:lineRule="auto"/>
              <w:rPr>
                <w:rFonts w:ascii="宋体" w:hAnsi="宋体" w:cs="宋体"/>
                <w:sz w:val="22"/>
                <w:highlight w:val="none"/>
                <w:u w:val="single"/>
              </w:rPr>
            </w:pPr>
            <w:r>
              <w:rPr>
                <w:rFonts w:hint="eastAsia" w:ascii="宋体" w:hAnsi="宋体" w:cs="宋体"/>
                <w:sz w:val="22"/>
                <w:highlight w:val="none"/>
                <w:u w:val="single"/>
              </w:rPr>
              <w:t>（3）宣布开标人、唱标人、记录人、监标人等有关人员姓名；</w:t>
            </w:r>
          </w:p>
          <w:p>
            <w:pPr>
              <w:snapToGrid w:val="0"/>
              <w:spacing w:line="360" w:lineRule="auto"/>
              <w:rPr>
                <w:rFonts w:ascii="宋体" w:hAnsi="宋体" w:cs="宋体"/>
                <w:sz w:val="22"/>
                <w:highlight w:val="none"/>
                <w:u w:val="single"/>
              </w:rPr>
            </w:pPr>
            <w:r>
              <w:rPr>
                <w:rFonts w:hint="eastAsia" w:ascii="宋体" w:hAnsi="宋体" w:cs="宋体"/>
                <w:sz w:val="22"/>
                <w:highlight w:val="none"/>
                <w:u w:val="single"/>
              </w:rPr>
              <w:t>（4）投标人通过电子招标投标交易平台对已递交的电子投标文件进行解密，公布招标项目名称、投标人名称、投标总报价、服务期限及其他内容，并记录在案；</w:t>
            </w:r>
          </w:p>
          <w:p>
            <w:pPr>
              <w:snapToGrid w:val="0"/>
              <w:spacing w:line="360" w:lineRule="auto"/>
              <w:rPr>
                <w:rFonts w:ascii="宋体" w:hAnsi="宋体" w:cs="宋体"/>
                <w:sz w:val="22"/>
                <w:highlight w:val="none"/>
                <w:u w:val="single"/>
              </w:rPr>
            </w:pPr>
            <w:r>
              <w:rPr>
                <w:rFonts w:hint="eastAsia" w:ascii="宋体" w:hAnsi="宋体" w:cs="宋体"/>
                <w:sz w:val="22"/>
                <w:highlight w:val="none"/>
                <w:u w:val="single"/>
              </w:rPr>
              <w:t>（5）投标人代表、招标人代表、监标人、记录人等有关人员在开标记录上签字确认；若有关人员不签字的，不影响开标程序；</w:t>
            </w:r>
          </w:p>
          <w:p>
            <w:pPr>
              <w:snapToGrid w:val="0"/>
              <w:spacing w:line="360" w:lineRule="auto"/>
              <w:rPr>
                <w:rFonts w:ascii="宋体" w:hAnsi="宋体" w:cs="宋体"/>
                <w:sz w:val="22"/>
                <w:highlight w:val="none"/>
                <w:u w:val="single"/>
              </w:rPr>
            </w:pPr>
            <w:r>
              <w:rPr>
                <w:rFonts w:hint="eastAsia" w:ascii="宋体" w:hAnsi="宋体" w:cs="宋体"/>
                <w:sz w:val="22"/>
                <w:highlight w:val="none"/>
                <w:u w:val="single"/>
              </w:rPr>
              <w:t>（6）开标结束。</w:t>
            </w:r>
          </w:p>
          <w:p>
            <w:pPr>
              <w:snapToGrid w:val="0"/>
              <w:spacing w:line="360" w:lineRule="auto"/>
              <w:rPr>
                <w:rFonts w:ascii="宋体" w:hAnsi="宋体" w:cs="宋体"/>
                <w:sz w:val="22"/>
                <w:highlight w:val="none"/>
                <w:u w:val="single"/>
              </w:rPr>
            </w:pPr>
            <w:r>
              <w:rPr>
                <w:rFonts w:hint="eastAsia" w:ascii="宋体" w:hAnsi="宋体" w:cs="宋体"/>
                <w:sz w:val="22"/>
                <w:highlight w:val="none"/>
                <w:u w:val="single"/>
              </w:rPr>
              <w:t>5.2.2投标截止时间前未完成投标文件传输的或因投标人之外的原因造成投标文件未解密的或未在投标截止时间后半小时解密的，视为投标人其撤回投标文件。因投标人原因造成投标文件未解密的，或因投标人之外原因解密失败且未递交电子光盘或递交的电子光盘不能读取的，视为撤销其投标文件。</w:t>
            </w:r>
          </w:p>
          <w:p>
            <w:pPr>
              <w:snapToGrid w:val="0"/>
              <w:spacing w:line="360" w:lineRule="auto"/>
              <w:rPr>
                <w:rFonts w:ascii="宋体" w:hAnsi="宋体" w:cs="宋体"/>
                <w:sz w:val="22"/>
                <w:highlight w:val="none"/>
                <w:u w:val="single"/>
              </w:rPr>
            </w:pPr>
            <w:r>
              <w:rPr>
                <w:rFonts w:hint="eastAsia" w:ascii="宋体" w:hAnsi="宋体" w:cs="宋体"/>
                <w:sz w:val="22"/>
                <w:highlight w:val="none"/>
                <w:u w:val="single"/>
              </w:rPr>
              <w:t>5.2.3开标时，两个（含两个）以上的投标人加密打包投标文件电脑机器特征码一致的，不参与下一程序，并由评标委员会否决其投标。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6.1.1</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评标委员会的组建</w:t>
            </w:r>
          </w:p>
        </w:tc>
        <w:tc>
          <w:tcPr>
            <w:tcW w:w="5954" w:type="dxa"/>
            <w:vAlign w:val="center"/>
          </w:tcPr>
          <w:p>
            <w:pPr>
              <w:snapToGrid w:val="0"/>
              <w:spacing w:line="360" w:lineRule="auto"/>
              <w:rPr>
                <w:rFonts w:ascii="宋体" w:hAnsi="宋体" w:cs="宋体"/>
                <w:sz w:val="22"/>
                <w:highlight w:val="none"/>
              </w:rPr>
            </w:pPr>
            <w:r>
              <w:rPr>
                <w:rFonts w:hint="eastAsia" w:ascii="宋体" w:hAnsi="宋体" w:cs="宋体"/>
                <w:sz w:val="22"/>
                <w:highlight w:val="none"/>
              </w:rPr>
              <w:t>招标人依法组建。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4"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6.3.2</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评标委员会推荐中标候选人的人数</w:t>
            </w:r>
          </w:p>
        </w:tc>
        <w:tc>
          <w:tcPr>
            <w:tcW w:w="5954" w:type="dxa"/>
            <w:vAlign w:val="center"/>
          </w:tcPr>
          <w:p>
            <w:pPr>
              <w:snapToGrid w:val="0"/>
              <w:spacing w:line="360" w:lineRule="auto"/>
              <w:rPr>
                <w:rFonts w:ascii="宋体" w:hAnsi="宋体" w:cs="宋体"/>
                <w:sz w:val="22"/>
                <w:highlight w:val="none"/>
              </w:rPr>
            </w:pPr>
            <w:r>
              <w:rPr>
                <w:rFonts w:hint="eastAsia" w:ascii="宋体" w:hAnsi="宋体" w:cs="宋体"/>
                <w:sz w:val="22"/>
                <w:highlight w:val="none"/>
              </w:rPr>
              <w:t>推荐中标候选人：</w:t>
            </w:r>
            <w:r>
              <w:rPr>
                <w:rFonts w:hint="eastAsia" w:ascii="宋体" w:hAnsi="宋体" w:cs="宋体"/>
                <w:sz w:val="22"/>
                <w:highlight w:val="none"/>
                <w:u w:val="single"/>
              </w:rPr>
              <w:t>3人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10"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7.1</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中标候选人公示媒介及期限</w:t>
            </w:r>
          </w:p>
        </w:tc>
        <w:tc>
          <w:tcPr>
            <w:tcW w:w="5954" w:type="dxa"/>
            <w:vAlign w:val="center"/>
          </w:tcPr>
          <w:p>
            <w:pPr>
              <w:snapToGrid w:val="0"/>
              <w:spacing w:line="276" w:lineRule="auto"/>
              <w:ind w:right="106"/>
              <w:rPr>
                <w:rFonts w:ascii="宋体" w:hAnsi="宋体" w:cs="宋体"/>
                <w:color w:val="000000"/>
                <w:sz w:val="22"/>
                <w:highlight w:val="none"/>
              </w:rPr>
            </w:pPr>
            <w:r>
              <w:rPr>
                <w:rFonts w:hint="eastAsia" w:ascii="宋体" w:hAnsi="宋体" w:cs="宋体"/>
                <w:color w:val="000000"/>
                <w:sz w:val="22"/>
                <w:highlight w:val="none"/>
              </w:rPr>
              <w:t>公示媒介：</w:t>
            </w:r>
            <w:r>
              <w:rPr>
                <w:rFonts w:ascii="Calibri" w:hAnsi="Calibri"/>
                <w:sz w:val="22"/>
                <w:highlight w:val="none"/>
                <w:u w:val="single"/>
              </w:rPr>
              <w:t>中国招标投标公共服务平台</w:t>
            </w:r>
            <w:r>
              <w:rPr>
                <w:rFonts w:hint="eastAsia" w:ascii="Calibri" w:hAnsi="Calibri"/>
                <w:sz w:val="22"/>
                <w:highlight w:val="none"/>
                <w:u w:val="single"/>
              </w:rPr>
              <w:t>、广东省招标投标监管网、广州公共资源交易网</w:t>
            </w:r>
          </w:p>
          <w:p>
            <w:pPr>
              <w:snapToGrid w:val="0"/>
              <w:spacing w:line="276" w:lineRule="auto"/>
              <w:ind w:right="106"/>
              <w:rPr>
                <w:rFonts w:ascii="宋体" w:hAnsi="宋体" w:cs="宋体"/>
                <w:color w:val="000000"/>
                <w:sz w:val="22"/>
                <w:highlight w:val="none"/>
                <w:u w:val="single"/>
              </w:rPr>
            </w:pPr>
            <w:r>
              <w:rPr>
                <w:rFonts w:hint="eastAsia" w:ascii="宋体" w:hAnsi="宋体" w:cs="宋体"/>
                <w:color w:val="000000"/>
                <w:sz w:val="22"/>
                <w:highlight w:val="none"/>
              </w:rPr>
              <w:t>公示期限：</w:t>
            </w:r>
            <w:r>
              <w:rPr>
                <w:rFonts w:hint="eastAsia" w:ascii="宋体" w:hAnsi="宋体" w:cs="宋体"/>
                <w:color w:val="000000"/>
                <w:sz w:val="22"/>
                <w:highlight w:val="none"/>
                <w:u w:val="single" w:color="000000"/>
              </w:rPr>
              <w:t xml:space="preserve"> 3  </w:t>
            </w:r>
            <w:r>
              <w:rPr>
                <w:rFonts w:hint="eastAsia" w:ascii="宋体" w:hAnsi="宋体" w:cs="宋体"/>
                <w:color w:val="000000"/>
                <w:sz w:val="22"/>
                <w:highlight w:val="none"/>
              </w:rPr>
              <w:t>日 （公示期间的最后1天应当为工作日，否则将公示期的最后1天顺延至下一个工作日)</w:t>
            </w:r>
          </w:p>
          <w:p>
            <w:pPr>
              <w:snapToGrid w:val="0"/>
              <w:spacing w:line="360" w:lineRule="auto"/>
              <w:ind w:right="106"/>
              <w:rPr>
                <w:rFonts w:ascii="宋体" w:hAnsi="宋体" w:cs="宋体"/>
                <w:sz w:val="22"/>
                <w:highlight w:val="none"/>
              </w:rPr>
            </w:pPr>
            <w:r>
              <w:rPr>
                <w:rFonts w:hint="eastAsia" w:ascii="Calibri" w:hAnsi="Calibri"/>
                <w:sz w:val="22"/>
                <w:szCs w:val="24"/>
                <w:highlight w:val="none"/>
                <w:u w:val="single"/>
              </w:rPr>
              <w:t>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4"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7.4</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是否授权评标委员会确定中标人</w:t>
            </w:r>
          </w:p>
        </w:tc>
        <w:tc>
          <w:tcPr>
            <w:tcW w:w="5954" w:type="dxa"/>
            <w:vAlign w:val="center"/>
          </w:tcPr>
          <w:p>
            <w:pPr>
              <w:spacing w:line="360" w:lineRule="auto"/>
              <w:rPr>
                <w:rFonts w:ascii="宋体" w:hAnsi="宋体" w:cs="宋体"/>
                <w:sz w:val="22"/>
                <w:highlight w:val="none"/>
              </w:rPr>
            </w:pPr>
            <w:r>
              <w:rPr>
                <w:rFonts w:hint="eastAsia" w:ascii="宋体" w:hAnsi="宋体" w:cs="宋体"/>
                <w:sz w:val="22"/>
                <w:highlight w:val="none"/>
              </w:rPr>
              <w:t>□是</w:t>
            </w:r>
          </w:p>
          <w:p>
            <w:pPr>
              <w:spacing w:line="360" w:lineRule="auto"/>
              <w:rPr>
                <w:rFonts w:ascii="宋体" w:hAnsi="宋体" w:cs="宋体"/>
                <w:sz w:val="22"/>
                <w:highlight w:val="none"/>
              </w:rPr>
            </w:pPr>
            <w:r>
              <w:rPr>
                <w:rFonts w:hint="eastAsia" w:ascii="宋体" w:hAnsi="宋体" w:cs="宋体"/>
                <w:sz w:val="22"/>
                <w:highlight w:val="none"/>
              </w:rPr>
              <w:t>■否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76"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7.6.1</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履约保证金</w:t>
            </w:r>
          </w:p>
        </w:tc>
        <w:tc>
          <w:tcPr>
            <w:tcW w:w="5954" w:type="dxa"/>
            <w:vAlign w:val="center"/>
          </w:tcPr>
          <w:p>
            <w:pPr>
              <w:pStyle w:val="15"/>
              <w:topLinePunct/>
              <w:spacing w:line="360" w:lineRule="auto"/>
              <w:rPr>
                <w:rFonts w:hAnsi="宋体" w:cs="宋体"/>
                <w:b/>
                <w:sz w:val="22"/>
                <w:szCs w:val="22"/>
                <w:highlight w:val="none"/>
              </w:rPr>
            </w:pPr>
            <w:r>
              <w:rPr>
                <w:rFonts w:hint="eastAsia" w:hAnsi="宋体" w:cs="宋体"/>
                <w:b/>
                <w:sz w:val="22"/>
                <w:szCs w:val="22"/>
                <w:highlight w:val="none"/>
              </w:rPr>
              <w:t>是否要求中标人提交履约保证金：</w:t>
            </w:r>
          </w:p>
          <w:p>
            <w:pPr>
              <w:pStyle w:val="15"/>
              <w:topLinePunct/>
              <w:spacing w:line="360" w:lineRule="auto"/>
              <w:rPr>
                <w:rFonts w:hAnsi="宋体" w:cs="宋体"/>
                <w:sz w:val="22"/>
                <w:szCs w:val="22"/>
                <w:highlight w:val="none"/>
              </w:rPr>
            </w:pPr>
            <w:r>
              <w:rPr>
                <w:rFonts w:hint="eastAsia" w:hAnsi="宋体" w:cs="宋体"/>
                <w:sz w:val="22"/>
                <w:szCs w:val="22"/>
                <w:highlight w:val="none"/>
              </w:rPr>
              <w:t>■要求，履约保证金的形式：</w:t>
            </w:r>
            <w:r>
              <w:rPr>
                <w:rFonts w:hint="eastAsia" w:hAnsi="宋体" w:cs="宋体"/>
                <w:sz w:val="22"/>
                <w:szCs w:val="22"/>
                <w:highlight w:val="none"/>
                <w:u w:val="single"/>
                <w:lang w:val="en-US" w:eastAsia="zh-CN"/>
              </w:rPr>
              <w:t>详见合同要求</w:t>
            </w:r>
            <w:r>
              <w:rPr>
                <w:rFonts w:hint="eastAsia" w:hAnsi="宋体" w:cs="宋体"/>
                <w:sz w:val="22"/>
                <w:szCs w:val="22"/>
                <w:highlight w:val="none"/>
                <w:u w:val="single"/>
              </w:rPr>
              <w:t>。</w:t>
            </w:r>
          </w:p>
          <w:p>
            <w:pPr>
              <w:pStyle w:val="15"/>
              <w:topLinePunct/>
              <w:spacing w:line="360" w:lineRule="auto"/>
              <w:rPr>
                <w:rFonts w:hint="default" w:hAnsi="宋体" w:eastAsia="宋体" w:cs="宋体"/>
                <w:sz w:val="22"/>
                <w:szCs w:val="22"/>
                <w:highlight w:val="none"/>
                <w:lang w:val="en-US" w:eastAsia="zh-CN"/>
              </w:rPr>
            </w:pPr>
            <w:r>
              <w:rPr>
                <w:rFonts w:hint="eastAsia" w:hAnsi="宋体" w:cs="宋体"/>
                <w:sz w:val="22"/>
                <w:szCs w:val="22"/>
                <w:highlight w:val="none"/>
              </w:rPr>
              <w:t>履约保证金的金额：</w:t>
            </w:r>
            <w:r>
              <w:rPr>
                <w:rFonts w:hint="eastAsia" w:hAnsi="宋体" w:cs="宋体"/>
                <w:sz w:val="22"/>
                <w:szCs w:val="22"/>
                <w:highlight w:val="none"/>
                <w:u w:val="single"/>
              </w:rPr>
              <w:t>中标价款的10％</w:t>
            </w:r>
            <w:r>
              <w:rPr>
                <w:rFonts w:hint="eastAsia" w:hAnsi="宋体" w:cs="宋体"/>
                <w:sz w:val="22"/>
                <w:szCs w:val="22"/>
                <w:highlight w:val="none"/>
                <w:u w:val="single"/>
                <w:lang w:val="en-US" w:eastAsia="zh-CN"/>
              </w:rPr>
              <w:t>。</w:t>
            </w:r>
          </w:p>
          <w:p>
            <w:pPr>
              <w:pStyle w:val="15"/>
              <w:topLinePunct/>
              <w:spacing w:line="360" w:lineRule="auto"/>
              <w:rPr>
                <w:rFonts w:hAnsi="宋体" w:cs="宋体"/>
                <w:sz w:val="22"/>
                <w:szCs w:val="22"/>
                <w:highlight w:val="none"/>
              </w:rPr>
            </w:pPr>
            <w:r>
              <w:rPr>
                <w:rFonts w:hint="eastAsia" w:hAnsi="宋体" w:cs="宋体"/>
                <w:sz w:val="22"/>
                <w:szCs w:val="22"/>
                <w:highlight w:val="none"/>
              </w:rPr>
              <w:t>□不要求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4"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9</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是否采用电子招标投标</w:t>
            </w:r>
          </w:p>
        </w:tc>
        <w:tc>
          <w:tcPr>
            <w:tcW w:w="5954" w:type="dxa"/>
            <w:vAlign w:val="center"/>
          </w:tcPr>
          <w:p>
            <w:pPr>
              <w:spacing w:line="360" w:lineRule="auto"/>
              <w:rPr>
                <w:rFonts w:ascii="宋体" w:hAnsi="宋体" w:cs="宋体"/>
                <w:sz w:val="22"/>
                <w:highlight w:val="none"/>
              </w:rPr>
            </w:pPr>
            <w:r>
              <w:rPr>
                <w:rFonts w:hint="eastAsia" w:ascii="宋体" w:hAnsi="宋体" w:cs="宋体"/>
                <w:sz w:val="22"/>
                <w:highlight w:val="none"/>
              </w:rPr>
              <w:t>□否</w:t>
            </w:r>
          </w:p>
          <w:p>
            <w:pPr>
              <w:spacing w:line="360" w:lineRule="auto"/>
              <w:ind w:left="2199" w:leftChars="3" w:hanging="2193" w:hangingChars="997"/>
              <w:rPr>
                <w:rFonts w:ascii="宋体" w:hAnsi="宋体" w:cs="宋体"/>
                <w:sz w:val="22"/>
                <w:highlight w:val="none"/>
              </w:rPr>
            </w:pPr>
            <w:r>
              <w:rPr>
                <w:rFonts w:hint="eastAsia" w:ascii="宋体" w:hAnsi="宋体" w:cs="宋体"/>
                <w:sz w:val="22"/>
                <w:highlight w:val="none"/>
              </w:rPr>
              <w:t>■是，具体要求：</w:t>
            </w:r>
          </w:p>
          <w:p>
            <w:pPr>
              <w:spacing w:line="360" w:lineRule="auto"/>
              <w:jc w:val="left"/>
              <w:rPr>
                <w:rFonts w:ascii="宋体" w:hAnsi="宋体" w:cs="宋体"/>
                <w:sz w:val="22"/>
                <w:highlight w:val="none"/>
                <w:u w:val="single"/>
              </w:rPr>
            </w:pPr>
            <w:r>
              <w:rPr>
                <w:rFonts w:hint="eastAsia" w:ascii="宋体" w:hAnsi="宋体" w:cs="宋体"/>
                <w:sz w:val="22"/>
                <w:highlight w:val="none"/>
                <w:u w:val="single"/>
              </w:rPr>
              <w:t>1.具体操作详见附件《房屋建筑和市政基础设施工程全流程电子化项目专章》。</w:t>
            </w:r>
          </w:p>
          <w:p>
            <w:pPr>
              <w:spacing w:line="360" w:lineRule="auto"/>
              <w:rPr>
                <w:rFonts w:ascii="宋体" w:hAnsi="宋体" w:cs="宋体"/>
                <w:sz w:val="22"/>
                <w:highlight w:val="none"/>
                <w:u w:val="single"/>
              </w:rPr>
            </w:pPr>
            <w:r>
              <w:rPr>
                <w:rFonts w:hint="eastAsia" w:ascii="宋体" w:hAnsi="宋体" w:cs="宋体"/>
                <w:sz w:val="22"/>
                <w:highlight w:val="none"/>
                <w:u w:val="single"/>
              </w:rPr>
              <w:t>2.提交投标文件光盘备用</w:t>
            </w:r>
          </w:p>
          <w:p>
            <w:pPr>
              <w:spacing w:line="360" w:lineRule="auto"/>
              <w:ind w:firstLine="220" w:firstLineChars="100"/>
              <w:rPr>
                <w:rFonts w:ascii="宋体" w:hAnsi="宋体" w:cs="宋体"/>
                <w:sz w:val="22"/>
                <w:highlight w:val="none"/>
                <w:u w:val="single"/>
              </w:rPr>
            </w:pPr>
            <w:r>
              <w:rPr>
                <w:rFonts w:hint="eastAsia" w:ascii="宋体" w:hAnsi="宋体" w:cs="宋体"/>
                <w:sz w:val="22"/>
                <w:highlight w:val="none"/>
                <w:u w:val="single"/>
              </w:rPr>
              <w:t>投标人可按《房屋建筑和市政基础设施工程全流程电子化项目专章》的操作方法制作的非加密的电子投标文件刻入光盘（1份），</w:t>
            </w:r>
            <w:r>
              <w:rPr>
                <w:rFonts w:hint="eastAsia" w:ascii="宋体" w:hAnsi="宋体" w:cs="宋体"/>
                <w:sz w:val="22"/>
                <w:highlight w:val="none"/>
              </w:rPr>
              <w:t>在开标现场（投标截止时间前）</w:t>
            </w:r>
            <w:r>
              <w:rPr>
                <w:rFonts w:hint="eastAsia" w:ascii="宋体" w:hAnsi="宋体" w:cs="宋体"/>
                <w:sz w:val="22"/>
                <w:highlight w:val="none"/>
                <w:u w:val="single"/>
              </w:rPr>
              <w:t>提交备用。刻录好的投标文件光盘密封在密封袋中，并在封口处加盖投标人单位公章。密封袋上应写明的内容见投标人须知前附表要求4.1.2。现场递交的投标文件（光盘）不得加密。光盘（投标文件）无法读取或导入的，则视为未提交备用投标文件光盘。如果投标人没有按规定通过交易平台网上递交电子投标文件的，不再读取现场提交的光盘。</w:t>
            </w:r>
          </w:p>
          <w:p>
            <w:pPr>
              <w:spacing w:line="360" w:lineRule="auto"/>
              <w:rPr>
                <w:rFonts w:ascii="宋体" w:hAnsi="宋体" w:cs="宋体"/>
                <w:sz w:val="22"/>
                <w:highlight w:val="none"/>
                <w:u w:val="single"/>
              </w:rPr>
            </w:pPr>
            <w:r>
              <w:rPr>
                <w:rFonts w:hint="eastAsia" w:ascii="宋体" w:hAnsi="宋体" w:cs="宋体"/>
                <w:sz w:val="22"/>
                <w:highlight w:val="none"/>
                <w:u w:val="single"/>
              </w:rPr>
              <w:t>3.补救方案</w:t>
            </w:r>
          </w:p>
          <w:p>
            <w:pPr>
              <w:spacing w:line="360" w:lineRule="auto"/>
              <w:rPr>
                <w:rFonts w:ascii="宋体" w:hAnsi="宋体" w:cs="宋体"/>
                <w:sz w:val="22"/>
                <w:highlight w:val="none"/>
                <w:u w:val="single"/>
              </w:rPr>
            </w:pPr>
            <w:r>
              <w:rPr>
                <w:rFonts w:hint="eastAsia" w:ascii="宋体" w:hAnsi="宋体" w:cs="宋体"/>
                <w:sz w:val="22"/>
                <w:highlight w:val="none"/>
                <w:u w:val="single"/>
              </w:rPr>
              <w:t>（1）投标文件解密失败的补救方案：</w:t>
            </w:r>
          </w:p>
          <w:p>
            <w:pPr>
              <w:spacing w:line="360" w:lineRule="auto"/>
              <w:ind w:firstLine="330" w:firstLineChars="150"/>
              <w:rPr>
                <w:rFonts w:ascii="宋体" w:hAnsi="宋体" w:cs="宋体"/>
                <w:sz w:val="22"/>
                <w:highlight w:val="none"/>
                <w:u w:val="single"/>
              </w:rPr>
            </w:pPr>
            <w:r>
              <w:rPr>
                <w:rFonts w:hint="eastAsia" w:ascii="宋体" w:hAnsi="宋体" w:cs="宋体"/>
                <w:sz w:val="22"/>
                <w:highlight w:val="none"/>
                <w:u w:val="single"/>
              </w:rPr>
              <w:t>在规定时间内，因投标人之外原因（指网络瘫痪、服务器损坏、交易系统故障短期无法恢复等因素）导致的电子投标文件解密失败，在开标现场读取光盘内容，继续开标程序。评标委员会对其投标文件的评审以光盘内容为准。因投标人之外原因解密失败且未递交电子光盘或递交的电子光盘不能读取的，视为撤回投标文件。</w:t>
            </w:r>
          </w:p>
          <w:p>
            <w:pPr>
              <w:spacing w:line="360" w:lineRule="auto"/>
              <w:rPr>
                <w:rFonts w:ascii="宋体" w:hAnsi="宋体" w:cs="宋体"/>
                <w:sz w:val="22"/>
                <w:highlight w:val="none"/>
                <w:u w:val="single"/>
              </w:rPr>
            </w:pPr>
            <w:r>
              <w:rPr>
                <w:rFonts w:hint="eastAsia" w:ascii="宋体" w:hAnsi="宋体" w:cs="宋体"/>
                <w:sz w:val="22"/>
                <w:highlight w:val="none"/>
                <w:u w:val="single"/>
              </w:rPr>
              <w:t>（2）评标时突发情况的补救方案</w:t>
            </w:r>
          </w:p>
          <w:p>
            <w:pPr>
              <w:spacing w:line="360" w:lineRule="auto"/>
              <w:ind w:firstLine="330" w:firstLineChars="150"/>
              <w:rPr>
                <w:rFonts w:ascii="宋体" w:hAnsi="宋体" w:cs="宋体"/>
                <w:sz w:val="22"/>
                <w:highlight w:val="none"/>
                <w:u w:val="single"/>
              </w:rPr>
            </w:pPr>
            <w:r>
              <w:rPr>
                <w:rFonts w:hint="eastAsia" w:ascii="宋体" w:hAnsi="宋体" w:cs="宋体"/>
                <w:sz w:val="22"/>
                <w:highlight w:val="none"/>
                <w:u w:val="single"/>
              </w:rPr>
              <w:t>若遇不可抗力发生（如：网络瘫痪、服务器损坏、交易系统故障短期无法恢复等因素），由评标委员会开启递交的全部投标文件光盘，并按光盘内容进行评审。</w:t>
            </w:r>
          </w:p>
          <w:p>
            <w:pPr>
              <w:spacing w:line="360" w:lineRule="auto"/>
              <w:rPr>
                <w:rFonts w:ascii="宋体" w:hAnsi="宋体" w:cs="宋体"/>
                <w:sz w:val="22"/>
                <w:highlight w:val="none"/>
                <w:u w:val="single"/>
              </w:rPr>
            </w:pPr>
            <w:r>
              <w:rPr>
                <w:rFonts w:hint="eastAsia" w:ascii="宋体" w:hAnsi="宋体" w:cs="宋体"/>
                <w:sz w:val="22"/>
                <w:highlight w:val="none"/>
                <w:u w:val="single"/>
              </w:rPr>
              <w:t>（3）除发生上述情况外，开标评标均以投标人通过交易平台网上递交的电子投标文件为准。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4" w:hRule="atLeast"/>
          <w:jc w:val="center"/>
        </w:trPr>
        <w:tc>
          <w:tcPr>
            <w:tcW w:w="959"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10</w:t>
            </w:r>
          </w:p>
        </w:tc>
        <w:tc>
          <w:tcPr>
            <w:tcW w:w="3118" w:type="dxa"/>
            <w:vAlign w:val="center"/>
          </w:tcPr>
          <w:p>
            <w:pPr>
              <w:snapToGrid w:val="0"/>
              <w:spacing w:line="360" w:lineRule="auto"/>
              <w:jc w:val="center"/>
              <w:rPr>
                <w:rFonts w:ascii="宋体" w:hAnsi="宋体" w:cs="宋体"/>
                <w:sz w:val="22"/>
                <w:highlight w:val="none"/>
              </w:rPr>
            </w:pPr>
            <w:r>
              <w:rPr>
                <w:rFonts w:hint="eastAsia" w:ascii="宋体" w:hAnsi="宋体" w:cs="宋体"/>
                <w:sz w:val="22"/>
                <w:highlight w:val="none"/>
              </w:rPr>
              <w:t>需要补充的其他内容</w:t>
            </w:r>
          </w:p>
        </w:tc>
        <w:tc>
          <w:tcPr>
            <w:tcW w:w="5954" w:type="dxa"/>
            <w:vAlign w:val="center"/>
          </w:tcPr>
          <w:p>
            <w:pPr>
              <w:keepNext/>
              <w:keepLines/>
              <w:snapToGrid w:val="0"/>
              <w:spacing w:line="360" w:lineRule="auto"/>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8" w:hRule="atLeast"/>
          <w:jc w:val="center"/>
        </w:trPr>
        <w:tc>
          <w:tcPr>
            <w:tcW w:w="959" w:type="dxa"/>
            <w:vAlign w:val="center"/>
          </w:tcPr>
          <w:p>
            <w:pPr>
              <w:snapToGrid w:val="0"/>
              <w:spacing w:line="360" w:lineRule="auto"/>
              <w:jc w:val="center"/>
              <w:rPr>
                <w:rFonts w:ascii="宋体" w:hAnsi="宋体" w:cs="宋体"/>
                <w:sz w:val="22"/>
                <w:highlight w:val="none"/>
                <w:u w:val="single"/>
              </w:rPr>
            </w:pPr>
            <w:r>
              <w:rPr>
                <w:rFonts w:hint="eastAsia" w:ascii="宋体" w:hAnsi="宋体" w:cs="宋体"/>
                <w:sz w:val="22"/>
                <w:highlight w:val="none"/>
                <w:u w:val="single"/>
              </w:rPr>
              <w:t>10.1</w:t>
            </w:r>
          </w:p>
        </w:tc>
        <w:tc>
          <w:tcPr>
            <w:tcW w:w="3118" w:type="dxa"/>
            <w:vAlign w:val="center"/>
          </w:tcPr>
          <w:p>
            <w:pPr>
              <w:snapToGrid w:val="0"/>
              <w:spacing w:line="360" w:lineRule="auto"/>
              <w:jc w:val="center"/>
              <w:rPr>
                <w:rFonts w:ascii="宋体" w:hAnsi="宋体" w:cs="宋体"/>
                <w:sz w:val="22"/>
                <w:highlight w:val="none"/>
                <w:u w:val="single"/>
              </w:rPr>
            </w:pPr>
            <w:r>
              <w:rPr>
                <w:rFonts w:hint="eastAsia" w:ascii="宋体" w:hAnsi="宋体" w:cs="宋体"/>
                <w:sz w:val="22"/>
                <w:highlight w:val="none"/>
                <w:u w:val="single"/>
              </w:rPr>
              <w:t>特别提示</w:t>
            </w:r>
          </w:p>
        </w:tc>
        <w:tc>
          <w:tcPr>
            <w:tcW w:w="5954" w:type="dxa"/>
            <w:vAlign w:val="center"/>
          </w:tcPr>
          <w:p>
            <w:pPr>
              <w:widowControl/>
              <w:spacing w:line="360" w:lineRule="auto"/>
              <w:jc w:val="left"/>
              <w:rPr>
                <w:rFonts w:ascii="宋体" w:hAnsi="宋体" w:cs="宋体"/>
                <w:sz w:val="22"/>
                <w:highlight w:val="none"/>
                <w:u w:val="single"/>
              </w:rPr>
            </w:pPr>
            <w:r>
              <w:rPr>
                <w:rFonts w:hint="eastAsia" w:ascii="宋体" w:hAnsi="宋体" w:cs="宋体"/>
                <w:sz w:val="22"/>
                <w:highlight w:val="none"/>
                <w:u w:val="single"/>
              </w:rPr>
              <w:t>投标人在本项目招标人的工程项目中存在下列行为的，将被拒绝3个月内参与我单位后续投标。</w:t>
            </w:r>
          </w:p>
          <w:p>
            <w:pPr>
              <w:spacing w:line="276" w:lineRule="auto"/>
              <w:jc w:val="left"/>
              <w:rPr>
                <w:rFonts w:ascii="宋体" w:hAnsi="宋体"/>
                <w:sz w:val="22"/>
                <w:highlight w:val="none"/>
                <w:u w:val="single"/>
              </w:rPr>
            </w:pPr>
            <w:r>
              <w:rPr>
                <w:rFonts w:hint="eastAsia" w:ascii="宋体" w:hAnsi="宋体"/>
                <w:sz w:val="22"/>
                <w:highlight w:val="none"/>
                <w:u w:val="single"/>
              </w:rPr>
              <w:t>1.将中标工程转包或者违法分包的；</w:t>
            </w:r>
          </w:p>
          <w:p>
            <w:pPr>
              <w:spacing w:line="276" w:lineRule="auto"/>
              <w:jc w:val="left"/>
              <w:rPr>
                <w:rFonts w:ascii="宋体" w:hAnsi="宋体"/>
                <w:sz w:val="22"/>
                <w:highlight w:val="none"/>
                <w:u w:val="single"/>
              </w:rPr>
            </w:pPr>
            <w:r>
              <w:rPr>
                <w:rFonts w:hint="eastAsia" w:ascii="宋体" w:hAnsi="宋体"/>
                <w:sz w:val="22"/>
                <w:highlight w:val="none"/>
                <w:u w:val="single"/>
              </w:rPr>
              <w:t>2.在中标工程中不执行质量、安全生产相关规定的，造成质量或安全事故的；</w:t>
            </w:r>
          </w:p>
          <w:p>
            <w:pPr>
              <w:spacing w:line="276" w:lineRule="auto"/>
              <w:jc w:val="left"/>
              <w:rPr>
                <w:rFonts w:ascii="宋体" w:hAnsi="宋体"/>
                <w:sz w:val="22"/>
                <w:highlight w:val="none"/>
                <w:u w:val="single"/>
              </w:rPr>
            </w:pPr>
            <w:r>
              <w:rPr>
                <w:rFonts w:hint="eastAsia" w:ascii="宋体" w:hAnsi="宋体"/>
                <w:sz w:val="22"/>
                <w:highlight w:val="none"/>
                <w:u w:val="single"/>
              </w:rPr>
              <w:t>3.存在围标或串标情形的；</w:t>
            </w:r>
          </w:p>
          <w:p>
            <w:pPr>
              <w:spacing w:line="276" w:lineRule="auto"/>
              <w:jc w:val="left"/>
              <w:rPr>
                <w:rFonts w:ascii="宋体" w:hAnsi="宋体"/>
                <w:sz w:val="22"/>
                <w:highlight w:val="none"/>
                <w:u w:val="single"/>
              </w:rPr>
            </w:pPr>
            <w:r>
              <w:rPr>
                <w:rFonts w:hint="eastAsia" w:ascii="宋体" w:hAnsi="宋体"/>
                <w:sz w:val="22"/>
                <w:highlight w:val="none"/>
                <w:u w:val="single"/>
              </w:rPr>
              <w:t>4.在投标文件中提供虚假材料的；</w:t>
            </w:r>
          </w:p>
          <w:p>
            <w:pPr>
              <w:spacing w:line="360" w:lineRule="auto"/>
              <w:jc w:val="left"/>
              <w:rPr>
                <w:rFonts w:ascii="宋体" w:hAnsi="宋体" w:cs="宋体"/>
                <w:sz w:val="22"/>
                <w:highlight w:val="none"/>
                <w:u w:val="single"/>
              </w:rPr>
            </w:pPr>
            <w:r>
              <w:rPr>
                <w:rFonts w:hint="eastAsia" w:ascii="宋体" w:hAnsi="宋体"/>
                <w:sz w:val="22"/>
                <w:highlight w:val="none"/>
                <w:u w:val="single"/>
              </w:rPr>
              <w:t>5.存在行贿情形的。</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8" w:hRule="atLeast"/>
          <w:jc w:val="center"/>
        </w:trPr>
        <w:tc>
          <w:tcPr>
            <w:tcW w:w="959" w:type="dxa"/>
            <w:vAlign w:val="center"/>
          </w:tcPr>
          <w:p>
            <w:pPr>
              <w:snapToGrid w:val="0"/>
              <w:spacing w:line="276" w:lineRule="auto"/>
              <w:jc w:val="center"/>
              <w:rPr>
                <w:rFonts w:ascii="宋体" w:hAnsi="宋体" w:cs="宋体"/>
                <w:sz w:val="22"/>
                <w:highlight w:val="none"/>
              </w:rPr>
            </w:pPr>
            <w:r>
              <w:rPr>
                <w:rFonts w:ascii="宋体" w:hAnsi="宋体"/>
                <w:sz w:val="22"/>
                <w:highlight w:val="none"/>
                <w:u w:val="single"/>
              </w:rPr>
              <w:t>10.</w:t>
            </w:r>
            <w:r>
              <w:rPr>
                <w:rFonts w:hint="eastAsia" w:ascii="宋体" w:hAnsi="宋体"/>
                <w:sz w:val="22"/>
                <w:highlight w:val="none"/>
                <w:u w:val="single"/>
              </w:rPr>
              <w:t>2</w:t>
            </w:r>
          </w:p>
        </w:tc>
        <w:tc>
          <w:tcPr>
            <w:tcW w:w="3118" w:type="dxa"/>
            <w:vAlign w:val="center"/>
          </w:tcPr>
          <w:p>
            <w:pPr>
              <w:widowControl/>
              <w:shd w:val="clear" w:color="auto" w:fill="FFFFFF"/>
              <w:adjustRightInd w:val="0"/>
              <w:spacing w:line="276" w:lineRule="auto"/>
              <w:jc w:val="center"/>
              <w:rPr>
                <w:rFonts w:ascii="宋体" w:hAnsi="宋体" w:cs="宋体"/>
                <w:sz w:val="22"/>
                <w:highlight w:val="none"/>
              </w:rPr>
            </w:pPr>
            <w:r>
              <w:rPr>
                <w:rFonts w:hint="eastAsia" w:ascii="宋体" w:hAnsi="宋体"/>
                <w:sz w:val="22"/>
                <w:highlight w:val="none"/>
                <w:u w:val="single"/>
              </w:rPr>
              <w:t>招标失败情形</w:t>
            </w:r>
          </w:p>
        </w:tc>
        <w:tc>
          <w:tcPr>
            <w:tcW w:w="5954" w:type="dxa"/>
            <w:vAlign w:val="center"/>
          </w:tcPr>
          <w:p>
            <w:pPr>
              <w:spacing w:line="276" w:lineRule="auto"/>
              <w:ind w:left="1" w:hanging="1"/>
              <w:rPr>
                <w:rFonts w:ascii="宋体" w:hAnsi="宋体" w:cs="宋体"/>
                <w:sz w:val="22"/>
                <w:highlight w:val="none"/>
              </w:rPr>
            </w:pPr>
            <w:r>
              <w:rPr>
                <w:rFonts w:hint="eastAsia" w:ascii="宋体" w:hAnsi="宋体"/>
                <w:sz w:val="22"/>
                <w:highlight w:val="none"/>
                <w:u w:val="single"/>
              </w:rPr>
              <w:t>本项目采用资格后审方式。若投标登记或递交投标文件或通过初步评审（含形式评审、资格评审、响应性评审）的合格投标人不足3家的，则该项目招标失败。招标人分析招标失败原因，修正招标方案，重新组织招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8" w:hRule="atLeast"/>
          <w:jc w:val="center"/>
        </w:trPr>
        <w:tc>
          <w:tcPr>
            <w:tcW w:w="959" w:type="dxa"/>
            <w:vAlign w:val="center"/>
          </w:tcPr>
          <w:p>
            <w:pPr>
              <w:snapToGrid w:val="0"/>
              <w:spacing w:line="276" w:lineRule="auto"/>
              <w:jc w:val="center"/>
              <w:rPr>
                <w:rFonts w:ascii="宋体" w:hAnsi="宋体" w:cs="宋体"/>
                <w:sz w:val="22"/>
                <w:highlight w:val="none"/>
              </w:rPr>
            </w:pPr>
            <w:r>
              <w:rPr>
                <w:rFonts w:ascii="宋体" w:hAnsi="宋体"/>
                <w:sz w:val="22"/>
                <w:highlight w:val="none"/>
                <w:u w:val="single"/>
              </w:rPr>
              <w:t>10.</w:t>
            </w:r>
            <w:r>
              <w:rPr>
                <w:rFonts w:hint="eastAsia" w:ascii="宋体" w:hAnsi="宋体"/>
                <w:sz w:val="22"/>
                <w:highlight w:val="none"/>
                <w:u w:val="single"/>
              </w:rPr>
              <w:t>3</w:t>
            </w:r>
          </w:p>
        </w:tc>
        <w:tc>
          <w:tcPr>
            <w:tcW w:w="3118" w:type="dxa"/>
            <w:vAlign w:val="center"/>
          </w:tcPr>
          <w:p>
            <w:pPr>
              <w:spacing w:line="276" w:lineRule="auto"/>
              <w:jc w:val="center"/>
              <w:rPr>
                <w:rFonts w:ascii="宋体" w:hAnsi="宋体" w:cs="宋体"/>
                <w:sz w:val="22"/>
                <w:highlight w:val="none"/>
              </w:rPr>
            </w:pPr>
            <w:r>
              <w:rPr>
                <w:rFonts w:hint="eastAsia" w:ascii="宋体" w:hAnsi="宋体"/>
                <w:sz w:val="22"/>
                <w:highlight w:val="none"/>
                <w:u w:val="single"/>
              </w:rPr>
              <w:t>其他费用</w:t>
            </w:r>
          </w:p>
        </w:tc>
        <w:tc>
          <w:tcPr>
            <w:tcW w:w="5954" w:type="dxa"/>
            <w:vAlign w:val="center"/>
          </w:tcPr>
          <w:p>
            <w:pPr>
              <w:spacing w:line="276" w:lineRule="auto"/>
              <w:ind w:left="1" w:hanging="1"/>
              <w:rPr>
                <w:rFonts w:ascii="宋体" w:hAnsi="宋体" w:cs="宋体"/>
                <w:strike/>
                <w:sz w:val="22"/>
                <w:highlight w:val="none"/>
              </w:rPr>
            </w:pPr>
            <w:r>
              <w:rPr>
                <w:rFonts w:hint="eastAsia" w:ascii="宋体" w:hAnsi="宋体"/>
                <w:sz w:val="22"/>
                <w:highlight w:val="none"/>
                <w:u w:val="single"/>
              </w:rPr>
              <w:t>交易服务费：中标人按规定，向广州公共资源交易中心缴纳交易服务费。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8" w:hRule="atLeast"/>
          <w:jc w:val="center"/>
        </w:trPr>
        <w:tc>
          <w:tcPr>
            <w:tcW w:w="959" w:type="dxa"/>
            <w:vAlign w:val="center"/>
          </w:tcPr>
          <w:p>
            <w:pPr>
              <w:snapToGrid w:val="0"/>
              <w:spacing w:line="276" w:lineRule="auto"/>
              <w:jc w:val="center"/>
              <w:rPr>
                <w:rFonts w:ascii="宋体" w:hAnsi="宋体" w:cs="宋体"/>
                <w:sz w:val="22"/>
                <w:highlight w:val="none"/>
              </w:rPr>
            </w:pPr>
            <w:r>
              <w:rPr>
                <w:rFonts w:ascii="宋体" w:hAnsi="宋体"/>
                <w:sz w:val="22"/>
                <w:highlight w:val="none"/>
                <w:u w:val="single"/>
              </w:rPr>
              <w:t>10.</w:t>
            </w:r>
            <w:r>
              <w:rPr>
                <w:rFonts w:hint="eastAsia" w:ascii="宋体" w:hAnsi="宋体"/>
                <w:sz w:val="22"/>
                <w:highlight w:val="none"/>
                <w:u w:val="single"/>
              </w:rPr>
              <w:t>4</w:t>
            </w:r>
          </w:p>
        </w:tc>
        <w:tc>
          <w:tcPr>
            <w:tcW w:w="3118" w:type="dxa"/>
            <w:vAlign w:val="center"/>
          </w:tcPr>
          <w:p>
            <w:pPr>
              <w:spacing w:line="276" w:lineRule="auto"/>
              <w:jc w:val="center"/>
              <w:rPr>
                <w:rFonts w:ascii="宋体" w:hAnsi="宋体" w:cs="宋体"/>
                <w:sz w:val="22"/>
                <w:highlight w:val="none"/>
              </w:rPr>
            </w:pPr>
            <w:r>
              <w:rPr>
                <w:rFonts w:hint="eastAsia" w:ascii="宋体" w:hAnsi="宋体"/>
                <w:sz w:val="22"/>
                <w:highlight w:val="none"/>
                <w:u w:val="single"/>
              </w:rPr>
              <w:t>招标人拒绝接收其投标文件备用光盘情况</w:t>
            </w:r>
          </w:p>
        </w:tc>
        <w:tc>
          <w:tcPr>
            <w:tcW w:w="5954" w:type="dxa"/>
            <w:vAlign w:val="center"/>
          </w:tcPr>
          <w:p>
            <w:pPr>
              <w:spacing w:line="276" w:lineRule="auto"/>
              <w:ind w:left="1" w:hanging="1"/>
              <w:rPr>
                <w:rFonts w:ascii="宋体" w:hAnsi="宋体"/>
                <w:sz w:val="22"/>
                <w:highlight w:val="none"/>
                <w:u w:val="single"/>
              </w:rPr>
            </w:pPr>
            <w:r>
              <w:rPr>
                <w:rFonts w:hint="eastAsia" w:ascii="宋体" w:hAnsi="宋体"/>
                <w:sz w:val="22"/>
                <w:highlight w:val="none"/>
                <w:u w:val="single"/>
              </w:rPr>
              <w:t>1、投标人在投标截止期后逾期或未在指定地点递交备用投标文件电子光盘的；</w:t>
            </w:r>
          </w:p>
          <w:p>
            <w:pPr>
              <w:spacing w:line="276" w:lineRule="auto"/>
              <w:ind w:left="1" w:hanging="1"/>
              <w:rPr>
                <w:rFonts w:ascii="宋体" w:hAnsi="宋体" w:cs="宋体"/>
                <w:sz w:val="22"/>
                <w:highlight w:val="none"/>
              </w:rPr>
            </w:pPr>
            <w:r>
              <w:rPr>
                <w:rFonts w:hint="eastAsia" w:ascii="宋体" w:hAnsi="宋体"/>
                <w:sz w:val="22"/>
                <w:highlight w:val="none"/>
                <w:u w:val="single"/>
              </w:rPr>
              <w:t>2、投标人递交的备用投标文件电子光盘未按招标文件要求密封或未在密封处盖章的；</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8" w:hRule="atLeast"/>
          <w:jc w:val="center"/>
        </w:trPr>
        <w:tc>
          <w:tcPr>
            <w:tcW w:w="959" w:type="dxa"/>
            <w:vAlign w:val="center"/>
          </w:tcPr>
          <w:p>
            <w:pPr>
              <w:adjustRightInd w:val="0"/>
              <w:snapToGrid w:val="0"/>
              <w:spacing w:line="320" w:lineRule="atLeast"/>
              <w:jc w:val="center"/>
              <w:rPr>
                <w:rFonts w:ascii="宋体" w:hAnsi="宋体"/>
                <w:sz w:val="22"/>
                <w:szCs w:val="22"/>
                <w:highlight w:val="none"/>
                <w:u w:val="single"/>
              </w:rPr>
            </w:pPr>
            <w:r>
              <w:rPr>
                <w:rFonts w:hint="eastAsia" w:ascii="宋体" w:hAnsi="宋体" w:cs="宋体"/>
                <w:sz w:val="22"/>
                <w:szCs w:val="22"/>
                <w:highlight w:val="none"/>
                <w:u w:val="single"/>
              </w:rPr>
              <w:t>10.5</w:t>
            </w:r>
          </w:p>
        </w:tc>
        <w:tc>
          <w:tcPr>
            <w:tcW w:w="3118" w:type="dxa"/>
            <w:vAlign w:val="center"/>
          </w:tcPr>
          <w:p>
            <w:pPr>
              <w:adjustRightInd w:val="0"/>
              <w:snapToGrid w:val="0"/>
              <w:spacing w:line="320" w:lineRule="atLeast"/>
              <w:jc w:val="center"/>
              <w:rPr>
                <w:rFonts w:ascii="宋体" w:hAnsi="宋体"/>
                <w:sz w:val="22"/>
                <w:szCs w:val="22"/>
                <w:highlight w:val="none"/>
                <w:u w:val="single"/>
              </w:rPr>
            </w:pPr>
            <w:r>
              <w:rPr>
                <w:rFonts w:hint="eastAsia" w:ascii="宋体" w:hAnsi="宋体" w:cs="宋体"/>
                <w:sz w:val="22"/>
                <w:szCs w:val="22"/>
                <w:highlight w:val="none"/>
                <w:u w:val="single"/>
              </w:rPr>
              <w:t>投标人是否参加开标</w:t>
            </w:r>
          </w:p>
        </w:tc>
        <w:tc>
          <w:tcPr>
            <w:tcW w:w="5954" w:type="dxa"/>
            <w:vAlign w:val="center"/>
          </w:tcPr>
          <w:p>
            <w:pPr>
              <w:adjustRightInd w:val="0"/>
              <w:snapToGrid w:val="0"/>
              <w:spacing w:line="320" w:lineRule="atLeast"/>
              <w:rPr>
                <w:rFonts w:ascii="宋体" w:hAnsi="宋体"/>
                <w:sz w:val="22"/>
                <w:szCs w:val="22"/>
                <w:highlight w:val="none"/>
                <w:u w:val="single"/>
              </w:rPr>
            </w:pPr>
            <w:r>
              <w:rPr>
                <w:rFonts w:hint="eastAsia" w:ascii="宋体" w:hAnsi="宋体" w:cs="宋体"/>
                <w:sz w:val="22"/>
                <w:szCs w:val="22"/>
                <w:highlight w:val="none"/>
                <w:u w:val="single"/>
              </w:rPr>
              <w:t>开标时，投标人代表有权出席开标会，也可以自主决定不参加开标会，若投标人代表对开标过程提出异议，该投标人代表须同时出示本人身份证原件。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959" w:type="dxa"/>
            <w:vAlign w:val="center"/>
          </w:tcPr>
          <w:p>
            <w:pPr>
              <w:adjustRightInd w:val="0"/>
              <w:snapToGrid w:val="0"/>
              <w:spacing w:line="320" w:lineRule="atLeast"/>
              <w:jc w:val="center"/>
              <w:rPr>
                <w:rFonts w:ascii="宋体" w:hAnsi="宋体" w:cs="宋体"/>
                <w:sz w:val="22"/>
                <w:szCs w:val="22"/>
                <w:highlight w:val="none"/>
                <w:u w:val="single"/>
              </w:rPr>
            </w:pPr>
            <w:r>
              <w:rPr>
                <w:rFonts w:hint="eastAsia" w:ascii="宋体" w:hAnsi="宋体" w:cs="宋体"/>
                <w:sz w:val="22"/>
                <w:szCs w:val="22"/>
                <w:highlight w:val="none"/>
                <w:u w:val="single"/>
              </w:rPr>
              <w:t>10.6</w:t>
            </w:r>
          </w:p>
        </w:tc>
        <w:tc>
          <w:tcPr>
            <w:tcW w:w="3118" w:type="dxa"/>
            <w:vAlign w:val="center"/>
          </w:tcPr>
          <w:p>
            <w:pPr>
              <w:adjustRightInd w:val="0"/>
              <w:snapToGrid w:val="0"/>
              <w:spacing w:line="320" w:lineRule="atLeast"/>
              <w:jc w:val="center"/>
              <w:rPr>
                <w:rFonts w:ascii="宋体" w:hAnsi="宋体" w:cs="宋体"/>
                <w:sz w:val="22"/>
                <w:szCs w:val="22"/>
                <w:highlight w:val="none"/>
                <w:u w:val="single"/>
              </w:rPr>
            </w:pPr>
            <w:r>
              <w:rPr>
                <w:rFonts w:hint="eastAsia" w:ascii="宋体" w:hAnsi="宋体" w:cs="宋体"/>
                <w:sz w:val="22"/>
                <w:szCs w:val="22"/>
                <w:highlight w:val="none"/>
                <w:u w:val="single"/>
              </w:rPr>
              <w:t>其他</w:t>
            </w:r>
          </w:p>
        </w:tc>
        <w:tc>
          <w:tcPr>
            <w:tcW w:w="5954" w:type="dxa"/>
            <w:vAlign w:val="center"/>
          </w:tcPr>
          <w:p>
            <w:pPr>
              <w:adjustRightInd w:val="0"/>
              <w:snapToGrid w:val="0"/>
              <w:spacing w:line="320" w:lineRule="atLeast"/>
              <w:rPr>
                <w:rFonts w:ascii="宋体" w:hAnsi="宋体" w:cs="宋体"/>
                <w:sz w:val="22"/>
                <w:szCs w:val="22"/>
                <w:highlight w:val="none"/>
              </w:rPr>
            </w:pPr>
            <w:r>
              <w:rPr>
                <w:rFonts w:hint="eastAsia" w:ascii="宋体" w:hAnsi="宋体" w:cs="宋体"/>
                <w:sz w:val="22"/>
                <w:szCs w:val="22"/>
                <w:highlight w:val="none"/>
              </w:rPr>
              <w:t>1.在产生中标候选人后，招标人将中标候选人的投标文件商务部分的电子版（报价清单、方案等涉及商业秘密的内容除外）在广州公共资源交易中心网站公开。</w:t>
            </w:r>
          </w:p>
          <w:p>
            <w:pPr>
              <w:adjustRightInd w:val="0"/>
              <w:snapToGrid w:val="0"/>
              <w:spacing w:line="320" w:lineRule="atLeast"/>
              <w:rPr>
                <w:rFonts w:ascii="宋体" w:hAnsi="宋体" w:cs="宋体"/>
                <w:sz w:val="22"/>
                <w:szCs w:val="22"/>
                <w:highlight w:val="none"/>
              </w:rPr>
            </w:pPr>
            <w:r>
              <w:rPr>
                <w:rFonts w:hint="eastAsia" w:ascii="宋体" w:hAnsi="宋体" w:cs="宋体"/>
                <w:sz w:val="22"/>
                <w:szCs w:val="22"/>
                <w:highlight w:val="none"/>
              </w:rPr>
              <w:t>2.招标公告、招标文件、答疑纪要等招标资料全部发布在广州公共资源交易中心网站，由投标人自行下载查阅。</w:t>
            </w:r>
          </w:p>
          <w:p>
            <w:pPr>
              <w:adjustRightInd w:val="0"/>
              <w:snapToGrid w:val="0"/>
              <w:spacing w:line="320" w:lineRule="atLeast"/>
              <w:rPr>
                <w:rFonts w:ascii="宋体" w:hAnsi="宋体" w:cs="宋体"/>
                <w:sz w:val="22"/>
                <w:szCs w:val="22"/>
                <w:highlight w:val="none"/>
              </w:rPr>
            </w:pPr>
            <w:r>
              <w:rPr>
                <w:rFonts w:hint="eastAsia" w:ascii="宋体" w:hAnsi="宋体" w:cs="宋体"/>
                <w:sz w:val="22"/>
                <w:szCs w:val="22"/>
                <w:highlight w:val="none"/>
              </w:rPr>
              <w:t>3.投标截止时间、开标时间和地点：可通过广州公共资源交易中心网站查询具体的时间和场地安排。投标人可登录广州公共资源交易中心网站首页，点击“交易业务-建设工程”专栏中的“项目查询（日程安排、答疑纪要）”，输入项目编号或项目名称查询最新信息。递交投标文件截止时间及开标时间是否有变化，请密切留意广州公共资源交易中心网站的相关信息。</w:t>
            </w:r>
          </w:p>
          <w:p>
            <w:pPr>
              <w:adjustRightInd w:val="0"/>
              <w:snapToGrid w:val="0"/>
              <w:spacing w:line="320" w:lineRule="atLeast"/>
              <w:rPr>
                <w:rFonts w:ascii="宋体" w:hAnsi="宋体" w:cs="宋体"/>
                <w:sz w:val="22"/>
                <w:szCs w:val="22"/>
                <w:highlight w:val="none"/>
              </w:rPr>
            </w:pPr>
            <w:r>
              <w:rPr>
                <w:rFonts w:hint="eastAsia" w:ascii="宋体" w:hAnsi="宋体" w:cs="宋体"/>
                <w:sz w:val="22"/>
                <w:szCs w:val="22"/>
                <w:highlight w:val="none"/>
              </w:rPr>
              <w:t>4．中标单位在中标通知书发出后3个工作日内，补送一正一副正式书面投标文件（加盖公章）及电子文件光盘给招标人。</w:t>
            </w:r>
          </w:p>
        </w:tc>
      </w:tr>
    </w:tbl>
    <w:p>
      <w:pPr>
        <w:keepNext/>
        <w:keepLines/>
        <w:spacing w:line="578" w:lineRule="auto"/>
        <w:jc w:val="center"/>
        <w:outlineLvl w:val="1"/>
        <w:rPr>
          <w:rFonts w:ascii="宋体" w:hAnsi="宋体" w:cs="宋体"/>
          <w:b/>
          <w:bCs/>
          <w:kern w:val="44"/>
          <w:sz w:val="44"/>
          <w:szCs w:val="44"/>
          <w:highlight w:val="none"/>
        </w:rPr>
      </w:pPr>
      <w:r>
        <w:rPr>
          <w:rFonts w:hint="eastAsia" w:ascii="宋体" w:hAnsi="宋体" w:cs="宋体"/>
          <w:b/>
          <w:bCs/>
          <w:kern w:val="44"/>
          <w:sz w:val="44"/>
          <w:szCs w:val="44"/>
          <w:highlight w:val="none"/>
        </w:rPr>
        <w:br w:type="page"/>
      </w:r>
      <w:bookmarkStart w:id="35" w:name="_Toc38224838"/>
      <w:bookmarkStart w:id="36" w:name="_Toc532367872"/>
      <w:bookmarkStart w:id="37" w:name="_Toc7730"/>
      <w:bookmarkStart w:id="38" w:name="_Toc21141"/>
      <w:bookmarkStart w:id="39" w:name="_Toc22854"/>
      <w:bookmarkStart w:id="40" w:name="_Toc16349"/>
      <w:bookmarkStart w:id="41" w:name="_Toc304808641"/>
      <w:bookmarkStart w:id="42" w:name="_Toc377719898"/>
      <w:r>
        <w:rPr>
          <w:rFonts w:hint="eastAsia" w:ascii="宋体" w:hAnsi="宋体" w:cs="宋体"/>
          <w:b/>
          <w:bCs/>
          <w:kern w:val="44"/>
          <w:sz w:val="36"/>
          <w:szCs w:val="36"/>
          <w:highlight w:val="none"/>
        </w:rPr>
        <w:t>投标人须知</w:t>
      </w:r>
      <w:bookmarkEnd w:id="35"/>
      <w:bookmarkEnd w:id="36"/>
      <w:bookmarkEnd w:id="37"/>
      <w:bookmarkEnd w:id="38"/>
    </w:p>
    <w:p>
      <w:pPr>
        <w:keepNext/>
        <w:keepLines/>
        <w:spacing w:before="240" w:after="240" w:line="416" w:lineRule="auto"/>
        <w:jc w:val="left"/>
        <w:outlineLvl w:val="1"/>
        <w:rPr>
          <w:rFonts w:ascii="宋体" w:hAnsi="宋体" w:cs="宋体"/>
          <w:b/>
          <w:bCs/>
          <w:sz w:val="40"/>
          <w:szCs w:val="32"/>
          <w:highlight w:val="none"/>
        </w:rPr>
      </w:pPr>
      <w:bookmarkStart w:id="43" w:name="_Toc38224839"/>
      <w:bookmarkStart w:id="44" w:name="_Toc9352"/>
      <w:bookmarkStart w:id="45" w:name="_Toc8300"/>
      <w:bookmarkStart w:id="46" w:name="_Toc7950"/>
      <w:bookmarkStart w:id="47" w:name="_Toc6964"/>
      <w:bookmarkStart w:id="48" w:name="_Toc13865"/>
      <w:bookmarkStart w:id="49" w:name="_Toc29394"/>
      <w:bookmarkStart w:id="50" w:name="_Toc32719"/>
      <w:bookmarkStart w:id="51" w:name="_Toc377719900"/>
      <w:bookmarkStart w:id="52" w:name="_Toc27896"/>
      <w:bookmarkStart w:id="53" w:name="_Toc532367873"/>
      <w:bookmarkStart w:id="54" w:name="_Toc21041"/>
      <w:bookmarkStart w:id="55" w:name="_Toc31905"/>
      <w:r>
        <w:rPr>
          <w:rFonts w:hint="eastAsia" w:ascii="宋体" w:hAnsi="宋体" w:cs="宋体"/>
          <w:b/>
          <w:bCs/>
          <w:sz w:val="40"/>
          <w:szCs w:val="32"/>
          <w:highlight w:val="none"/>
        </w:rPr>
        <w:t>1.总则</w:t>
      </w:r>
      <w:bookmarkEnd w:id="43"/>
      <w:bookmarkEnd w:id="44"/>
      <w:bookmarkEnd w:id="45"/>
      <w:bookmarkEnd w:id="46"/>
      <w:bookmarkEnd w:id="47"/>
      <w:bookmarkEnd w:id="48"/>
      <w:bookmarkEnd w:id="49"/>
      <w:bookmarkEnd w:id="50"/>
      <w:bookmarkEnd w:id="51"/>
      <w:bookmarkEnd w:id="52"/>
      <w:bookmarkEnd w:id="53"/>
      <w:bookmarkEnd w:id="54"/>
      <w:bookmarkEnd w:id="55"/>
    </w:p>
    <w:p>
      <w:pPr>
        <w:keepNext/>
        <w:keepLines/>
        <w:spacing w:before="120" w:after="120" w:line="360" w:lineRule="auto"/>
        <w:outlineLvl w:val="2"/>
        <w:rPr>
          <w:rFonts w:ascii="宋体" w:hAnsi="宋体" w:cs="宋体"/>
          <w:b/>
          <w:bCs/>
          <w:sz w:val="22"/>
          <w:highlight w:val="none"/>
        </w:rPr>
      </w:pPr>
      <w:r>
        <w:rPr>
          <w:rFonts w:hint="eastAsia" w:ascii="宋体" w:hAnsi="宋体" w:cs="宋体"/>
          <w:b/>
          <w:bCs/>
          <w:sz w:val="22"/>
          <w:highlight w:val="none"/>
        </w:rPr>
        <w:t>1.1  招标项目概况</w:t>
      </w:r>
    </w:p>
    <w:p>
      <w:pPr>
        <w:kinsoku w:val="0"/>
        <w:overflowPunct w:val="0"/>
        <w:spacing w:line="360" w:lineRule="auto"/>
        <w:ind w:firstLine="444" w:firstLineChars="202"/>
        <w:jc w:val="left"/>
        <w:rPr>
          <w:rFonts w:ascii="宋体" w:hAnsi="宋体" w:cs="宋体"/>
          <w:sz w:val="22"/>
          <w:highlight w:val="none"/>
        </w:rPr>
      </w:pPr>
      <w:r>
        <w:rPr>
          <w:rFonts w:hint="eastAsia" w:ascii="宋体" w:hAnsi="宋体" w:cs="宋体"/>
          <w:sz w:val="22"/>
          <w:highlight w:val="none"/>
        </w:rPr>
        <w:t>1.1.1根据《中华人民共和国招标投标法》、《中华人民共和国招标投标法实施条例》等有关法律、法规和规章的规定，本招标项目已具备招标条件，现对检</w:t>
      </w:r>
      <w:r>
        <w:rPr>
          <w:rFonts w:hint="eastAsia" w:ascii="宋体" w:hAnsi="宋体" w:cs="宋体"/>
          <w:sz w:val="22"/>
          <w:highlight w:val="none"/>
          <w:lang w:eastAsia="zh-CN"/>
        </w:rPr>
        <w:t>测</w:t>
      </w:r>
      <w:r>
        <w:rPr>
          <w:rFonts w:hint="eastAsia" w:ascii="宋体" w:hAnsi="宋体" w:cs="宋体"/>
          <w:sz w:val="22"/>
          <w:highlight w:val="none"/>
        </w:rPr>
        <w:t>服务进行招标。</w:t>
      </w:r>
    </w:p>
    <w:p>
      <w:pPr>
        <w:kinsoku w:val="0"/>
        <w:overflowPunct w:val="0"/>
        <w:spacing w:line="360" w:lineRule="auto"/>
        <w:ind w:firstLine="444" w:firstLineChars="202"/>
        <w:jc w:val="left"/>
        <w:rPr>
          <w:rFonts w:ascii="宋体" w:hAnsi="宋体" w:cs="宋体"/>
          <w:sz w:val="22"/>
          <w:highlight w:val="none"/>
        </w:rPr>
      </w:pPr>
      <w:r>
        <w:rPr>
          <w:rFonts w:hint="eastAsia" w:ascii="宋体" w:hAnsi="宋体" w:cs="宋体"/>
          <w:sz w:val="22"/>
          <w:highlight w:val="none"/>
        </w:rPr>
        <w:t>1.1.2招标人：见投标人须知前附表。</w:t>
      </w:r>
    </w:p>
    <w:p>
      <w:pPr>
        <w:kinsoku w:val="0"/>
        <w:overflowPunct w:val="0"/>
        <w:spacing w:line="360" w:lineRule="auto"/>
        <w:ind w:firstLine="444" w:firstLineChars="202"/>
        <w:jc w:val="left"/>
        <w:rPr>
          <w:rFonts w:ascii="宋体" w:hAnsi="宋体" w:cs="宋体"/>
          <w:sz w:val="22"/>
          <w:highlight w:val="none"/>
        </w:rPr>
      </w:pPr>
      <w:r>
        <w:rPr>
          <w:rFonts w:hint="eastAsia" w:ascii="宋体" w:hAnsi="宋体" w:cs="宋体"/>
          <w:sz w:val="22"/>
          <w:highlight w:val="none"/>
        </w:rPr>
        <w:t>1.1.3招标代理机构：见投标人须知前附表。</w:t>
      </w:r>
    </w:p>
    <w:p>
      <w:pPr>
        <w:kinsoku w:val="0"/>
        <w:overflowPunct w:val="0"/>
        <w:spacing w:line="360" w:lineRule="auto"/>
        <w:ind w:firstLine="444" w:firstLineChars="202"/>
        <w:jc w:val="left"/>
        <w:rPr>
          <w:rFonts w:ascii="宋体" w:hAnsi="宋体" w:cs="宋体"/>
          <w:sz w:val="22"/>
          <w:highlight w:val="none"/>
        </w:rPr>
      </w:pPr>
      <w:r>
        <w:rPr>
          <w:rFonts w:hint="eastAsia" w:ascii="宋体" w:hAnsi="宋体" w:cs="宋体"/>
          <w:sz w:val="22"/>
          <w:highlight w:val="none"/>
        </w:rPr>
        <w:t>1.1.4招标项目名称：见投标人须知前附表。</w:t>
      </w:r>
    </w:p>
    <w:p>
      <w:pPr>
        <w:kinsoku w:val="0"/>
        <w:overflowPunct w:val="0"/>
        <w:spacing w:line="360" w:lineRule="auto"/>
        <w:ind w:firstLine="444" w:firstLineChars="202"/>
        <w:jc w:val="left"/>
        <w:rPr>
          <w:rFonts w:ascii="宋体" w:hAnsi="宋体" w:cs="宋体"/>
          <w:sz w:val="22"/>
          <w:highlight w:val="none"/>
        </w:rPr>
      </w:pPr>
      <w:r>
        <w:rPr>
          <w:rFonts w:hint="eastAsia" w:ascii="宋体" w:hAnsi="宋体" w:cs="宋体"/>
          <w:sz w:val="22"/>
          <w:highlight w:val="none"/>
        </w:rPr>
        <w:t>1.1.5项目建设地点：见投标人须知前附表。</w:t>
      </w:r>
    </w:p>
    <w:p>
      <w:pPr>
        <w:kinsoku w:val="0"/>
        <w:overflowPunct w:val="0"/>
        <w:spacing w:line="360" w:lineRule="auto"/>
        <w:ind w:firstLine="444" w:firstLineChars="202"/>
        <w:jc w:val="left"/>
        <w:rPr>
          <w:rFonts w:ascii="宋体" w:hAnsi="宋体" w:cs="宋体"/>
          <w:sz w:val="22"/>
          <w:highlight w:val="none"/>
        </w:rPr>
      </w:pPr>
      <w:r>
        <w:rPr>
          <w:rFonts w:hint="eastAsia" w:ascii="宋体" w:hAnsi="宋体" w:cs="宋体"/>
          <w:sz w:val="22"/>
          <w:highlight w:val="none"/>
        </w:rPr>
        <w:t>1.1.6项目建设规模：见投标人须知前附表。</w:t>
      </w:r>
    </w:p>
    <w:p>
      <w:pPr>
        <w:kinsoku w:val="0"/>
        <w:overflowPunct w:val="0"/>
        <w:spacing w:line="360" w:lineRule="auto"/>
        <w:ind w:firstLine="444" w:firstLineChars="202"/>
        <w:jc w:val="left"/>
        <w:rPr>
          <w:rFonts w:ascii="宋体" w:hAnsi="宋体" w:cs="宋体"/>
          <w:sz w:val="22"/>
          <w:highlight w:val="none"/>
        </w:rPr>
      </w:pPr>
      <w:r>
        <w:rPr>
          <w:rFonts w:hint="eastAsia" w:ascii="宋体" w:hAnsi="宋体" w:cs="宋体"/>
          <w:sz w:val="22"/>
          <w:highlight w:val="none"/>
        </w:rPr>
        <w:t>1.1.7工程项目施工预计开工日期和建设周期：见投标人须知前附表。</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1.1.8建筑安装工程费/工程概算：见投标人须知前附表。</w:t>
      </w:r>
    </w:p>
    <w:p>
      <w:pPr>
        <w:kinsoku w:val="0"/>
        <w:overflowPunct w:val="0"/>
        <w:spacing w:before="120" w:after="120" w:line="360" w:lineRule="auto"/>
        <w:outlineLvl w:val="2"/>
        <w:rPr>
          <w:rFonts w:ascii="宋体" w:hAnsi="宋体" w:cs="宋体"/>
          <w:b/>
          <w:bCs/>
          <w:sz w:val="22"/>
          <w:highlight w:val="none"/>
        </w:rPr>
      </w:pPr>
      <w:r>
        <w:rPr>
          <w:rFonts w:hint="eastAsia" w:ascii="宋体" w:hAnsi="宋体" w:cs="宋体"/>
          <w:b/>
          <w:bCs/>
          <w:sz w:val="22"/>
          <w:highlight w:val="none"/>
        </w:rPr>
        <w:t>1.2 招标项目的资金来源和落实情况</w:t>
      </w:r>
    </w:p>
    <w:p>
      <w:pPr>
        <w:kinsoku w:val="0"/>
        <w:overflowPunct w:val="0"/>
        <w:spacing w:line="360" w:lineRule="auto"/>
        <w:ind w:firstLine="444" w:firstLineChars="202"/>
        <w:jc w:val="left"/>
        <w:rPr>
          <w:rFonts w:ascii="宋体" w:hAnsi="宋体" w:cs="宋体"/>
          <w:sz w:val="22"/>
          <w:highlight w:val="none"/>
        </w:rPr>
      </w:pPr>
      <w:r>
        <w:rPr>
          <w:rFonts w:hint="eastAsia" w:ascii="宋体" w:hAnsi="宋体" w:cs="宋体"/>
          <w:sz w:val="22"/>
          <w:highlight w:val="none"/>
        </w:rPr>
        <w:t>1.2.1资金来源及比例：见投标人须知前附表。</w:t>
      </w:r>
    </w:p>
    <w:p>
      <w:pPr>
        <w:kinsoku w:val="0"/>
        <w:overflowPunct w:val="0"/>
        <w:spacing w:line="360" w:lineRule="auto"/>
        <w:ind w:firstLine="444" w:firstLineChars="202"/>
        <w:jc w:val="left"/>
        <w:rPr>
          <w:rFonts w:ascii="宋体" w:hAnsi="宋体" w:cs="宋体"/>
          <w:sz w:val="22"/>
          <w:highlight w:val="none"/>
        </w:rPr>
      </w:pPr>
      <w:r>
        <w:rPr>
          <w:rFonts w:hint="eastAsia" w:ascii="宋体" w:hAnsi="宋体" w:cs="宋体"/>
          <w:sz w:val="22"/>
          <w:highlight w:val="none"/>
        </w:rPr>
        <w:t>1.2.2资金落实情况：见投标人须知前附表。</w:t>
      </w:r>
    </w:p>
    <w:p>
      <w:pPr>
        <w:kinsoku w:val="0"/>
        <w:overflowPunct w:val="0"/>
        <w:spacing w:before="120" w:after="120" w:line="360" w:lineRule="auto"/>
        <w:outlineLvl w:val="2"/>
        <w:rPr>
          <w:rFonts w:ascii="宋体" w:hAnsi="宋体" w:cs="宋体"/>
          <w:b/>
          <w:bCs/>
          <w:sz w:val="22"/>
          <w:highlight w:val="none"/>
        </w:rPr>
      </w:pPr>
      <w:r>
        <w:rPr>
          <w:rFonts w:hint="eastAsia" w:ascii="宋体" w:hAnsi="宋体" w:cs="宋体"/>
          <w:b/>
          <w:bCs/>
          <w:sz w:val="22"/>
          <w:highlight w:val="none"/>
        </w:rPr>
        <w:t>1.3 招标内容、服务期限和质量标准</w:t>
      </w:r>
    </w:p>
    <w:p>
      <w:pPr>
        <w:kinsoku w:val="0"/>
        <w:overflowPunct w:val="0"/>
        <w:spacing w:line="360" w:lineRule="auto"/>
        <w:ind w:firstLine="444" w:firstLineChars="202"/>
        <w:jc w:val="left"/>
        <w:rPr>
          <w:rFonts w:ascii="宋体" w:hAnsi="宋体" w:cs="宋体"/>
          <w:sz w:val="22"/>
          <w:highlight w:val="none"/>
        </w:rPr>
      </w:pPr>
      <w:r>
        <w:rPr>
          <w:rFonts w:hint="eastAsia" w:ascii="宋体" w:hAnsi="宋体" w:cs="宋体"/>
          <w:sz w:val="22"/>
          <w:highlight w:val="none"/>
        </w:rPr>
        <w:t>1.3.1招标范围及内容：见投标人须知前附表。</w:t>
      </w:r>
    </w:p>
    <w:p>
      <w:pPr>
        <w:kinsoku w:val="0"/>
        <w:overflowPunct w:val="0"/>
        <w:spacing w:line="360" w:lineRule="auto"/>
        <w:ind w:firstLine="444" w:firstLineChars="202"/>
        <w:jc w:val="left"/>
        <w:rPr>
          <w:rFonts w:ascii="宋体" w:hAnsi="宋体" w:cs="宋体"/>
          <w:sz w:val="22"/>
          <w:highlight w:val="none"/>
        </w:rPr>
      </w:pPr>
      <w:r>
        <w:rPr>
          <w:rFonts w:hint="eastAsia" w:ascii="宋体" w:hAnsi="宋体" w:cs="宋体"/>
          <w:sz w:val="22"/>
          <w:highlight w:val="none"/>
        </w:rPr>
        <w:t>1.3.2服务期：见投标人须知前附表。</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1.3.3质量标准：见投标人须知前附表</w:t>
      </w:r>
    </w:p>
    <w:p>
      <w:pPr>
        <w:kinsoku w:val="0"/>
        <w:overflowPunct w:val="0"/>
        <w:spacing w:before="120" w:after="120" w:line="360" w:lineRule="auto"/>
        <w:outlineLvl w:val="2"/>
        <w:rPr>
          <w:rFonts w:ascii="宋体" w:hAnsi="宋体" w:cs="宋体"/>
          <w:b/>
          <w:bCs/>
          <w:sz w:val="22"/>
          <w:highlight w:val="none"/>
        </w:rPr>
      </w:pPr>
      <w:r>
        <w:rPr>
          <w:rFonts w:hint="eastAsia" w:ascii="宋体" w:hAnsi="宋体" w:cs="宋体"/>
          <w:b/>
          <w:bCs/>
          <w:sz w:val="22"/>
          <w:highlight w:val="none"/>
        </w:rPr>
        <w:t>1.4 投标人资格要求</w:t>
      </w:r>
    </w:p>
    <w:p>
      <w:pPr>
        <w:kinsoku w:val="0"/>
        <w:overflowPunct w:val="0"/>
        <w:spacing w:line="360" w:lineRule="auto"/>
        <w:ind w:firstLine="444" w:firstLineChars="202"/>
        <w:jc w:val="left"/>
        <w:rPr>
          <w:rFonts w:ascii="宋体" w:hAnsi="宋体" w:cs="宋体"/>
          <w:sz w:val="22"/>
          <w:highlight w:val="none"/>
        </w:rPr>
      </w:pPr>
      <w:r>
        <w:rPr>
          <w:rFonts w:hint="eastAsia" w:ascii="宋体" w:hAnsi="宋体" w:cs="宋体"/>
          <w:sz w:val="22"/>
          <w:highlight w:val="none"/>
        </w:rPr>
        <w:t>1.4.1投标人应具备承担本招标项目资质条件、能力和信誉：</w:t>
      </w:r>
    </w:p>
    <w:p>
      <w:pPr>
        <w:kinsoku w:val="0"/>
        <w:overflowPunct w:val="0"/>
        <w:spacing w:line="360" w:lineRule="auto"/>
        <w:ind w:firstLine="444" w:firstLineChars="202"/>
        <w:jc w:val="left"/>
        <w:rPr>
          <w:rFonts w:ascii="宋体" w:hAnsi="宋体" w:cs="宋体"/>
          <w:sz w:val="22"/>
          <w:highlight w:val="none"/>
        </w:rPr>
      </w:pPr>
      <w:r>
        <w:rPr>
          <w:rFonts w:hint="eastAsia" w:ascii="宋体" w:hAnsi="宋体" w:cs="宋体"/>
          <w:sz w:val="22"/>
          <w:highlight w:val="none"/>
        </w:rPr>
        <w:t>（1）资质要求：见投标人须知前附表；</w:t>
      </w:r>
    </w:p>
    <w:p>
      <w:pPr>
        <w:kinsoku w:val="0"/>
        <w:overflowPunct w:val="0"/>
        <w:spacing w:line="360" w:lineRule="auto"/>
        <w:ind w:firstLine="444" w:firstLineChars="202"/>
        <w:jc w:val="left"/>
        <w:rPr>
          <w:rFonts w:ascii="宋体" w:hAnsi="宋体" w:cs="宋体"/>
          <w:sz w:val="22"/>
          <w:highlight w:val="none"/>
        </w:rPr>
      </w:pPr>
      <w:r>
        <w:rPr>
          <w:rFonts w:hint="eastAsia" w:ascii="宋体" w:hAnsi="宋体" w:cs="宋体"/>
          <w:sz w:val="22"/>
          <w:highlight w:val="none"/>
        </w:rPr>
        <w:t>（2）财务要求：见投标人须知前附表；</w:t>
      </w:r>
    </w:p>
    <w:p>
      <w:pPr>
        <w:kinsoku w:val="0"/>
        <w:overflowPunct w:val="0"/>
        <w:spacing w:line="360" w:lineRule="auto"/>
        <w:ind w:firstLine="444" w:firstLineChars="202"/>
        <w:jc w:val="left"/>
        <w:rPr>
          <w:rFonts w:ascii="宋体" w:hAnsi="宋体" w:cs="宋体"/>
          <w:sz w:val="22"/>
          <w:highlight w:val="none"/>
        </w:rPr>
      </w:pPr>
      <w:r>
        <w:rPr>
          <w:rFonts w:hint="eastAsia" w:ascii="宋体" w:hAnsi="宋体" w:cs="宋体"/>
          <w:sz w:val="22"/>
          <w:highlight w:val="none"/>
        </w:rPr>
        <w:t>（3）业绩要求：见投标人须知前附表；</w:t>
      </w:r>
    </w:p>
    <w:p>
      <w:pPr>
        <w:kinsoku w:val="0"/>
        <w:overflowPunct w:val="0"/>
        <w:spacing w:line="360" w:lineRule="auto"/>
        <w:ind w:firstLine="444" w:firstLineChars="202"/>
        <w:jc w:val="left"/>
        <w:rPr>
          <w:rFonts w:ascii="宋体" w:hAnsi="宋体" w:cs="宋体"/>
          <w:sz w:val="22"/>
          <w:highlight w:val="none"/>
        </w:rPr>
      </w:pPr>
      <w:r>
        <w:rPr>
          <w:rFonts w:hint="eastAsia" w:ascii="宋体" w:hAnsi="宋体" w:cs="宋体"/>
          <w:sz w:val="22"/>
          <w:highlight w:val="none"/>
        </w:rPr>
        <w:t>（4）信誉要求：见投标人须知前附表；</w:t>
      </w:r>
    </w:p>
    <w:p>
      <w:pPr>
        <w:kinsoku w:val="0"/>
        <w:overflowPunct w:val="0"/>
        <w:spacing w:line="360" w:lineRule="auto"/>
        <w:ind w:firstLine="444" w:firstLineChars="202"/>
        <w:jc w:val="left"/>
        <w:rPr>
          <w:rFonts w:ascii="宋体" w:hAnsi="宋体" w:cs="宋体"/>
          <w:sz w:val="22"/>
          <w:highlight w:val="none"/>
        </w:rPr>
      </w:pPr>
      <w:r>
        <w:rPr>
          <w:rFonts w:hint="eastAsia" w:ascii="宋体" w:hAnsi="宋体" w:cs="宋体"/>
          <w:sz w:val="22"/>
          <w:highlight w:val="none"/>
        </w:rPr>
        <w:t>（5）项目负责人的资格要求：具体要求见投标人须知前附表；</w:t>
      </w:r>
    </w:p>
    <w:p>
      <w:pPr>
        <w:kinsoku w:val="0"/>
        <w:overflowPunct w:val="0"/>
        <w:spacing w:line="360" w:lineRule="auto"/>
        <w:ind w:firstLine="444" w:firstLineChars="202"/>
        <w:jc w:val="left"/>
        <w:rPr>
          <w:rFonts w:ascii="宋体" w:hAnsi="宋体" w:cs="宋体"/>
          <w:sz w:val="22"/>
          <w:highlight w:val="none"/>
        </w:rPr>
      </w:pPr>
      <w:r>
        <w:rPr>
          <w:rFonts w:hint="eastAsia" w:ascii="宋体" w:hAnsi="宋体" w:cs="宋体"/>
          <w:sz w:val="22"/>
          <w:highlight w:val="none"/>
        </w:rPr>
        <w:t>（6）其他主要人员要求：见投标人须知前附表。</w:t>
      </w:r>
    </w:p>
    <w:p>
      <w:pPr>
        <w:kinsoku w:val="0"/>
        <w:overflowPunct w:val="0"/>
        <w:spacing w:line="360" w:lineRule="auto"/>
        <w:ind w:firstLine="444" w:firstLineChars="202"/>
        <w:jc w:val="left"/>
        <w:rPr>
          <w:rFonts w:ascii="宋体" w:hAnsi="宋体" w:cs="宋体"/>
          <w:sz w:val="22"/>
          <w:highlight w:val="none"/>
        </w:rPr>
      </w:pPr>
      <w:r>
        <w:rPr>
          <w:rFonts w:hint="eastAsia" w:ascii="宋体" w:hAnsi="宋体" w:cs="宋体"/>
          <w:sz w:val="22"/>
          <w:highlight w:val="none"/>
        </w:rPr>
        <w:t>（7）试验检验仪器设备要求：见投标人须知前附表。</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（8）其他要求：见投标人须知前附表。需要提交的相关证明材料见本章第3.5款的规定。</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1.4.2投标人须知前附表规定接受联合体投标的，联合体应符合投标人须知前附表的要求。</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1.4.3投标人不得存在下列情形之一：</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（1）为招标人不具有独立法人资格的附属机构（单位）；</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（2）与招标人存在利害关系且可能影响招标公正性；</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（3）与本招标项目的其他投标人为同一个单位负责人；</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（4）与本招标项目的其他投标人存在控股、管理关系；</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（5）为本招标项目的代建人；</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（6）为本招标项目的招标代理机构；</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（7）与本招标项目的代建人或招标代理机构同为一个法定代表人；</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（8）与本招标项目的代建人或招标代理机构存在控股或参股关系；</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（9）被依法暂停或者取消投标资格；</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（10）被责令停产停业、暂扣或者吊销许可证、暂扣或者吊销执照；</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（11）进入清算程序，或被宣告破产，或其他丧失履约能力的情形；</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（12）在最近三年内发生重大质量问题（以相关行招标人管部门的行政处罚决定或司法机关出具的有关法律文书为准）；</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（13）被工商行政管理机关在全国企业信用信息公示系统中列入严重违法失信企业名单；</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（14）被最高人民法院在“信用中国”网站（www.creditchina.gov.cn）或各级信用信息共享平台中列入失信被执行人名单；</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（15）在近三年内投标人或其法定代表人、拟委任的项目负责人有行贿犯罪行为；</w:t>
      </w:r>
    </w:p>
    <w:p>
      <w:pPr>
        <w:spacing w:line="360" w:lineRule="auto"/>
        <w:ind w:firstLine="444" w:firstLineChars="202"/>
        <w:jc w:val="left"/>
        <w:rPr>
          <w:rFonts w:ascii="宋体" w:hAnsi="宋体" w:cs="宋体"/>
          <w:sz w:val="22"/>
          <w:highlight w:val="none"/>
          <w:u w:val="single"/>
        </w:rPr>
      </w:pPr>
      <w:r>
        <w:rPr>
          <w:rFonts w:hint="eastAsia" w:ascii="宋体" w:hAnsi="宋体" w:cs="宋体"/>
          <w:sz w:val="22"/>
          <w:highlight w:val="none"/>
          <w:u w:val="single"/>
        </w:rPr>
        <w:t>（16）</w:t>
      </w:r>
      <w:r>
        <w:rPr>
          <w:rFonts w:hint="eastAsia" w:ascii="宋体" w:hAnsi="宋体" w:cs="宋体"/>
          <w:sz w:val="22"/>
          <w:highlight w:val="none"/>
          <w:u w:val="single"/>
          <w:lang w:val="en-US" w:eastAsia="zh-CN"/>
        </w:rPr>
        <w:t>投标人未被纳入失信联合惩戒名单且被限制参加财政投资工程或政府投资工程或建设工程投标的</w:t>
      </w:r>
      <w:r>
        <w:rPr>
          <w:rFonts w:hint="eastAsia" w:ascii="宋体" w:hAnsi="宋体" w:cs="宋体"/>
          <w:sz w:val="22"/>
          <w:highlight w:val="none"/>
          <w:u w:val="single"/>
        </w:rPr>
        <w:t>；</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（17）法律法规或投标人须知前附表规定的其他情形。</w:t>
      </w:r>
    </w:p>
    <w:p>
      <w:pPr>
        <w:kinsoku w:val="0"/>
        <w:overflowPunct w:val="0"/>
        <w:spacing w:before="120" w:after="120" w:line="360" w:lineRule="auto"/>
        <w:outlineLvl w:val="2"/>
        <w:rPr>
          <w:rFonts w:ascii="宋体" w:hAnsi="宋体" w:cs="宋体"/>
          <w:b/>
          <w:bCs/>
          <w:sz w:val="22"/>
          <w:highlight w:val="none"/>
        </w:rPr>
      </w:pPr>
      <w:r>
        <w:rPr>
          <w:rFonts w:hint="eastAsia" w:ascii="宋体" w:hAnsi="宋体" w:cs="宋体"/>
          <w:b/>
          <w:bCs/>
          <w:sz w:val="22"/>
          <w:highlight w:val="none"/>
        </w:rPr>
        <w:t>1.5 费用承担</w:t>
      </w:r>
    </w:p>
    <w:p>
      <w:pPr>
        <w:pStyle w:val="16"/>
        <w:kinsoku w:val="0"/>
        <w:overflowPunct w:val="0"/>
        <w:spacing w:line="360" w:lineRule="auto"/>
        <w:ind w:firstLine="330" w:firstLineChars="150"/>
        <w:jc w:val="left"/>
        <w:rPr>
          <w:rFonts w:ascii="宋体" w:hAnsi="宋体" w:cs="宋体"/>
          <w:sz w:val="22"/>
          <w:szCs w:val="22"/>
          <w:highlight w:val="none"/>
        </w:rPr>
      </w:pPr>
      <w:r>
        <w:rPr>
          <w:rFonts w:hint="eastAsia" w:ascii="宋体" w:hAnsi="宋体" w:cs="宋体"/>
          <w:sz w:val="22"/>
          <w:szCs w:val="22"/>
          <w:highlight w:val="none"/>
        </w:rPr>
        <w:t>投标人准备和参加投标活动发生的费用自理。</w:t>
      </w:r>
    </w:p>
    <w:p>
      <w:pPr>
        <w:kinsoku w:val="0"/>
        <w:overflowPunct w:val="0"/>
        <w:spacing w:before="120" w:after="120" w:line="360" w:lineRule="auto"/>
        <w:outlineLvl w:val="2"/>
        <w:rPr>
          <w:rFonts w:ascii="宋体" w:hAnsi="宋体" w:cs="宋体"/>
          <w:b/>
          <w:bCs/>
          <w:sz w:val="22"/>
          <w:highlight w:val="none"/>
        </w:rPr>
      </w:pPr>
      <w:r>
        <w:rPr>
          <w:rFonts w:hint="eastAsia" w:ascii="宋体" w:hAnsi="宋体" w:cs="宋体"/>
          <w:b/>
          <w:bCs/>
          <w:sz w:val="22"/>
          <w:highlight w:val="none"/>
        </w:rPr>
        <w:t>1.6 保密</w:t>
      </w:r>
    </w:p>
    <w:p>
      <w:pPr>
        <w:pStyle w:val="16"/>
        <w:kinsoku w:val="0"/>
        <w:overflowPunct w:val="0"/>
        <w:spacing w:after="0" w:line="360" w:lineRule="auto"/>
        <w:ind w:firstLine="330" w:firstLineChars="150"/>
        <w:rPr>
          <w:rFonts w:ascii="宋体" w:hAnsi="宋体" w:cs="宋体"/>
          <w:sz w:val="22"/>
          <w:szCs w:val="22"/>
          <w:highlight w:val="none"/>
        </w:rPr>
      </w:pPr>
      <w:r>
        <w:rPr>
          <w:rFonts w:hint="eastAsia" w:ascii="宋体" w:hAnsi="宋体" w:cs="宋体"/>
          <w:sz w:val="22"/>
          <w:szCs w:val="22"/>
          <w:highlight w:val="none"/>
        </w:rPr>
        <w:t>参与招标投标活动的各方应对招标文件和投标文件中的商业和技术等秘密保密，否则应承担相应的法律责任。</w:t>
      </w:r>
    </w:p>
    <w:p>
      <w:pPr>
        <w:kinsoku w:val="0"/>
        <w:overflowPunct w:val="0"/>
        <w:spacing w:before="120" w:after="120" w:line="360" w:lineRule="auto"/>
        <w:outlineLvl w:val="2"/>
        <w:rPr>
          <w:rFonts w:ascii="宋体" w:hAnsi="宋体" w:cs="宋体"/>
          <w:b/>
          <w:bCs/>
          <w:sz w:val="22"/>
          <w:highlight w:val="none"/>
        </w:rPr>
      </w:pPr>
      <w:bookmarkStart w:id="56" w:name="bookmark27"/>
      <w:bookmarkEnd w:id="56"/>
      <w:r>
        <w:rPr>
          <w:rFonts w:hint="eastAsia" w:ascii="宋体" w:hAnsi="宋体" w:cs="宋体"/>
          <w:b/>
          <w:bCs/>
          <w:sz w:val="22"/>
          <w:highlight w:val="none"/>
        </w:rPr>
        <w:t>1.7 语言文字</w:t>
      </w:r>
    </w:p>
    <w:p>
      <w:pPr>
        <w:pStyle w:val="16"/>
        <w:kinsoku w:val="0"/>
        <w:overflowPunct w:val="0"/>
        <w:spacing w:after="0" w:line="360" w:lineRule="auto"/>
        <w:ind w:firstLine="330" w:firstLineChars="150"/>
        <w:rPr>
          <w:rFonts w:ascii="宋体" w:hAnsi="宋体" w:cs="宋体"/>
          <w:sz w:val="22"/>
          <w:szCs w:val="22"/>
          <w:highlight w:val="none"/>
        </w:rPr>
      </w:pPr>
      <w:r>
        <w:rPr>
          <w:rFonts w:hint="eastAsia" w:ascii="宋体" w:hAnsi="宋体" w:cs="宋体"/>
          <w:sz w:val="22"/>
          <w:szCs w:val="22"/>
          <w:highlight w:val="none"/>
        </w:rPr>
        <w:t>招标投标文件使用的语言文字为中文。专用术语使用外文的，应附有中文注释。</w:t>
      </w:r>
    </w:p>
    <w:p>
      <w:pPr>
        <w:kinsoku w:val="0"/>
        <w:overflowPunct w:val="0"/>
        <w:spacing w:before="120" w:after="120" w:line="360" w:lineRule="auto"/>
        <w:outlineLvl w:val="2"/>
        <w:rPr>
          <w:rFonts w:ascii="宋体" w:hAnsi="宋体" w:cs="宋体"/>
          <w:b/>
          <w:bCs/>
          <w:sz w:val="22"/>
          <w:highlight w:val="none"/>
        </w:rPr>
      </w:pPr>
      <w:bookmarkStart w:id="57" w:name="bookmark28"/>
      <w:bookmarkEnd w:id="57"/>
      <w:r>
        <w:rPr>
          <w:rFonts w:hint="eastAsia" w:ascii="宋体" w:hAnsi="宋体" w:cs="宋体"/>
          <w:b/>
          <w:bCs/>
          <w:sz w:val="22"/>
          <w:highlight w:val="none"/>
        </w:rPr>
        <w:t>1.8 计量单位</w:t>
      </w:r>
    </w:p>
    <w:p>
      <w:pPr>
        <w:pStyle w:val="16"/>
        <w:kinsoku w:val="0"/>
        <w:overflowPunct w:val="0"/>
        <w:spacing w:line="360" w:lineRule="auto"/>
        <w:ind w:firstLine="436" w:firstLineChars="200"/>
        <w:rPr>
          <w:rFonts w:ascii="宋体" w:hAnsi="宋体" w:cs="宋体"/>
          <w:sz w:val="22"/>
          <w:szCs w:val="22"/>
          <w:highlight w:val="none"/>
        </w:rPr>
      </w:pPr>
      <w:r>
        <w:rPr>
          <w:rFonts w:hint="eastAsia" w:ascii="宋体" w:hAnsi="宋体" w:cs="宋体"/>
          <w:spacing w:val="-1"/>
          <w:sz w:val="22"/>
          <w:szCs w:val="22"/>
          <w:highlight w:val="none"/>
        </w:rPr>
        <w:t>所有计量均采用中华人民共和国法定计量单位。</w:t>
      </w:r>
    </w:p>
    <w:p>
      <w:pPr>
        <w:kinsoku w:val="0"/>
        <w:overflowPunct w:val="0"/>
        <w:spacing w:before="120" w:after="120" w:line="360" w:lineRule="auto"/>
        <w:outlineLvl w:val="2"/>
        <w:rPr>
          <w:rFonts w:ascii="宋体" w:hAnsi="宋体" w:cs="宋体"/>
          <w:b/>
          <w:bCs/>
          <w:sz w:val="22"/>
          <w:highlight w:val="none"/>
        </w:rPr>
      </w:pPr>
      <w:bookmarkStart w:id="58" w:name="bookmark29"/>
      <w:bookmarkEnd w:id="58"/>
      <w:r>
        <w:rPr>
          <w:rFonts w:hint="eastAsia" w:ascii="宋体" w:hAnsi="宋体" w:cs="宋体"/>
          <w:b/>
          <w:bCs/>
          <w:sz w:val="22"/>
          <w:highlight w:val="none"/>
        </w:rPr>
        <w:t>1.9 踏勘现场</w:t>
      </w:r>
    </w:p>
    <w:p>
      <w:pPr>
        <w:pStyle w:val="16"/>
        <w:kinsoku w:val="0"/>
        <w:overflowPunct w:val="0"/>
        <w:spacing w:after="0"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1.9.1投标人须知前附表规定组织踏勘现场的，招标人按投标人须知前附表规定的时间、地点组织投标人踏勘项目现场。部分投标人未按时参加踏勘现场的，不影响踏勘现场的正常进行。</w:t>
      </w:r>
    </w:p>
    <w:p>
      <w:pPr>
        <w:pStyle w:val="16"/>
        <w:kinsoku w:val="0"/>
        <w:overflowPunct w:val="0"/>
        <w:spacing w:after="0"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1.9.2投标人踏勘现场发生的费用自理。</w:t>
      </w:r>
    </w:p>
    <w:p>
      <w:pPr>
        <w:pStyle w:val="16"/>
        <w:kinsoku w:val="0"/>
        <w:overflowPunct w:val="0"/>
        <w:spacing w:after="0"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1.9.3除招标人的原因外，投标人自行负责在踏勘现场中所发生的人员伤亡和财产损失。</w:t>
      </w:r>
    </w:p>
    <w:p>
      <w:pPr>
        <w:pStyle w:val="16"/>
        <w:kinsoku w:val="0"/>
        <w:overflowPunct w:val="0"/>
        <w:spacing w:after="0"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1.9.4招标人在踏勘现场中介绍的工程场地和相关的周边环境情况，供投标人在编制投标文件时参考，招标人不对投标人据此作出的判断和决策负责。</w:t>
      </w:r>
    </w:p>
    <w:p>
      <w:pPr>
        <w:kinsoku w:val="0"/>
        <w:overflowPunct w:val="0"/>
        <w:spacing w:before="120" w:after="120" w:line="360" w:lineRule="auto"/>
        <w:outlineLvl w:val="2"/>
        <w:rPr>
          <w:rFonts w:ascii="宋体" w:hAnsi="宋体" w:cs="宋体"/>
          <w:b/>
          <w:bCs/>
          <w:sz w:val="22"/>
          <w:highlight w:val="none"/>
        </w:rPr>
      </w:pPr>
      <w:bookmarkStart w:id="59" w:name="bookmark30"/>
      <w:bookmarkEnd w:id="59"/>
      <w:r>
        <w:rPr>
          <w:rFonts w:hint="eastAsia" w:ascii="宋体" w:hAnsi="宋体" w:cs="宋体"/>
          <w:b/>
          <w:bCs/>
          <w:sz w:val="22"/>
          <w:highlight w:val="none"/>
        </w:rPr>
        <w:t>1.10 投标预备会</w:t>
      </w:r>
    </w:p>
    <w:p>
      <w:pPr>
        <w:kinsoku w:val="0"/>
        <w:overflowPunct w:val="0"/>
        <w:spacing w:line="360" w:lineRule="auto"/>
        <w:ind w:firstLine="444" w:firstLineChars="202"/>
        <w:jc w:val="left"/>
        <w:rPr>
          <w:rFonts w:ascii="宋体" w:hAnsi="宋体" w:cs="宋体"/>
          <w:sz w:val="22"/>
          <w:highlight w:val="none"/>
        </w:rPr>
      </w:pPr>
      <w:r>
        <w:rPr>
          <w:rFonts w:hint="eastAsia" w:ascii="宋体" w:hAnsi="宋体" w:cs="宋体"/>
          <w:sz w:val="22"/>
          <w:highlight w:val="none"/>
        </w:rPr>
        <w:t>1.10.1投标人须知前附表规定召开投标预备会的，招标人按投标人须知前附表规定的时间和地点召开投标预备会，澄清投标人提出的问题。</w:t>
      </w:r>
    </w:p>
    <w:p>
      <w:pPr>
        <w:kinsoku w:val="0"/>
        <w:overflowPunct w:val="0"/>
        <w:spacing w:line="360" w:lineRule="auto"/>
        <w:ind w:firstLine="444" w:firstLineChars="202"/>
        <w:jc w:val="left"/>
        <w:rPr>
          <w:rFonts w:ascii="宋体" w:hAnsi="宋体" w:cs="宋体"/>
          <w:sz w:val="22"/>
          <w:highlight w:val="none"/>
        </w:rPr>
      </w:pPr>
      <w:r>
        <w:rPr>
          <w:rFonts w:hint="eastAsia" w:ascii="宋体" w:hAnsi="宋体" w:cs="宋体"/>
          <w:sz w:val="22"/>
          <w:highlight w:val="none"/>
        </w:rPr>
        <w:t>1.10.2投标人应按投标人须知前附表规定的时间和形式将提出的问题送达招标人，以便招标人在会议期间澄清。</w:t>
      </w:r>
    </w:p>
    <w:p>
      <w:pPr>
        <w:kinsoku w:val="0"/>
        <w:overflowPunct w:val="0"/>
        <w:spacing w:line="360" w:lineRule="auto"/>
        <w:ind w:firstLine="444" w:firstLineChars="202"/>
        <w:jc w:val="left"/>
        <w:rPr>
          <w:rFonts w:ascii="宋体" w:hAnsi="宋体" w:cs="宋体"/>
          <w:sz w:val="22"/>
          <w:highlight w:val="none"/>
        </w:rPr>
      </w:pPr>
      <w:r>
        <w:rPr>
          <w:rFonts w:hint="eastAsia" w:ascii="宋体" w:hAnsi="宋体" w:cs="宋体"/>
          <w:sz w:val="22"/>
          <w:highlight w:val="none"/>
        </w:rPr>
        <w:t>1.10.3投标预备会后，招标人将对投标人所提问题的澄清，以投标人须知前附表规定的形式通知所有潜在投标人。该澄清内容为招标文件的组成部分。</w:t>
      </w:r>
      <w:bookmarkStart w:id="60" w:name="bookmark31"/>
      <w:bookmarkEnd w:id="60"/>
    </w:p>
    <w:p>
      <w:pPr>
        <w:kinsoku w:val="0"/>
        <w:overflowPunct w:val="0"/>
        <w:spacing w:before="120" w:after="120" w:line="360" w:lineRule="auto"/>
        <w:outlineLvl w:val="2"/>
        <w:rPr>
          <w:rFonts w:ascii="宋体" w:hAnsi="宋体" w:cs="宋体"/>
          <w:b/>
          <w:bCs/>
          <w:sz w:val="22"/>
          <w:highlight w:val="none"/>
        </w:rPr>
      </w:pPr>
      <w:r>
        <w:rPr>
          <w:rFonts w:hint="eastAsia" w:ascii="宋体" w:hAnsi="宋体" w:cs="宋体"/>
          <w:b/>
          <w:bCs/>
          <w:sz w:val="22"/>
          <w:highlight w:val="none"/>
        </w:rPr>
        <w:t>1.11 分包</w:t>
      </w:r>
    </w:p>
    <w:p>
      <w:pPr>
        <w:kinsoku w:val="0"/>
        <w:overflowPunct w:val="0"/>
        <w:spacing w:before="120" w:after="120" w:line="360" w:lineRule="auto"/>
        <w:ind w:firstLine="440" w:firstLineChars="200"/>
        <w:outlineLvl w:val="2"/>
        <w:rPr>
          <w:rFonts w:ascii="宋体" w:hAnsi="宋体" w:cs="宋体"/>
          <w:sz w:val="22"/>
          <w:highlight w:val="none"/>
        </w:rPr>
      </w:pPr>
      <w:bookmarkStart w:id="61" w:name="bookmark32"/>
      <w:bookmarkEnd w:id="61"/>
      <w:r>
        <w:rPr>
          <w:rFonts w:hint="eastAsia" w:ascii="宋体" w:hAnsi="宋体" w:cs="宋体"/>
          <w:sz w:val="22"/>
          <w:highlight w:val="none"/>
          <w:u w:val="single"/>
        </w:rPr>
        <w:t>1.11.1对于非主要检测和监测工作，中标人不具备资质的，经招标人同意后可依法分包给具备相关资质的检测监测单位，分包的检测和监测工作不得再次分包</w:t>
      </w:r>
      <w:r>
        <w:rPr>
          <w:rFonts w:hint="eastAsia" w:ascii="宋体" w:hAnsi="宋体" w:cs="宋体"/>
          <w:sz w:val="22"/>
          <w:highlight w:val="none"/>
        </w:rPr>
        <w:t>。</w:t>
      </w:r>
    </w:p>
    <w:p>
      <w:pPr>
        <w:kinsoku w:val="0"/>
        <w:overflowPunct w:val="0"/>
        <w:spacing w:before="120" w:after="120" w:line="360" w:lineRule="auto"/>
        <w:outlineLvl w:val="2"/>
        <w:rPr>
          <w:rFonts w:ascii="宋体" w:hAnsi="宋体" w:cs="宋体"/>
          <w:b/>
          <w:bCs/>
          <w:sz w:val="22"/>
          <w:highlight w:val="none"/>
        </w:rPr>
      </w:pPr>
      <w:r>
        <w:rPr>
          <w:rFonts w:hint="eastAsia" w:ascii="宋体" w:hAnsi="宋体" w:cs="宋体"/>
          <w:b/>
          <w:bCs/>
          <w:sz w:val="22"/>
          <w:highlight w:val="none"/>
        </w:rPr>
        <w:t>1.12 响应和偏差</w:t>
      </w:r>
    </w:p>
    <w:p>
      <w:pPr>
        <w:kinsoku w:val="0"/>
        <w:overflowPunct w:val="0"/>
        <w:spacing w:line="360" w:lineRule="auto"/>
        <w:ind w:firstLine="444" w:firstLineChars="202"/>
        <w:jc w:val="left"/>
        <w:rPr>
          <w:rFonts w:ascii="宋体" w:hAnsi="宋体" w:cs="宋体"/>
          <w:sz w:val="22"/>
          <w:highlight w:val="none"/>
        </w:rPr>
      </w:pPr>
      <w:r>
        <w:rPr>
          <w:rFonts w:hint="eastAsia" w:ascii="宋体" w:hAnsi="宋体" w:cs="宋体"/>
          <w:sz w:val="22"/>
          <w:highlight w:val="none"/>
        </w:rPr>
        <w:t>1.12.1投标文件应当对招标文件的实质性要求和条件作出满足性或更有利于招标人的响应，否则，投标人的投标将被否决。实质性要求和条件见投标人须知前附表。</w:t>
      </w:r>
    </w:p>
    <w:p>
      <w:pPr>
        <w:kinsoku w:val="0"/>
        <w:overflowPunct w:val="0"/>
        <w:spacing w:line="360" w:lineRule="auto"/>
        <w:ind w:firstLine="444" w:firstLineChars="202"/>
        <w:jc w:val="left"/>
        <w:rPr>
          <w:rFonts w:ascii="宋体" w:hAnsi="宋体" w:cs="宋体"/>
          <w:sz w:val="22"/>
          <w:highlight w:val="none"/>
        </w:rPr>
      </w:pPr>
      <w:r>
        <w:rPr>
          <w:rFonts w:hint="eastAsia" w:ascii="宋体" w:hAnsi="宋体" w:cs="宋体"/>
          <w:sz w:val="22"/>
          <w:highlight w:val="none"/>
        </w:rPr>
        <w:t>1.12.2投标人应根据招标文件的要求提供技术方案等内容以对招标文件作出响应。</w:t>
      </w:r>
    </w:p>
    <w:p>
      <w:pPr>
        <w:kinsoku w:val="0"/>
        <w:overflowPunct w:val="0"/>
        <w:spacing w:line="360" w:lineRule="auto"/>
        <w:ind w:firstLine="444" w:firstLineChars="202"/>
        <w:jc w:val="left"/>
        <w:rPr>
          <w:rFonts w:ascii="宋体" w:hAnsi="宋体" w:cs="宋体"/>
          <w:sz w:val="28"/>
          <w:szCs w:val="28"/>
          <w:highlight w:val="none"/>
        </w:rPr>
      </w:pPr>
      <w:r>
        <w:rPr>
          <w:rFonts w:hint="eastAsia" w:ascii="宋体" w:hAnsi="宋体" w:cs="宋体"/>
          <w:sz w:val="22"/>
          <w:highlight w:val="none"/>
        </w:rPr>
        <w:t>1.12.3投标人须知前附表允许投标文件偏离招标文件某些要求，偏差应当符合招标文件规定的偏差范围和幅度。</w:t>
      </w:r>
      <w:bookmarkStart w:id="62" w:name="_Toc532367874"/>
      <w:bookmarkStart w:id="63" w:name="_Toc8160"/>
      <w:bookmarkStart w:id="64" w:name="_Toc31365"/>
      <w:bookmarkStart w:id="65" w:name="_Toc8885"/>
      <w:bookmarkStart w:id="66" w:name="_Toc377719901"/>
      <w:bookmarkStart w:id="67" w:name="_Toc3119"/>
      <w:bookmarkStart w:id="68" w:name="_Toc22910"/>
      <w:bookmarkStart w:id="69" w:name="_Toc4330"/>
    </w:p>
    <w:p>
      <w:pPr>
        <w:keepNext/>
        <w:keepLines/>
        <w:spacing w:before="240" w:after="240" w:line="416" w:lineRule="auto"/>
        <w:outlineLvl w:val="1"/>
        <w:rPr>
          <w:rFonts w:ascii="宋体" w:hAnsi="宋体" w:cs="宋体"/>
          <w:b/>
          <w:bCs/>
          <w:sz w:val="40"/>
          <w:szCs w:val="32"/>
          <w:highlight w:val="none"/>
        </w:rPr>
      </w:pPr>
      <w:bookmarkStart w:id="70" w:name="_Toc24924"/>
      <w:bookmarkStart w:id="71" w:name="_Toc38224840"/>
      <w:bookmarkStart w:id="72" w:name="_Toc32443"/>
      <w:bookmarkStart w:id="73" w:name="_Toc31503"/>
      <w:bookmarkStart w:id="74" w:name="_Toc16602"/>
      <w:r>
        <w:rPr>
          <w:rFonts w:hint="eastAsia" w:ascii="宋体" w:hAnsi="宋体" w:cs="宋体"/>
          <w:b/>
          <w:bCs/>
          <w:sz w:val="40"/>
          <w:szCs w:val="32"/>
          <w:highlight w:val="none"/>
        </w:rPr>
        <w:t>2.招标文件</w:t>
      </w:r>
      <w:bookmarkEnd w:id="62"/>
      <w:bookmarkEnd w:id="63"/>
      <w:bookmarkEnd w:id="64"/>
      <w:bookmarkEnd w:id="65"/>
      <w:bookmarkEnd w:id="66"/>
      <w:bookmarkEnd w:id="67"/>
      <w:bookmarkEnd w:id="68"/>
      <w:bookmarkEnd w:id="69"/>
      <w:bookmarkEnd w:id="70"/>
      <w:bookmarkEnd w:id="71"/>
      <w:bookmarkEnd w:id="72"/>
      <w:bookmarkEnd w:id="73"/>
      <w:bookmarkEnd w:id="74"/>
    </w:p>
    <w:p>
      <w:pPr>
        <w:keepNext/>
        <w:keepLines/>
        <w:spacing w:before="120" w:after="120" w:line="360" w:lineRule="auto"/>
        <w:outlineLvl w:val="2"/>
        <w:rPr>
          <w:rFonts w:ascii="宋体" w:hAnsi="宋体" w:cs="宋体"/>
          <w:b/>
          <w:bCs/>
          <w:sz w:val="22"/>
          <w:highlight w:val="none"/>
        </w:rPr>
      </w:pPr>
      <w:r>
        <w:rPr>
          <w:rFonts w:hint="eastAsia" w:ascii="宋体" w:hAnsi="宋体" w:cs="宋体"/>
          <w:b/>
          <w:bCs/>
          <w:sz w:val="22"/>
          <w:highlight w:val="none"/>
        </w:rPr>
        <w:t>2.1  招标文件的组成</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本招标文件包括：</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（1）招标公告；</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（2）投标人须知；</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（3）评标办法；</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（4）合同条款及格式</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（5）技术要求；</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（6）投标文件格式；</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（7）工程量清单</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（8）投标人须知前附表规定的其他资料。</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根据本章第1.10款、第2.2款和第2.3款对招标文件所作的澄清、修改，构成招标文件的组成部分。</w:t>
      </w:r>
    </w:p>
    <w:p>
      <w:pPr>
        <w:keepNext/>
        <w:keepLines/>
        <w:spacing w:before="120" w:after="120" w:line="360" w:lineRule="auto"/>
        <w:outlineLvl w:val="2"/>
        <w:rPr>
          <w:rFonts w:ascii="宋体" w:hAnsi="宋体" w:cs="宋体"/>
          <w:b/>
          <w:bCs/>
          <w:sz w:val="22"/>
          <w:highlight w:val="none"/>
        </w:rPr>
      </w:pPr>
      <w:bookmarkStart w:id="75" w:name="_Toc377719902"/>
      <w:r>
        <w:rPr>
          <w:rFonts w:hint="eastAsia" w:ascii="宋体" w:hAnsi="宋体" w:cs="宋体"/>
          <w:b/>
          <w:bCs/>
          <w:sz w:val="22"/>
          <w:highlight w:val="none"/>
        </w:rPr>
        <w:t>2.2.招标文件的澄清</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2.2.1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2.2.2招标文件的澄清以投标人须知前附表规定的形式发给所有潜在投标人，但不指明澄清问题的来源。澄清发出的时间距本章第4.2.1项规定的投标截止时间不足15日的，并且澄清内容可能影响投标文件编制的，将相应延长投标截止时间。</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 xml:space="preserve">2.2.3 </w:t>
      </w:r>
      <w:r>
        <w:rPr>
          <w:rFonts w:hint="eastAsia" w:ascii="宋体" w:hAnsi="宋体" w:cs="宋体"/>
          <w:sz w:val="22"/>
          <w:highlight w:val="none"/>
          <w:u w:val="single"/>
        </w:rPr>
        <w:t>招标文件澄清（招标答疑纪要）在广州公共资源交易中心网站发布。招标文件澄清（招标答疑纪要）一经在广州公共资源交易中心网站发布，视作已发放给所有投标人，招标文件的澄清内容作为招标文件的组成部分，具有约束作用。</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2.2.4除非招标人认为确有必要答复，否则，招标人有权拒绝回复投标人在本章第2.2.1项规定的时间后的任何澄清要求。</w:t>
      </w:r>
    </w:p>
    <w:p>
      <w:pPr>
        <w:kinsoku w:val="0"/>
        <w:overflowPunct w:val="0"/>
        <w:spacing w:before="120" w:after="120" w:line="360" w:lineRule="auto"/>
        <w:outlineLvl w:val="2"/>
        <w:rPr>
          <w:rFonts w:ascii="宋体" w:hAnsi="宋体" w:cs="宋体"/>
          <w:b/>
          <w:bCs/>
          <w:sz w:val="22"/>
          <w:highlight w:val="none"/>
        </w:rPr>
      </w:pPr>
      <w:r>
        <w:rPr>
          <w:rFonts w:hint="eastAsia" w:ascii="宋体" w:hAnsi="宋体" w:cs="宋体"/>
          <w:b/>
          <w:bCs/>
          <w:sz w:val="22"/>
          <w:highlight w:val="none"/>
        </w:rPr>
        <w:t>2.3 招标文件的修改</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2.3.1招标人以投标人须知前附表规定的形式修改招标文件，并通知所有潜在投标人。修改招标文件的时间距本章第4.2.1项规定的投标截止时间不足15日的，并且修改内容可能影响投标文件编制的，将相应延长投标截止时间。</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2.3.2投标人收到修改内容后，应按投标人须知前附表规定的时间和形式通知招标人，确认已收到该修改。</w:t>
      </w:r>
    </w:p>
    <w:p>
      <w:pPr>
        <w:kinsoku w:val="0"/>
        <w:overflowPunct w:val="0"/>
        <w:spacing w:before="120" w:after="120" w:line="360" w:lineRule="auto"/>
        <w:outlineLvl w:val="2"/>
        <w:rPr>
          <w:rFonts w:ascii="宋体" w:hAnsi="宋体" w:cs="宋体"/>
          <w:b/>
          <w:bCs/>
          <w:sz w:val="22"/>
          <w:highlight w:val="none"/>
        </w:rPr>
      </w:pPr>
      <w:bookmarkStart w:id="76" w:name="bookmark37"/>
      <w:bookmarkEnd w:id="76"/>
      <w:r>
        <w:rPr>
          <w:rFonts w:hint="eastAsia" w:ascii="宋体" w:hAnsi="宋体" w:cs="宋体"/>
          <w:b/>
          <w:bCs/>
          <w:sz w:val="22"/>
          <w:highlight w:val="none"/>
        </w:rPr>
        <w:t>2.4 招标文件的异议</w:t>
      </w:r>
    </w:p>
    <w:p>
      <w:pPr>
        <w:spacing w:line="360" w:lineRule="auto"/>
        <w:ind w:firstLine="444" w:firstLineChars="202"/>
        <w:jc w:val="left"/>
        <w:rPr>
          <w:rFonts w:ascii="宋体" w:hAnsi="宋体" w:cs="宋体"/>
          <w:sz w:val="28"/>
          <w:szCs w:val="28"/>
          <w:highlight w:val="none"/>
        </w:rPr>
      </w:pPr>
      <w:r>
        <w:rPr>
          <w:rFonts w:hint="eastAsia" w:ascii="宋体" w:hAnsi="宋体" w:cs="宋体"/>
          <w:sz w:val="22"/>
          <w:highlight w:val="none"/>
        </w:rPr>
        <w:t>投标人或者其他利害关系人对招标文件有异议的，应当在投标截止时间10日前以书面形式提出。招标人将在收到异议之日起3日内作出答复；作出答复前，将暂停招标投标活动。</w:t>
      </w:r>
    </w:p>
    <w:p>
      <w:pPr>
        <w:keepNext/>
        <w:keepLines/>
        <w:spacing w:before="240" w:after="240" w:line="416" w:lineRule="auto"/>
        <w:jc w:val="left"/>
        <w:outlineLvl w:val="1"/>
        <w:rPr>
          <w:rFonts w:ascii="宋体" w:hAnsi="宋体" w:cs="宋体"/>
          <w:b/>
          <w:bCs/>
          <w:sz w:val="40"/>
          <w:szCs w:val="32"/>
          <w:highlight w:val="none"/>
        </w:rPr>
      </w:pPr>
      <w:bookmarkStart w:id="77" w:name="_Toc14848"/>
      <w:bookmarkStart w:id="78" w:name="_Toc1157"/>
      <w:bookmarkStart w:id="79" w:name="_Toc38224841"/>
      <w:bookmarkStart w:id="80" w:name="_Toc25907"/>
      <w:bookmarkStart w:id="81" w:name="_Toc15723"/>
      <w:bookmarkStart w:id="82" w:name="_Toc25005"/>
      <w:bookmarkStart w:id="83" w:name="_Toc6920"/>
      <w:bookmarkStart w:id="84" w:name="_Toc29001"/>
      <w:bookmarkStart w:id="85" w:name="_Toc30380"/>
      <w:bookmarkStart w:id="86" w:name="_Toc23329"/>
      <w:bookmarkStart w:id="87" w:name="_Toc532367875"/>
      <w:bookmarkStart w:id="88" w:name="_Toc3526"/>
      <w:r>
        <w:rPr>
          <w:rFonts w:hint="eastAsia" w:ascii="宋体" w:hAnsi="宋体" w:cs="宋体"/>
          <w:b/>
          <w:bCs/>
          <w:sz w:val="40"/>
          <w:szCs w:val="32"/>
          <w:highlight w:val="none"/>
        </w:rPr>
        <w:t>3.投标文件</w:t>
      </w:r>
      <w:bookmarkEnd w:id="75"/>
      <w:bookmarkEnd w:id="77"/>
      <w:bookmarkEnd w:id="78"/>
      <w:bookmarkEnd w:id="79"/>
      <w:bookmarkEnd w:id="80"/>
      <w:bookmarkEnd w:id="81"/>
      <w:bookmarkEnd w:id="82"/>
      <w:bookmarkEnd w:id="83"/>
      <w:bookmarkEnd w:id="84"/>
      <w:bookmarkEnd w:id="85"/>
      <w:bookmarkEnd w:id="86"/>
      <w:bookmarkEnd w:id="87"/>
      <w:bookmarkEnd w:id="88"/>
    </w:p>
    <w:p>
      <w:pPr>
        <w:keepNext/>
        <w:keepLines/>
        <w:spacing w:before="120" w:after="120" w:line="360" w:lineRule="auto"/>
        <w:outlineLvl w:val="2"/>
        <w:rPr>
          <w:rFonts w:ascii="宋体" w:hAnsi="宋体" w:cs="宋体"/>
          <w:b/>
          <w:bCs/>
          <w:sz w:val="22"/>
          <w:highlight w:val="none"/>
        </w:rPr>
      </w:pPr>
      <w:r>
        <w:rPr>
          <w:rFonts w:hint="eastAsia" w:ascii="宋体" w:hAnsi="宋体" w:cs="宋体"/>
          <w:b/>
          <w:bCs/>
          <w:sz w:val="22"/>
          <w:highlight w:val="none"/>
        </w:rPr>
        <w:t>3.1  组成投标文件的文件</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3.1.1投标文件应包括下列内容：</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（1）投标函及投标函附录；</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（2）法定代表人身份证明或授权委托书；</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（3）资格审查资料；</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（4）联合体协议书；</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（5）投标人声明；</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（6）拟投入本项目的检验监测人员一览表；</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（7）拟投入本项目的检验监测人员简历表；</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（8）类似项目经验；</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（9）拟投入本项目的主要检验监测仪器设备一览表；</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（10）</w:t>
      </w:r>
      <w:r>
        <w:rPr>
          <w:rFonts w:hint="eastAsia" w:ascii="宋体" w:hAnsi="宋体" w:cs="宋体"/>
          <w:sz w:val="22"/>
          <w:highlight w:val="none"/>
          <w:u w:val="single"/>
        </w:rPr>
        <w:t>检测监测</w:t>
      </w:r>
      <w:r>
        <w:rPr>
          <w:rFonts w:hint="eastAsia" w:ascii="宋体" w:hAnsi="宋体" w:cs="宋体"/>
          <w:sz w:val="22"/>
          <w:highlight w:val="none"/>
        </w:rPr>
        <w:t>方案；</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（11）工程量清单报价；</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（12）其他资料。</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投标人须知前附表规定的其他资料，投标人认为有必要提交的其他资料。投标人在评标过程中作出的符合法律法规和招标文件规定的澄清确认，构成投标文件的组成部分。</w:t>
      </w:r>
    </w:p>
    <w:p>
      <w:pPr>
        <w:spacing w:line="360" w:lineRule="auto"/>
        <w:ind w:firstLine="444" w:firstLineChars="202"/>
        <w:jc w:val="left"/>
        <w:rPr>
          <w:rFonts w:ascii="宋体" w:hAnsi="宋体" w:cs="宋体"/>
          <w:strike/>
          <w:sz w:val="22"/>
          <w:highlight w:val="none"/>
          <w:u w:val="none"/>
        </w:rPr>
      </w:pPr>
      <w:r>
        <w:rPr>
          <w:rFonts w:hint="eastAsia" w:ascii="宋体" w:hAnsi="宋体" w:cs="宋体"/>
          <w:strike/>
          <w:sz w:val="22"/>
          <w:highlight w:val="none"/>
          <w:u w:val="none"/>
        </w:rPr>
        <w:t>3.1.2投标人须知前附表规定不接受联合体投标的，或投标人没有组成联合体的，投标文件不包括本章第3.1.1（5）所指的联合体协议书。</w:t>
      </w:r>
    </w:p>
    <w:p>
      <w:pPr>
        <w:spacing w:line="360" w:lineRule="auto"/>
        <w:ind w:firstLine="444" w:firstLineChars="202"/>
        <w:jc w:val="left"/>
        <w:rPr>
          <w:rFonts w:ascii="宋体" w:hAnsi="宋体" w:cs="宋体"/>
          <w:strike/>
          <w:sz w:val="22"/>
          <w:highlight w:val="none"/>
        </w:rPr>
      </w:pPr>
      <w:r>
        <w:rPr>
          <w:rFonts w:hint="eastAsia" w:ascii="宋体" w:hAnsi="宋体" w:cs="宋体"/>
          <w:strike/>
          <w:sz w:val="22"/>
          <w:highlight w:val="none"/>
        </w:rPr>
        <w:t>3.1.3投标人须知前附表未要求提交投标保证金的，投标文件不包括本章第3.1.1（6）所指的投标保证金。</w:t>
      </w:r>
    </w:p>
    <w:p>
      <w:pPr>
        <w:keepNext/>
        <w:keepLines/>
        <w:spacing w:before="120" w:after="120" w:line="360" w:lineRule="auto"/>
        <w:outlineLvl w:val="2"/>
        <w:rPr>
          <w:rFonts w:ascii="宋体" w:hAnsi="宋体" w:cs="宋体"/>
          <w:b/>
          <w:bCs/>
          <w:sz w:val="22"/>
          <w:highlight w:val="none"/>
        </w:rPr>
      </w:pPr>
      <w:r>
        <w:rPr>
          <w:rFonts w:hint="eastAsia" w:ascii="宋体" w:hAnsi="宋体" w:cs="宋体"/>
          <w:b/>
          <w:bCs/>
          <w:sz w:val="22"/>
          <w:highlight w:val="none"/>
        </w:rPr>
        <w:t>3.2  投标价格</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3.2.1投标报价应包括国家规定的增值税税金，除投标人须知前附表另有规定外，增值税税金按一般计税方法计算。投标人应按第六章“投标文件格式”的要求在投标函中进行报价并填写报价书。</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3.2.2投标人应充分了解该项目的总体情况以及影响投标报价的其他要素。</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3.2.3本项目的报价方式见投标人须知前附表。投标人在投标截止时间前修改投标函中的投标报价总额，应同时修改投标文件“报价书”中的相应报价。此修改须符合本章第4.3款的有关要求。</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3.2.4招标人设有最高投标限价的，投标人的投标报价不得超过最高投标限价，最高投标限价在投标人须知前附表中载明。</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3.2.5投标报价的其他要求见投标人须知前附表。</w:t>
      </w:r>
    </w:p>
    <w:p>
      <w:pPr>
        <w:keepNext/>
        <w:keepLines/>
        <w:spacing w:before="120" w:after="120" w:line="360" w:lineRule="auto"/>
        <w:outlineLvl w:val="2"/>
        <w:rPr>
          <w:rFonts w:ascii="宋体" w:hAnsi="宋体" w:cs="宋体"/>
          <w:b/>
          <w:bCs/>
          <w:sz w:val="22"/>
          <w:highlight w:val="none"/>
        </w:rPr>
      </w:pPr>
      <w:r>
        <w:rPr>
          <w:rFonts w:hint="eastAsia" w:ascii="宋体" w:hAnsi="宋体" w:cs="宋体"/>
          <w:b/>
          <w:bCs/>
          <w:sz w:val="22"/>
          <w:highlight w:val="none"/>
        </w:rPr>
        <w:t>3.3 投标有效期</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3.3.1除投标人须知前附表另有规定外，投标有效期为90天。</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3.3.2在投标有效期内，投标人撤销投标文件的，应承担招标文件和法律规定的责任。</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3.3.3出现特殊情况需要延长投标有效期的，招标人以书面形式通知所有投标人延长投标有效期。投标人应予以书面答复，同意延长的，</w:t>
      </w:r>
      <w:r>
        <w:rPr>
          <w:rFonts w:hint="eastAsia" w:ascii="宋体" w:hAnsi="宋体" w:cs="宋体"/>
          <w:strike/>
          <w:sz w:val="22"/>
          <w:highlight w:val="none"/>
        </w:rPr>
        <w:t>应相应延长其投标保证金的有效期，</w:t>
      </w:r>
      <w:r>
        <w:rPr>
          <w:rFonts w:hint="eastAsia" w:ascii="宋体" w:hAnsi="宋体" w:cs="宋体"/>
          <w:sz w:val="22"/>
          <w:highlight w:val="none"/>
        </w:rPr>
        <w:t>但不得要求或被允许修改其投标文件；投标人拒绝延长的，其投标失效</w:t>
      </w:r>
      <w:r>
        <w:rPr>
          <w:rFonts w:hint="eastAsia" w:ascii="宋体" w:hAnsi="宋体" w:cs="宋体"/>
          <w:strike/>
          <w:sz w:val="22"/>
          <w:highlight w:val="none"/>
        </w:rPr>
        <w:t>，但投标人有权收回其投标保证金及以现金或者支票形式递交的投标保证金的银行同期存款利息</w:t>
      </w:r>
      <w:r>
        <w:rPr>
          <w:rFonts w:hint="eastAsia" w:ascii="宋体" w:hAnsi="宋体" w:cs="宋体"/>
          <w:sz w:val="22"/>
          <w:highlight w:val="none"/>
        </w:rPr>
        <w:t>。</w:t>
      </w:r>
    </w:p>
    <w:p>
      <w:pPr>
        <w:keepNext/>
        <w:keepLines/>
        <w:spacing w:before="120" w:after="120" w:line="360" w:lineRule="auto"/>
        <w:outlineLvl w:val="2"/>
        <w:rPr>
          <w:rFonts w:ascii="宋体" w:hAnsi="宋体" w:cs="宋体"/>
          <w:b/>
          <w:bCs/>
          <w:strike/>
          <w:sz w:val="22"/>
          <w:highlight w:val="none"/>
        </w:rPr>
      </w:pPr>
      <w:r>
        <w:rPr>
          <w:rFonts w:hint="eastAsia" w:ascii="宋体" w:hAnsi="宋体" w:cs="宋体"/>
          <w:b/>
          <w:bCs/>
          <w:strike/>
          <w:sz w:val="22"/>
          <w:highlight w:val="none"/>
        </w:rPr>
        <w:t>3.4  投标保证金</w:t>
      </w:r>
    </w:p>
    <w:p>
      <w:pPr>
        <w:spacing w:line="360" w:lineRule="auto"/>
        <w:ind w:firstLine="440" w:firstLineChars="200"/>
        <w:jc w:val="left"/>
        <w:rPr>
          <w:rFonts w:ascii="宋体" w:hAnsi="宋体" w:cs="宋体"/>
          <w:strike/>
          <w:sz w:val="22"/>
          <w:highlight w:val="none"/>
        </w:rPr>
      </w:pPr>
      <w:r>
        <w:rPr>
          <w:rFonts w:hint="eastAsia" w:ascii="宋体" w:hAnsi="宋体" w:cs="宋体"/>
          <w:strike/>
          <w:sz w:val="22"/>
          <w:highlight w:val="none"/>
        </w:rPr>
        <w:t>3.4.1投标人在递交投标文件的同时，应按投标人须知前附表规定的金额、形式和第六章“投标文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联合体主办方递交，并应符合投标人须知前附表的规定。</w:t>
      </w:r>
    </w:p>
    <w:p>
      <w:pPr>
        <w:spacing w:line="360" w:lineRule="auto"/>
        <w:ind w:firstLine="440" w:firstLineChars="200"/>
        <w:jc w:val="left"/>
        <w:rPr>
          <w:rFonts w:ascii="宋体" w:hAnsi="宋体" w:cs="宋体"/>
          <w:strike/>
          <w:sz w:val="22"/>
          <w:highlight w:val="none"/>
        </w:rPr>
      </w:pPr>
      <w:r>
        <w:rPr>
          <w:rFonts w:hint="eastAsia" w:ascii="宋体" w:hAnsi="宋体" w:cs="宋体"/>
          <w:strike/>
          <w:sz w:val="22"/>
          <w:highlight w:val="none"/>
        </w:rPr>
        <w:t>3.4.2投标人不按本章第3.4.1项要求提交投标保证金的，评标委员会将否决其投标。</w:t>
      </w:r>
    </w:p>
    <w:p>
      <w:pPr>
        <w:spacing w:line="360" w:lineRule="auto"/>
        <w:ind w:firstLine="440" w:firstLineChars="200"/>
        <w:jc w:val="left"/>
        <w:rPr>
          <w:rFonts w:ascii="宋体" w:hAnsi="宋体" w:cs="宋体"/>
          <w:strike/>
          <w:sz w:val="22"/>
          <w:highlight w:val="none"/>
        </w:rPr>
      </w:pPr>
      <w:r>
        <w:rPr>
          <w:rFonts w:hint="eastAsia" w:ascii="宋体" w:hAnsi="宋体" w:cs="宋体"/>
          <w:strike/>
          <w:sz w:val="22"/>
          <w:highlight w:val="none"/>
        </w:rPr>
        <w:t>3.4.3招标人最迟将在与中标人签订合同后5日内，向未中标的投标人和中标人退还投标保证金。投标保证金以现金或者支票形式递交的，还应退还银行同期存款利息。</w:t>
      </w:r>
    </w:p>
    <w:p>
      <w:pPr>
        <w:spacing w:line="360" w:lineRule="auto"/>
        <w:ind w:firstLine="440" w:firstLineChars="200"/>
        <w:jc w:val="left"/>
        <w:rPr>
          <w:rFonts w:ascii="宋体" w:hAnsi="宋体" w:cs="宋体"/>
          <w:strike/>
          <w:sz w:val="22"/>
          <w:highlight w:val="none"/>
        </w:rPr>
      </w:pPr>
      <w:r>
        <w:rPr>
          <w:rFonts w:hint="eastAsia" w:ascii="宋体" w:hAnsi="宋体" w:cs="宋体"/>
          <w:strike/>
          <w:sz w:val="22"/>
          <w:highlight w:val="none"/>
        </w:rPr>
        <w:t>3.4.4有下列情形之一的，投标保证金将不予退还：</w:t>
      </w:r>
    </w:p>
    <w:p>
      <w:pPr>
        <w:spacing w:line="360" w:lineRule="auto"/>
        <w:ind w:firstLine="220" w:firstLineChars="100"/>
        <w:jc w:val="left"/>
        <w:rPr>
          <w:rFonts w:ascii="宋体" w:hAnsi="宋体" w:cs="宋体"/>
          <w:strike/>
          <w:sz w:val="22"/>
          <w:highlight w:val="none"/>
        </w:rPr>
      </w:pPr>
      <w:r>
        <w:rPr>
          <w:rFonts w:hint="eastAsia" w:ascii="宋体" w:hAnsi="宋体" w:cs="宋体"/>
          <w:strike/>
          <w:sz w:val="22"/>
          <w:highlight w:val="none"/>
        </w:rPr>
        <w:t>（1）投标人在投标有效期内撤销投标文件；</w:t>
      </w:r>
    </w:p>
    <w:p>
      <w:pPr>
        <w:spacing w:line="360" w:lineRule="auto"/>
        <w:ind w:firstLine="220" w:firstLineChars="100"/>
        <w:jc w:val="left"/>
        <w:rPr>
          <w:rFonts w:ascii="宋体" w:hAnsi="宋体" w:cs="宋体"/>
          <w:strike/>
          <w:sz w:val="22"/>
          <w:highlight w:val="none"/>
        </w:rPr>
      </w:pPr>
      <w:r>
        <w:rPr>
          <w:rFonts w:hint="eastAsia" w:ascii="宋体" w:hAnsi="宋体" w:cs="宋体"/>
          <w:strike/>
          <w:sz w:val="22"/>
          <w:highlight w:val="none"/>
        </w:rPr>
        <w:t>（2）中标人在收到中标通知书后，无正当理由不与招标人订立合同，在签订合同时向招标人提出附加条件，或者不按照招标文件要求提交履约保证金；</w:t>
      </w:r>
    </w:p>
    <w:p>
      <w:pPr>
        <w:spacing w:line="360" w:lineRule="auto"/>
        <w:ind w:firstLine="220" w:firstLineChars="100"/>
        <w:jc w:val="left"/>
        <w:rPr>
          <w:rFonts w:ascii="宋体" w:hAnsi="宋体" w:cs="宋体"/>
          <w:sz w:val="22"/>
          <w:highlight w:val="none"/>
        </w:rPr>
      </w:pPr>
      <w:r>
        <w:rPr>
          <w:rFonts w:hint="eastAsia" w:ascii="宋体" w:hAnsi="宋体" w:cs="宋体"/>
          <w:strike/>
          <w:sz w:val="22"/>
          <w:highlight w:val="none"/>
        </w:rPr>
        <w:t>（3）发生投标人须知前附表规定的其他可以不予退还投标保证金的情形。</w:t>
      </w:r>
    </w:p>
    <w:p>
      <w:pPr>
        <w:keepNext/>
        <w:keepLines/>
        <w:spacing w:before="120" w:after="120" w:line="360" w:lineRule="auto"/>
        <w:jc w:val="left"/>
        <w:outlineLvl w:val="2"/>
        <w:rPr>
          <w:rFonts w:ascii="宋体" w:hAnsi="宋体" w:cs="宋体"/>
          <w:b/>
          <w:bCs/>
          <w:sz w:val="22"/>
          <w:highlight w:val="none"/>
        </w:rPr>
      </w:pPr>
      <w:r>
        <w:rPr>
          <w:rFonts w:hint="eastAsia" w:ascii="宋体" w:hAnsi="宋体" w:cs="宋体"/>
          <w:b/>
          <w:bCs/>
          <w:sz w:val="22"/>
          <w:highlight w:val="none"/>
        </w:rPr>
        <w:t xml:space="preserve">3.5  </w:t>
      </w:r>
      <w:bookmarkStart w:id="89" w:name="_Toc511383850"/>
      <w:r>
        <w:rPr>
          <w:rFonts w:hint="eastAsia" w:ascii="宋体" w:hAnsi="宋体" w:cs="宋体"/>
          <w:b/>
          <w:bCs/>
          <w:sz w:val="22"/>
          <w:highlight w:val="none"/>
        </w:rPr>
        <w:t>资格审查资料</w:t>
      </w:r>
      <w:bookmarkEnd w:id="89"/>
    </w:p>
    <w:p>
      <w:pPr>
        <w:kinsoku w:val="0"/>
        <w:overflowPunct w:val="0"/>
        <w:spacing w:line="360" w:lineRule="auto"/>
        <w:ind w:firstLine="440" w:firstLineChars="200"/>
        <w:jc w:val="left"/>
        <w:rPr>
          <w:rFonts w:ascii="宋体" w:hAnsi="宋体" w:cs="宋体"/>
          <w:sz w:val="22"/>
          <w:highlight w:val="none"/>
          <w:u w:val="single"/>
        </w:rPr>
      </w:pPr>
      <w:r>
        <w:rPr>
          <w:rFonts w:hint="eastAsia" w:ascii="宋体" w:hAnsi="宋体" w:cs="宋体"/>
          <w:sz w:val="22"/>
          <w:highlight w:val="none"/>
          <w:u w:val="single"/>
        </w:rPr>
        <w:t>除投标人须知前附表另有规定外，投标人应按下列规定提供资格审查资料，以证明其满足本章第1.4款规定的资质条件、能力和信誉等要求。</w:t>
      </w:r>
    </w:p>
    <w:p>
      <w:pPr>
        <w:kinsoku w:val="0"/>
        <w:overflowPunct w:val="0"/>
        <w:spacing w:line="360" w:lineRule="auto"/>
        <w:ind w:firstLine="440" w:firstLineChars="200"/>
        <w:jc w:val="left"/>
        <w:rPr>
          <w:rFonts w:ascii="宋体" w:hAnsi="宋体" w:cs="宋体"/>
          <w:sz w:val="22"/>
          <w:highlight w:val="none"/>
          <w:u w:val="single"/>
        </w:rPr>
      </w:pPr>
      <w:r>
        <w:rPr>
          <w:rFonts w:hint="eastAsia" w:ascii="宋体" w:hAnsi="宋体" w:cs="宋体"/>
          <w:sz w:val="22"/>
          <w:highlight w:val="none"/>
          <w:u w:val="single"/>
        </w:rPr>
        <w:t>3.5.1“投标人基本情况表”应附投标单位的营业执照副本或事业单位法人证书副本、建设工程质量检测机构资质证书、CMA检验检测机构资质认定证书（或CMA计量认证合格证书）以及其他相关</w:t>
      </w:r>
      <w:r>
        <w:rPr>
          <w:rFonts w:hint="eastAsia" w:ascii="宋体" w:hAnsi="宋体" w:cs="宋体"/>
          <w:sz w:val="22"/>
          <w:highlight w:val="none"/>
          <w:u w:val="single"/>
          <w:lang w:val="en-US" w:eastAsia="zh-CN"/>
        </w:rPr>
        <w:t>资质证书或资料</w:t>
      </w:r>
      <w:r>
        <w:rPr>
          <w:rFonts w:hint="eastAsia" w:ascii="宋体" w:hAnsi="宋体" w:cs="宋体"/>
          <w:sz w:val="22"/>
          <w:highlight w:val="none"/>
          <w:u w:val="single"/>
        </w:rPr>
        <w:t>。</w:t>
      </w:r>
    </w:p>
    <w:p>
      <w:pPr>
        <w:kinsoku w:val="0"/>
        <w:overflowPunct w:val="0"/>
        <w:spacing w:line="360" w:lineRule="auto"/>
        <w:ind w:firstLine="440" w:firstLineChars="200"/>
        <w:jc w:val="left"/>
        <w:rPr>
          <w:rFonts w:ascii="宋体" w:hAnsi="宋体" w:cs="宋体"/>
          <w:sz w:val="22"/>
          <w:highlight w:val="none"/>
          <w:u w:val="single"/>
        </w:rPr>
      </w:pPr>
      <w:r>
        <w:rPr>
          <w:rFonts w:hint="eastAsia" w:ascii="宋体" w:hAnsi="宋体" w:cs="宋体"/>
          <w:sz w:val="22"/>
          <w:highlight w:val="none"/>
          <w:u w:val="single"/>
        </w:rPr>
        <w:t>3.5.2其他满足本章第1.4.1项规定的要求的相关资料。</w:t>
      </w:r>
    </w:p>
    <w:p>
      <w:pPr>
        <w:keepNext/>
        <w:keepLines/>
        <w:spacing w:before="120" w:after="120" w:line="360" w:lineRule="auto"/>
        <w:jc w:val="left"/>
        <w:outlineLvl w:val="2"/>
        <w:rPr>
          <w:rFonts w:ascii="宋体" w:hAnsi="宋体" w:cs="宋体"/>
          <w:b/>
          <w:bCs/>
          <w:sz w:val="22"/>
          <w:highlight w:val="none"/>
        </w:rPr>
      </w:pPr>
      <w:r>
        <w:rPr>
          <w:rFonts w:hint="eastAsia" w:ascii="宋体" w:hAnsi="宋体" w:cs="宋体"/>
          <w:b/>
          <w:bCs/>
          <w:sz w:val="22"/>
          <w:highlight w:val="none"/>
        </w:rPr>
        <w:t>3.6 备选投标方案</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3.6.1除投标人须知前附表规定允许外，投标人不得递交备选投标方案，否则其投标将被否决。</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3.6.2允许投标人递交备选投标方案的，只有中标人所递交的备选投标方案方可予以考虑。评标委员会认为中标人的备选投标方案优于其按照招标文件要求编制的投标方案的，招标人可以接受该备选投标方案。</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3.6.3投标人提供两个或两个以上投标报价，或者在投标文件中提供一个报价，但同时提供两个或两个以上服务方案的，视为提供备选方案。</w:t>
      </w:r>
    </w:p>
    <w:p>
      <w:pPr>
        <w:keepNext/>
        <w:keepLines/>
        <w:spacing w:before="120" w:after="120" w:line="360" w:lineRule="auto"/>
        <w:jc w:val="left"/>
        <w:outlineLvl w:val="2"/>
        <w:rPr>
          <w:rFonts w:ascii="宋体" w:hAnsi="宋体" w:cs="宋体"/>
          <w:b/>
          <w:bCs/>
          <w:sz w:val="22"/>
          <w:highlight w:val="none"/>
        </w:rPr>
      </w:pPr>
      <w:bookmarkStart w:id="90" w:name="bookmark46"/>
      <w:bookmarkEnd w:id="90"/>
      <w:r>
        <w:rPr>
          <w:rFonts w:hint="eastAsia" w:ascii="宋体" w:hAnsi="宋体" w:cs="宋体"/>
          <w:b/>
          <w:bCs/>
          <w:sz w:val="22"/>
          <w:highlight w:val="none"/>
        </w:rPr>
        <w:t>3.7 投标文件的编制</w:t>
      </w:r>
    </w:p>
    <w:p>
      <w:pPr>
        <w:spacing w:line="360" w:lineRule="auto"/>
        <w:ind w:firstLine="440" w:firstLineChars="200"/>
        <w:jc w:val="left"/>
        <w:rPr>
          <w:rFonts w:ascii="宋体" w:hAnsi="宋体" w:cs="宋体"/>
          <w:sz w:val="22"/>
          <w:highlight w:val="none"/>
        </w:rPr>
      </w:pPr>
      <w:r>
        <w:rPr>
          <w:rFonts w:hint="eastAsia" w:ascii="宋体" w:hAnsi="宋体" w:cs="宋体"/>
          <w:sz w:val="22"/>
          <w:highlight w:val="none"/>
        </w:rPr>
        <w:t>3.7.1投标文件应按第六章“投标文件格式”进行编写，如有必要，可以增加附页，作为投标文件的组成部分。</w:t>
      </w:r>
    </w:p>
    <w:p>
      <w:pPr>
        <w:spacing w:line="360" w:lineRule="auto"/>
        <w:ind w:firstLine="440" w:firstLineChars="200"/>
        <w:jc w:val="left"/>
        <w:rPr>
          <w:rFonts w:ascii="宋体" w:hAnsi="宋体" w:cs="宋体"/>
          <w:sz w:val="22"/>
          <w:highlight w:val="none"/>
        </w:rPr>
      </w:pPr>
      <w:r>
        <w:rPr>
          <w:rFonts w:hint="eastAsia" w:ascii="宋体" w:hAnsi="宋体" w:cs="宋体"/>
          <w:sz w:val="22"/>
          <w:highlight w:val="none"/>
        </w:rPr>
        <w:t>3.7.2投标文件应当对招标文件有关服务期限、投标有效期、技术要求、招标范围等实质性内容作出响应。</w:t>
      </w:r>
    </w:p>
    <w:p>
      <w:pPr>
        <w:spacing w:line="360" w:lineRule="auto"/>
        <w:ind w:firstLine="440" w:firstLineChars="200"/>
        <w:jc w:val="left"/>
        <w:rPr>
          <w:rFonts w:ascii="宋体" w:hAnsi="宋体" w:cs="宋体"/>
          <w:sz w:val="28"/>
          <w:szCs w:val="28"/>
          <w:highlight w:val="none"/>
        </w:rPr>
      </w:pPr>
      <w:r>
        <w:rPr>
          <w:rFonts w:hint="eastAsia" w:ascii="宋体" w:hAnsi="宋体" w:cs="宋体"/>
          <w:sz w:val="22"/>
          <w:highlight w:val="none"/>
        </w:rPr>
        <w:t>3.7.3</w:t>
      </w:r>
      <w:r>
        <w:rPr>
          <w:rFonts w:hint="eastAsia" w:ascii="宋体" w:hAnsi="宋体" w:cs="宋体"/>
          <w:sz w:val="22"/>
          <w:highlight w:val="none"/>
          <w:u w:val="single"/>
        </w:rPr>
        <w:t>投标文件全部采用电子文档，投标文件所附证书证件应为原件清晰彩色扫描件；招标文件中对投标文件格式要求需要投标人或个人签字盖章的内容，均需在线下完成签字盖章后原件扫描上传；生成电子投标文件时，由投标人加盖企业电子印章。</w:t>
      </w:r>
      <w:r>
        <w:rPr>
          <w:rFonts w:hint="eastAsia" w:ascii="宋体" w:hAnsi="宋体" w:cs="宋体"/>
          <w:b/>
          <w:bCs/>
          <w:sz w:val="22"/>
          <w:highlight w:val="none"/>
          <w:u w:val="single"/>
        </w:rPr>
        <w:t>联合体投标时，除“联合体共同投标协议”需由联合体各方分别按要求进行签字或盖章外，其他资料若需要签字或盖章的均可由联合体牵头人（主办方）签字或盖章即可；投标资料封面及其他内容及落款中的“投标人”应填写联合体各方的单位全称【格式示例为：（主）单位全称（成）单位全称】，由联合体主办方按要求签字或盖章即可。电子签章由主办方进行签章即可。</w:t>
      </w:r>
    </w:p>
    <w:p>
      <w:pPr>
        <w:keepNext/>
        <w:keepLines/>
        <w:spacing w:before="240" w:after="240" w:line="416" w:lineRule="auto"/>
        <w:jc w:val="left"/>
        <w:outlineLvl w:val="1"/>
        <w:rPr>
          <w:rFonts w:ascii="宋体" w:hAnsi="宋体" w:cs="宋体"/>
          <w:b/>
          <w:bCs/>
          <w:sz w:val="40"/>
          <w:szCs w:val="32"/>
          <w:highlight w:val="none"/>
        </w:rPr>
      </w:pPr>
      <w:bookmarkStart w:id="91" w:name="_Toc23220"/>
      <w:bookmarkStart w:id="92" w:name="_Toc3554"/>
      <w:bookmarkStart w:id="93" w:name="_Toc532367876"/>
      <w:bookmarkStart w:id="94" w:name="_Toc9342"/>
      <w:bookmarkStart w:id="95" w:name="_Toc25065"/>
      <w:bookmarkStart w:id="96" w:name="_Toc29593"/>
      <w:bookmarkStart w:id="97" w:name="_Toc24378"/>
      <w:bookmarkStart w:id="98" w:name="_Toc23284"/>
      <w:bookmarkStart w:id="99" w:name="_Toc21930"/>
      <w:bookmarkStart w:id="100" w:name="_Toc31557"/>
      <w:bookmarkStart w:id="101" w:name="_Toc38224842"/>
      <w:bookmarkStart w:id="102" w:name="_Toc377719903"/>
      <w:bookmarkStart w:id="103" w:name="_Toc32552"/>
      <w:r>
        <w:rPr>
          <w:rFonts w:hint="eastAsia" w:ascii="宋体" w:hAnsi="宋体" w:cs="宋体"/>
          <w:b/>
          <w:bCs/>
          <w:sz w:val="40"/>
          <w:szCs w:val="32"/>
          <w:highlight w:val="none"/>
        </w:rPr>
        <w:t>4.投标</w:t>
      </w:r>
      <w:bookmarkEnd w:id="91"/>
      <w:bookmarkEnd w:id="92"/>
      <w:bookmarkEnd w:id="93"/>
      <w:bookmarkEnd w:id="94"/>
      <w:bookmarkEnd w:id="95"/>
      <w:bookmarkEnd w:id="96"/>
      <w:bookmarkEnd w:id="97"/>
      <w:bookmarkEnd w:id="98"/>
      <w:bookmarkEnd w:id="99"/>
      <w:bookmarkEnd w:id="100"/>
      <w:bookmarkEnd w:id="101"/>
      <w:bookmarkEnd w:id="102"/>
      <w:bookmarkEnd w:id="103"/>
    </w:p>
    <w:p>
      <w:pPr>
        <w:keepNext/>
        <w:keepLines/>
        <w:spacing w:before="120" w:after="120" w:line="360" w:lineRule="auto"/>
        <w:outlineLvl w:val="2"/>
        <w:rPr>
          <w:rFonts w:ascii="宋体" w:hAnsi="宋体" w:cs="宋体"/>
          <w:b/>
          <w:bCs/>
          <w:sz w:val="22"/>
          <w:highlight w:val="none"/>
        </w:rPr>
      </w:pPr>
      <w:r>
        <w:rPr>
          <w:rFonts w:hint="eastAsia" w:ascii="宋体" w:hAnsi="宋体" w:cs="宋体"/>
          <w:b/>
          <w:bCs/>
          <w:sz w:val="22"/>
          <w:highlight w:val="none"/>
        </w:rPr>
        <w:t>4.1  投标文件的密封和标记</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4.1.1 投标人应当按照招标文件和电子招标投标交易平台的要求加密投标文件，具体要求见投标人须知前附表。</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4.1.2 投标文件封套上应写明的内容见投标人须知前附表。</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4.1.3 未按本章第 4.1.1 项要求密封的投标文件，招标人将予以拒收。</w:t>
      </w:r>
    </w:p>
    <w:p>
      <w:pPr>
        <w:keepNext/>
        <w:keepLines/>
        <w:spacing w:before="120" w:after="120" w:line="360" w:lineRule="auto"/>
        <w:outlineLvl w:val="2"/>
        <w:rPr>
          <w:rFonts w:ascii="宋体" w:hAnsi="宋体" w:cs="宋体"/>
          <w:b/>
          <w:bCs/>
          <w:sz w:val="22"/>
          <w:highlight w:val="none"/>
        </w:rPr>
      </w:pPr>
      <w:r>
        <w:rPr>
          <w:rFonts w:hint="eastAsia" w:ascii="宋体" w:hAnsi="宋体" w:cs="宋体"/>
          <w:b/>
          <w:bCs/>
          <w:sz w:val="22"/>
          <w:highlight w:val="none"/>
        </w:rPr>
        <w:t>4.2  投标文件的递交</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4.2.1 投标人应在投标人须知前附表规定的投标截止时间前递交投标文件。</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4.2.2 投标人通过下载招标文件的电子招标投标交易平台递交电子投标文件。</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4.2.3 除投标人须知前附表另有规定外，投标人所递交的投标文件不予退还。</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4.2.4 投标人完成电子投标文件上传后，电子招标投标交易平台即时向投标人发出递</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交回执通知。递交时间以递交回执通知载明的传输完成时间为准。</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4.2.5 逾期送达的投标文件，电子招标投标交易平台将予以拒收。</w:t>
      </w:r>
    </w:p>
    <w:p>
      <w:pPr>
        <w:keepNext/>
        <w:keepLines/>
        <w:spacing w:before="120" w:after="120" w:line="360" w:lineRule="auto"/>
        <w:outlineLvl w:val="2"/>
        <w:rPr>
          <w:rFonts w:ascii="宋体" w:hAnsi="宋体" w:cs="宋体"/>
          <w:b/>
          <w:bCs/>
          <w:sz w:val="22"/>
          <w:highlight w:val="none"/>
        </w:rPr>
      </w:pPr>
      <w:r>
        <w:rPr>
          <w:rFonts w:hint="eastAsia" w:ascii="宋体" w:hAnsi="宋体" w:cs="宋体"/>
          <w:b/>
          <w:bCs/>
          <w:sz w:val="22"/>
          <w:highlight w:val="none"/>
        </w:rPr>
        <w:t>4.3  投标文件的修改与撤回</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4.3.1 在本章第 4.2.1 项规定的投标截止时间前，投标人可以修改或撤回已递交的投标文件，但应以书面形式通知招标人。</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4.3.2 投标人修改或撤回已递交投标文件的通知，应按照本章第 3.7.3项的要求加盖电子印章。电子招标投标交易平台收到通知后，即时向投标人发出确认回执通知。</w:t>
      </w:r>
    </w:p>
    <w:p>
      <w:pPr>
        <w:spacing w:line="360" w:lineRule="auto"/>
        <w:ind w:firstLine="444" w:firstLineChars="202"/>
        <w:jc w:val="left"/>
        <w:rPr>
          <w:rFonts w:ascii="宋体" w:hAnsi="宋体" w:cs="宋体"/>
          <w:strike/>
          <w:sz w:val="22"/>
          <w:highlight w:val="none"/>
        </w:rPr>
      </w:pPr>
      <w:r>
        <w:rPr>
          <w:rFonts w:hint="eastAsia" w:ascii="宋体" w:hAnsi="宋体" w:cs="宋体"/>
          <w:strike/>
          <w:sz w:val="22"/>
          <w:highlight w:val="none"/>
        </w:rPr>
        <w:t>4.3.3 投标人撤回投标文件的，招标人自收到投标人书面撤回通知之日起 5 日内退还已收取的投标保证金。</w:t>
      </w:r>
    </w:p>
    <w:p>
      <w:pPr>
        <w:spacing w:line="360" w:lineRule="auto"/>
        <w:ind w:firstLine="444" w:firstLineChars="202"/>
        <w:jc w:val="left"/>
        <w:rPr>
          <w:rFonts w:ascii="宋体" w:hAnsi="宋体" w:cs="宋体"/>
          <w:sz w:val="28"/>
          <w:szCs w:val="28"/>
          <w:highlight w:val="none"/>
        </w:rPr>
      </w:pPr>
      <w:r>
        <w:rPr>
          <w:rFonts w:hint="eastAsia" w:ascii="宋体" w:hAnsi="宋体" w:cs="宋体"/>
          <w:sz w:val="22"/>
          <w:highlight w:val="none"/>
        </w:rPr>
        <w:t>4.3.4 修改的内容为投标文件的组成部分。修改的投标文件应按照本章第 3 条、第 4 条的规定进行编制、密封、标记和递交，并标明“修改”字样。</w:t>
      </w:r>
    </w:p>
    <w:p>
      <w:pPr>
        <w:keepNext/>
        <w:keepLines/>
        <w:spacing w:before="240" w:after="240" w:line="416" w:lineRule="auto"/>
        <w:outlineLvl w:val="1"/>
        <w:rPr>
          <w:rFonts w:ascii="宋体" w:hAnsi="宋体" w:cs="宋体"/>
          <w:b/>
          <w:bCs/>
          <w:sz w:val="40"/>
          <w:szCs w:val="32"/>
          <w:highlight w:val="none"/>
        </w:rPr>
      </w:pPr>
      <w:bookmarkStart w:id="104" w:name="_Toc10549"/>
      <w:bookmarkStart w:id="105" w:name="_Toc532367877"/>
      <w:bookmarkStart w:id="106" w:name="_Toc17138"/>
      <w:bookmarkStart w:id="107" w:name="_Toc377719904"/>
      <w:bookmarkStart w:id="108" w:name="_Toc19088"/>
      <w:bookmarkStart w:id="109" w:name="_Toc5302"/>
      <w:bookmarkStart w:id="110" w:name="_Toc31567"/>
      <w:bookmarkStart w:id="111" w:name="_Toc38224843"/>
      <w:bookmarkStart w:id="112" w:name="_Toc11066"/>
      <w:bookmarkStart w:id="113" w:name="_Toc111"/>
      <w:bookmarkStart w:id="114" w:name="_Toc6570"/>
      <w:bookmarkStart w:id="115" w:name="_Toc1684"/>
      <w:bookmarkStart w:id="116" w:name="_Toc17418"/>
      <w:r>
        <w:rPr>
          <w:rFonts w:hint="eastAsia" w:ascii="宋体" w:hAnsi="宋体" w:cs="宋体"/>
          <w:b/>
          <w:bCs/>
          <w:sz w:val="40"/>
          <w:szCs w:val="32"/>
          <w:highlight w:val="none"/>
        </w:rPr>
        <w:t>5.开标</w:t>
      </w:r>
      <w:bookmarkEnd w:id="104"/>
      <w:bookmarkEnd w:id="105"/>
      <w:bookmarkEnd w:id="106"/>
      <w:bookmarkEnd w:id="107"/>
      <w:bookmarkEnd w:id="108"/>
      <w:bookmarkEnd w:id="109"/>
      <w:bookmarkEnd w:id="110"/>
      <w:bookmarkEnd w:id="111"/>
      <w:bookmarkEnd w:id="112"/>
      <w:bookmarkEnd w:id="113"/>
      <w:bookmarkEnd w:id="114"/>
      <w:bookmarkEnd w:id="115"/>
      <w:bookmarkEnd w:id="116"/>
    </w:p>
    <w:p>
      <w:pPr>
        <w:keepNext/>
        <w:keepLines/>
        <w:spacing w:before="120" w:after="120" w:line="360" w:lineRule="auto"/>
        <w:outlineLvl w:val="2"/>
        <w:rPr>
          <w:rFonts w:ascii="宋体" w:hAnsi="宋体" w:cs="宋体"/>
          <w:b/>
          <w:bCs/>
          <w:sz w:val="22"/>
          <w:highlight w:val="none"/>
        </w:rPr>
      </w:pPr>
      <w:r>
        <w:rPr>
          <w:rFonts w:hint="eastAsia" w:ascii="宋体" w:hAnsi="宋体" w:cs="宋体"/>
          <w:b/>
          <w:bCs/>
          <w:sz w:val="22"/>
          <w:highlight w:val="none"/>
        </w:rPr>
        <w:t>5.1 开标时间和地点</w:t>
      </w:r>
    </w:p>
    <w:p>
      <w:pPr>
        <w:keepNext/>
        <w:keepLines/>
        <w:spacing w:before="120" w:after="120" w:line="360" w:lineRule="auto"/>
        <w:ind w:firstLine="440" w:firstLineChars="200"/>
        <w:outlineLvl w:val="2"/>
        <w:rPr>
          <w:rFonts w:ascii="宋体" w:hAnsi="宋体" w:cs="宋体"/>
          <w:sz w:val="22"/>
          <w:highlight w:val="none"/>
        </w:rPr>
      </w:pPr>
      <w:r>
        <w:rPr>
          <w:rFonts w:hint="eastAsia" w:ascii="宋体" w:hAnsi="宋体" w:cs="宋体"/>
          <w:sz w:val="22"/>
          <w:highlight w:val="none"/>
        </w:rPr>
        <w:t>招标人在本章第4.2.1项规定的投标截止时间（开标时间）,通过电子招标投标交易平台公开开标，</w:t>
      </w:r>
      <w:r>
        <w:rPr>
          <w:rFonts w:hint="eastAsia" w:ascii="宋体" w:hAnsi="宋体" w:cs="宋体"/>
          <w:sz w:val="22"/>
          <w:highlight w:val="none"/>
          <w:u w:val="single"/>
        </w:rPr>
        <w:t>开标时，投标人代表有权出席开标会，也可以自主决定不参加开标会。</w:t>
      </w:r>
    </w:p>
    <w:p>
      <w:pPr>
        <w:keepNext/>
        <w:keepLines/>
        <w:spacing w:before="120" w:after="120" w:line="360" w:lineRule="auto"/>
        <w:outlineLvl w:val="2"/>
        <w:rPr>
          <w:rFonts w:ascii="宋体" w:hAnsi="宋体" w:cs="宋体"/>
          <w:b/>
          <w:bCs/>
          <w:sz w:val="22"/>
          <w:highlight w:val="none"/>
        </w:rPr>
      </w:pPr>
      <w:r>
        <w:rPr>
          <w:rFonts w:hint="eastAsia" w:ascii="宋体" w:hAnsi="宋体" w:cs="宋体"/>
          <w:b/>
          <w:bCs/>
          <w:sz w:val="22"/>
          <w:highlight w:val="none"/>
        </w:rPr>
        <w:t>5.2 开标程序</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5.2.1主持人按下列程序进行开标：</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（1）宣布开标纪律；</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（2）公布在投标截止时间前递交投标文件的投标人名称；</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（3）宣布开标人、唱标人、记录人、监标人等有关人员姓名；</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（4）投标人通过电子招标投标交易平台对已递交的电子投标文件进行解密，公布招标项目名称、投标人名称、投标总报价、服务期限及其他内容，并记录在案；</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（5）投标人代表、招标人代表、监标人、记录人等有关人员使用本人的电子印章在开标记录上签字确认；若有关人员不签字的，不影响开标程序；</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（6）开标结束。</w:t>
      </w:r>
    </w:p>
    <w:p>
      <w:pPr>
        <w:spacing w:line="360" w:lineRule="auto"/>
        <w:ind w:firstLine="444" w:firstLineChars="202"/>
        <w:jc w:val="left"/>
        <w:rPr>
          <w:rFonts w:ascii="宋体" w:hAnsi="宋体" w:cs="宋体"/>
          <w:sz w:val="22"/>
          <w:highlight w:val="none"/>
          <w:u w:val="single"/>
        </w:rPr>
      </w:pPr>
      <w:r>
        <w:rPr>
          <w:rFonts w:hint="eastAsia" w:ascii="宋体" w:hAnsi="宋体" w:cs="宋体"/>
          <w:sz w:val="22"/>
          <w:highlight w:val="none"/>
          <w:u w:val="single"/>
        </w:rPr>
        <w:t>5.2.2投标截止时间前未完成投标文件传输的或因投标人之外的原因造成投标文件未解密的，视为投标人撤回投标文件。因投标人原因造成投标文件未解密的，视为撤销其投标文件。</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u w:val="single"/>
        </w:rPr>
        <w:t>5.2.3开标时，两个（含两个）以上的投标人加密打包投标文件电脑机器特征码一致的，不参与下一程序，并由评标委员会否决其投标。</w:t>
      </w:r>
    </w:p>
    <w:p>
      <w:pPr>
        <w:keepNext/>
        <w:keepLines/>
        <w:spacing w:before="120" w:after="120" w:line="360" w:lineRule="auto"/>
        <w:outlineLvl w:val="2"/>
        <w:rPr>
          <w:rFonts w:ascii="宋体" w:hAnsi="宋体" w:cs="宋体"/>
          <w:b/>
          <w:bCs/>
          <w:sz w:val="22"/>
          <w:highlight w:val="none"/>
        </w:rPr>
      </w:pPr>
      <w:r>
        <w:rPr>
          <w:rFonts w:hint="eastAsia" w:ascii="宋体" w:hAnsi="宋体" w:cs="宋体"/>
          <w:b/>
          <w:bCs/>
          <w:sz w:val="22"/>
          <w:highlight w:val="none"/>
        </w:rPr>
        <w:t>5.3 开标异议</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5.3.1 参加现场开标的投标人对开标有异议的，应当在开标现场提出，</w:t>
      </w:r>
      <w:r>
        <w:rPr>
          <w:rFonts w:hint="eastAsia" w:ascii="宋体" w:hAnsi="宋体" w:cs="宋体"/>
          <w:sz w:val="22"/>
          <w:highlight w:val="none"/>
          <w:u w:val="single"/>
        </w:rPr>
        <w:t>并出示本人身份证，招标人当场作出答复</w:t>
      </w:r>
      <w:r>
        <w:rPr>
          <w:rFonts w:hint="eastAsia" w:ascii="宋体" w:hAnsi="宋体" w:cs="宋体"/>
          <w:sz w:val="22"/>
          <w:highlight w:val="none"/>
        </w:rPr>
        <w:t>，并制作记录。</w:t>
      </w:r>
    </w:p>
    <w:p>
      <w:pPr>
        <w:spacing w:line="360" w:lineRule="auto"/>
        <w:ind w:firstLine="444" w:firstLineChars="202"/>
        <w:jc w:val="left"/>
        <w:rPr>
          <w:rFonts w:ascii="宋体" w:hAnsi="宋体" w:cs="宋体"/>
          <w:sz w:val="22"/>
          <w:highlight w:val="none"/>
          <w:u w:val="single"/>
        </w:rPr>
      </w:pPr>
      <w:r>
        <w:rPr>
          <w:rFonts w:hint="eastAsia" w:ascii="宋体" w:hAnsi="宋体" w:cs="宋体"/>
          <w:sz w:val="22"/>
          <w:highlight w:val="none"/>
          <w:u w:val="single"/>
        </w:rPr>
        <w:t>5.3.2 参加在线开标的投标人对开标有异议的，应当在唱标结束后的规定时间内、使用单位数字证书登录交易平台后通过交易平台提出。</w:t>
      </w:r>
    </w:p>
    <w:p>
      <w:pPr>
        <w:spacing w:line="360" w:lineRule="auto"/>
        <w:ind w:firstLine="444" w:firstLineChars="202"/>
        <w:jc w:val="left"/>
        <w:rPr>
          <w:rFonts w:ascii="宋体" w:hAnsi="宋体" w:cs="宋体"/>
          <w:sz w:val="22"/>
          <w:highlight w:val="none"/>
          <w:u w:val="single"/>
        </w:rPr>
      </w:pPr>
      <w:r>
        <w:rPr>
          <w:rFonts w:hint="eastAsia" w:ascii="宋体" w:hAnsi="宋体" w:cs="宋体"/>
          <w:sz w:val="22"/>
          <w:highlight w:val="none"/>
          <w:u w:val="single"/>
        </w:rPr>
        <w:t>5.3.3投标人未参加开标或在规定的时间内未提出异议的，视为对开标无异议。</w:t>
      </w:r>
    </w:p>
    <w:p>
      <w:pPr>
        <w:keepNext/>
        <w:keepLines/>
        <w:spacing w:before="240" w:after="240" w:line="416" w:lineRule="auto"/>
        <w:jc w:val="left"/>
        <w:outlineLvl w:val="1"/>
        <w:rPr>
          <w:rFonts w:ascii="宋体" w:hAnsi="宋体" w:cs="宋体"/>
          <w:b/>
          <w:bCs/>
          <w:sz w:val="40"/>
          <w:szCs w:val="32"/>
          <w:highlight w:val="none"/>
        </w:rPr>
      </w:pPr>
      <w:bookmarkStart w:id="117" w:name="_Toc5463"/>
      <w:bookmarkStart w:id="118" w:name="_Toc17328"/>
      <w:bookmarkStart w:id="119" w:name="_Toc532367878"/>
      <w:bookmarkStart w:id="120" w:name="_Toc11500"/>
      <w:bookmarkStart w:id="121" w:name="_Toc24608"/>
      <w:bookmarkStart w:id="122" w:name="_Toc38224844"/>
      <w:r>
        <w:rPr>
          <w:rFonts w:hint="eastAsia" w:ascii="宋体" w:hAnsi="宋体" w:cs="宋体"/>
          <w:b/>
          <w:bCs/>
          <w:sz w:val="40"/>
          <w:szCs w:val="32"/>
          <w:highlight w:val="none"/>
        </w:rPr>
        <w:t>6.评标</w:t>
      </w:r>
      <w:bookmarkEnd w:id="117"/>
      <w:bookmarkEnd w:id="118"/>
      <w:bookmarkEnd w:id="119"/>
      <w:bookmarkEnd w:id="120"/>
      <w:bookmarkEnd w:id="121"/>
      <w:bookmarkEnd w:id="122"/>
    </w:p>
    <w:p>
      <w:pPr>
        <w:keepNext/>
        <w:keepLines/>
        <w:spacing w:before="120" w:after="120" w:line="360" w:lineRule="auto"/>
        <w:jc w:val="left"/>
        <w:outlineLvl w:val="2"/>
        <w:rPr>
          <w:rFonts w:ascii="宋体" w:hAnsi="宋体" w:cs="宋体"/>
          <w:b/>
          <w:bCs/>
          <w:sz w:val="22"/>
          <w:highlight w:val="none"/>
        </w:rPr>
      </w:pPr>
      <w:r>
        <w:rPr>
          <w:rFonts w:hint="eastAsia" w:ascii="宋体" w:hAnsi="宋体" w:cs="宋体"/>
          <w:b/>
          <w:bCs/>
          <w:sz w:val="22"/>
          <w:highlight w:val="none"/>
        </w:rPr>
        <w:t>6.1 评标委员会</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6.1.2 评标委员会成员有下列情形之一的，应当回避：</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（1）投标人或投标人主要负责人的近亲属；</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（2）项目主管部门或者行政监督部门的人员；</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（3）与投标人有经济利益关系，可能影响对投标公正评审的；</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（4）曾因在招标、评标以及其他与招标投标有关活动中从事违法行为而受过行政处罚或刑事处罚的；</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（5）与投标人有其他利害关系。</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6.1.3 评标过程中，评标委员会成员有回避事由、擅离职守或者因健康等原因不能继续评标的，招标人有权更换。被更换的评标委员会成员作出的评审结论无效，由更换后的评标委员会成员重新进行评审。</w:t>
      </w:r>
    </w:p>
    <w:p>
      <w:pPr>
        <w:keepNext/>
        <w:keepLines/>
        <w:spacing w:before="120" w:after="120" w:line="360" w:lineRule="auto"/>
        <w:jc w:val="left"/>
        <w:outlineLvl w:val="2"/>
        <w:rPr>
          <w:rFonts w:ascii="宋体" w:hAnsi="宋体" w:cs="宋体"/>
          <w:b/>
          <w:bCs/>
          <w:sz w:val="22"/>
          <w:highlight w:val="none"/>
        </w:rPr>
      </w:pPr>
      <w:r>
        <w:rPr>
          <w:rFonts w:hint="eastAsia" w:ascii="宋体" w:hAnsi="宋体" w:cs="宋体"/>
          <w:b/>
          <w:bCs/>
          <w:sz w:val="22"/>
          <w:highlight w:val="none"/>
        </w:rPr>
        <w:t>6.2 评标原则</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评标活动遵循公平、公正、科学和择优的原则。</w:t>
      </w:r>
    </w:p>
    <w:p>
      <w:pPr>
        <w:keepNext/>
        <w:keepLines/>
        <w:spacing w:before="120" w:after="120" w:line="360" w:lineRule="auto"/>
        <w:jc w:val="left"/>
        <w:outlineLvl w:val="2"/>
        <w:rPr>
          <w:rFonts w:ascii="宋体" w:hAnsi="宋体" w:cs="宋体"/>
          <w:b/>
          <w:bCs/>
          <w:sz w:val="22"/>
          <w:highlight w:val="none"/>
        </w:rPr>
      </w:pPr>
      <w:r>
        <w:rPr>
          <w:rFonts w:hint="eastAsia" w:ascii="宋体" w:hAnsi="宋体" w:cs="宋体"/>
          <w:b/>
          <w:bCs/>
          <w:sz w:val="22"/>
          <w:highlight w:val="none"/>
        </w:rPr>
        <w:t>6.3 评标</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6.3.1 评标委员会按照第三章“评标办法”规定的方法、评审因素、标准和程序对投标文件进行评审。第三章“评标办法”没有规定的方法、评审因素和标准，不作为评标依据。</w:t>
      </w:r>
    </w:p>
    <w:p>
      <w:pPr>
        <w:spacing w:line="360" w:lineRule="auto"/>
        <w:ind w:firstLine="444" w:firstLineChars="202"/>
        <w:jc w:val="left"/>
        <w:rPr>
          <w:rFonts w:ascii="宋体" w:hAnsi="宋体" w:cs="宋体"/>
          <w:sz w:val="28"/>
          <w:szCs w:val="28"/>
          <w:highlight w:val="none"/>
        </w:rPr>
      </w:pPr>
      <w:r>
        <w:rPr>
          <w:rFonts w:hint="eastAsia" w:ascii="宋体" w:hAnsi="宋体" w:cs="宋体"/>
          <w:sz w:val="22"/>
          <w:highlight w:val="none"/>
        </w:rPr>
        <w:t>6.3.2 评标完成后，评标委员会应当向招标人提交书面评标报告和中标候选人名单。评标委员会推荐中标候选人的人数见投标人须知前附表。</w:t>
      </w:r>
    </w:p>
    <w:p>
      <w:pPr>
        <w:keepNext/>
        <w:keepLines/>
        <w:spacing w:before="240" w:after="240" w:line="416" w:lineRule="auto"/>
        <w:outlineLvl w:val="1"/>
        <w:rPr>
          <w:rFonts w:ascii="宋体" w:hAnsi="宋体" w:cs="宋体"/>
          <w:b/>
          <w:bCs/>
          <w:sz w:val="40"/>
          <w:szCs w:val="32"/>
          <w:highlight w:val="none"/>
        </w:rPr>
      </w:pPr>
      <w:bookmarkStart w:id="123" w:name="_Toc27928"/>
      <w:bookmarkStart w:id="124" w:name="_Toc15742"/>
      <w:bookmarkStart w:id="125" w:name="_Toc31080"/>
      <w:bookmarkStart w:id="126" w:name="_Toc17606"/>
      <w:bookmarkStart w:id="127" w:name="_Toc377719905"/>
      <w:bookmarkStart w:id="128" w:name="_Toc24971"/>
      <w:bookmarkStart w:id="129" w:name="_Toc23147"/>
      <w:bookmarkStart w:id="130" w:name="_Toc11665"/>
      <w:bookmarkStart w:id="131" w:name="_Toc21343"/>
      <w:bookmarkStart w:id="132" w:name="_Toc18237"/>
      <w:bookmarkStart w:id="133" w:name="_Toc22463"/>
      <w:bookmarkStart w:id="134" w:name="_Toc38224845"/>
      <w:bookmarkStart w:id="135" w:name="_Toc532367879"/>
      <w:r>
        <w:rPr>
          <w:rFonts w:hint="eastAsia" w:ascii="宋体" w:hAnsi="宋体" w:cs="宋体"/>
          <w:b/>
          <w:bCs/>
          <w:sz w:val="40"/>
          <w:szCs w:val="32"/>
          <w:highlight w:val="none"/>
        </w:rPr>
        <w:t>7.合同</w:t>
      </w:r>
      <w:bookmarkEnd w:id="123"/>
      <w:bookmarkEnd w:id="124"/>
      <w:bookmarkEnd w:id="125"/>
      <w:bookmarkEnd w:id="126"/>
      <w:bookmarkEnd w:id="127"/>
      <w:bookmarkEnd w:id="128"/>
      <w:bookmarkEnd w:id="129"/>
      <w:r>
        <w:rPr>
          <w:rFonts w:hint="eastAsia" w:ascii="宋体" w:hAnsi="宋体" w:cs="宋体"/>
          <w:b/>
          <w:bCs/>
          <w:sz w:val="40"/>
          <w:szCs w:val="32"/>
          <w:highlight w:val="none"/>
        </w:rPr>
        <w:t>授予</w:t>
      </w:r>
      <w:bookmarkEnd w:id="130"/>
      <w:bookmarkEnd w:id="131"/>
      <w:bookmarkEnd w:id="132"/>
      <w:bookmarkEnd w:id="133"/>
      <w:bookmarkEnd w:id="134"/>
      <w:bookmarkEnd w:id="135"/>
    </w:p>
    <w:p>
      <w:pPr>
        <w:spacing w:line="360" w:lineRule="auto"/>
        <w:jc w:val="left"/>
        <w:rPr>
          <w:rFonts w:ascii="宋体" w:hAnsi="宋体" w:cs="宋体"/>
          <w:b/>
          <w:bCs/>
          <w:sz w:val="22"/>
          <w:highlight w:val="none"/>
        </w:rPr>
      </w:pPr>
      <w:r>
        <w:rPr>
          <w:rFonts w:hint="eastAsia" w:ascii="宋体" w:hAnsi="宋体" w:cs="宋体"/>
          <w:b/>
          <w:bCs/>
          <w:sz w:val="22"/>
          <w:highlight w:val="none"/>
        </w:rPr>
        <w:t>7.1 中标候选人公示</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招标人在收到评标报告之日起 3 日内，按照投标人须知前附表规定的公示媒介和期限公示中标候选人，公示期不得少于 3 天</w:t>
      </w:r>
      <w:r>
        <w:rPr>
          <w:rFonts w:hint="eastAsia" w:ascii="宋体" w:hAnsi="宋体" w:cs="宋体"/>
          <w:sz w:val="22"/>
          <w:highlight w:val="none"/>
          <w:u w:val="single"/>
        </w:rPr>
        <w:t>（公示期间的最后1天应当为工作日，否则将公示期的最后1天顺延至下一个工作日）。</w:t>
      </w:r>
    </w:p>
    <w:p>
      <w:pPr>
        <w:spacing w:line="360" w:lineRule="auto"/>
        <w:jc w:val="left"/>
        <w:rPr>
          <w:rFonts w:ascii="宋体" w:hAnsi="宋体" w:cs="宋体"/>
          <w:b/>
          <w:bCs/>
          <w:sz w:val="22"/>
          <w:highlight w:val="none"/>
        </w:rPr>
      </w:pPr>
      <w:r>
        <w:rPr>
          <w:rFonts w:hint="eastAsia" w:ascii="宋体" w:hAnsi="宋体" w:cs="宋体"/>
          <w:b/>
          <w:bCs/>
          <w:sz w:val="22"/>
          <w:highlight w:val="none"/>
        </w:rPr>
        <w:t>7.2 评标结果异议</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投标人或者其他利害关系人对评标结果有异议的，应当在中标候选人公示期间提出。招标人将在收到异议之日起 3 日内作出答复；作出答复前，将暂停招标投标活动。</w:t>
      </w:r>
    </w:p>
    <w:p>
      <w:pPr>
        <w:spacing w:line="360" w:lineRule="auto"/>
        <w:jc w:val="left"/>
        <w:rPr>
          <w:rFonts w:ascii="宋体" w:hAnsi="宋体" w:cs="宋体"/>
          <w:b/>
          <w:bCs/>
          <w:sz w:val="22"/>
          <w:highlight w:val="none"/>
        </w:rPr>
      </w:pPr>
      <w:r>
        <w:rPr>
          <w:rFonts w:hint="eastAsia" w:ascii="宋体" w:hAnsi="宋体" w:cs="宋体"/>
          <w:b/>
          <w:bCs/>
          <w:sz w:val="22"/>
          <w:highlight w:val="none"/>
        </w:rPr>
        <w:t>7.3 中标候选人履约能力审查</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中标候选人的经营、财务状况发生较大变化或存在违法行为，招标人认为可能影响其履约能力的，将在发出中标通知书前提请原评标委员会按照招标文件规定的标准和方法进行审查确认。</w:t>
      </w:r>
    </w:p>
    <w:p>
      <w:pPr>
        <w:spacing w:line="360" w:lineRule="auto"/>
        <w:jc w:val="left"/>
        <w:rPr>
          <w:rFonts w:ascii="宋体" w:hAnsi="宋体" w:cs="宋体"/>
          <w:b/>
          <w:bCs/>
          <w:sz w:val="22"/>
          <w:highlight w:val="none"/>
        </w:rPr>
      </w:pPr>
      <w:r>
        <w:rPr>
          <w:rFonts w:hint="eastAsia" w:ascii="宋体" w:hAnsi="宋体" w:cs="宋体"/>
          <w:b/>
          <w:bCs/>
          <w:sz w:val="22"/>
          <w:highlight w:val="none"/>
        </w:rPr>
        <w:t>7.4 定标</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按照投标人须知前附表的规定，招标人或招标人授权的评标委员会依法确定中标人。</w:t>
      </w:r>
    </w:p>
    <w:p>
      <w:pPr>
        <w:spacing w:line="360" w:lineRule="auto"/>
        <w:jc w:val="left"/>
        <w:rPr>
          <w:rFonts w:ascii="宋体" w:hAnsi="宋体" w:cs="宋体"/>
          <w:b/>
          <w:bCs/>
          <w:sz w:val="22"/>
          <w:highlight w:val="none"/>
        </w:rPr>
      </w:pPr>
      <w:r>
        <w:rPr>
          <w:rFonts w:hint="eastAsia" w:ascii="宋体" w:hAnsi="宋体" w:cs="宋体"/>
          <w:b/>
          <w:bCs/>
          <w:sz w:val="22"/>
          <w:highlight w:val="none"/>
        </w:rPr>
        <w:t>7.5 中标通知</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在本章第 3.3 款规定的投标有效期内，招标人以书面形式向中标人发出中标通知书，同时将中标结果通知未中标的投标人。</w:t>
      </w:r>
    </w:p>
    <w:p>
      <w:pPr>
        <w:spacing w:line="360" w:lineRule="auto"/>
        <w:jc w:val="left"/>
        <w:rPr>
          <w:rFonts w:ascii="宋体" w:hAnsi="宋体" w:cs="宋体"/>
          <w:b/>
          <w:bCs/>
          <w:sz w:val="22"/>
          <w:highlight w:val="none"/>
        </w:rPr>
      </w:pPr>
      <w:r>
        <w:rPr>
          <w:rFonts w:hint="eastAsia" w:ascii="宋体" w:hAnsi="宋体" w:cs="宋体"/>
          <w:b/>
          <w:bCs/>
          <w:sz w:val="22"/>
          <w:highlight w:val="none"/>
        </w:rPr>
        <w:t>7.6 履约保证金</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7.6.1 在</w:t>
      </w:r>
      <w:r>
        <w:rPr>
          <w:rFonts w:hint="eastAsia" w:ascii="宋体" w:hAnsi="宋体" w:cs="宋体"/>
          <w:sz w:val="22"/>
          <w:highlight w:val="none"/>
          <w:u w:val="single"/>
          <w:lang w:val="en-US" w:eastAsia="zh-CN"/>
        </w:rPr>
        <w:t>收到</w:t>
      </w:r>
      <w:r>
        <w:rPr>
          <w:rFonts w:hint="eastAsia" w:ascii="宋体" w:hAnsi="宋体" w:cs="宋体"/>
          <w:sz w:val="22"/>
          <w:highlight w:val="none"/>
          <w:u w:val="single"/>
        </w:rPr>
        <w:t>中标通知书28日内</w:t>
      </w:r>
      <w:r>
        <w:rPr>
          <w:rFonts w:hint="eastAsia" w:ascii="宋体" w:hAnsi="宋体" w:cs="宋体"/>
          <w:sz w:val="22"/>
          <w:highlight w:val="none"/>
        </w:rPr>
        <w:t>，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 10%。联合体中标的，其履约保证金以联合体各方或者联合体主办方的名义提交。</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7.6.2 中标人不能按本章第 7.6.1 项要求提交履约保证金的，视为放弃中标</w:t>
      </w:r>
      <w:r>
        <w:rPr>
          <w:rFonts w:hint="eastAsia" w:ascii="宋体" w:hAnsi="宋体" w:cs="宋体"/>
          <w:strike/>
          <w:sz w:val="22"/>
          <w:highlight w:val="none"/>
        </w:rPr>
        <w:t>，其投标保证金不予退还</w:t>
      </w:r>
      <w:r>
        <w:rPr>
          <w:rFonts w:hint="eastAsia" w:ascii="宋体" w:hAnsi="宋体" w:cs="宋体"/>
          <w:sz w:val="22"/>
          <w:highlight w:val="none"/>
        </w:rPr>
        <w:t>，给招标人造成的损失</w:t>
      </w:r>
      <w:r>
        <w:rPr>
          <w:rFonts w:hint="eastAsia" w:ascii="宋体" w:hAnsi="宋体" w:cs="宋体"/>
          <w:strike/>
          <w:sz w:val="22"/>
          <w:highlight w:val="none"/>
        </w:rPr>
        <w:t>超过投标保证金数额</w:t>
      </w:r>
      <w:r>
        <w:rPr>
          <w:rFonts w:hint="eastAsia" w:ascii="宋体" w:hAnsi="宋体" w:cs="宋体"/>
          <w:sz w:val="22"/>
          <w:highlight w:val="none"/>
        </w:rPr>
        <w:t>的，中标人还应当</w:t>
      </w:r>
      <w:r>
        <w:rPr>
          <w:rFonts w:hint="eastAsia" w:ascii="宋体" w:hAnsi="宋体" w:cs="宋体"/>
          <w:strike/>
          <w:sz w:val="22"/>
          <w:highlight w:val="none"/>
        </w:rPr>
        <w:t>对超过部分</w:t>
      </w:r>
      <w:r>
        <w:rPr>
          <w:rFonts w:hint="eastAsia" w:ascii="宋体" w:hAnsi="宋体" w:cs="宋体"/>
          <w:sz w:val="22"/>
          <w:highlight w:val="none"/>
        </w:rPr>
        <w:t>予以赔偿。</w:t>
      </w:r>
    </w:p>
    <w:p>
      <w:pPr>
        <w:spacing w:line="360" w:lineRule="auto"/>
        <w:jc w:val="left"/>
        <w:rPr>
          <w:rFonts w:ascii="宋体" w:hAnsi="宋体" w:cs="宋体"/>
          <w:b/>
          <w:bCs/>
          <w:sz w:val="22"/>
          <w:highlight w:val="none"/>
        </w:rPr>
      </w:pPr>
      <w:r>
        <w:rPr>
          <w:rFonts w:hint="eastAsia" w:ascii="宋体" w:hAnsi="宋体" w:cs="宋体"/>
          <w:b/>
          <w:bCs/>
          <w:sz w:val="22"/>
          <w:highlight w:val="none"/>
        </w:rPr>
        <w:t>7.7 签订合同</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7.7.1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w:t>
      </w:r>
      <w:r>
        <w:rPr>
          <w:rFonts w:hint="eastAsia" w:ascii="宋体" w:hAnsi="宋体" w:cs="宋体"/>
          <w:strike/>
          <w:sz w:val="22"/>
          <w:highlight w:val="none"/>
        </w:rPr>
        <w:t>，其投标保证金不予退还</w:t>
      </w:r>
      <w:r>
        <w:rPr>
          <w:rFonts w:hint="eastAsia" w:ascii="宋体" w:hAnsi="宋体" w:cs="宋体"/>
          <w:sz w:val="22"/>
          <w:highlight w:val="none"/>
        </w:rPr>
        <w:t>；给招标人造成的损失</w:t>
      </w:r>
      <w:r>
        <w:rPr>
          <w:rFonts w:hint="eastAsia" w:ascii="宋体" w:hAnsi="宋体" w:cs="宋体"/>
          <w:strike/>
          <w:sz w:val="22"/>
          <w:highlight w:val="none"/>
        </w:rPr>
        <w:t>超过投标保证金数额</w:t>
      </w:r>
      <w:r>
        <w:rPr>
          <w:rFonts w:hint="eastAsia" w:ascii="宋体" w:hAnsi="宋体" w:cs="宋体"/>
          <w:sz w:val="22"/>
          <w:highlight w:val="none"/>
        </w:rPr>
        <w:t>的，中标人还应当</w:t>
      </w:r>
      <w:r>
        <w:rPr>
          <w:rFonts w:hint="eastAsia" w:ascii="宋体" w:hAnsi="宋体" w:cs="宋体"/>
          <w:strike/>
          <w:sz w:val="22"/>
          <w:highlight w:val="none"/>
        </w:rPr>
        <w:t>对超过部分</w:t>
      </w:r>
      <w:r>
        <w:rPr>
          <w:rFonts w:hint="eastAsia" w:ascii="宋体" w:hAnsi="宋体" w:cs="宋体"/>
          <w:sz w:val="22"/>
          <w:highlight w:val="none"/>
        </w:rPr>
        <w:t>予以赔偿。</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7.7.2 发出中标通知书后，招标人无正当理由拒签合同，或者在签订合同时向中标人提出附加条件的，</w:t>
      </w:r>
      <w:r>
        <w:rPr>
          <w:rFonts w:hint="eastAsia" w:ascii="宋体" w:hAnsi="宋体" w:cs="宋体"/>
          <w:strike/>
          <w:sz w:val="22"/>
          <w:highlight w:val="none"/>
        </w:rPr>
        <w:t>招标人向中标人退还投标保证金</w:t>
      </w:r>
      <w:r>
        <w:rPr>
          <w:rFonts w:hint="eastAsia" w:ascii="宋体" w:hAnsi="宋体" w:cs="宋体"/>
          <w:sz w:val="22"/>
          <w:highlight w:val="none"/>
        </w:rPr>
        <w:t>；给中标人造成损失的，还应当赔偿损失。</w:t>
      </w:r>
    </w:p>
    <w:p>
      <w:pPr>
        <w:pStyle w:val="22"/>
        <w:ind w:firstLine="440" w:firstLineChars="200"/>
        <w:rPr>
          <w:rFonts w:hAnsi="宋体" w:cs="宋体"/>
          <w:kern w:val="2"/>
          <w:sz w:val="22"/>
          <w:szCs w:val="22"/>
          <w:highlight w:val="none"/>
        </w:rPr>
      </w:pPr>
      <w:r>
        <w:rPr>
          <w:rFonts w:hint="eastAsia" w:hAnsi="宋体" w:cs="宋体"/>
          <w:kern w:val="2"/>
          <w:sz w:val="22"/>
          <w:szCs w:val="22"/>
          <w:highlight w:val="none"/>
        </w:rPr>
        <w:t>7.7.3 联合体中标的，联合体各方应当共同与招标人签订合同，就中标项目向招标人承担连带责任。</w:t>
      </w:r>
    </w:p>
    <w:p>
      <w:pPr>
        <w:keepNext/>
        <w:keepLines/>
        <w:spacing w:before="240" w:after="240" w:line="416" w:lineRule="auto"/>
        <w:jc w:val="left"/>
        <w:outlineLvl w:val="1"/>
        <w:rPr>
          <w:rFonts w:ascii="宋体" w:hAnsi="宋体" w:cs="宋体"/>
          <w:b/>
          <w:bCs/>
          <w:sz w:val="40"/>
          <w:szCs w:val="32"/>
          <w:highlight w:val="none"/>
        </w:rPr>
      </w:pPr>
      <w:bookmarkStart w:id="136" w:name="_Toc15378"/>
      <w:bookmarkStart w:id="137" w:name="_Toc19621"/>
      <w:bookmarkStart w:id="138" w:name="_Toc38224846"/>
      <w:bookmarkStart w:id="139" w:name="_Toc532367880"/>
      <w:bookmarkStart w:id="140" w:name="_Toc15512"/>
      <w:bookmarkStart w:id="141" w:name="_Toc25746"/>
      <w:r>
        <w:rPr>
          <w:rFonts w:hint="eastAsia" w:ascii="宋体" w:hAnsi="宋体" w:cs="宋体"/>
          <w:b/>
          <w:bCs/>
          <w:sz w:val="40"/>
          <w:szCs w:val="32"/>
          <w:highlight w:val="none"/>
        </w:rPr>
        <w:t>8.纪律和监督</w:t>
      </w:r>
      <w:bookmarkEnd w:id="136"/>
      <w:bookmarkEnd w:id="137"/>
      <w:bookmarkEnd w:id="138"/>
      <w:bookmarkEnd w:id="139"/>
      <w:bookmarkEnd w:id="140"/>
      <w:bookmarkEnd w:id="141"/>
    </w:p>
    <w:p>
      <w:pPr>
        <w:spacing w:line="360" w:lineRule="auto"/>
        <w:jc w:val="left"/>
        <w:rPr>
          <w:rFonts w:ascii="宋体" w:hAnsi="宋体" w:cs="宋体"/>
          <w:b/>
          <w:bCs/>
          <w:sz w:val="22"/>
          <w:highlight w:val="none"/>
        </w:rPr>
      </w:pPr>
      <w:r>
        <w:rPr>
          <w:rFonts w:hint="eastAsia" w:ascii="宋体" w:hAnsi="宋体" w:cs="宋体"/>
          <w:b/>
          <w:bCs/>
          <w:sz w:val="22"/>
          <w:highlight w:val="none"/>
        </w:rPr>
        <w:t>8.1 对招标人的纪律要求</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招标人不得泄露招标投标活动中应当保密的情况和资料，不得与投标人串通损害国家利益、社会公共利益或者他人合法权益。</w:t>
      </w:r>
    </w:p>
    <w:p>
      <w:pPr>
        <w:spacing w:line="360" w:lineRule="auto"/>
        <w:jc w:val="left"/>
        <w:rPr>
          <w:rFonts w:ascii="宋体" w:hAnsi="宋体" w:cs="宋体"/>
          <w:b/>
          <w:bCs/>
          <w:sz w:val="22"/>
          <w:highlight w:val="none"/>
        </w:rPr>
      </w:pPr>
      <w:r>
        <w:rPr>
          <w:rFonts w:hint="eastAsia" w:ascii="宋体" w:hAnsi="宋体" w:cs="宋体"/>
          <w:b/>
          <w:bCs/>
          <w:sz w:val="22"/>
          <w:highlight w:val="none"/>
        </w:rPr>
        <w:t>8.2 对投标人的纪律要求</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jc w:val="left"/>
        <w:rPr>
          <w:rFonts w:ascii="宋体" w:hAnsi="宋体" w:cs="宋体"/>
          <w:b/>
          <w:bCs/>
          <w:sz w:val="22"/>
          <w:highlight w:val="none"/>
        </w:rPr>
      </w:pPr>
      <w:r>
        <w:rPr>
          <w:rFonts w:hint="eastAsia" w:ascii="宋体" w:hAnsi="宋体" w:cs="宋体"/>
          <w:b/>
          <w:bCs/>
          <w:sz w:val="22"/>
          <w:highlight w:val="none"/>
        </w:rPr>
        <w:t>8.3 对评标委员会成员的纪律要求</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spacing w:line="360" w:lineRule="auto"/>
        <w:jc w:val="left"/>
        <w:rPr>
          <w:rFonts w:ascii="宋体" w:hAnsi="宋体" w:cs="宋体"/>
          <w:b/>
          <w:bCs/>
          <w:sz w:val="22"/>
          <w:highlight w:val="none"/>
        </w:rPr>
      </w:pPr>
      <w:r>
        <w:rPr>
          <w:rFonts w:hint="eastAsia" w:ascii="宋体" w:hAnsi="宋体" w:cs="宋体"/>
          <w:b/>
          <w:bCs/>
          <w:sz w:val="22"/>
          <w:highlight w:val="none"/>
        </w:rPr>
        <w:t>8.4 对与评标活动有关的工作人员的纪律要求</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spacing w:line="360" w:lineRule="auto"/>
        <w:jc w:val="left"/>
        <w:rPr>
          <w:rFonts w:ascii="宋体" w:hAnsi="宋体" w:cs="宋体"/>
          <w:b/>
          <w:bCs/>
          <w:sz w:val="22"/>
          <w:highlight w:val="none"/>
        </w:rPr>
      </w:pPr>
      <w:r>
        <w:rPr>
          <w:rFonts w:hint="eastAsia" w:ascii="宋体" w:hAnsi="宋体" w:cs="宋体"/>
          <w:b/>
          <w:bCs/>
          <w:sz w:val="22"/>
          <w:highlight w:val="none"/>
        </w:rPr>
        <w:t>8.5 投诉</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8.5.1 投标人或者其他利害关系人认为招标投标活动不符合法律、行政法规规定的，可以自知道或者应当知道之日起 10 日内向有关行政监督部门投诉。投诉应当有明确的请求和必要的证明材料。</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8.5.2 投标人或者其他利害关系人对招标文件、开标和评标结果提出投诉的，应当按照投标人须知第 2.4 款、第 5.3 款和第 7.2 款的规定先向招标人提出异议。异议答复期间不计算在第 8.5.1项规定的期限内。</w:t>
      </w:r>
    </w:p>
    <w:p>
      <w:pPr>
        <w:keepNext/>
        <w:keepLines/>
        <w:spacing w:before="240" w:after="240" w:line="416" w:lineRule="auto"/>
        <w:jc w:val="left"/>
        <w:outlineLvl w:val="1"/>
        <w:rPr>
          <w:rFonts w:ascii="宋体" w:hAnsi="宋体" w:cs="宋体"/>
          <w:b/>
          <w:bCs/>
          <w:sz w:val="40"/>
          <w:szCs w:val="32"/>
          <w:highlight w:val="none"/>
        </w:rPr>
      </w:pPr>
      <w:bookmarkStart w:id="142" w:name="_Toc3441"/>
      <w:bookmarkStart w:id="143" w:name="_Toc38224847"/>
      <w:r>
        <w:rPr>
          <w:rFonts w:hint="eastAsia" w:ascii="宋体" w:hAnsi="宋体" w:cs="宋体"/>
          <w:b/>
          <w:bCs/>
          <w:sz w:val="40"/>
          <w:szCs w:val="32"/>
          <w:highlight w:val="none"/>
        </w:rPr>
        <w:t>9.是否采用电子招标投标</w:t>
      </w:r>
      <w:bookmarkEnd w:id="142"/>
      <w:bookmarkEnd w:id="143"/>
    </w:p>
    <w:p>
      <w:pPr>
        <w:spacing w:line="360" w:lineRule="exact"/>
        <w:ind w:firstLine="444" w:firstLineChars="202"/>
        <w:jc w:val="left"/>
        <w:rPr>
          <w:rFonts w:ascii="宋体" w:hAnsi="宋体" w:cs="宋体"/>
          <w:sz w:val="22"/>
          <w:highlight w:val="none"/>
        </w:rPr>
      </w:pPr>
      <w:r>
        <w:rPr>
          <w:rFonts w:hint="eastAsia" w:ascii="宋体" w:hAnsi="宋体" w:cs="宋体"/>
          <w:sz w:val="22"/>
          <w:highlight w:val="none"/>
        </w:rPr>
        <w:t>本招标项目是否采用电子招标投标方式，见投标人须知前附表。</w:t>
      </w:r>
    </w:p>
    <w:p>
      <w:pPr>
        <w:keepNext/>
        <w:keepLines/>
        <w:spacing w:before="240" w:after="240" w:line="416" w:lineRule="auto"/>
        <w:jc w:val="left"/>
        <w:outlineLvl w:val="1"/>
        <w:rPr>
          <w:rFonts w:ascii="宋体" w:hAnsi="宋体" w:cs="宋体"/>
          <w:b/>
          <w:bCs/>
          <w:sz w:val="40"/>
          <w:szCs w:val="32"/>
          <w:highlight w:val="none"/>
        </w:rPr>
      </w:pPr>
      <w:bookmarkStart w:id="144" w:name="_Toc5234"/>
      <w:bookmarkStart w:id="145" w:name="_Toc38224848"/>
      <w:r>
        <w:rPr>
          <w:rFonts w:hint="eastAsia" w:ascii="宋体" w:hAnsi="宋体" w:cs="宋体"/>
          <w:b/>
          <w:bCs/>
          <w:sz w:val="40"/>
          <w:szCs w:val="32"/>
          <w:highlight w:val="none"/>
        </w:rPr>
        <w:t>10.需要补充的其他内容</w:t>
      </w:r>
      <w:bookmarkEnd w:id="144"/>
      <w:bookmarkEnd w:id="145"/>
    </w:p>
    <w:p>
      <w:pPr>
        <w:spacing w:line="360" w:lineRule="exact"/>
        <w:ind w:firstLine="444" w:firstLineChars="202"/>
        <w:jc w:val="left"/>
        <w:rPr>
          <w:rFonts w:ascii="宋体" w:hAnsi="宋体" w:cs="宋体"/>
          <w:sz w:val="22"/>
          <w:highlight w:val="none"/>
        </w:rPr>
      </w:pPr>
      <w:r>
        <w:rPr>
          <w:rFonts w:hint="eastAsia" w:ascii="宋体" w:hAnsi="宋体" w:cs="宋体"/>
          <w:sz w:val="22"/>
          <w:highlight w:val="none"/>
        </w:rPr>
        <w:t>需要补充的其他内容：见投标人须知前附表。</w:t>
      </w:r>
    </w:p>
    <w:p>
      <w:pPr>
        <w:pStyle w:val="5"/>
        <w:keepNext w:val="0"/>
        <w:keepLines w:val="0"/>
        <w:ind w:firstLine="137"/>
        <w:rPr>
          <w:rFonts w:ascii="宋体" w:hAnsi="宋体" w:eastAsia="宋体" w:cs="宋体"/>
          <w:highlight w:val="none"/>
        </w:rPr>
        <w:sectPr>
          <w:pgSz w:w="11905" w:h="16838"/>
          <w:pgMar w:top="1418" w:right="1701" w:bottom="1418" w:left="1701" w:header="851" w:footer="794" w:gutter="0"/>
          <w:cols w:space="720" w:num="1"/>
          <w:docGrid w:type="lines" w:linePitch="312" w:charSpace="0"/>
        </w:sectPr>
      </w:pPr>
      <w:bookmarkStart w:id="146" w:name="_Toc532147716"/>
    </w:p>
    <w:p>
      <w:pPr>
        <w:pStyle w:val="5"/>
        <w:keepNext w:val="0"/>
        <w:keepLines w:val="0"/>
        <w:ind w:firstLine="137"/>
        <w:rPr>
          <w:rFonts w:ascii="宋体" w:hAnsi="宋体" w:eastAsia="宋体" w:cs="宋体"/>
          <w:highlight w:val="none"/>
        </w:rPr>
      </w:pPr>
      <w:bookmarkStart w:id="147" w:name="_Toc2865"/>
      <w:r>
        <w:rPr>
          <w:rFonts w:hint="eastAsia" w:ascii="宋体" w:hAnsi="宋体" w:eastAsia="宋体" w:cs="宋体"/>
          <w:highlight w:val="none"/>
        </w:rPr>
        <w:t>附件一：开标记录表</w:t>
      </w:r>
      <w:bookmarkEnd w:id="146"/>
      <w:bookmarkEnd w:id="147"/>
    </w:p>
    <w:p>
      <w:pPr>
        <w:spacing w:line="440" w:lineRule="exact"/>
        <w:jc w:val="center"/>
        <w:rPr>
          <w:rFonts w:ascii="宋体" w:hAnsi="宋体" w:cs="宋体"/>
          <w:sz w:val="28"/>
          <w:highlight w:val="none"/>
        </w:rPr>
      </w:pPr>
      <w:r>
        <w:rPr>
          <w:rFonts w:hint="eastAsia" w:ascii="宋体" w:hAnsi="宋体" w:cs="宋体"/>
          <w:sz w:val="28"/>
          <w:highlight w:val="none"/>
        </w:rPr>
        <w:t>开标记录表</w:t>
      </w:r>
      <w:r>
        <w:rPr>
          <w:rFonts w:hint="eastAsia"/>
          <w:sz w:val="28"/>
          <w:highlight w:val="none"/>
        </w:rPr>
        <w:t>（参考格式）</w:t>
      </w:r>
    </w:p>
    <w:p>
      <w:pPr>
        <w:spacing w:before="120" w:beforeLines="50" w:after="120" w:afterLines="50" w:line="400" w:lineRule="exact"/>
        <w:ind w:right="420"/>
        <w:jc w:val="left"/>
        <w:rPr>
          <w:rFonts w:ascii="宋体" w:hAnsi="宋体" w:cs="宋体"/>
          <w:sz w:val="18"/>
          <w:szCs w:val="18"/>
          <w:highlight w:val="none"/>
        </w:rPr>
      </w:pPr>
      <w:r>
        <w:rPr>
          <w:rFonts w:hint="eastAsia" w:ascii="宋体" w:hAnsi="宋体" w:cs="宋体"/>
          <w:sz w:val="18"/>
          <w:szCs w:val="18"/>
          <w:highlight w:val="none"/>
        </w:rPr>
        <w:t>开标时间：    年   月   日   时   分</w:t>
      </w:r>
    </w:p>
    <w:tbl>
      <w:tblPr>
        <w:tblStyle w:val="45"/>
        <w:tblW w:w="9463" w:type="dxa"/>
        <w:tblInd w:w="-459" w:type="dxa"/>
        <w:tblLayout w:type="fixed"/>
        <w:tblCellMar>
          <w:top w:w="0" w:type="dxa"/>
          <w:left w:w="108" w:type="dxa"/>
          <w:bottom w:w="0" w:type="dxa"/>
          <w:right w:w="108" w:type="dxa"/>
        </w:tblCellMar>
      </w:tblPr>
      <w:tblGrid>
        <w:gridCol w:w="648"/>
        <w:gridCol w:w="1019"/>
        <w:gridCol w:w="992"/>
        <w:gridCol w:w="1134"/>
        <w:gridCol w:w="851"/>
        <w:gridCol w:w="992"/>
        <w:gridCol w:w="850"/>
        <w:gridCol w:w="992"/>
        <w:gridCol w:w="992"/>
        <w:gridCol w:w="993"/>
      </w:tblGrid>
      <w:tr>
        <w:tblPrEx>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18"/>
                <w:szCs w:val="18"/>
                <w:highlight w:val="none"/>
              </w:rPr>
            </w:pPr>
            <w:r>
              <w:rPr>
                <w:rFonts w:hint="eastAsia" w:ascii="宋体" w:hAnsi="宋体" w:cs="宋体"/>
                <w:sz w:val="18"/>
                <w:szCs w:val="18"/>
                <w:highlight w:val="none"/>
              </w:rPr>
              <w:t>序号</w:t>
            </w:r>
          </w:p>
        </w:tc>
        <w:tc>
          <w:tcPr>
            <w:tcW w:w="10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18"/>
                <w:szCs w:val="18"/>
                <w:highlight w:val="none"/>
              </w:rPr>
            </w:pPr>
            <w:r>
              <w:rPr>
                <w:rFonts w:hint="eastAsia" w:ascii="宋体" w:hAnsi="宋体" w:cs="宋体"/>
                <w:sz w:val="18"/>
                <w:szCs w:val="18"/>
                <w:highlight w:val="none"/>
              </w:rPr>
              <w:t>投标人</w:t>
            </w:r>
          </w:p>
        </w:tc>
        <w:tc>
          <w:tcPr>
            <w:tcW w:w="99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 w:val="18"/>
                <w:szCs w:val="18"/>
                <w:highlight w:val="none"/>
              </w:rPr>
            </w:pPr>
            <w:r>
              <w:rPr>
                <w:rFonts w:hint="eastAsia" w:ascii="宋体" w:hAnsi="宋体" w:cs="宋体"/>
                <w:sz w:val="18"/>
                <w:szCs w:val="18"/>
                <w:highlight w:val="none"/>
              </w:rPr>
              <w:t>密封情况</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18"/>
                <w:szCs w:val="18"/>
                <w:highlight w:val="none"/>
              </w:rPr>
            </w:pPr>
            <w:r>
              <w:rPr>
                <w:rFonts w:hint="eastAsia" w:ascii="宋体" w:hAnsi="宋体" w:cs="宋体"/>
                <w:sz w:val="18"/>
                <w:szCs w:val="18"/>
                <w:highlight w:val="none"/>
              </w:rPr>
              <w:t>投标总报价（元）</w:t>
            </w:r>
          </w:p>
          <w:p>
            <w:pPr>
              <w:spacing w:line="500" w:lineRule="exact"/>
              <w:jc w:val="center"/>
              <w:rPr>
                <w:rFonts w:ascii="宋体" w:hAnsi="宋体" w:cs="宋体"/>
                <w:sz w:val="18"/>
                <w:szCs w:val="18"/>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18"/>
                <w:szCs w:val="18"/>
                <w:highlight w:val="none"/>
              </w:rPr>
            </w:pPr>
            <w:r>
              <w:rPr>
                <w:rFonts w:hint="eastAsia" w:ascii="宋体" w:hAnsi="宋体" w:cs="宋体"/>
                <w:sz w:val="18"/>
                <w:szCs w:val="18"/>
                <w:highlight w:val="none"/>
              </w:rPr>
              <w:t>项目负责人</w:t>
            </w:r>
          </w:p>
        </w:tc>
        <w:tc>
          <w:tcPr>
            <w:tcW w:w="99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18"/>
                <w:szCs w:val="18"/>
                <w:highlight w:val="none"/>
              </w:rPr>
            </w:pPr>
            <w:r>
              <w:rPr>
                <w:rFonts w:hint="eastAsia" w:ascii="宋体" w:hAnsi="宋体" w:cs="宋体"/>
                <w:sz w:val="18"/>
                <w:szCs w:val="18"/>
                <w:highlight w:val="none"/>
              </w:rPr>
              <w:t>服务期</w:t>
            </w:r>
          </w:p>
        </w:tc>
        <w:tc>
          <w:tcPr>
            <w:tcW w:w="8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18"/>
                <w:szCs w:val="18"/>
                <w:highlight w:val="none"/>
              </w:rPr>
            </w:pPr>
            <w:r>
              <w:rPr>
                <w:rFonts w:hint="eastAsia" w:ascii="宋体" w:hAnsi="宋体" w:cs="宋体"/>
                <w:sz w:val="18"/>
                <w:szCs w:val="18"/>
                <w:highlight w:val="none"/>
              </w:rPr>
              <w:t>投标文件递交情况</w:t>
            </w: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sz w:val="18"/>
                <w:szCs w:val="18"/>
                <w:highlight w:val="none"/>
              </w:rPr>
            </w:pPr>
            <w:r>
              <w:rPr>
                <w:rFonts w:hint="eastAsia" w:ascii="宋体" w:hAnsi="宋体" w:cs="宋体"/>
                <w:sz w:val="18"/>
                <w:szCs w:val="18"/>
                <w:highlight w:val="none"/>
              </w:rPr>
              <w:t>投标文件解密情况</w:t>
            </w: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sz w:val="18"/>
                <w:szCs w:val="18"/>
                <w:highlight w:val="none"/>
              </w:rPr>
            </w:pPr>
            <w:r>
              <w:rPr>
                <w:rFonts w:hint="eastAsia" w:ascii="宋体" w:hAnsi="宋体" w:cs="宋体"/>
                <w:sz w:val="18"/>
                <w:szCs w:val="18"/>
                <w:highlight w:val="none"/>
              </w:rPr>
              <w:t>备注</w:t>
            </w:r>
          </w:p>
        </w:tc>
        <w:tc>
          <w:tcPr>
            <w:tcW w:w="99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18"/>
                <w:szCs w:val="18"/>
                <w:highlight w:val="none"/>
              </w:rPr>
            </w:pPr>
            <w:r>
              <w:rPr>
                <w:rFonts w:hint="eastAsia" w:ascii="宋体" w:hAnsi="宋体" w:cs="宋体"/>
                <w:sz w:val="18"/>
                <w:szCs w:val="18"/>
                <w:highlight w:val="none"/>
              </w:rPr>
              <w:t>投标人代表签名</w:t>
            </w:r>
          </w:p>
        </w:tc>
      </w:tr>
      <w:tr>
        <w:tblPrEx>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85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r>
      <w:tr>
        <w:tblPrEx>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85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r>
      <w:tr>
        <w:tblPrEx>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85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r>
      <w:tr>
        <w:tblPrEx>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85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r>
      <w:tr>
        <w:tblPrEx>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85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r>
      <w:tr>
        <w:tblPrEx>
          <w:tblCellMar>
            <w:top w:w="0" w:type="dxa"/>
            <w:left w:w="108" w:type="dxa"/>
            <w:bottom w:w="0" w:type="dxa"/>
            <w:right w:w="108" w:type="dxa"/>
          </w:tblCellMar>
        </w:tblPrEx>
        <w:trPr>
          <w:trHeight w:val="140" w:hRule="atLeast"/>
        </w:trPr>
        <w:tc>
          <w:tcPr>
            <w:tcW w:w="64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85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r>
      <w:tr>
        <w:tblPrEx>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85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r>
      <w:tr>
        <w:tblPrEx>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85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r>
      <w:tr>
        <w:tblPrEx>
          <w:tblCellMar>
            <w:top w:w="0" w:type="dxa"/>
            <w:left w:w="108" w:type="dxa"/>
            <w:bottom w:w="0" w:type="dxa"/>
            <w:right w:w="108" w:type="dxa"/>
          </w:tblCellMar>
        </w:tblPrEx>
        <w:trPr>
          <w:trHeight w:val="502" w:hRule="atLeast"/>
        </w:trPr>
        <w:tc>
          <w:tcPr>
            <w:tcW w:w="64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85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r>
      <w:tr>
        <w:tblPrEx>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85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bookmarkStart w:id="148" w:name="_Toc17638"/>
          </w:p>
        </w:tc>
      </w:tr>
      <w:tr>
        <w:tblPrEx>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85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r>
      <w:tr>
        <w:tblPrEx>
          <w:tblCellMar>
            <w:top w:w="0" w:type="dxa"/>
            <w:left w:w="108" w:type="dxa"/>
            <w:bottom w:w="0" w:type="dxa"/>
            <w:right w:w="108" w:type="dxa"/>
          </w:tblCellMar>
        </w:tblPrEx>
        <w:tc>
          <w:tcPr>
            <w:tcW w:w="2659" w:type="dxa"/>
            <w:gridSpan w:val="3"/>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r>
              <w:rPr>
                <w:rFonts w:hint="eastAsia" w:ascii="宋体" w:hAnsi="宋体" w:cs="宋体"/>
                <w:sz w:val="18"/>
                <w:szCs w:val="18"/>
                <w:highlight w:val="none"/>
              </w:rPr>
              <w:t>最高投标限价：</w:t>
            </w: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85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c>
          <w:tcPr>
            <w:tcW w:w="993"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18"/>
                <w:szCs w:val="18"/>
                <w:highlight w:val="none"/>
              </w:rPr>
            </w:pPr>
          </w:p>
        </w:tc>
      </w:tr>
      <w:bookmarkEnd w:id="148"/>
    </w:tbl>
    <w:p>
      <w:pPr>
        <w:spacing w:line="440" w:lineRule="exact"/>
        <w:rPr>
          <w:rFonts w:ascii="宋体" w:hAnsi="宋体" w:cs="宋体"/>
          <w:sz w:val="18"/>
          <w:szCs w:val="18"/>
          <w:highlight w:val="none"/>
        </w:rPr>
      </w:pPr>
      <w:r>
        <w:rPr>
          <w:rFonts w:hint="eastAsia" w:ascii="宋体" w:hAnsi="宋体" w:cs="宋体"/>
          <w:sz w:val="18"/>
          <w:szCs w:val="18"/>
          <w:highlight w:val="none"/>
        </w:rPr>
        <w:t>　　　</w:t>
      </w:r>
    </w:p>
    <w:p>
      <w:pPr>
        <w:spacing w:line="620" w:lineRule="exact"/>
        <w:rPr>
          <w:rFonts w:ascii="宋体" w:hAnsi="宋体" w:cs="宋体"/>
          <w:sz w:val="18"/>
          <w:szCs w:val="18"/>
          <w:highlight w:val="none"/>
        </w:rPr>
      </w:pPr>
      <w:r>
        <w:rPr>
          <w:rFonts w:hint="eastAsia" w:ascii="宋体" w:hAnsi="宋体" w:cs="宋体"/>
          <w:sz w:val="18"/>
          <w:szCs w:val="18"/>
          <w:highlight w:val="none"/>
        </w:rPr>
        <w:t>招标人代表：                      记录人：                       监标人：</w:t>
      </w:r>
    </w:p>
    <w:p>
      <w:pPr>
        <w:spacing w:line="620" w:lineRule="exact"/>
        <w:jc w:val="right"/>
        <w:rPr>
          <w:rFonts w:ascii="宋体" w:hAnsi="宋体" w:cs="宋体"/>
          <w:sz w:val="20"/>
          <w:highlight w:val="none"/>
        </w:rPr>
      </w:pPr>
      <w:r>
        <w:rPr>
          <w:rFonts w:hint="eastAsia" w:ascii="宋体" w:hAnsi="宋体" w:cs="宋体"/>
          <w:sz w:val="18"/>
          <w:szCs w:val="18"/>
          <w:highlight w:val="none"/>
        </w:rPr>
        <w:t>年   月   日</w:t>
      </w:r>
    </w:p>
    <w:p>
      <w:pPr>
        <w:rPr>
          <w:rFonts w:ascii="宋体" w:hAnsi="宋体" w:cs="宋体"/>
          <w:b/>
          <w:bCs/>
          <w:kern w:val="44"/>
          <w:sz w:val="32"/>
          <w:szCs w:val="32"/>
          <w:highlight w:val="none"/>
        </w:rPr>
      </w:pPr>
      <w:r>
        <w:rPr>
          <w:rFonts w:ascii="宋体" w:hAnsi="宋体" w:cs="宋体"/>
          <w:b/>
          <w:bCs/>
          <w:kern w:val="44"/>
          <w:sz w:val="32"/>
          <w:szCs w:val="32"/>
          <w:highlight w:val="none"/>
        </w:rPr>
        <w:br w:type="page"/>
      </w:r>
    </w:p>
    <w:p>
      <w:pPr>
        <w:rPr>
          <w:rFonts w:ascii="宋体" w:hAnsi="宋体" w:cs="宋体"/>
          <w:sz w:val="28"/>
          <w:highlight w:val="none"/>
        </w:rPr>
      </w:pPr>
      <w:r>
        <w:rPr>
          <w:rFonts w:hint="eastAsia" w:ascii="宋体" w:hAnsi="宋体" w:cs="宋体"/>
          <w:position w:val="-4"/>
          <w:sz w:val="28"/>
          <w:highlight w:val="none"/>
        </w:rPr>
        <w:t>附件二</w:t>
      </w:r>
      <w:r>
        <w:rPr>
          <w:rFonts w:hint="eastAsia" w:ascii="宋体" w:hAnsi="宋体" w:cs="宋体"/>
          <w:spacing w:val="-3"/>
          <w:position w:val="-4"/>
          <w:sz w:val="28"/>
          <w:highlight w:val="none"/>
        </w:rPr>
        <w:t>：</w:t>
      </w:r>
      <w:r>
        <w:rPr>
          <w:rFonts w:hint="eastAsia" w:ascii="宋体" w:hAnsi="宋体" w:cs="宋体"/>
          <w:position w:val="-4"/>
          <w:sz w:val="28"/>
          <w:highlight w:val="none"/>
        </w:rPr>
        <w:t>问题</w:t>
      </w:r>
      <w:r>
        <w:rPr>
          <w:rFonts w:hint="eastAsia" w:ascii="宋体" w:hAnsi="宋体" w:cs="宋体"/>
          <w:spacing w:val="-3"/>
          <w:position w:val="-4"/>
          <w:sz w:val="28"/>
          <w:highlight w:val="none"/>
        </w:rPr>
        <w:t>澄清</w:t>
      </w:r>
      <w:r>
        <w:rPr>
          <w:rFonts w:hint="eastAsia" w:ascii="宋体" w:hAnsi="宋体" w:cs="宋体"/>
          <w:position w:val="-4"/>
          <w:sz w:val="28"/>
          <w:highlight w:val="none"/>
        </w:rPr>
        <w:t>通知</w:t>
      </w:r>
    </w:p>
    <w:p>
      <w:pPr>
        <w:spacing w:line="200" w:lineRule="exact"/>
        <w:jc w:val="left"/>
        <w:rPr>
          <w:rFonts w:ascii="宋体" w:hAnsi="宋体" w:cs="宋体"/>
          <w:sz w:val="20"/>
          <w:highlight w:val="none"/>
        </w:rPr>
      </w:pPr>
    </w:p>
    <w:p>
      <w:pPr>
        <w:spacing w:line="200" w:lineRule="exact"/>
        <w:jc w:val="left"/>
        <w:rPr>
          <w:rFonts w:ascii="宋体" w:hAnsi="宋体" w:cs="宋体"/>
          <w:sz w:val="20"/>
          <w:highlight w:val="none"/>
        </w:rPr>
      </w:pPr>
    </w:p>
    <w:p>
      <w:pPr>
        <w:spacing w:line="200" w:lineRule="exact"/>
        <w:jc w:val="left"/>
        <w:rPr>
          <w:rFonts w:ascii="宋体" w:hAnsi="宋体" w:cs="宋体"/>
          <w:sz w:val="20"/>
          <w:highlight w:val="none"/>
        </w:rPr>
      </w:pPr>
    </w:p>
    <w:p>
      <w:pPr>
        <w:spacing w:line="200" w:lineRule="exact"/>
        <w:jc w:val="left"/>
        <w:rPr>
          <w:rFonts w:ascii="宋体" w:hAnsi="宋体" w:cs="宋体"/>
          <w:sz w:val="20"/>
          <w:highlight w:val="none"/>
        </w:rPr>
      </w:pPr>
    </w:p>
    <w:p>
      <w:pPr>
        <w:spacing w:before="11" w:line="240" w:lineRule="exact"/>
        <w:jc w:val="left"/>
        <w:rPr>
          <w:rFonts w:ascii="宋体" w:hAnsi="宋体" w:cs="宋体"/>
          <w:sz w:val="24"/>
          <w:highlight w:val="none"/>
        </w:rPr>
      </w:pPr>
    </w:p>
    <w:p>
      <w:pPr>
        <w:spacing w:line="373" w:lineRule="exact"/>
        <w:ind w:right="-83"/>
        <w:jc w:val="center"/>
        <w:rPr>
          <w:rFonts w:ascii="宋体" w:hAnsi="宋体" w:cs="宋体"/>
          <w:sz w:val="28"/>
          <w:highlight w:val="none"/>
        </w:rPr>
      </w:pPr>
      <w:r>
        <w:rPr>
          <w:rFonts w:hint="eastAsia" w:ascii="宋体" w:hAnsi="宋体" w:cs="宋体"/>
          <w:sz w:val="28"/>
          <w:highlight w:val="none"/>
        </w:rPr>
        <w:t>问题澄</w:t>
      </w:r>
      <w:r>
        <w:rPr>
          <w:rFonts w:hint="eastAsia" w:ascii="宋体" w:hAnsi="宋体" w:cs="宋体"/>
          <w:spacing w:val="-3"/>
          <w:sz w:val="28"/>
          <w:highlight w:val="none"/>
        </w:rPr>
        <w:t>清</w:t>
      </w:r>
      <w:r>
        <w:rPr>
          <w:rFonts w:hint="eastAsia" w:ascii="宋体" w:hAnsi="宋体" w:cs="宋体"/>
          <w:sz w:val="28"/>
          <w:highlight w:val="none"/>
        </w:rPr>
        <w:t>通知</w:t>
      </w:r>
    </w:p>
    <w:p>
      <w:pPr>
        <w:tabs>
          <w:tab w:val="left" w:pos="5740"/>
        </w:tabs>
        <w:spacing w:before="62" w:line="337" w:lineRule="exact"/>
        <w:ind w:left="2808" w:right="2811"/>
        <w:jc w:val="center"/>
        <w:rPr>
          <w:rFonts w:ascii="宋体" w:hAnsi="宋体" w:cs="宋体"/>
          <w:highlight w:val="none"/>
        </w:rPr>
      </w:pPr>
      <w:r>
        <w:rPr>
          <w:rFonts w:hint="eastAsia" w:ascii="宋体" w:hAnsi="宋体" w:cs="宋体"/>
          <w:position w:val="-4"/>
          <w:highlight w:val="none"/>
        </w:rPr>
        <w:t>（编</w:t>
      </w:r>
      <w:r>
        <w:rPr>
          <w:rFonts w:hint="eastAsia" w:ascii="宋体" w:hAnsi="宋体" w:cs="宋体"/>
          <w:spacing w:val="-2"/>
          <w:position w:val="-4"/>
          <w:highlight w:val="none"/>
        </w:rPr>
        <w:t>号</w:t>
      </w:r>
      <w:r>
        <w:rPr>
          <w:rFonts w:hint="eastAsia" w:ascii="宋体" w:hAnsi="宋体" w:cs="宋体"/>
          <w:position w:val="-4"/>
          <w:highlight w:val="none"/>
        </w:rPr>
        <w:t>：</w:t>
      </w:r>
      <w:r>
        <w:rPr>
          <w:rFonts w:hint="eastAsia" w:ascii="宋体" w:hAnsi="宋体" w:cs="宋体"/>
          <w:position w:val="-4"/>
          <w:highlight w:val="none"/>
          <w:u w:val="single"/>
        </w:rPr>
        <w:t xml:space="preserve"> </w:t>
      </w:r>
      <w:r>
        <w:rPr>
          <w:rFonts w:hint="eastAsia" w:ascii="宋体" w:hAnsi="宋体" w:cs="宋体"/>
          <w:spacing w:val="1"/>
          <w:position w:val="-4"/>
          <w:highlight w:val="none"/>
          <w:u w:val="single"/>
        </w:rPr>
        <w:t xml:space="preserve"> </w:t>
      </w:r>
      <w:r>
        <w:rPr>
          <w:rFonts w:hint="eastAsia" w:ascii="宋体" w:hAnsi="宋体" w:cs="宋体"/>
          <w:position w:val="-4"/>
          <w:highlight w:val="none"/>
          <w:u w:val="single"/>
        </w:rPr>
        <w:tab/>
      </w:r>
      <w:r>
        <w:rPr>
          <w:rFonts w:hint="eastAsia" w:ascii="宋体" w:hAnsi="宋体" w:cs="宋体"/>
          <w:position w:val="-4"/>
          <w:highlight w:val="none"/>
        </w:rPr>
        <w:t>）</w:t>
      </w:r>
    </w:p>
    <w:p>
      <w:pPr>
        <w:spacing w:line="200" w:lineRule="exact"/>
        <w:jc w:val="left"/>
        <w:rPr>
          <w:rFonts w:ascii="宋体" w:hAnsi="宋体" w:cs="宋体"/>
          <w:sz w:val="20"/>
          <w:highlight w:val="none"/>
        </w:rPr>
      </w:pPr>
    </w:p>
    <w:p>
      <w:pPr>
        <w:spacing w:line="200" w:lineRule="exact"/>
        <w:jc w:val="left"/>
        <w:rPr>
          <w:rFonts w:ascii="宋体" w:hAnsi="宋体" w:cs="宋体"/>
          <w:sz w:val="20"/>
          <w:highlight w:val="none"/>
        </w:rPr>
      </w:pPr>
    </w:p>
    <w:p>
      <w:pPr>
        <w:spacing w:before="7" w:line="200" w:lineRule="exact"/>
        <w:jc w:val="left"/>
        <w:rPr>
          <w:rFonts w:ascii="宋体" w:hAnsi="宋体" w:cs="宋体"/>
          <w:sz w:val="20"/>
          <w:highlight w:val="none"/>
        </w:rPr>
      </w:pPr>
    </w:p>
    <w:p>
      <w:pPr>
        <w:tabs>
          <w:tab w:val="left" w:pos="2300"/>
        </w:tabs>
        <w:spacing w:line="271" w:lineRule="exact"/>
        <w:ind w:left="100" w:right="-20"/>
        <w:jc w:val="left"/>
        <w:rPr>
          <w:rFonts w:ascii="宋体" w:hAnsi="宋体" w:cs="宋体"/>
          <w:highlight w:val="none"/>
        </w:rPr>
      </w:pPr>
      <w:r>
        <w:rPr>
          <w:rFonts w:hint="eastAsia" w:ascii="宋体" w:hAnsi="宋体" w:cs="宋体"/>
          <w:w w:val="201"/>
          <w:position w:val="-2"/>
          <w:highlight w:val="none"/>
          <w:u w:val="single"/>
        </w:rPr>
        <w:t xml:space="preserve"> </w:t>
      </w:r>
      <w:r>
        <w:rPr>
          <w:rFonts w:hint="eastAsia" w:ascii="宋体" w:hAnsi="宋体" w:cs="宋体"/>
          <w:position w:val="-2"/>
          <w:highlight w:val="none"/>
          <w:u w:val="single"/>
        </w:rPr>
        <w:tab/>
      </w:r>
      <w:r>
        <w:rPr>
          <w:rFonts w:hint="eastAsia" w:ascii="宋体" w:hAnsi="宋体" w:cs="宋体"/>
          <w:spacing w:val="-2"/>
          <w:position w:val="-2"/>
          <w:highlight w:val="none"/>
        </w:rPr>
        <w:t>（</w:t>
      </w:r>
      <w:r>
        <w:rPr>
          <w:rFonts w:hint="eastAsia" w:ascii="宋体" w:hAnsi="宋体" w:cs="宋体"/>
          <w:position w:val="-2"/>
          <w:highlight w:val="none"/>
        </w:rPr>
        <w:t>投标</w:t>
      </w:r>
      <w:r>
        <w:rPr>
          <w:rFonts w:hint="eastAsia" w:ascii="宋体" w:hAnsi="宋体" w:cs="宋体"/>
          <w:spacing w:val="-2"/>
          <w:position w:val="-2"/>
          <w:highlight w:val="none"/>
        </w:rPr>
        <w:t>人</w:t>
      </w:r>
      <w:r>
        <w:rPr>
          <w:rFonts w:hint="eastAsia" w:ascii="宋体" w:hAnsi="宋体" w:cs="宋体"/>
          <w:position w:val="-2"/>
          <w:highlight w:val="none"/>
        </w:rPr>
        <w:t>名</w:t>
      </w:r>
      <w:r>
        <w:rPr>
          <w:rFonts w:hint="eastAsia" w:ascii="宋体" w:hAnsi="宋体" w:cs="宋体"/>
          <w:spacing w:val="-2"/>
          <w:position w:val="-2"/>
          <w:highlight w:val="none"/>
        </w:rPr>
        <w:t>称</w:t>
      </w:r>
      <w:r>
        <w:rPr>
          <w:rFonts w:hint="eastAsia" w:ascii="宋体" w:hAnsi="宋体" w:cs="宋体"/>
          <w:spacing w:val="-106"/>
          <w:position w:val="-2"/>
          <w:highlight w:val="none"/>
        </w:rPr>
        <w:t>）</w:t>
      </w:r>
      <w:r>
        <w:rPr>
          <w:rFonts w:hint="eastAsia" w:ascii="宋体" w:hAnsi="宋体" w:cs="宋体"/>
          <w:position w:val="-2"/>
          <w:highlight w:val="none"/>
        </w:rPr>
        <w:t>：</w:t>
      </w:r>
    </w:p>
    <w:p>
      <w:pPr>
        <w:spacing w:line="200" w:lineRule="exact"/>
        <w:jc w:val="left"/>
        <w:rPr>
          <w:rFonts w:ascii="宋体" w:hAnsi="宋体" w:cs="宋体"/>
          <w:sz w:val="20"/>
          <w:highlight w:val="none"/>
        </w:rPr>
      </w:pPr>
    </w:p>
    <w:p>
      <w:pPr>
        <w:spacing w:line="200" w:lineRule="exact"/>
        <w:jc w:val="left"/>
        <w:rPr>
          <w:rFonts w:ascii="宋体" w:hAnsi="宋体" w:cs="宋体"/>
          <w:sz w:val="20"/>
          <w:highlight w:val="none"/>
        </w:rPr>
      </w:pPr>
    </w:p>
    <w:p>
      <w:pPr>
        <w:spacing w:before="10" w:line="200" w:lineRule="exact"/>
        <w:jc w:val="left"/>
        <w:rPr>
          <w:rFonts w:ascii="宋体" w:hAnsi="宋体" w:cs="宋体"/>
          <w:sz w:val="20"/>
          <w:highlight w:val="none"/>
        </w:rPr>
      </w:pPr>
    </w:p>
    <w:p>
      <w:pPr>
        <w:spacing w:line="295" w:lineRule="exact"/>
        <w:ind w:right="-20" w:firstLine="420" w:firstLineChars="200"/>
        <w:jc w:val="left"/>
        <w:rPr>
          <w:rFonts w:ascii="宋体" w:hAnsi="宋体" w:cs="宋体"/>
          <w:highlight w:val="none"/>
        </w:rPr>
      </w:pPr>
      <w:r>
        <w:rPr>
          <w:rFonts w:hint="eastAsia" w:ascii="宋体" w:hAnsi="宋体" w:cs="宋体"/>
          <w:position w:val="-1"/>
          <w:highlight w:val="none"/>
        </w:rPr>
        <w:t>评标委员会</w:t>
      </w:r>
      <w:r>
        <w:rPr>
          <w:rFonts w:hint="eastAsia" w:ascii="宋体" w:hAnsi="宋体" w:cs="宋体"/>
          <w:spacing w:val="-2"/>
          <w:position w:val="-1"/>
          <w:highlight w:val="none"/>
        </w:rPr>
        <w:t>对</w:t>
      </w:r>
      <w:r>
        <w:rPr>
          <w:rFonts w:hint="eastAsia" w:ascii="宋体" w:hAnsi="宋体" w:cs="宋体"/>
          <w:position w:val="-1"/>
          <w:highlight w:val="none"/>
        </w:rPr>
        <w:t>你方</w:t>
      </w:r>
      <w:r>
        <w:rPr>
          <w:rFonts w:hint="eastAsia" w:ascii="宋体" w:hAnsi="宋体" w:cs="宋体"/>
          <w:spacing w:val="-2"/>
          <w:position w:val="-1"/>
          <w:highlight w:val="none"/>
        </w:rPr>
        <w:t>的</w:t>
      </w:r>
      <w:r>
        <w:rPr>
          <w:rFonts w:hint="eastAsia" w:ascii="宋体" w:hAnsi="宋体" w:cs="宋体"/>
          <w:position w:val="-1"/>
          <w:highlight w:val="none"/>
        </w:rPr>
        <w:t>投标文件进行了</w:t>
      </w:r>
      <w:r>
        <w:rPr>
          <w:rFonts w:hint="eastAsia" w:ascii="宋体" w:hAnsi="宋体" w:cs="宋体"/>
          <w:spacing w:val="-2"/>
          <w:position w:val="-1"/>
          <w:highlight w:val="none"/>
        </w:rPr>
        <w:t>仔</w:t>
      </w:r>
      <w:r>
        <w:rPr>
          <w:rFonts w:hint="eastAsia" w:ascii="宋体" w:hAnsi="宋体" w:cs="宋体"/>
          <w:position w:val="-1"/>
          <w:highlight w:val="none"/>
        </w:rPr>
        <w:t>细的</w:t>
      </w:r>
      <w:r>
        <w:rPr>
          <w:rFonts w:hint="eastAsia" w:ascii="宋体" w:hAnsi="宋体" w:cs="宋体"/>
          <w:spacing w:val="-2"/>
          <w:position w:val="-1"/>
          <w:highlight w:val="none"/>
        </w:rPr>
        <w:t>审</w:t>
      </w:r>
      <w:r>
        <w:rPr>
          <w:rFonts w:hint="eastAsia" w:ascii="宋体" w:hAnsi="宋体" w:cs="宋体"/>
          <w:position w:val="-1"/>
          <w:highlight w:val="none"/>
        </w:rPr>
        <w:t>查，现需你方对</w:t>
      </w:r>
      <w:r>
        <w:rPr>
          <w:rFonts w:hint="eastAsia" w:ascii="宋体" w:hAnsi="宋体" w:cs="宋体"/>
          <w:spacing w:val="-2"/>
          <w:position w:val="-1"/>
          <w:highlight w:val="none"/>
        </w:rPr>
        <w:t>下</w:t>
      </w:r>
      <w:r>
        <w:rPr>
          <w:rFonts w:hint="eastAsia" w:ascii="宋体" w:hAnsi="宋体" w:cs="宋体"/>
          <w:position w:val="-1"/>
          <w:highlight w:val="none"/>
        </w:rPr>
        <w:t>列问</w:t>
      </w:r>
      <w:r>
        <w:rPr>
          <w:rFonts w:hint="eastAsia" w:ascii="宋体" w:hAnsi="宋体" w:cs="宋体"/>
          <w:spacing w:val="-2"/>
          <w:position w:val="-1"/>
          <w:highlight w:val="none"/>
        </w:rPr>
        <w:t>题</w:t>
      </w:r>
      <w:r>
        <w:rPr>
          <w:rFonts w:hint="eastAsia" w:ascii="宋体" w:hAnsi="宋体" w:cs="宋体"/>
          <w:position w:val="-1"/>
          <w:highlight w:val="none"/>
        </w:rPr>
        <w:t>以书面形式予</w:t>
      </w:r>
      <w:r>
        <w:rPr>
          <w:rFonts w:hint="eastAsia" w:ascii="宋体" w:hAnsi="宋体" w:cs="宋体"/>
          <w:spacing w:val="-2"/>
          <w:position w:val="-1"/>
          <w:highlight w:val="none"/>
        </w:rPr>
        <w:t>以</w:t>
      </w:r>
      <w:r>
        <w:rPr>
          <w:rFonts w:hint="eastAsia" w:ascii="宋体" w:hAnsi="宋体" w:cs="宋体"/>
          <w:position w:val="-1"/>
          <w:highlight w:val="none"/>
        </w:rPr>
        <w:t>澄</w:t>
      </w:r>
    </w:p>
    <w:p>
      <w:pPr>
        <w:spacing w:before="78"/>
        <w:ind w:left="100" w:right="-20"/>
        <w:jc w:val="left"/>
        <w:rPr>
          <w:rFonts w:ascii="宋体" w:hAnsi="宋体" w:cs="宋体"/>
          <w:highlight w:val="none"/>
        </w:rPr>
      </w:pPr>
      <w:r>
        <w:rPr>
          <w:rFonts w:hint="eastAsia" w:ascii="宋体" w:hAnsi="宋体" w:cs="宋体"/>
          <w:highlight w:val="none"/>
        </w:rPr>
        <w:t>清、</w:t>
      </w:r>
      <w:r>
        <w:rPr>
          <w:rFonts w:hint="eastAsia" w:ascii="宋体" w:hAnsi="宋体" w:cs="宋体"/>
          <w:spacing w:val="-2"/>
          <w:highlight w:val="none"/>
        </w:rPr>
        <w:t>说</w:t>
      </w:r>
      <w:r>
        <w:rPr>
          <w:rFonts w:hint="eastAsia" w:ascii="宋体" w:hAnsi="宋体" w:cs="宋体"/>
          <w:highlight w:val="none"/>
        </w:rPr>
        <w:t>明</w:t>
      </w:r>
      <w:r>
        <w:rPr>
          <w:rFonts w:hint="eastAsia" w:ascii="宋体" w:hAnsi="宋体" w:cs="宋体"/>
          <w:spacing w:val="-2"/>
          <w:highlight w:val="none"/>
        </w:rPr>
        <w:t>或</w:t>
      </w:r>
      <w:r>
        <w:rPr>
          <w:rFonts w:hint="eastAsia" w:ascii="宋体" w:hAnsi="宋体" w:cs="宋体"/>
          <w:highlight w:val="none"/>
        </w:rPr>
        <w:t>补</w:t>
      </w:r>
      <w:r>
        <w:rPr>
          <w:rFonts w:hint="eastAsia" w:ascii="宋体" w:hAnsi="宋体" w:cs="宋体"/>
          <w:spacing w:val="-2"/>
          <w:highlight w:val="none"/>
        </w:rPr>
        <w:t>正</w:t>
      </w:r>
      <w:r>
        <w:rPr>
          <w:rFonts w:hint="eastAsia" w:ascii="宋体" w:hAnsi="宋体" w:cs="宋体"/>
          <w:highlight w:val="none"/>
        </w:rPr>
        <w:t>：</w:t>
      </w:r>
    </w:p>
    <w:p>
      <w:pPr>
        <w:spacing w:line="200" w:lineRule="exact"/>
        <w:jc w:val="left"/>
        <w:rPr>
          <w:rFonts w:ascii="宋体" w:hAnsi="宋体" w:cs="宋体"/>
          <w:sz w:val="20"/>
          <w:highlight w:val="none"/>
        </w:rPr>
      </w:pPr>
    </w:p>
    <w:p>
      <w:pPr>
        <w:spacing w:line="200" w:lineRule="exact"/>
        <w:jc w:val="left"/>
        <w:rPr>
          <w:rFonts w:ascii="宋体" w:hAnsi="宋体" w:cs="宋体"/>
          <w:sz w:val="20"/>
          <w:highlight w:val="none"/>
        </w:rPr>
      </w:pPr>
    </w:p>
    <w:p>
      <w:pPr>
        <w:spacing w:before="11" w:line="220" w:lineRule="exact"/>
        <w:jc w:val="left"/>
        <w:rPr>
          <w:rFonts w:ascii="宋体" w:hAnsi="宋体" w:cs="宋体"/>
          <w:sz w:val="22"/>
          <w:highlight w:val="none"/>
        </w:rPr>
      </w:pPr>
    </w:p>
    <w:p>
      <w:pPr>
        <w:ind w:left="523" w:right="-20"/>
        <w:jc w:val="left"/>
        <w:rPr>
          <w:rFonts w:ascii="宋体" w:hAnsi="宋体" w:cs="宋体"/>
          <w:highlight w:val="none"/>
        </w:rPr>
      </w:pPr>
      <w:r>
        <w:rPr>
          <w:rFonts w:hint="eastAsia" w:ascii="宋体" w:hAnsi="宋体" w:cs="宋体"/>
          <w:highlight w:val="none"/>
        </w:rPr>
        <w:t>1.</w:t>
      </w:r>
    </w:p>
    <w:p>
      <w:pPr>
        <w:spacing w:before="8" w:line="190" w:lineRule="exact"/>
        <w:jc w:val="left"/>
        <w:rPr>
          <w:rFonts w:ascii="宋体" w:hAnsi="宋体" w:cs="宋体"/>
          <w:sz w:val="19"/>
          <w:highlight w:val="none"/>
        </w:rPr>
      </w:pPr>
    </w:p>
    <w:p>
      <w:pPr>
        <w:ind w:left="523" w:right="-20"/>
        <w:jc w:val="left"/>
        <w:rPr>
          <w:rFonts w:ascii="宋体" w:hAnsi="宋体" w:cs="宋体"/>
          <w:highlight w:val="none"/>
        </w:rPr>
      </w:pPr>
      <w:r>
        <w:rPr>
          <w:rFonts w:hint="eastAsia" w:ascii="宋体" w:hAnsi="宋体" w:cs="宋体"/>
          <w:highlight w:val="none"/>
        </w:rPr>
        <w:t>2.</w:t>
      </w:r>
    </w:p>
    <w:p>
      <w:pPr>
        <w:spacing w:before="1" w:line="200" w:lineRule="exact"/>
        <w:jc w:val="left"/>
        <w:rPr>
          <w:rFonts w:ascii="宋体" w:hAnsi="宋体" w:cs="宋体"/>
          <w:sz w:val="20"/>
          <w:highlight w:val="none"/>
        </w:rPr>
      </w:pPr>
    </w:p>
    <w:p>
      <w:pPr>
        <w:ind w:left="628" w:right="-20"/>
        <w:jc w:val="left"/>
        <w:rPr>
          <w:rFonts w:ascii="宋体" w:hAnsi="宋体" w:cs="宋体"/>
          <w:highlight w:val="none"/>
        </w:rPr>
      </w:pPr>
      <w:r>
        <w:rPr>
          <w:rFonts w:hint="eastAsia" w:ascii="宋体" w:hAnsi="宋体" w:cs="宋体"/>
          <w:highlight w:val="none"/>
        </w:rPr>
        <w:t>.</w:t>
      </w:r>
      <w:r>
        <w:rPr>
          <w:rFonts w:hint="eastAsia" w:ascii="宋体" w:hAnsi="宋体" w:cs="宋体"/>
          <w:spacing w:val="-2"/>
          <w:highlight w:val="none"/>
        </w:rPr>
        <w:t>.</w:t>
      </w:r>
      <w:r>
        <w:rPr>
          <w:rFonts w:hint="eastAsia" w:ascii="宋体" w:hAnsi="宋体" w:cs="宋体"/>
          <w:highlight w:val="none"/>
        </w:rPr>
        <w:t>....</w:t>
      </w:r>
    </w:p>
    <w:p>
      <w:pPr>
        <w:spacing w:before="5" w:line="120" w:lineRule="exact"/>
        <w:jc w:val="left"/>
        <w:rPr>
          <w:rFonts w:ascii="宋体" w:hAnsi="宋体" w:cs="宋体"/>
          <w:sz w:val="12"/>
          <w:highlight w:val="none"/>
        </w:rPr>
      </w:pPr>
    </w:p>
    <w:p>
      <w:pPr>
        <w:spacing w:line="200" w:lineRule="exact"/>
        <w:jc w:val="left"/>
        <w:rPr>
          <w:rFonts w:ascii="宋体" w:hAnsi="宋体" w:cs="宋体"/>
          <w:sz w:val="20"/>
          <w:highlight w:val="none"/>
        </w:rPr>
      </w:pPr>
    </w:p>
    <w:p>
      <w:pPr>
        <w:tabs>
          <w:tab w:val="left" w:pos="4600"/>
          <w:tab w:val="left" w:pos="5540"/>
          <w:tab w:val="left" w:pos="6480"/>
          <w:tab w:val="left" w:pos="7420"/>
        </w:tabs>
        <w:spacing w:line="337" w:lineRule="exact"/>
        <w:ind w:right="-20"/>
        <w:jc w:val="left"/>
        <w:rPr>
          <w:rFonts w:ascii="宋体" w:hAnsi="宋体" w:cs="宋体"/>
          <w:position w:val="-4"/>
          <w:highlight w:val="none"/>
        </w:rPr>
      </w:pPr>
    </w:p>
    <w:p>
      <w:pPr>
        <w:spacing w:line="400" w:lineRule="exact"/>
        <w:ind w:firstLine="384" w:firstLineChars="200"/>
        <w:rPr>
          <w:rFonts w:ascii="宋体" w:hAnsi="宋体" w:cs="宋体"/>
          <w:szCs w:val="21"/>
          <w:highlight w:val="none"/>
        </w:rPr>
      </w:pPr>
      <w:r>
        <w:rPr>
          <w:rFonts w:hint="eastAsia" w:ascii="宋体" w:hAnsi="宋体" w:cs="宋体"/>
          <w:spacing w:val="-9"/>
          <w:highlight w:val="none"/>
        </w:rPr>
        <w:t>请将上述问题的澄清、说明或补正于</w:t>
      </w:r>
      <w:r>
        <w:rPr>
          <w:rFonts w:hint="eastAsia" w:ascii="宋体" w:hAnsi="宋体" w:cs="宋体"/>
          <w:szCs w:val="21"/>
          <w:highlight w:val="none"/>
        </w:rPr>
        <w:t>____年____月____日____时前递交至___________（详细地址）或传真至___________（传真号码）</w:t>
      </w:r>
      <w:r>
        <w:rPr>
          <w:rFonts w:hint="eastAsia" w:ascii="宋体" w:hAnsi="宋体" w:cs="宋体"/>
          <w:spacing w:val="-7"/>
          <w:highlight w:val="none"/>
        </w:rPr>
        <w:t>或</w:t>
      </w:r>
      <w:r>
        <w:rPr>
          <w:rFonts w:hint="eastAsia" w:ascii="宋体" w:hAnsi="宋体" w:cs="宋体"/>
          <w:spacing w:val="-9"/>
          <w:highlight w:val="none"/>
        </w:rPr>
        <w:t>通过下载招标文件的电子招标交易平台上传。采用传真方式的，应在</w:t>
      </w:r>
      <w:r>
        <w:rPr>
          <w:rFonts w:hint="eastAsia" w:ascii="宋体" w:hAnsi="宋体" w:cs="宋体"/>
          <w:szCs w:val="21"/>
          <w:highlight w:val="none"/>
        </w:rPr>
        <w:t>____年____月____日____时前将原件递交至_____________（详细地址）。</w:t>
      </w:r>
    </w:p>
    <w:p>
      <w:pPr>
        <w:spacing w:line="400" w:lineRule="exact"/>
        <w:ind w:firstLine="420" w:firstLineChars="200"/>
        <w:rPr>
          <w:rFonts w:ascii="宋体" w:hAnsi="宋体" w:cs="宋体"/>
          <w:szCs w:val="21"/>
          <w:highlight w:val="none"/>
        </w:rPr>
      </w:pPr>
    </w:p>
    <w:p>
      <w:pPr>
        <w:spacing w:line="400" w:lineRule="exact"/>
        <w:ind w:firstLine="420" w:firstLineChars="200"/>
        <w:rPr>
          <w:rFonts w:ascii="宋体" w:hAnsi="宋体" w:cs="宋体"/>
          <w:szCs w:val="21"/>
          <w:highlight w:val="none"/>
        </w:rPr>
      </w:pPr>
    </w:p>
    <w:p>
      <w:pPr>
        <w:spacing w:line="400" w:lineRule="exact"/>
        <w:jc w:val="right"/>
        <w:rPr>
          <w:rFonts w:ascii="宋体" w:hAnsi="宋体" w:cs="宋体"/>
          <w:spacing w:val="-7"/>
          <w:highlight w:val="none"/>
        </w:rPr>
      </w:pPr>
      <w:r>
        <w:rPr>
          <w:rFonts w:hint="eastAsia" w:ascii="宋体" w:hAnsi="宋体" w:cs="宋体"/>
          <w:spacing w:val="-7"/>
          <w:highlight w:val="none"/>
        </w:rPr>
        <w:t>评标委员会授权的招标人或招标代理机构：</w:t>
      </w:r>
      <w:r>
        <w:rPr>
          <w:rFonts w:hint="eastAsia" w:ascii="宋体" w:hAnsi="宋体" w:cs="宋体"/>
          <w:highlight w:val="none"/>
        </w:rPr>
        <w:t>_______________</w:t>
      </w:r>
      <w:r>
        <w:rPr>
          <w:rFonts w:hint="eastAsia" w:ascii="宋体" w:hAnsi="宋体" w:cs="宋体"/>
          <w:spacing w:val="-7"/>
          <w:highlight w:val="none"/>
        </w:rPr>
        <w:t>（签字或盖章）</w:t>
      </w:r>
    </w:p>
    <w:p>
      <w:pPr>
        <w:spacing w:line="400" w:lineRule="exact"/>
        <w:ind w:firstLine="3150" w:firstLineChars="1500"/>
        <w:jc w:val="right"/>
        <w:rPr>
          <w:rFonts w:ascii="宋体" w:hAnsi="宋体" w:cs="宋体"/>
          <w:highlight w:val="none"/>
        </w:rPr>
      </w:pPr>
    </w:p>
    <w:p>
      <w:pPr>
        <w:tabs>
          <w:tab w:val="left" w:pos="5800"/>
          <w:tab w:val="left" w:pos="6740"/>
          <w:tab w:val="left" w:pos="7680"/>
        </w:tabs>
        <w:spacing w:line="295" w:lineRule="exact"/>
        <w:ind w:left="4961" w:right="-20"/>
        <w:jc w:val="right"/>
        <w:rPr>
          <w:rFonts w:ascii="宋体" w:hAnsi="宋体" w:cs="宋体"/>
          <w:highlight w:val="none"/>
        </w:rPr>
      </w:pPr>
      <w:r>
        <w:rPr>
          <w:rFonts w:hint="eastAsia" w:ascii="宋体" w:hAnsi="宋体" w:cs="宋体"/>
          <w:highlight w:val="none"/>
        </w:rPr>
        <w:t>______年______月______日</w:t>
      </w:r>
    </w:p>
    <w:p>
      <w:pPr>
        <w:tabs>
          <w:tab w:val="left" w:pos="5800"/>
          <w:tab w:val="left" w:pos="6740"/>
          <w:tab w:val="left" w:pos="7680"/>
        </w:tabs>
        <w:spacing w:line="295" w:lineRule="exact"/>
        <w:ind w:left="4961" w:right="-20"/>
        <w:jc w:val="right"/>
        <w:rPr>
          <w:rFonts w:ascii="宋体" w:hAnsi="宋体"/>
          <w:highlight w:val="none"/>
        </w:rPr>
        <w:sectPr>
          <w:pgSz w:w="11907" w:h="16840"/>
          <w:pgMar w:top="1440" w:right="1440" w:bottom="1440" w:left="1440" w:header="0" w:footer="720" w:gutter="0"/>
          <w:cols w:space="720" w:num="1"/>
        </w:sectPr>
      </w:pPr>
    </w:p>
    <w:p>
      <w:pPr>
        <w:spacing w:line="383" w:lineRule="exact"/>
        <w:ind w:left="237" w:right="-20"/>
        <w:jc w:val="left"/>
        <w:rPr>
          <w:rFonts w:ascii="宋体" w:hAnsi="宋体"/>
          <w:sz w:val="28"/>
          <w:highlight w:val="none"/>
        </w:rPr>
      </w:pPr>
      <w:r>
        <w:rPr>
          <w:rFonts w:ascii="宋体" w:hAnsi="宋体"/>
          <w:position w:val="-4"/>
          <w:sz w:val="28"/>
          <w:highlight w:val="none"/>
        </w:rPr>
        <w:t>附件三</w:t>
      </w:r>
      <w:r>
        <w:rPr>
          <w:rFonts w:ascii="宋体" w:hAnsi="宋体"/>
          <w:spacing w:val="-3"/>
          <w:position w:val="-4"/>
          <w:sz w:val="28"/>
          <w:highlight w:val="none"/>
        </w:rPr>
        <w:t>：</w:t>
      </w:r>
      <w:r>
        <w:rPr>
          <w:rFonts w:ascii="宋体" w:hAnsi="宋体"/>
          <w:position w:val="-4"/>
          <w:sz w:val="28"/>
          <w:highlight w:val="none"/>
        </w:rPr>
        <w:t>问题</w:t>
      </w:r>
      <w:r>
        <w:rPr>
          <w:rFonts w:ascii="宋体" w:hAnsi="宋体"/>
          <w:spacing w:val="-3"/>
          <w:position w:val="-4"/>
          <w:sz w:val="28"/>
          <w:highlight w:val="none"/>
        </w:rPr>
        <w:t>的澄</w:t>
      </w:r>
      <w:r>
        <w:rPr>
          <w:rFonts w:ascii="宋体" w:hAnsi="宋体"/>
          <w:position w:val="-4"/>
          <w:sz w:val="28"/>
          <w:highlight w:val="none"/>
        </w:rPr>
        <w:t>清</w:t>
      </w:r>
    </w:p>
    <w:p>
      <w:pPr>
        <w:spacing w:before="9" w:line="170" w:lineRule="exact"/>
        <w:jc w:val="left"/>
        <w:rPr>
          <w:rFonts w:ascii="宋体" w:hAnsi="宋体"/>
          <w:sz w:val="17"/>
          <w:highlight w:val="none"/>
        </w:rPr>
      </w:pPr>
    </w:p>
    <w:p>
      <w:pPr>
        <w:spacing w:line="200" w:lineRule="exact"/>
        <w:jc w:val="left"/>
        <w:rPr>
          <w:rFonts w:ascii="宋体" w:hAnsi="宋体"/>
          <w:sz w:val="20"/>
          <w:highlight w:val="none"/>
        </w:rPr>
      </w:pPr>
    </w:p>
    <w:p>
      <w:pPr>
        <w:spacing w:line="200" w:lineRule="exact"/>
        <w:jc w:val="left"/>
        <w:rPr>
          <w:rFonts w:ascii="宋体" w:hAnsi="宋体"/>
          <w:sz w:val="20"/>
          <w:highlight w:val="none"/>
        </w:rPr>
      </w:pPr>
    </w:p>
    <w:p>
      <w:pPr>
        <w:spacing w:line="200" w:lineRule="exact"/>
        <w:jc w:val="left"/>
        <w:rPr>
          <w:rFonts w:ascii="宋体" w:hAnsi="宋体"/>
          <w:sz w:val="20"/>
          <w:highlight w:val="none"/>
        </w:rPr>
      </w:pPr>
    </w:p>
    <w:p>
      <w:pPr>
        <w:spacing w:line="200" w:lineRule="exact"/>
        <w:jc w:val="left"/>
        <w:rPr>
          <w:rFonts w:ascii="宋体" w:hAnsi="宋体"/>
          <w:sz w:val="20"/>
          <w:highlight w:val="none"/>
        </w:rPr>
      </w:pPr>
    </w:p>
    <w:p>
      <w:pPr>
        <w:spacing w:line="373" w:lineRule="exact"/>
        <w:ind w:right="-83"/>
        <w:jc w:val="center"/>
        <w:rPr>
          <w:rFonts w:ascii="宋体" w:hAnsi="宋体"/>
          <w:sz w:val="28"/>
          <w:highlight w:val="none"/>
        </w:rPr>
      </w:pPr>
      <w:r>
        <w:rPr>
          <w:rFonts w:ascii="宋体" w:hAnsi="宋体"/>
          <w:sz w:val="28"/>
          <w:highlight w:val="none"/>
        </w:rPr>
        <w:t>问题的</w:t>
      </w:r>
      <w:r>
        <w:rPr>
          <w:rFonts w:ascii="宋体" w:hAnsi="宋体"/>
          <w:spacing w:val="-3"/>
          <w:sz w:val="28"/>
          <w:highlight w:val="none"/>
        </w:rPr>
        <w:t>澄</w:t>
      </w:r>
      <w:r>
        <w:rPr>
          <w:rFonts w:ascii="宋体" w:hAnsi="宋体"/>
          <w:sz w:val="28"/>
          <w:highlight w:val="none"/>
        </w:rPr>
        <w:t>清</w:t>
      </w:r>
    </w:p>
    <w:p>
      <w:pPr>
        <w:tabs>
          <w:tab w:val="left" w:pos="5940"/>
        </w:tabs>
        <w:spacing w:before="19" w:line="337" w:lineRule="exact"/>
        <w:ind w:left="3567" w:right="-20"/>
        <w:jc w:val="left"/>
        <w:rPr>
          <w:rFonts w:ascii="宋体" w:hAnsi="宋体"/>
          <w:highlight w:val="none"/>
        </w:rPr>
      </w:pPr>
      <w:r>
        <w:rPr>
          <w:rFonts w:ascii="宋体" w:hAnsi="宋体"/>
          <w:position w:val="-4"/>
          <w:highlight w:val="none"/>
        </w:rPr>
        <w:t>（编</w:t>
      </w:r>
      <w:r>
        <w:rPr>
          <w:rFonts w:ascii="宋体" w:hAnsi="宋体"/>
          <w:spacing w:val="-2"/>
          <w:position w:val="-4"/>
          <w:highlight w:val="none"/>
        </w:rPr>
        <w:t>号</w:t>
      </w:r>
      <w:r>
        <w:rPr>
          <w:rFonts w:ascii="宋体" w:hAnsi="宋体"/>
          <w:position w:val="-4"/>
          <w:highlight w:val="none"/>
        </w:rPr>
        <w:t>：</w:t>
      </w:r>
      <w:r>
        <w:rPr>
          <w:rFonts w:ascii="宋体" w:hAnsi="宋体"/>
          <w:position w:val="-4"/>
          <w:highlight w:val="none"/>
          <w:u w:val="single"/>
        </w:rPr>
        <w:t xml:space="preserve"> </w:t>
      </w:r>
      <w:r>
        <w:rPr>
          <w:rFonts w:ascii="宋体" w:hAnsi="宋体"/>
          <w:spacing w:val="1"/>
          <w:position w:val="-4"/>
          <w:highlight w:val="none"/>
          <w:u w:val="single"/>
        </w:rPr>
        <w:t xml:space="preserve"> </w:t>
      </w:r>
      <w:r>
        <w:rPr>
          <w:rFonts w:ascii="宋体" w:hAnsi="宋体"/>
          <w:position w:val="-4"/>
          <w:highlight w:val="none"/>
          <w:u w:val="single"/>
        </w:rPr>
        <w:tab/>
      </w:r>
      <w:r>
        <w:rPr>
          <w:rFonts w:ascii="宋体" w:hAnsi="宋体"/>
          <w:position w:val="-4"/>
          <w:highlight w:val="none"/>
        </w:rPr>
        <w:t>）</w:t>
      </w:r>
    </w:p>
    <w:p>
      <w:pPr>
        <w:spacing w:before="4" w:line="160" w:lineRule="exact"/>
        <w:jc w:val="left"/>
        <w:rPr>
          <w:rFonts w:ascii="宋体" w:hAnsi="宋体"/>
          <w:sz w:val="16"/>
          <w:highlight w:val="none"/>
        </w:rPr>
      </w:pPr>
    </w:p>
    <w:p>
      <w:pPr>
        <w:spacing w:line="200" w:lineRule="exact"/>
        <w:jc w:val="left"/>
        <w:rPr>
          <w:rFonts w:ascii="宋体" w:hAnsi="宋体"/>
          <w:sz w:val="20"/>
          <w:highlight w:val="none"/>
        </w:rPr>
      </w:pPr>
    </w:p>
    <w:p>
      <w:pPr>
        <w:spacing w:line="200" w:lineRule="exact"/>
        <w:jc w:val="left"/>
        <w:rPr>
          <w:rFonts w:ascii="宋体" w:hAnsi="宋体"/>
          <w:sz w:val="20"/>
          <w:highlight w:val="none"/>
        </w:rPr>
      </w:pPr>
    </w:p>
    <w:p>
      <w:pPr>
        <w:spacing w:line="295" w:lineRule="exact"/>
        <w:ind w:left="100" w:right="-20"/>
        <w:jc w:val="left"/>
        <w:rPr>
          <w:rFonts w:ascii="宋体" w:hAnsi="宋体"/>
          <w:highlight w:val="none"/>
        </w:rPr>
      </w:pPr>
      <w:r>
        <w:rPr>
          <w:rFonts w:ascii="宋体" w:hAnsi="宋体"/>
          <w:position w:val="-1"/>
          <w:highlight w:val="none"/>
        </w:rPr>
        <w:t>评标</w:t>
      </w:r>
      <w:r>
        <w:rPr>
          <w:rFonts w:ascii="宋体" w:hAnsi="宋体"/>
          <w:spacing w:val="-2"/>
          <w:position w:val="-1"/>
          <w:highlight w:val="none"/>
        </w:rPr>
        <w:t>委</w:t>
      </w:r>
      <w:r>
        <w:rPr>
          <w:rFonts w:ascii="宋体" w:hAnsi="宋体"/>
          <w:position w:val="-1"/>
          <w:highlight w:val="none"/>
        </w:rPr>
        <w:t>员</w:t>
      </w:r>
      <w:r>
        <w:rPr>
          <w:rFonts w:ascii="宋体" w:hAnsi="宋体"/>
          <w:spacing w:val="-3"/>
          <w:position w:val="-1"/>
          <w:highlight w:val="none"/>
        </w:rPr>
        <w:t>会</w:t>
      </w:r>
      <w:r>
        <w:rPr>
          <w:rFonts w:ascii="宋体" w:hAnsi="宋体"/>
          <w:position w:val="-1"/>
          <w:highlight w:val="none"/>
        </w:rPr>
        <w:t>：</w:t>
      </w:r>
    </w:p>
    <w:p>
      <w:pPr>
        <w:spacing w:before="8" w:line="110" w:lineRule="exact"/>
        <w:jc w:val="left"/>
        <w:rPr>
          <w:rFonts w:ascii="宋体" w:hAnsi="宋体"/>
          <w:sz w:val="11"/>
          <w:highlight w:val="none"/>
        </w:rPr>
      </w:pPr>
    </w:p>
    <w:p>
      <w:pPr>
        <w:spacing w:line="200" w:lineRule="exact"/>
        <w:jc w:val="left"/>
        <w:rPr>
          <w:rFonts w:ascii="宋体" w:hAnsi="宋体"/>
          <w:sz w:val="20"/>
          <w:highlight w:val="none"/>
        </w:rPr>
      </w:pPr>
    </w:p>
    <w:p>
      <w:pPr>
        <w:spacing w:line="200" w:lineRule="exact"/>
        <w:jc w:val="left"/>
        <w:rPr>
          <w:rFonts w:ascii="宋体" w:hAnsi="宋体"/>
          <w:sz w:val="20"/>
          <w:highlight w:val="none"/>
        </w:rPr>
      </w:pPr>
    </w:p>
    <w:p>
      <w:pPr>
        <w:tabs>
          <w:tab w:val="left" w:pos="3460"/>
        </w:tabs>
        <w:spacing w:line="337" w:lineRule="exact"/>
        <w:ind w:left="523" w:right="-20"/>
        <w:jc w:val="left"/>
        <w:rPr>
          <w:rFonts w:ascii="宋体" w:hAnsi="宋体"/>
          <w:highlight w:val="none"/>
        </w:rPr>
      </w:pPr>
      <w:r>
        <w:rPr>
          <w:rFonts w:ascii="宋体" w:hAnsi="宋体"/>
          <w:spacing w:val="-2"/>
          <w:position w:val="-4"/>
          <w:highlight w:val="none"/>
        </w:rPr>
        <w:t>问</w:t>
      </w:r>
      <w:r>
        <w:rPr>
          <w:rFonts w:ascii="宋体" w:hAnsi="宋体"/>
          <w:position w:val="-4"/>
          <w:highlight w:val="none"/>
        </w:rPr>
        <w:t>题</w:t>
      </w:r>
      <w:r>
        <w:rPr>
          <w:rFonts w:ascii="宋体" w:hAnsi="宋体"/>
          <w:spacing w:val="-2"/>
          <w:position w:val="-4"/>
          <w:highlight w:val="none"/>
        </w:rPr>
        <w:t>澄</w:t>
      </w:r>
      <w:r>
        <w:rPr>
          <w:rFonts w:ascii="宋体" w:hAnsi="宋体"/>
          <w:position w:val="-4"/>
          <w:highlight w:val="none"/>
        </w:rPr>
        <w:t>清</w:t>
      </w:r>
      <w:r>
        <w:rPr>
          <w:rFonts w:ascii="宋体" w:hAnsi="宋体"/>
          <w:spacing w:val="-2"/>
          <w:position w:val="-4"/>
          <w:highlight w:val="none"/>
        </w:rPr>
        <w:t>通</w:t>
      </w:r>
      <w:r>
        <w:rPr>
          <w:rFonts w:ascii="宋体" w:hAnsi="宋体"/>
          <w:position w:val="-4"/>
          <w:highlight w:val="none"/>
        </w:rPr>
        <w:t>知</w:t>
      </w:r>
      <w:r>
        <w:rPr>
          <w:rFonts w:ascii="宋体" w:hAnsi="宋体"/>
          <w:spacing w:val="-2"/>
          <w:position w:val="-4"/>
          <w:highlight w:val="none"/>
        </w:rPr>
        <w:t>（</w:t>
      </w:r>
      <w:r>
        <w:rPr>
          <w:rFonts w:ascii="宋体" w:hAnsi="宋体"/>
          <w:position w:val="-4"/>
          <w:highlight w:val="none"/>
        </w:rPr>
        <w:t>编</w:t>
      </w:r>
      <w:r>
        <w:rPr>
          <w:rFonts w:ascii="宋体" w:hAnsi="宋体"/>
          <w:spacing w:val="-2"/>
          <w:position w:val="-4"/>
          <w:highlight w:val="none"/>
        </w:rPr>
        <w:t>号</w:t>
      </w:r>
      <w:r>
        <w:rPr>
          <w:rFonts w:ascii="宋体" w:hAnsi="宋体"/>
          <w:position w:val="-4"/>
          <w:highlight w:val="none"/>
        </w:rPr>
        <w:t>：</w:t>
      </w:r>
      <w:r>
        <w:rPr>
          <w:rFonts w:ascii="宋体" w:hAnsi="宋体"/>
          <w:position w:val="-4"/>
          <w:highlight w:val="none"/>
          <w:u w:val="single"/>
        </w:rPr>
        <w:t xml:space="preserve"> </w:t>
      </w:r>
      <w:r>
        <w:rPr>
          <w:rFonts w:ascii="宋体" w:hAnsi="宋体"/>
          <w:spacing w:val="1"/>
          <w:position w:val="-4"/>
          <w:highlight w:val="none"/>
          <w:u w:val="single"/>
        </w:rPr>
        <w:t xml:space="preserve"> </w:t>
      </w:r>
      <w:r>
        <w:rPr>
          <w:rFonts w:ascii="宋体" w:hAnsi="宋体"/>
          <w:position w:val="-4"/>
          <w:highlight w:val="none"/>
          <w:u w:val="single"/>
        </w:rPr>
        <w:tab/>
      </w:r>
      <w:r>
        <w:rPr>
          <w:rFonts w:ascii="宋体" w:hAnsi="宋体"/>
          <w:position w:val="-4"/>
          <w:highlight w:val="none"/>
        </w:rPr>
        <w:t>）已收</w:t>
      </w:r>
      <w:r>
        <w:rPr>
          <w:rFonts w:ascii="宋体" w:hAnsi="宋体"/>
          <w:spacing w:val="-2"/>
          <w:position w:val="-4"/>
          <w:highlight w:val="none"/>
        </w:rPr>
        <w:t>悉</w:t>
      </w:r>
      <w:r>
        <w:rPr>
          <w:rFonts w:ascii="宋体" w:hAnsi="宋体"/>
          <w:position w:val="-4"/>
          <w:highlight w:val="none"/>
        </w:rPr>
        <w:t>，</w:t>
      </w:r>
      <w:r>
        <w:rPr>
          <w:rFonts w:ascii="宋体" w:hAnsi="宋体"/>
          <w:spacing w:val="-2"/>
          <w:position w:val="-4"/>
          <w:highlight w:val="none"/>
        </w:rPr>
        <w:t>现</w:t>
      </w:r>
      <w:r>
        <w:rPr>
          <w:rFonts w:ascii="宋体" w:hAnsi="宋体"/>
          <w:position w:val="-4"/>
          <w:highlight w:val="none"/>
        </w:rPr>
        <w:t>澄清</w:t>
      </w:r>
      <w:r>
        <w:rPr>
          <w:rFonts w:ascii="宋体" w:hAnsi="宋体"/>
          <w:spacing w:val="-2"/>
          <w:position w:val="-4"/>
          <w:highlight w:val="none"/>
        </w:rPr>
        <w:t>、</w:t>
      </w:r>
      <w:r>
        <w:rPr>
          <w:rFonts w:ascii="宋体" w:hAnsi="宋体"/>
          <w:position w:val="-4"/>
          <w:highlight w:val="none"/>
        </w:rPr>
        <w:t>说</w:t>
      </w:r>
      <w:r>
        <w:rPr>
          <w:rFonts w:ascii="宋体" w:hAnsi="宋体"/>
          <w:spacing w:val="-2"/>
          <w:position w:val="-4"/>
          <w:highlight w:val="none"/>
        </w:rPr>
        <w:t>明</w:t>
      </w:r>
      <w:r>
        <w:rPr>
          <w:rFonts w:ascii="宋体" w:hAnsi="宋体"/>
          <w:position w:val="-4"/>
          <w:highlight w:val="none"/>
        </w:rPr>
        <w:t>或</w:t>
      </w:r>
      <w:r>
        <w:rPr>
          <w:rFonts w:ascii="宋体" w:hAnsi="宋体"/>
          <w:spacing w:val="-2"/>
          <w:position w:val="-4"/>
          <w:highlight w:val="none"/>
        </w:rPr>
        <w:t>补</w:t>
      </w:r>
      <w:r>
        <w:rPr>
          <w:rFonts w:ascii="宋体" w:hAnsi="宋体"/>
          <w:position w:val="-4"/>
          <w:highlight w:val="none"/>
        </w:rPr>
        <w:t>正</w:t>
      </w:r>
      <w:r>
        <w:rPr>
          <w:rFonts w:ascii="宋体" w:hAnsi="宋体"/>
          <w:spacing w:val="-2"/>
          <w:position w:val="-4"/>
          <w:highlight w:val="none"/>
        </w:rPr>
        <w:t>如</w:t>
      </w:r>
      <w:r>
        <w:rPr>
          <w:rFonts w:ascii="宋体" w:hAnsi="宋体"/>
          <w:position w:val="-4"/>
          <w:highlight w:val="none"/>
        </w:rPr>
        <w:t>下：</w:t>
      </w:r>
    </w:p>
    <w:p>
      <w:pPr>
        <w:spacing w:before="2" w:line="180" w:lineRule="exact"/>
        <w:jc w:val="left"/>
        <w:rPr>
          <w:rFonts w:ascii="宋体" w:hAnsi="宋体"/>
          <w:sz w:val="18"/>
          <w:highlight w:val="none"/>
        </w:rPr>
      </w:pPr>
    </w:p>
    <w:p>
      <w:pPr>
        <w:spacing w:before="34"/>
        <w:ind w:left="801" w:right="7809"/>
        <w:jc w:val="center"/>
        <w:rPr>
          <w:rFonts w:ascii="宋体" w:hAnsi="宋体"/>
          <w:highlight w:val="none"/>
        </w:rPr>
      </w:pPr>
      <w:r>
        <w:rPr>
          <w:rFonts w:ascii="宋体" w:hAnsi="宋体"/>
          <w:highlight w:val="none"/>
        </w:rPr>
        <w:t>1.</w:t>
      </w:r>
    </w:p>
    <w:p>
      <w:pPr>
        <w:spacing w:before="8" w:line="190" w:lineRule="exact"/>
        <w:jc w:val="left"/>
        <w:rPr>
          <w:rFonts w:ascii="宋体" w:hAnsi="宋体"/>
          <w:sz w:val="19"/>
          <w:highlight w:val="none"/>
        </w:rPr>
      </w:pPr>
    </w:p>
    <w:p>
      <w:pPr>
        <w:ind w:left="801" w:right="7809"/>
        <w:jc w:val="center"/>
        <w:rPr>
          <w:rFonts w:ascii="宋体" w:hAnsi="宋体"/>
          <w:highlight w:val="none"/>
        </w:rPr>
      </w:pPr>
      <w:r>
        <w:rPr>
          <w:rFonts w:ascii="宋体" w:hAnsi="宋体"/>
          <w:highlight w:val="none"/>
        </w:rPr>
        <w:t>2.</w:t>
      </w:r>
    </w:p>
    <w:p>
      <w:pPr>
        <w:spacing w:before="8" w:line="190" w:lineRule="exact"/>
        <w:jc w:val="left"/>
        <w:rPr>
          <w:rFonts w:ascii="宋体" w:hAnsi="宋体"/>
          <w:sz w:val="19"/>
          <w:highlight w:val="none"/>
        </w:rPr>
      </w:pPr>
    </w:p>
    <w:p>
      <w:pPr>
        <w:ind w:left="696" w:right="7809"/>
        <w:jc w:val="center"/>
        <w:rPr>
          <w:rFonts w:ascii="宋体" w:hAnsi="宋体"/>
          <w:highlight w:val="none"/>
        </w:rPr>
      </w:pPr>
      <w:r>
        <w:rPr>
          <w:rFonts w:ascii="宋体" w:hAnsi="宋体"/>
          <w:highlight w:val="none"/>
        </w:rPr>
        <w:t>.....</w:t>
      </w:r>
    </w:p>
    <w:p>
      <w:pPr>
        <w:spacing w:line="200" w:lineRule="exact"/>
        <w:jc w:val="left"/>
        <w:rPr>
          <w:rFonts w:ascii="宋体" w:hAnsi="宋体"/>
          <w:sz w:val="20"/>
          <w:highlight w:val="none"/>
        </w:rPr>
      </w:pPr>
    </w:p>
    <w:p>
      <w:pPr>
        <w:spacing w:line="200" w:lineRule="exact"/>
        <w:jc w:val="left"/>
        <w:rPr>
          <w:rFonts w:ascii="宋体" w:hAnsi="宋体"/>
          <w:sz w:val="20"/>
          <w:highlight w:val="none"/>
        </w:rPr>
      </w:pPr>
    </w:p>
    <w:p>
      <w:pPr>
        <w:spacing w:line="200" w:lineRule="exact"/>
        <w:jc w:val="left"/>
        <w:rPr>
          <w:rFonts w:ascii="宋体" w:hAnsi="宋体"/>
          <w:sz w:val="20"/>
          <w:highlight w:val="none"/>
        </w:rPr>
      </w:pPr>
    </w:p>
    <w:p>
      <w:pPr>
        <w:spacing w:line="200" w:lineRule="exact"/>
        <w:jc w:val="left"/>
        <w:rPr>
          <w:rFonts w:ascii="宋体" w:hAnsi="宋体"/>
          <w:sz w:val="20"/>
          <w:highlight w:val="none"/>
        </w:rPr>
      </w:pPr>
    </w:p>
    <w:p>
      <w:pPr>
        <w:spacing w:line="200" w:lineRule="exact"/>
        <w:jc w:val="left"/>
        <w:rPr>
          <w:rFonts w:ascii="宋体" w:hAnsi="宋体"/>
          <w:sz w:val="20"/>
          <w:highlight w:val="none"/>
        </w:rPr>
      </w:pPr>
    </w:p>
    <w:p>
      <w:pPr>
        <w:spacing w:line="200" w:lineRule="exact"/>
        <w:jc w:val="left"/>
        <w:rPr>
          <w:rFonts w:ascii="宋体" w:hAnsi="宋体"/>
          <w:sz w:val="20"/>
          <w:highlight w:val="none"/>
        </w:rPr>
      </w:pPr>
    </w:p>
    <w:p>
      <w:pPr>
        <w:spacing w:before="9" w:line="200" w:lineRule="exact"/>
        <w:jc w:val="left"/>
        <w:rPr>
          <w:rFonts w:ascii="宋体" w:hAnsi="宋体"/>
          <w:sz w:val="20"/>
          <w:highlight w:val="none"/>
        </w:rPr>
      </w:pPr>
    </w:p>
    <w:p>
      <w:pPr>
        <w:spacing w:line="291" w:lineRule="auto"/>
        <w:ind w:left="100" w:right="43" w:firstLine="420"/>
        <w:jc w:val="left"/>
        <w:rPr>
          <w:rFonts w:ascii="宋体" w:hAnsi="宋体"/>
          <w:highlight w:val="none"/>
        </w:rPr>
      </w:pPr>
      <w:r>
        <w:rPr>
          <w:rFonts w:ascii="宋体" w:hAnsi="宋体"/>
          <w:highlight w:val="none"/>
        </w:rPr>
        <w:t>上述问题澄清、说</w:t>
      </w:r>
      <w:r>
        <w:rPr>
          <w:rFonts w:ascii="宋体" w:hAnsi="宋体"/>
          <w:spacing w:val="-2"/>
          <w:highlight w:val="none"/>
        </w:rPr>
        <w:t>明</w:t>
      </w:r>
      <w:r>
        <w:rPr>
          <w:rFonts w:ascii="宋体" w:hAnsi="宋体"/>
          <w:highlight w:val="none"/>
        </w:rPr>
        <w:t>或</w:t>
      </w:r>
      <w:r>
        <w:rPr>
          <w:rFonts w:ascii="宋体" w:hAnsi="宋体"/>
          <w:spacing w:val="-2"/>
          <w:highlight w:val="none"/>
        </w:rPr>
        <w:t>补</w:t>
      </w:r>
      <w:r>
        <w:rPr>
          <w:rFonts w:ascii="宋体" w:hAnsi="宋体"/>
          <w:highlight w:val="none"/>
        </w:rPr>
        <w:t>正，不改变我方投</w:t>
      </w:r>
      <w:r>
        <w:rPr>
          <w:rFonts w:ascii="宋体" w:hAnsi="宋体"/>
          <w:spacing w:val="-2"/>
          <w:highlight w:val="none"/>
        </w:rPr>
        <w:t>标</w:t>
      </w:r>
      <w:r>
        <w:rPr>
          <w:rFonts w:ascii="宋体" w:hAnsi="宋体"/>
          <w:highlight w:val="none"/>
        </w:rPr>
        <w:t>文</w:t>
      </w:r>
      <w:r>
        <w:rPr>
          <w:rFonts w:ascii="宋体" w:hAnsi="宋体"/>
          <w:spacing w:val="-2"/>
          <w:highlight w:val="none"/>
        </w:rPr>
        <w:t>件</w:t>
      </w:r>
      <w:r>
        <w:rPr>
          <w:rFonts w:ascii="宋体" w:hAnsi="宋体"/>
          <w:highlight w:val="none"/>
        </w:rPr>
        <w:t>的实质性内容，构</w:t>
      </w:r>
      <w:r>
        <w:rPr>
          <w:rFonts w:ascii="宋体" w:hAnsi="宋体"/>
          <w:spacing w:val="-2"/>
          <w:highlight w:val="none"/>
        </w:rPr>
        <w:t>成</w:t>
      </w:r>
      <w:r>
        <w:rPr>
          <w:rFonts w:ascii="宋体" w:hAnsi="宋体"/>
          <w:highlight w:val="none"/>
        </w:rPr>
        <w:t>我</w:t>
      </w:r>
      <w:r>
        <w:rPr>
          <w:rFonts w:ascii="宋体" w:hAnsi="宋体"/>
          <w:spacing w:val="-2"/>
          <w:highlight w:val="none"/>
        </w:rPr>
        <w:t>方</w:t>
      </w:r>
      <w:r>
        <w:rPr>
          <w:rFonts w:ascii="宋体" w:hAnsi="宋体"/>
          <w:highlight w:val="none"/>
        </w:rPr>
        <w:t>投标文件的组 成部</w:t>
      </w:r>
      <w:r>
        <w:rPr>
          <w:rFonts w:ascii="宋体" w:hAnsi="宋体"/>
          <w:spacing w:val="-2"/>
          <w:highlight w:val="none"/>
        </w:rPr>
        <w:t>分</w:t>
      </w:r>
      <w:r>
        <w:rPr>
          <w:rFonts w:ascii="宋体" w:hAnsi="宋体"/>
          <w:highlight w:val="none"/>
        </w:rPr>
        <w:t>。</w:t>
      </w:r>
    </w:p>
    <w:p>
      <w:pPr>
        <w:spacing w:before="7" w:line="150" w:lineRule="exact"/>
        <w:jc w:val="left"/>
        <w:rPr>
          <w:rFonts w:ascii="宋体" w:hAnsi="宋体"/>
          <w:sz w:val="15"/>
          <w:highlight w:val="none"/>
        </w:rPr>
      </w:pPr>
    </w:p>
    <w:p>
      <w:pPr>
        <w:spacing w:line="200" w:lineRule="exact"/>
        <w:jc w:val="left"/>
        <w:rPr>
          <w:rFonts w:ascii="宋体" w:hAnsi="宋体"/>
          <w:sz w:val="20"/>
          <w:highlight w:val="none"/>
        </w:rPr>
      </w:pPr>
    </w:p>
    <w:p>
      <w:pPr>
        <w:spacing w:line="200" w:lineRule="exact"/>
        <w:jc w:val="left"/>
        <w:rPr>
          <w:rFonts w:ascii="宋体" w:hAnsi="宋体"/>
          <w:sz w:val="20"/>
          <w:highlight w:val="none"/>
        </w:rPr>
      </w:pPr>
    </w:p>
    <w:p>
      <w:pPr>
        <w:spacing w:line="200" w:lineRule="exact"/>
        <w:jc w:val="left"/>
        <w:rPr>
          <w:rFonts w:ascii="宋体" w:hAnsi="宋体"/>
          <w:sz w:val="20"/>
          <w:highlight w:val="none"/>
        </w:rPr>
      </w:pPr>
    </w:p>
    <w:p>
      <w:pPr>
        <w:spacing w:line="360" w:lineRule="auto"/>
        <w:ind w:left="3357" w:leftChars="1304" w:hanging="619" w:hangingChars="295"/>
        <w:rPr>
          <w:highlight w:val="none"/>
        </w:rPr>
      </w:pPr>
      <w:r>
        <w:rPr>
          <w:highlight w:val="none"/>
        </w:rPr>
        <w:t>投标人：____________________（单位盖章）</w:t>
      </w:r>
    </w:p>
    <w:p>
      <w:pPr>
        <w:spacing w:line="360" w:lineRule="auto"/>
        <w:ind w:left="3357" w:leftChars="1304" w:hanging="619" w:hangingChars="295"/>
        <w:rPr>
          <w:highlight w:val="none"/>
        </w:rPr>
      </w:pPr>
      <w:r>
        <w:rPr>
          <w:highlight w:val="none"/>
        </w:rPr>
        <w:t>法定代表人或其委托代理人：____________________（签字）</w:t>
      </w:r>
    </w:p>
    <w:p>
      <w:pPr>
        <w:spacing w:line="360" w:lineRule="auto"/>
        <w:ind w:left="4200" w:leftChars="1800" w:hanging="420" w:hangingChars="200"/>
        <w:rPr>
          <w:highlight w:val="none"/>
        </w:rPr>
      </w:pPr>
    </w:p>
    <w:p>
      <w:pPr>
        <w:spacing w:line="360" w:lineRule="auto"/>
        <w:ind w:left="4200" w:leftChars="1800" w:hanging="420" w:hangingChars="200"/>
        <w:rPr>
          <w:highlight w:val="none"/>
        </w:rPr>
      </w:pPr>
    </w:p>
    <w:p>
      <w:pPr>
        <w:spacing w:line="360" w:lineRule="auto"/>
        <w:ind w:left="4200" w:leftChars="1800" w:hanging="420" w:hangingChars="200"/>
        <w:rPr>
          <w:highlight w:val="none"/>
        </w:rPr>
      </w:pPr>
    </w:p>
    <w:p>
      <w:pPr>
        <w:spacing w:line="360" w:lineRule="auto"/>
        <w:ind w:right="420"/>
        <w:jc w:val="center"/>
        <w:rPr>
          <w:highlight w:val="none"/>
        </w:rPr>
      </w:pPr>
      <w:r>
        <w:rPr>
          <w:rFonts w:hint="eastAsia"/>
          <w:highlight w:val="none"/>
        </w:rPr>
        <w:t xml:space="preserve">                               </w:t>
      </w:r>
      <w:r>
        <w:rPr>
          <w:highlight w:val="none"/>
        </w:rPr>
        <w:t>________年_______月_____</w:t>
      </w:r>
      <w:r>
        <w:rPr>
          <w:rFonts w:hint="eastAsia"/>
          <w:highlight w:val="none"/>
        </w:rPr>
        <w:t>日</w:t>
      </w:r>
    </w:p>
    <w:p>
      <w:pPr>
        <w:rPr>
          <w:highlight w:val="none"/>
        </w:rPr>
        <w:sectPr>
          <w:pgSz w:w="11905" w:h="16838"/>
          <w:pgMar w:top="1418" w:right="1701" w:bottom="1418" w:left="1701" w:header="851" w:footer="794" w:gutter="0"/>
          <w:cols w:space="720" w:num="1"/>
          <w:docGrid w:type="lines" w:linePitch="312" w:charSpace="0"/>
        </w:sectPr>
      </w:pPr>
    </w:p>
    <w:p>
      <w:pPr>
        <w:keepNext/>
        <w:keepLines/>
        <w:spacing w:line="578" w:lineRule="auto"/>
        <w:jc w:val="center"/>
        <w:outlineLvl w:val="0"/>
        <w:rPr>
          <w:rFonts w:ascii="宋体" w:hAnsi="宋体" w:cs="宋体"/>
          <w:b/>
          <w:bCs/>
          <w:sz w:val="44"/>
          <w:szCs w:val="44"/>
          <w:highlight w:val="none"/>
        </w:rPr>
        <w:sectPr>
          <w:pgSz w:w="11905" w:h="16838"/>
          <w:pgMar w:top="1418" w:right="1701" w:bottom="1418" w:left="1701" w:header="851" w:footer="794" w:gutter="0"/>
          <w:cols w:space="720" w:num="1"/>
          <w:docGrid w:type="lines" w:linePitch="312" w:charSpace="0"/>
        </w:sectPr>
      </w:pPr>
      <w:bookmarkStart w:id="149" w:name="_Toc27037"/>
      <w:bookmarkStart w:id="150" w:name="_Toc23272"/>
      <w:bookmarkStart w:id="151" w:name="_Toc13967"/>
      <w:bookmarkStart w:id="152" w:name="_Toc525063254"/>
      <w:bookmarkStart w:id="153" w:name="_Toc766"/>
      <w:bookmarkStart w:id="154" w:name="_Toc4273"/>
      <w:bookmarkStart w:id="155" w:name="_Toc532367881"/>
      <w:bookmarkStart w:id="156" w:name="_Toc10229"/>
      <w:bookmarkStart w:id="157" w:name="_Toc38224849"/>
      <w:bookmarkStart w:id="158" w:name="_Toc11766"/>
      <w:bookmarkStart w:id="159" w:name="_Toc28959"/>
      <w:r>
        <w:rPr>
          <w:rFonts w:hint="eastAsia" w:ascii="宋体" w:hAnsi="宋体" w:cs="宋体"/>
          <w:b/>
          <w:bCs/>
          <w:sz w:val="44"/>
          <w:szCs w:val="44"/>
          <w:highlight w:val="none"/>
        </w:rPr>
        <w:t>第三章 评标办法（综合评分法）</w:t>
      </w:r>
      <w:bookmarkEnd w:id="149"/>
      <w:bookmarkEnd w:id="150"/>
      <w:bookmarkEnd w:id="151"/>
      <w:bookmarkEnd w:id="152"/>
      <w:bookmarkEnd w:id="153"/>
      <w:bookmarkEnd w:id="154"/>
      <w:bookmarkEnd w:id="155"/>
      <w:bookmarkEnd w:id="156"/>
      <w:bookmarkEnd w:id="157"/>
      <w:bookmarkEnd w:id="158"/>
      <w:bookmarkEnd w:id="159"/>
    </w:p>
    <w:p>
      <w:pPr>
        <w:pStyle w:val="4"/>
        <w:keepNext w:val="0"/>
        <w:keepLines w:val="0"/>
        <w:jc w:val="center"/>
        <w:rPr>
          <w:rFonts w:ascii="宋体" w:hAnsi="宋体" w:eastAsia="宋体" w:cs="宋体"/>
          <w:highlight w:val="none"/>
        </w:rPr>
      </w:pPr>
      <w:bookmarkStart w:id="160" w:name="_Toc19559"/>
      <w:bookmarkStart w:id="161" w:name="_Toc5360"/>
      <w:bookmarkStart w:id="162" w:name="_Toc2287"/>
      <w:bookmarkStart w:id="163" w:name="_Toc532367882"/>
      <w:bookmarkStart w:id="164" w:name="_Toc525063255"/>
      <w:bookmarkStart w:id="165" w:name="_Toc31115"/>
      <w:bookmarkStart w:id="166" w:name="_Toc30148"/>
      <w:bookmarkStart w:id="167" w:name="_Toc10395"/>
      <w:bookmarkStart w:id="168" w:name="_Toc38224850"/>
      <w:bookmarkStart w:id="169" w:name="_Toc24355"/>
      <w:r>
        <w:rPr>
          <w:rFonts w:hint="eastAsia" w:ascii="宋体" w:hAnsi="宋体" w:eastAsia="宋体" w:cs="宋体"/>
          <w:highlight w:val="none"/>
        </w:rPr>
        <w:t>评标办法前附表</w:t>
      </w:r>
      <w:bookmarkEnd w:id="160"/>
      <w:bookmarkEnd w:id="161"/>
      <w:bookmarkEnd w:id="162"/>
      <w:bookmarkEnd w:id="163"/>
      <w:bookmarkEnd w:id="164"/>
      <w:bookmarkEnd w:id="165"/>
      <w:bookmarkEnd w:id="166"/>
      <w:bookmarkEnd w:id="167"/>
      <w:bookmarkEnd w:id="168"/>
      <w:bookmarkEnd w:id="169"/>
    </w:p>
    <w:tbl>
      <w:tblPr>
        <w:tblStyle w:val="45"/>
        <w:tblW w:w="94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26"/>
        <w:gridCol w:w="974"/>
        <w:gridCol w:w="1355"/>
        <w:gridCol w:w="6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gridSpan w:val="3"/>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s="宋体"/>
                <w:b/>
                <w:szCs w:val="21"/>
                <w:highlight w:val="none"/>
              </w:rPr>
            </w:pPr>
            <w:bookmarkStart w:id="170" w:name="_Toc532367883"/>
            <w:bookmarkStart w:id="171" w:name="_Toc26875"/>
            <w:bookmarkStart w:id="172" w:name="_Toc12458"/>
            <w:bookmarkStart w:id="173" w:name="_Toc16761"/>
            <w:bookmarkStart w:id="174" w:name="_Toc27844"/>
            <w:bookmarkStart w:id="175" w:name="_Toc38224851"/>
            <w:bookmarkStart w:id="176" w:name="_Toc6317"/>
            <w:bookmarkStart w:id="177" w:name="_Toc28853"/>
            <w:bookmarkStart w:id="178" w:name="_Toc25831"/>
            <w:bookmarkStart w:id="179" w:name="_Toc525063256"/>
            <w:r>
              <w:rPr>
                <w:rFonts w:hint="eastAsia" w:ascii="宋体" w:hAnsi="宋体" w:cs="宋体"/>
                <w:b/>
                <w:szCs w:val="21"/>
                <w:highlight w:val="none"/>
              </w:rPr>
              <w:t>条款号</w:t>
            </w:r>
          </w:p>
        </w:tc>
        <w:tc>
          <w:tcPr>
            <w:tcW w:w="13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b/>
                <w:szCs w:val="21"/>
                <w:highlight w:val="none"/>
              </w:rPr>
            </w:pPr>
            <w:r>
              <w:rPr>
                <w:rFonts w:hint="eastAsia" w:ascii="宋体" w:hAnsi="宋体" w:cs="宋体"/>
                <w:b/>
                <w:szCs w:val="21"/>
                <w:highlight w:val="none"/>
              </w:rPr>
              <w:t>评审因素</w:t>
            </w:r>
          </w:p>
        </w:tc>
        <w:tc>
          <w:tcPr>
            <w:tcW w:w="613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b/>
                <w:szCs w:val="21"/>
                <w:highlight w:val="none"/>
              </w:rPr>
            </w:pPr>
            <w:r>
              <w:rPr>
                <w:rFonts w:hint="eastAsia" w:ascii="宋体" w:hAnsi="宋体" w:cs="宋体"/>
                <w:b/>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s="宋体"/>
                <w:bCs/>
                <w:szCs w:val="21"/>
                <w:highlight w:val="none"/>
              </w:rPr>
            </w:pPr>
            <w:r>
              <w:rPr>
                <w:rFonts w:hint="eastAsia" w:ascii="宋体" w:hAnsi="宋体" w:cs="宋体"/>
                <w:bCs/>
                <w:szCs w:val="21"/>
                <w:highlight w:val="none"/>
              </w:rPr>
              <w:t>1</w:t>
            </w:r>
          </w:p>
        </w:tc>
        <w:tc>
          <w:tcPr>
            <w:tcW w:w="1000"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s="宋体"/>
                <w:bCs/>
                <w:szCs w:val="21"/>
                <w:highlight w:val="none"/>
              </w:rPr>
            </w:pPr>
            <w:r>
              <w:rPr>
                <w:rFonts w:hint="eastAsia" w:ascii="宋体" w:hAnsi="宋体" w:cs="宋体"/>
                <w:bCs/>
                <w:szCs w:val="21"/>
                <w:highlight w:val="none"/>
              </w:rPr>
              <w:t>评标方法</w:t>
            </w:r>
          </w:p>
        </w:tc>
        <w:tc>
          <w:tcPr>
            <w:tcW w:w="13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bCs/>
                <w:szCs w:val="21"/>
                <w:highlight w:val="none"/>
              </w:rPr>
            </w:pPr>
            <w:r>
              <w:rPr>
                <w:rFonts w:hint="eastAsia" w:ascii="宋体" w:hAnsi="宋体" w:cs="宋体"/>
                <w:bCs/>
                <w:szCs w:val="21"/>
                <w:highlight w:val="none"/>
              </w:rPr>
              <w:t>中标候选人排序方法</w:t>
            </w:r>
          </w:p>
        </w:tc>
        <w:tc>
          <w:tcPr>
            <w:tcW w:w="613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22"/>
              <w:spacing w:line="312" w:lineRule="auto"/>
              <w:rPr>
                <w:rFonts w:hAnsi="宋体" w:cs="宋体"/>
                <w:kern w:val="2"/>
                <w:sz w:val="21"/>
                <w:highlight w:val="none"/>
              </w:rPr>
            </w:pPr>
            <w:r>
              <w:rPr>
                <w:rFonts w:hint="eastAsia" w:hAnsi="宋体" w:cs="宋体"/>
                <w:kern w:val="2"/>
                <w:sz w:val="21"/>
                <w:highlight w:val="none"/>
              </w:rPr>
              <w:t>1.本次评标采用综合评估法。</w:t>
            </w:r>
          </w:p>
          <w:p>
            <w:pPr>
              <w:pStyle w:val="22"/>
              <w:spacing w:line="312" w:lineRule="auto"/>
              <w:rPr>
                <w:rFonts w:hAnsi="宋体" w:cs="宋体"/>
                <w:kern w:val="2"/>
                <w:sz w:val="21"/>
                <w:highlight w:val="none"/>
              </w:rPr>
            </w:pPr>
            <w:r>
              <w:rPr>
                <w:rFonts w:hint="eastAsia" w:hAnsi="宋体" w:cs="宋体"/>
                <w:kern w:val="2"/>
                <w:sz w:val="21"/>
                <w:highlight w:val="none"/>
              </w:rPr>
              <w:t>2.评标委员会对满足招标文件实质性要求的投标文件，按照招标文件规定的评分标准进行打分，并按照各投标人总得分从高到低排列先后次序，推荐得分最高的第一名投标人为第一中标候选人，推荐得分第二名的投标人为第二中标候选人，如此类推，推荐三名中标候选人，并编写评审报告。若两家或以上的投标人总得分相同时，按以下顺序确定中标候选人：①投标报价得分高的排前；②若投标报价得分相同，则方案部分得分高的排前；③若投标报价得分和方案部分得分均相同，则由评委采用记名投票方式，确定相等得分的中标候选人的排序。</w:t>
            </w:r>
          </w:p>
          <w:p>
            <w:pPr>
              <w:spacing w:line="312" w:lineRule="auto"/>
              <w:jc w:val="left"/>
              <w:rPr>
                <w:rFonts w:ascii="宋体" w:hAnsi="宋体" w:cs="宋体"/>
                <w:szCs w:val="21"/>
                <w:highlight w:val="none"/>
              </w:rPr>
            </w:pPr>
            <w:r>
              <w:rPr>
                <w:rFonts w:hint="eastAsia" w:ascii="宋体" w:hAnsi="宋体" w:cs="宋体"/>
                <w:szCs w:val="21"/>
                <w:highlight w:val="none"/>
              </w:rPr>
              <w:t>3.若本项目递交投标文件的投标人数量、或通过初步评审的合格投标人家数不足3家的，则本次招标失败，招标人将视情况重新组织招标。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47"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r>
              <w:rPr>
                <w:rFonts w:hint="eastAsia" w:ascii="宋体" w:hAnsi="宋体" w:cs="宋体"/>
                <w:szCs w:val="21"/>
                <w:highlight w:val="none"/>
              </w:rPr>
              <w:t>2.1.1</w:t>
            </w:r>
          </w:p>
        </w:tc>
        <w:tc>
          <w:tcPr>
            <w:tcW w:w="1000" w:type="dxa"/>
            <w:gridSpan w:val="2"/>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r>
              <w:rPr>
                <w:rFonts w:hint="eastAsia" w:ascii="宋体" w:hAnsi="宋体" w:cs="宋体"/>
                <w:szCs w:val="21"/>
                <w:highlight w:val="none"/>
              </w:rPr>
              <w:t>形式评审标准</w:t>
            </w:r>
          </w:p>
        </w:tc>
        <w:tc>
          <w:tcPr>
            <w:tcW w:w="13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rPr>
                <w:rFonts w:ascii="宋体" w:hAnsi="宋体" w:cs="宋体"/>
                <w:szCs w:val="21"/>
                <w:highlight w:val="none"/>
              </w:rPr>
            </w:pPr>
            <w:r>
              <w:rPr>
                <w:rFonts w:hint="eastAsia" w:ascii="宋体" w:hAnsi="宋体" w:cs="宋体"/>
                <w:szCs w:val="21"/>
                <w:highlight w:val="none"/>
              </w:rPr>
              <w:t>投标人名称</w:t>
            </w:r>
          </w:p>
        </w:tc>
        <w:tc>
          <w:tcPr>
            <w:tcW w:w="613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szCs w:val="21"/>
                <w:highlight w:val="none"/>
              </w:rPr>
            </w:pPr>
            <w:r>
              <w:rPr>
                <w:rFonts w:hint="eastAsia" w:ascii="宋体" w:hAnsi="宋体" w:cs="宋体"/>
                <w:szCs w:val="21"/>
                <w:highlight w:val="none"/>
              </w:rPr>
              <w:t>与营业执照（或事业单位法人证书）、资质证书一致。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1000" w:type="dxa"/>
            <w:gridSpan w:val="2"/>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13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rPr>
                <w:rFonts w:ascii="宋体" w:hAnsi="宋体" w:cs="宋体"/>
                <w:szCs w:val="21"/>
                <w:highlight w:val="none"/>
              </w:rPr>
            </w:pPr>
            <w:r>
              <w:rPr>
                <w:rFonts w:hint="eastAsia" w:ascii="宋体" w:hAnsi="宋体" w:cs="宋体"/>
                <w:szCs w:val="21"/>
                <w:highlight w:val="none"/>
              </w:rPr>
              <w:t>投标函及投标函附录签字盖章</w:t>
            </w:r>
          </w:p>
        </w:tc>
        <w:tc>
          <w:tcPr>
            <w:tcW w:w="613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szCs w:val="21"/>
                <w:highlight w:val="none"/>
              </w:rPr>
            </w:pPr>
            <w:r>
              <w:rPr>
                <w:rFonts w:hint="eastAsia" w:ascii="宋体" w:hAnsi="宋体" w:cs="宋体"/>
                <w:szCs w:val="21"/>
                <w:highlight w:val="none"/>
              </w:rPr>
              <w:t>投标函及投标函附录格式及签字盖章符合招标文件要求，由法定代表人签字的，应附法定代表人证明书，由代理人签字的，应附授权委托书，身份证明或授权委托书应符合第六章“投标文件格式”的规定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947" w:type="dxa"/>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1000" w:type="dxa"/>
            <w:gridSpan w:val="2"/>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13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rPr>
                <w:rFonts w:ascii="宋体" w:hAnsi="宋体" w:cs="宋体"/>
                <w:szCs w:val="21"/>
                <w:highlight w:val="none"/>
              </w:rPr>
            </w:pPr>
            <w:r>
              <w:rPr>
                <w:rFonts w:hint="eastAsia" w:ascii="宋体" w:hAnsi="宋体" w:cs="宋体"/>
                <w:szCs w:val="21"/>
                <w:highlight w:val="none"/>
              </w:rPr>
              <w:t>投标文件格式</w:t>
            </w:r>
          </w:p>
        </w:tc>
        <w:tc>
          <w:tcPr>
            <w:tcW w:w="613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szCs w:val="21"/>
                <w:highlight w:val="none"/>
              </w:rPr>
            </w:pPr>
            <w:r>
              <w:rPr>
                <w:rFonts w:hint="eastAsia" w:ascii="宋体" w:hAnsi="宋体" w:cs="宋体"/>
                <w:szCs w:val="21"/>
                <w:highlight w:val="none"/>
              </w:rPr>
              <w:t>符合第六章“投标文件格式”的规定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1000" w:type="dxa"/>
            <w:gridSpan w:val="2"/>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13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rPr>
                <w:rFonts w:ascii="宋体" w:hAnsi="宋体" w:cs="宋体"/>
                <w:szCs w:val="21"/>
                <w:highlight w:val="none"/>
              </w:rPr>
            </w:pPr>
            <w:r>
              <w:rPr>
                <w:rFonts w:hint="eastAsia" w:ascii="宋体" w:hAnsi="宋体" w:cs="宋体"/>
                <w:szCs w:val="21"/>
                <w:highlight w:val="none"/>
              </w:rPr>
              <w:t>备选投标方案</w:t>
            </w:r>
          </w:p>
        </w:tc>
        <w:tc>
          <w:tcPr>
            <w:tcW w:w="613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szCs w:val="21"/>
                <w:highlight w:val="none"/>
              </w:rPr>
            </w:pPr>
            <w:r>
              <w:rPr>
                <w:rFonts w:hint="eastAsia" w:ascii="宋体" w:hAnsi="宋体"/>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47" w:type="dxa"/>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1000" w:type="dxa"/>
            <w:gridSpan w:val="2"/>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13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rPr>
                <w:rFonts w:ascii="宋体" w:hAnsi="宋体" w:cs="宋体"/>
                <w:szCs w:val="21"/>
                <w:highlight w:val="none"/>
              </w:rPr>
            </w:pPr>
            <w:r>
              <w:rPr>
                <w:rFonts w:hint="eastAsia" w:ascii="宋体" w:hAnsi="宋体" w:cs="宋体"/>
                <w:szCs w:val="21"/>
                <w:highlight w:val="none"/>
              </w:rPr>
              <w:t>投标人机器码</w:t>
            </w:r>
          </w:p>
        </w:tc>
        <w:tc>
          <w:tcPr>
            <w:tcW w:w="613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strike/>
                <w:szCs w:val="21"/>
                <w:highlight w:val="none"/>
              </w:rPr>
            </w:pPr>
            <w:r>
              <w:rPr>
                <w:rFonts w:ascii="Calibri" w:hAnsi="Calibri"/>
                <w:szCs w:val="21"/>
                <w:highlight w:val="none"/>
              </w:rPr>
              <w:t>投标人与</w:t>
            </w:r>
            <w:r>
              <w:rPr>
                <w:rFonts w:hint="eastAsia" w:ascii="Calibri" w:hAnsi="Calibri"/>
                <w:szCs w:val="21"/>
                <w:highlight w:val="none"/>
                <w:u w:val="single"/>
              </w:rPr>
              <w:t>本项目</w:t>
            </w:r>
            <w:r>
              <w:rPr>
                <w:rFonts w:ascii="Calibri" w:hAnsi="Calibri"/>
                <w:szCs w:val="21"/>
                <w:highlight w:val="none"/>
              </w:rPr>
              <w:t>其他投标人加密打包投标文件电脑机器特征码一致的(以广州公共资源交易中心评标系统的检索信息为准)将被否决。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vMerge w:val="restart"/>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r>
              <w:rPr>
                <w:rFonts w:hint="eastAsia" w:ascii="宋体" w:hAnsi="宋体" w:cs="宋体"/>
                <w:szCs w:val="21"/>
                <w:highlight w:val="none"/>
              </w:rPr>
              <w:t>2.1.2</w:t>
            </w:r>
          </w:p>
        </w:tc>
        <w:tc>
          <w:tcPr>
            <w:tcW w:w="1000" w:type="dxa"/>
            <w:gridSpan w:val="2"/>
            <w:vMerge w:val="restart"/>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r>
              <w:rPr>
                <w:rFonts w:hint="eastAsia" w:ascii="宋体" w:hAnsi="宋体" w:cs="宋体"/>
                <w:szCs w:val="21"/>
                <w:highlight w:val="none"/>
              </w:rPr>
              <w:t>资格评审标准</w:t>
            </w:r>
          </w:p>
        </w:tc>
        <w:tc>
          <w:tcPr>
            <w:tcW w:w="13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240" w:lineRule="atLeast"/>
              <w:rPr>
                <w:rFonts w:ascii="宋体" w:hAnsi="宋体" w:cs="宋体"/>
                <w:szCs w:val="21"/>
                <w:highlight w:val="none"/>
              </w:rPr>
            </w:pPr>
            <w:r>
              <w:rPr>
                <w:rFonts w:hint="eastAsia" w:ascii="宋体" w:hAnsi="宋体" w:cs="宋体"/>
                <w:szCs w:val="21"/>
                <w:highlight w:val="none"/>
              </w:rPr>
              <w:t>营业执照</w:t>
            </w:r>
            <w:r>
              <w:rPr>
                <w:rFonts w:hint="eastAsia" w:ascii="宋体" w:hAnsi="宋体" w:cs="宋体"/>
                <w:szCs w:val="21"/>
                <w:highlight w:val="none"/>
                <w:u w:val="single"/>
              </w:rPr>
              <w:t>（或事业单位法人证书）</w:t>
            </w:r>
          </w:p>
        </w:tc>
        <w:tc>
          <w:tcPr>
            <w:tcW w:w="613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szCs w:val="21"/>
                <w:highlight w:val="none"/>
              </w:rPr>
            </w:pPr>
            <w:r>
              <w:rPr>
                <w:rFonts w:hint="eastAsia" w:ascii="Calibri" w:hAnsi="Calibri" w:cs="宋体"/>
                <w:kern w:val="0"/>
                <w:szCs w:val="21"/>
                <w:highlight w:val="none"/>
                <w:u w:val="single"/>
              </w:rPr>
              <w:t>持有事业单位登记管理部门核发的事业单位法人证书且在有效期内或工商行政</w:t>
            </w:r>
            <w:r>
              <w:rPr>
                <w:rFonts w:ascii="Calibri" w:hAnsi="Calibri"/>
                <w:highlight w:val="none"/>
                <w:u w:val="single"/>
              </w:rPr>
              <w:t>（或市场监督）</w:t>
            </w:r>
            <w:r>
              <w:rPr>
                <w:rFonts w:hint="eastAsia" w:ascii="Calibri" w:hAnsi="Calibri" w:cs="宋体"/>
                <w:kern w:val="0"/>
                <w:szCs w:val="21"/>
                <w:highlight w:val="none"/>
                <w:u w:val="single"/>
              </w:rPr>
              <w:t>管理部门核发的企业法人营业执照且在有效期内；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1000" w:type="dxa"/>
            <w:gridSpan w:val="2"/>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13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rPr>
                <w:rFonts w:ascii="宋体" w:hAnsi="宋体" w:cs="宋体"/>
                <w:szCs w:val="21"/>
                <w:highlight w:val="none"/>
              </w:rPr>
            </w:pPr>
            <w:r>
              <w:rPr>
                <w:rFonts w:hint="eastAsia" w:ascii="宋体" w:hAnsi="宋体" w:cs="宋体"/>
                <w:szCs w:val="21"/>
                <w:highlight w:val="none"/>
              </w:rPr>
              <w:t>资质要求</w:t>
            </w:r>
          </w:p>
        </w:tc>
        <w:tc>
          <w:tcPr>
            <w:tcW w:w="613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szCs w:val="21"/>
                <w:highlight w:val="none"/>
              </w:rPr>
            </w:pPr>
            <w:r>
              <w:rPr>
                <w:rFonts w:hint="eastAsia" w:ascii="宋体" w:hAnsi="宋体" w:cs="宋体"/>
                <w:szCs w:val="21"/>
                <w:highlight w:val="none"/>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vMerge w:val="continue"/>
            <w:tcBorders>
              <w:left w:val="single" w:color="auto" w:sz="4" w:space="0"/>
              <w:right w:val="single" w:color="auto" w:sz="4" w:space="0"/>
            </w:tcBorders>
            <w:vAlign w:val="center"/>
          </w:tcPr>
          <w:p>
            <w:pPr>
              <w:widowControl/>
              <w:spacing w:line="312" w:lineRule="auto"/>
              <w:jc w:val="left"/>
              <w:rPr>
                <w:rFonts w:ascii="宋体" w:hAnsi="宋体" w:cs="宋体"/>
                <w:szCs w:val="21"/>
                <w:highlight w:val="none"/>
              </w:rPr>
            </w:pPr>
          </w:p>
        </w:tc>
        <w:tc>
          <w:tcPr>
            <w:tcW w:w="1000" w:type="dxa"/>
            <w:gridSpan w:val="2"/>
            <w:vMerge w:val="continue"/>
            <w:tcBorders>
              <w:left w:val="single" w:color="auto" w:sz="4" w:space="0"/>
              <w:right w:val="single" w:color="auto" w:sz="4" w:space="0"/>
            </w:tcBorders>
            <w:vAlign w:val="center"/>
          </w:tcPr>
          <w:p>
            <w:pPr>
              <w:widowControl/>
              <w:spacing w:line="312" w:lineRule="auto"/>
              <w:jc w:val="left"/>
              <w:rPr>
                <w:rFonts w:ascii="宋体" w:hAnsi="宋体" w:cs="宋体"/>
                <w:szCs w:val="21"/>
                <w:highlight w:val="none"/>
              </w:rPr>
            </w:pPr>
          </w:p>
        </w:tc>
        <w:tc>
          <w:tcPr>
            <w:tcW w:w="13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rPr>
                <w:rFonts w:ascii="宋体" w:hAnsi="宋体" w:cs="宋体"/>
                <w:szCs w:val="21"/>
                <w:highlight w:val="none"/>
              </w:rPr>
            </w:pPr>
            <w:r>
              <w:rPr>
                <w:rFonts w:hint="eastAsia" w:ascii="宋体" w:hAnsi="宋体" w:cs="宋体"/>
                <w:szCs w:val="21"/>
                <w:highlight w:val="none"/>
              </w:rPr>
              <w:t>项目负责人</w:t>
            </w:r>
          </w:p>
        </w:tc>
        <w:tc>
          <w:tcPr>
            <w:tcW w:w="613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szCs w:val="21"/>
                <w:highlight w:val="none"/>
              </w:rPr>
            </w:pPr>
            <w:r>
              <w:rPr>
                <w:rFonts w:hint="eastAsia" w:ascii="宋体" w:hAnsi="宋体" w:cs="宋体"/>
                <w:szCs w:val="21"/>
                <w:highlight w:val="none"/>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vMerge w:val="continue"/>
            <w:tcBorders>
              <w:left w:val="single" w:color="auto" w:sz="4" w:space="0"/>
              <w:right w:val="single" w:color="auto" w:sz="4" w:space="0"/>
            </w:tcBorders>
            <w:vAlign w:val="center"/>
          </w:tcPr>
          <w:p>
            <w:pPr>
              <w:widowControl/>
              <w:spacing w:line="312" w:lineRule="auto"/>
              <w:jc w:val="left"/>
              <w:rPr>
                <w:rFonts w:ascii="宋体" w:hAnsi="宋体" w:cs="宋体"/>
                <w:szCs w:val="21"/>
                <w:highlight w:val="none"/>
              </w:rPr>
            </w:pPr>
          </w:p>
        </w:tc>
        <w:tc>
          <w:tcPr>
            <w:tcW w:w="1000" w:type="dxa"/>
            <w:gridSpan w:val="2"/>
            <w:vMerge w:val="continue"/>
            <w:tcBorders>
              <w:left w:val="single" w:color="auto" w:sz="4" w:space="0"/>
              <w:right w:val="single" w:color="auto" w:sz="4" w:space="0"/>
            </w:tcBorders>
            <w:vAlign w:val="center"/>
          </w:tcPr>
          <w:p>
            <w:pPr>
              <w:widowControl/>
              <w:spacing w:line="312" w:lineRule="auto"/>
              <w:jc w:val="left"/>
              <w:rPr>
                <w:rFonts w:ascii="宋体" w:hAnsi="宋体" w:cs="宋体"/>
                <w:szCs w:val="21"/>
                <w:highlight w:val="none"/>
              </w:rPr>
            </w:pPr>
          </w:p>
        </w:tc>
        <w:tc>
          <w:tcPr>
            <w:tcW w:w="13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rPr>
                <w:rFonts w:ascii="宋体" w:hAnsi="宋体" w:cs="宋体"/>
                <w:szCs w:val="21"/>
                <w:highlight w:val="none"/>
              </w:rPr>
            </w:pPr>
            <w:r>
              <w:rPr>
                <w:rFonts w:hint="eastAsia" w:ascii="宋体" w:hAnsi="宋体" w:cs="宋体"/>
                <w:szCs w:val="21"/>
                <w:highlight w:val="none"/>
              </w:rPr>
              <w:t>其他要求</w:t>
            </w:r>
          </w:p>
        </w:tc>
        <w:tc>
          <w:tcPr>
            <w:tcW w:w="613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szCs w:val="21"/>
                <w:highlight w:val="none"/>
              </w:rPr>
            </w:pPr>
            <w:r>
              <w:rPr>
                <w:rFonts w:hint="eastAsia" w:ascii="宋体" w:hAnsi="宋体" w:cs="宋体"/>
                <w:szCs w:val="21"/>
                <w:highlight w:val="none"/>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47" w:type="dxa"/>
            <w:vMerge w:val="continue"/>
            <w:tcBorders>
              <w:left w:val="single" w:color="auto" w:sz="4" w:space="0"/>
              <w:right w:val="single" w:color="auto" w:sz="4" w:space="0"/>
            </w:tcBorders>
            <w:vAlign w:val="center"/>
          </w:tcPr>
          <w:p>
            <w:pPr>
              <w:widowControl/>
              <w:spacing w:line="312" w:lineRule="auto"/>
              <w:jc w:val="left"/>
              <w:rPr>
                <w:rFonts w:ascii="宋体" w:hAnsi="宋体" w:cs="宋体"/>
                <w:szCs w:val="21"/>
                <w:highlight w:val="none"/>
              </w:rPr>
            </w:pPr>
          </w:p>
        </w:tc>
        <w:tc>
          <w:tcPr>
            <w:tcW w:w="1000" w:type="dxa"/>
            <w:gridSpan w:val="2"/>
            <w:vMerge w:val="continue"/>
            <w:tcBorders>
              <w:left w:val="single" w:color="auto" w:sz="4" w:space="0"/>
              <w:right w:val="single" w:color="auto" w:sz="4" w:space="0"/>
            </w:tcBorders>
            <w:vAlign w:val="center"/>
          </w:tcPr>
          <w:p>
            <w:pPr>
              <w:widowControl/>
              <w:spacing w:line="312" w:lineRule="auto"/>
              <w:jc w:val="left"/>
              <w:rPr>
                <w:rFonts w:ascii="宋体" w:hAnsi="宋体" w:cs="宋体"/>
                <w:szCs w:val="21"/>
                <w:highlight w:val="none"/>
              </w:rPr>
            </w:pPr>
          </w:p>
        </w:tc>
        <w:tc>
          <w:tcPr>
            <w:tcW w:w="13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rPr>
                <w:rFonts w:ascii="宋体" w:hAnsi="宋体" w:cs="宋体"/>
                <w:szCs w:val="21"/>
                <w:highlight w:val="none"/>
              </w:rPr>
            </w:pPr>
            <w:r>
              <w:rPr>
                <w:rFonts w:hint="eastAsia" w:ascii="宋体" w:hAnsi="宋体" w:cs="宋体"/>
                <w:szCs w:val="21"/>
                <w:highlight w:val="none"/>
              </w:rPr>
              <w:t>联合体投标人</w:t>
            </w:r>
          </w:p>
        </w:tc>
        <w:tc>
          <w:tcPr>
            <w:tcW w:w="613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szCs w:val="21"/>
                <w:highlight w:val="none"/>
              </w:rPr>
            </w:pPr>
            <w:r>
              <w:rPr>
                <w:rFonts w:hint="eastAsia" w:ascii="宋体" w:hAnsi="宋体" w:cs="宋体"/>
                <w:szCs w:val="21"/>
                <w:highlight w:val="none"/>
              </w:rPr>
              <w:t>本项</w:t>
            </w:r>
            <w:r>
              <w:rPr>
                <w:rFonts w:hint="eastAsia" w:ascii="宋体" w:hAnsi="宋体" w:cs="宋体"/>
                <w:szCs w:val="21"/>
                <w:highlight w:val="none"/>
                <w:lang w:eastAsia="zh-CN"/>
              </w:rPr>
              <w:t>目</w:t>
            </w:r>
            <w:r>
              <w:rPr>
                <w:rFonts w:hint="eastAsia" w:ascii="宋体" w:hAnsi="宋体" w:cs="宋体"/>
                <w:szCs w:val="21"/>
                <w:highlight w:val="none"/>
              </w:rPr>
              <w:t>接受联合体</w:t>
            </w:r>
            <w:r>
              <w:rPr>
                <w:rFonts w:hint="eastAsia" w:ascii="宋体" w:hAnsi="宋体" w:cs="宋体"/>
                <w:szCs w:val="21"/>
                <w:highlight w:val="none"/>
                <w:lang w:eastAsia="zh-CN"/>
              </w:rPr>
              <w:t>投标。</w:t>
            </w:r>
            <w:r>
              <w:rPr>
                <w:rFonts w:hint="eastAsia" w:ascii="宋体" w:hAnsi="宋体" w:cs="宋体"/>
                <w:szCs w:val="21"/>
                <w:highlight w:val="none"/>
              </w:rPr>
              <w:t>符合第二章“投标人须知”第1.4.2项规定。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vMerge w:val="continue"/>
            <w:tcBorders>
              <w:left w:val="single" w:color="auto" w:sz="4" w:space="0"/>
              <w:right w:val="single" w:color="auto" w:sz="4" w:space="0"/>
            </w:tcBorders>
          </w:tcPr>
          <w:p>
            <w:pPr>
              <w:widowControl/>
              <w:spacing w:line="312" w:lineRule="auto"/>
              <w:jc w:val="left"/>
              <w:rPr>
                <w:rFonts w:ascii="宋体" w:hAnsi="宋体" w:cs="宋体"/>
                <w:szCs w:val="21"/>
                <w:highlight w:val="none"/>
              </w:rPr>
            </w:pPr>
          </w:p>
        </w:tc>
        <w:tc>
          <w:tcPr>
            <w:tcW w:w="1000" w:type="dxa"/>
            <w:gridSpan w:val="2"/>
            <w:vMerge w:val="continue"/>
            <w:tcBorders>
              <w:left w:val="single" w:color="auto" w:sz="4" w:space="0"/>
              <w:right w:val="single" w:color="auto" w:sz="4" w:space="0"/>
            </w:tcBorders>
          </w:tcPr>
          <w:p>
            <w:pPr>
              <w:widowControl/>
              <w:spacing w:line="312" w:lineRule="auto"/>
              <w:jc w:val="left"/>
              <w:rPr>
                <w:rFonts w:ascii="宋体" w:hAnsi="宋体" w:cs="宋体"/>
                <w:szCs w:val="21"/>
                <w:highlight w:val="none"/>
              </w:rPr>
            </w:pPr>
          </w:p>
        </w:tc>
        <w:tc>
          <w:tcPr>
            <w:tcW w:w="13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tcPr>
          <w:p>
            <w:pPr>
              <w:spacing w:line="312" w:lineRule="auto"/>
              <w:rPr>
                <w:rFonts w:ascii="宋体" w:hAnsi="宋体" w:cs="宋体"/>
                <w:szCs w:val="21"/>
                <w:highlight w:val="none"/>
              </w:rPr>
            </w:pPr>
            <w:r>
              <w:rPr>
                <w:rFonts w:hint="eastAsia" w:ascii="宋体" w:hAnsi="宋体" w:cs="宋体"/>
                <w:szCs w:val="21"/>
                <w:highlight w:val="none"/>
              </w:rPr>
              <w:t>不存在禁止投标的情形</w:t>
            </w:r>
          </w:p>
        </w:tc>
        <w:tc>
          <w:tcPr>
            <w:tcW w:w="6137" w:type="dxa"/>
            <w:tcBorders>
              <w:top w:val="single" w:color="auto" w:sz="4" w:space="0"/>
              <w:left w:val="single" w:color="auto" w:sz="4" w:space="0"/>
              <w:bottom w:val="single" w:color="auto" w:sz="4" w:space="0"/>
              <w:right w:val="single" w:color="auto" w:sz="4" w:space="0"/>
            </w:tcBorders>
          </w:tcPr>
          <w:p>
            <w:pPr>
              <w:spacing w:line="312" w:lineRule="auto"/>
              <w:rPr>
                <w:rFonts w:ascii="宋体" w:hAnsi="宋体" w:cs="宋体"/>
                <w:szCs w:val="21"/>
                <w:highlight w:val="none"/>
              </w:rPr>
            </w:pPr>
            <w:r>
              <w:rPr>
                <w:rFonts w:hint="eastAsia" w:ascii="宋体" w:hAnsi="宋体" w:cs="宋体"/>
                <w:szCs w:val="21"/>
                <w:highlight w:val="none"/>
              </w:rPr>
              <w:t>不存在第二章“投标人须知”第 1.4.3 项规定的任何一种情形（以《投标人声明》为准）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vMerge w:val="continue"/>
            <w:tcBorders>
              <w:left w:val="single" w:color="auto" w:sz="4" w:space="0"/>
              <w:right w:val="single" w:color="auto" w:sz="4" w:space="0"/>
            </w:tcBorders>
          </w:tcPr>
          <w:p>
            <w:pPr>
              <w:widowControl/>
              <w:spacing w:line="312" w:lineRule="auto"/>
              <w:jc w:val="left"/>
              <w:rPr>
                <w:rFonts w:ascii="宋体" w:hAnsi="宋体" w:cs="宋体"/>
                <w:szCs w:val="21"/>
                <w:highlight w:val="none"/>
              </w:rPr>
            </w:pPr>
          </w:p>
        </w:tc>
        <w:tc>
          <w:tcPr>
            <w:tcW w:w="1000" w:type="dxa"/>
            <w:gridSpan w:val="2"/>
            <w:vMerge w:val="continue"/>
            <w:tcBorders>
              <w:left w:val="single" w:color="auto" w:sz="4" w:space="0"/>
              <w:right w:val="single" w:color="auto" w:sz="4" w:space="0"/>
            </w:tcBorders>
          </w:tcPr>
          <w:p>
            <w:pPr>
              <w:widowControl/>
              <w:spacing w:line="312" w:lineRule="auto"/>
              <w:jc w:val="left"/>
              <w:rPr>
                <w:rFonts w:ascii="宋体" w:hAnsi="宋体" w:cs="宋体"/>
                <w:szCs w:val="21"/>
                <w:highlight w:val="none"/>
              </w:rPr>
            </w:pPr>
          </w:p>
        </w:tc>
        <w:tc>
          <w:tcPr>
            <w:tcW w:w="13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tcPr>
          <w:p>
            <w:pPr>
              <w:spacing w:line="312" w:lineRule="auto"/>
              <w:rPr>
                <w:rFonts w:ascii="宋体" w:hAnsi="宋体" w:cs="宋体"/>
                <w:szCs w:val="21"/>
                <w:highlight w:val="none"/>
              </w:rPr>
            </w:pPr>
            <w:r>
              <w:rPr>
                <w:rFonts w:hint="eastAsia" w:ascii="宋体" w:hAnsi="宋体" w:cs="宋体"/>
                <w:szCs w:val="21"/>
                <w:highlight w:val="none"/>
              </w:rPr>
              <w:t>联合惩戒</w:t>
            </w:r>
          </w:p>
        </w:tc>
        <w:tc>
          <w:tcPr>
            <w:tcW w:w="6137" w:type="dxa"/>
            <w:tcBorders>
              <w:top w:val="single" w:color="auto" w:sz="4" w:space="0"/>
              <w:left w:val="single" w:color="auto" w:sz="4" w:space="0"/>
              <w:bottom w:val="single" w:color="auto" w:sz="4" w:space="0"/>
              <w:right w:val="single" w:color="auto" w:sz="4" w:space="0"/>
            </w:tcBorders>
          </w:tcPr>
          <w:p>
            <w:pPr>
              <w:spacing w:line="312" w:lineRule="auto"/>
              <w:rPr>
                <w:rFonts w:ascii="宋体" w:hAnsi="宋体" w:cs="宋体"/>
                <w:szCs w:val="21"/>
                <w:highlight w:val="none"/>
              </w:rPr>
            </w:pPr>
            <w:r>
              <w:rPr>
                <w:rFonts w:hint="eastAsia" w:ascii="宋体" w:hAnsi="宋体" w:cs="宋体"/>
                <w:szCs w:val="21"/>
                <w:highlight w:val="none"/>
              </w:rPr>
              <w:t>符合本项目招标公告“投标人资格要求”第3.1</w:t>
            </w:r>
            <w:r>
              <w:rPr>
                <w:rFonts w:hint="eastAsia" w:ascii="宋体" w:hAnsi="宋体" w:cs="宋体"/>
                <w:szCs w:val="21"/>
                <w:highlight w:val="none"/>
                <w:lang w:val="en-US" w:eastAsia="zh-CN"/>
              </w:rPr>
              <w:t>2</w:t>
            </w:r>
            <w:r>
              <w:rPr>
                <w:rFonts w:hint="eastAsia" w:ascii="宋体" w:hAnsi="宋体" w:cs="宋体"/>
                <w:szCs w:val="21"/>
                <w:highlight w:val="none"/>
              </w:rPr>
              <w:t>项规定。投标人无需提供资料，按交易系统比对的结果进行评审。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r>
              <w:rPr>
                <w:rFonts w:hint="eastAsia" w:ascii="宋体" w:hAnsi="宋体" w:cs="宋体"/>
                <w:szCs w:val="21"/>
                <w:highlight w:val="none"/>
              </w:rPr>
              <w:t>2.1.3</w:t>
            </w:r>
          </w:p>
        </w:tc>
        <w:tc>
          <w:tcPr>
            <w:tcW w:w="1000" w:type="dxa"/>
            <w:gridSpan w:val="2"/>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r>
              <w:rPr>
                <w:rFonts w:hint="eastAsia" w:ascii="宋体" w:hAnsi="宋体" w:cs="宋体"/>
                <w:szCs w:val="21"/>
                <w:highlight w:val="none"/>
              </w:rPr>
              <w:t>响应性评审标准</w:t>
            </w:r>
          </w:p>
        </w:tc>
        <w:tc>
          <w:tcPr>
            <w:tcW w:w="13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rPr>
                <w:rFonts w:ascii="宋体" w:hAnsi="宋体" w:cs="宋体"/>
                <w:szCs w:val="21"/>
                <w:highlight w:val="none"/>
              </w:rPr>
            </w:pPr>
            <w:r>
              <w:rPr>
                <w:rFonts w:hint="eastAsia" w:ascii="宋体" w:hAnsi="宋体" w:cs="宋体"/>
                <w:szCs w:val="21"/>
                <w:highlight w:val="none"/>
              </w:rPr>
              <w:t>投标报价</w:t>
            </w:r>
          </w:p>
        </w:tc>
        <w:tc>
          <w:tcPr>
            <w:tcW w:w="613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szCs w:val="21"/>
                <w:highlight w:val="none"/>
              </w:rPr>
            </w:pPr>
            <w:r>
              <w:rPr>
                <w:rFonts w:hint="eastAsia" w:ascii="宋体" w:hAnsi="宋体" w:cs="宋体"/>
                <w:szCs w:val="21"/>
                <w:highlight w:val="none"/>
              </w:rPr>
              <w:t>符合第二章“投标人须知”第 3.2 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1000" w:type="dxa"/>
            <w:gridSpan w:val="2"/>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13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rPr>
                <w:rFonts w:ascii="宋体" w:hAnsi="宋体" w:cs="宋体"/>
                <w:szCs w:val="21"/>
                <w:highlight w:val="none"/>
              </w:rPr>
            </w:pPr>
            <w:r>
              <w:rPr>
                <w:rFonts w:hint="eastAsia" w:ascii="宋体" w:hAnsi="宋体" w:cs="宋体"/>
                <w:szCs w:val="21"/>
                <w:highlight w:val="none"/>
              </w:rPr>
              <w:t>投标内容</w:t>
            </w:r>
          </w:p>
        </w:tc>
        <w:tc>
          <w:tcPr>
            <w:tcW w:w="613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szCs w:val="21"/>
                <w:highlight w:val="none"/>
              </w:rPr>
            </w:pPr>
            <w:r>
              <w:rPr>
                <w:rFonts w:hint="eastAsia" w:ascii="宋体" w:hAnsi="宋体" w:cs="宋体"/>
                <w:szCs w:val="21"/>
                <w:highlight w:val="none"/>
              </w:rPr>
              <w:t>符合第二章“投标人须知”第 1.3.1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1000" w:type="dxa"/>
            <w:gridSpan w:val="2"/>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13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rPr>
                <w:rFonts w:ascii="宋体" w:hAnsi="宋体" w:cs="宋体"/>
                <w:szCs w:val="21"/>
                <w:highlight w:val="none"/>
              </w:rPr>
            </w:pPr>
            <w:r>
              <w:rPr>
                <w:rFonts w:hint="eastAsia" w:ascii="宋体" w:hAnsi="宋体" w:cs="宋体"/>
                <w:szCs w:val="21"/>
                <w:highlight w:val="none"/>
              </w:rPr>
              <w:t>服务期限</w:t>
            </w:r>
          </w:p>
        </w:tc>
        <w:tc>
          <w:tcPr>
            <w:tcW w:w="613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szCs w:val="21"/>
                <w:highlight w:val="none"/>
              </w:rPr>
            </w:pPr>
            <w:r>
              <w:rPr>
                <w:rFonts w:hint="eastAsia" w:ascii="宋体" w:hAnsi="宋体" w:cs="宋体"/>
                <w:szCs w:val="21"/>
                <w:highlight w:val="none"/>
              </w:rPr>
              <w:t>符合第二章“投标人须知”第 1.3.2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1000" w:type="dxa"/>
            <w:gridSpan w:val="2"/>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13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rPr>
                <w:rFonts w:ascii="宋体" w:hAnsi="宋体" w:cs="宋体"/>
                <w:szCs w:val="21"/>
                <w:highlight w:val="none"/>
              </w:rPr>
            </w:pPr>
            <w:r>
              <w:rPr>
                <w:rFonts w:hint="eastAsia" w:ascii="宋体" w:hAnsi="宋体" w:cs="宋体"/>
                <w:szCs w:val="21"/>
                <w:highlight w:val="none"/>
              </w:rPr>
              <w:t>质量标准</w:t>
            </w:r>
          </w:p>
        </w:tc>
        <w:tc>
          <w:tcPr>
            <w:tcW w:w="613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szCs w:val="21"/>
                <w:highlight w:val="none"/>
              </w:rPr>
            </w:pPr>
            <w:r>
              <w:rPr>
                <w:rFonts w:hint="eastAsia" w:ascii="宋体" w:hAnsi="宋体" w:cs="宋体"/>
                <w:szCs w:val="21"/>
                <w:highlight w:val="none"/>
              </w:rPr>
              <w:t>符合第二章“投标人须知”第 1.3.3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1000" w:type="dxa"/>
            <w:gridSpan w:val="2"/>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13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rPr>
                <w:rFonts w:ascii="宋体" w:hAnsi="宋体" w:cs="宋体"/>
                <w:szCs w:val="21"/>
                <w:highlight w:val="none"/>
              </w:rPr>
            </w:pPr>
            <w:r>
              <w:rPr>
                <w:rFonts w:hint="eastAsia" w:ascii="宋体" w:hAnsi="宋体" w:cs="宋体"/>
                <w:szCs w:val="21"/>
                <w:highlight w:val="none"/>
              </w:rPr>
              <w:t>投标有效期</w:t>
            </w:r>
          </w:p>
        </w:tc>
        <w:tc>
          <w:tcPr>
            <w:tcW w:w="613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szCs w:val="21"/>
                <w:highlight w:val="none"/>
              </w:rPr>
            </w:pPr>
            <w:r>
              <w:rPr>
                <w:rFonts w:hint="eastAsia" w:ascii="宋体" w:hAnsi="宋体" w:cs="宋体"/>
                <w:szCs w:val="21"/>
                <w:highlight w:val="none"/>
              </w:rPr>
              <w:t>符合第二章“投标人须知”第 3.3.1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1000" w:type="dxa"/>
            <w:gridSpan w:val="2"/>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13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rPr>
                <w:rFonts w:ascii="宋体" w:hAnsi="宋体" w:cs="宋体"/>
                <w:szCs w:val="21"/>
                <w:highlight w:val="none"/>
              </w:rPr>
            </w:pPr>
            <w:r>
              <w:rPr>
                <w:rFonts w:hint="eastAsia" w:ascii="宋体" w:hAnsi="宋体" w:cs="宋体"/>
                <w:szCs w:val="21"/>
                <w:highlight w:val="none"/>
              </w:rPr>
              <w:t>串通投标情形</w:t>
            </w:r>
          </w:p>
        </w:tc>
        <w:tc>
          <w:tcPr>
            <w:tcW w:w="613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szCs w:val="21"/>
                <w:highlight w:val="none"/>
              </w:rPr>
            </w:pPr>
            <w:r>
              <w:rPr>
                <w:rFonts w:hint="eastAsia" w:ascii="宋体" w:hAnsi="宋体" w:cs="宋体"/>
                <w:szCs w:val="21"/>
                <w:highlight w:val="none"/>
              </w:rPr>
              <w:t>不存在串通投标情形（串通投标情形以《中华人民共和国招标投标法实施条例》的规定为准）；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b/>
                <w:bCs/>
                <w:szCs w:val="21"/>
                <w:highlight w:val="none"/>
              </w:rPr>
            </w:pPr>
            <w:r>
              <w:rPr>
                <w:rFonts w:hint="eastAsia" w:ascii="宋体" w:hAnsi="宋体" w:cs="宋体"/>
                <w:b/>
                <w:bCs/>
                <w:szCs w:val="21"/>
                <w:highlight w:val="none"/>
              </w:rPr>
              <w:t>条款号</w:t>
            </w:r>
          </w:p>
        </w:tc>
        <w:tc>
          <w:tcPr>
            <w:tcW w:w="13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b/>
                <w:bCs/>
                <w:szCs w:val="21"/>
                <w:highlight w:val="none"/>
              </w:rPr>
            </w:pPr>
            <w:r>
              <w:rPr>
                <w:rFonts w:hint="eastAsia" w:ascii="宋体" w:hAnsi="宋体" w:cs="宋体"/>
                <w:b/>
                <w:bCs/>
                <w:szCs w:val="21"/>
                <w:highlight w:val="none"/>
              </w:rPr>
              <w:t>条款内容</w:t>
            </w:r>
          </w:p>
        </w:tc>
        <w:tc>
          <w:tcPr>
            <w:tcW w:w="6137"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s="宋体"/>
                <w:b/>
                <w:bCs/>
                <w:szCs w:val="21"/>
                <w:highlight w:val="none"/>
                <w:u w:val="single"/>
              </w:rPr>
            </w:pPr>
            <w:r>
              <w:rPr>
                <w:rFonts w:hint="eastAsia" w:ascii="宋体" w:hAnsi="宋体" w:cs="宋体"/>
                <w:b/>
                <w:bCs/>
                <w:szCs w:val="21"/>
                <w:highlight w:val="none"/>
                <w:u w:val="singl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1947"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r>
              <w:rPr>
                <w:rFonts w:hint="eastAsia" w:ascii="宋体" w:hAnsi="宋体" w:cs="宋体"/>
                <w:szCs w:val="21"/>
                <w:highlight w:val="none"/>
              </w:rPr>
              <w:t>2.2.1</w:t>
            </w:r>
          </w:p>
        </w:tc>
        <w:tc>
          <w:tcPr>
            <w:tcW w:w="13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r>
              <w:rPr>
                <w:rFonts w:hint="eastAsia" w:ascii="宋体" w:hAnsi="宋体" w:cs="宋体"/>
                <w:szCs w:val="21"/>
                <w:highlight w:val="none"/>
              </w:rPr>
              <w:t>分值构成</w:t>
            </w:r>
          </w:p>
          <w:p>
            <w:pPr>
              <w:spacing w:line="312" w:lineRule="auto"/>
              <w:jc w:val="center"/>
              <w:rPr>
                <w:rFonts w:ascii="宋体" w:hAnsi="宋体" w:cs="宋体"/>
                <w:szCs w:val="21"/>
                <w:highlight w:val="none"/>
              </w:rPr>
            </w:pPr>
            <w:r>
              <w:rPr>
                <w:rFonts w:hint="eastAsia" w:ascii="宋体" w:hAnsi="宋体" w:cs="宋体"/>
                <w:szCs w:val="21"/>
                <w:highlight w:val="none"/>
              </w:rPr>
              <w:t>（总分100分）</w:t>
            </w:r>
          </w:p>
        </w:tc>
        <w:tc>
          <w:tcPr>
            <w:tcW w:w="61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highlight w:val="none"/>
              </w:rPr>
            </w:pPr>
            <w:r>
              <w:rPr>
                <w:rFonts w:hint="eastAsia" w:ascii="Calibri" w:hAnsi="Calibri"/>
                <w:highlight w:val="none"/>
              </w:rPr>
              <w:t>资</w:t>
            </w:r>
            <w:r>
              <w:rPr>
                <w:rFonts w:hint="eastAsia" w:ascii="宋体" w:hAnsi="宋体" w:cs="宋体"/>
                <w:highlight w:val="none"/>
              </w:rPr>
              <w:t>信业绩部分：55分</w:t>
            </w:r>
          </w:p>
          <w:p>
            <w:pPr>
              <w:spacing w:line="360" w:lineRule="auto"/>
              <w:rPr>
                <w:rFonts w:ascii="宋体" w:hAnsi="宋体" w:cs="宋体"/>
                <w:highlight w:val="none"/>
              </w:rPr>
            </w:pPr>
            <w:r>
              <w:rPr>
                <w:rFonts w:hint="eastAsia" w:ascii="宋体" w:hAnsi="宋体" w:cs="宋体"/>
                <w:highlight w:val="none"/>
              </w:rPr>
              <w:t>技术方案部分：15分</w:t>
            </w:r>
          </w:p>
          <w:p>
            <w:pPr>
              <w:spacing w:line="360" w:lineRule="auto"/>
              <w:rPr>
                <w:rFonts w:ascii="宋体" w:hAnsi="宋体" w:cs="宋体"/>
                <w:highlight w:val="none"/>
              </w:rPr>
            </w:pPr>
            <w:r>
              <w:rPr>
                <w:rFonts w:hint="eastAsia" w:ascii="宋体" w:hAnsi="宋体" w:cs="宋体"/>
                <w:highlight w:val="none"/>
              </w:rPr>
              <w:t>投标报价：20分</w:t>
            </w:r>
          </w:p>
          <w:p>
            <w:pPr>
              <w:pStyle w:val="2"/>
              <w:spacing w:line="360" w:lineRule="auto"/>
              <w:ind w:firstLine="0"/>
              <w:rPr>
                <w:rFonts w:ascii="宋体" w:hAnsi="宋体" w:cs="宋体"/>
                <w:highlight w:val="none"/>
              </w:rPr>
            </w:pPr>
            <w:r>
              <w:rPr>
                <w:rFonts w:hint="eastAsia" w:ascii="宋体" w:hAnsi="宋体" w:cs="宋体"/>
                <w:highlight w:val="none"/>
              </w:rPr>
              <w:t>诚信评价得分：10分</w:t>
            </w:r>
          </w:p>
          <w:p>
            <w:pPr>
              <w:spacing w:line="360" w:lineRule="auto"/>
              <w:rPr>
                <w:rFonts w:ascii="宋体" w:hAnsi="宋体" w:cs="宋体"/>
                <w:highlight w:val="none"/>
              </w:rPr>
            </w:pPr>
            <w:r>
              <w:rPr>
                <w:rFonts w:hint="eastAsia" w:ascii="宋体" w:hAnsi="宋体" w:cs="宋体"/>
                <w:highlight w:val="none"/>
              </w:rPr>
              <w:t>投标人检测企业诚信评价得分=企业诚信综合评价排名得分×权重，权重为10%。</w:t>
            </w:r>
          </w:p>
          <w:p>
            <w:pPr>
              <w:spacing w:line="360" w:lineRule="auto"/>
              <w:rPr>
                <w:rFonts w:ascii="Calibri" w:hAnsi="Calibri"/>
                <w:highlight w:val="none"/>
              </w:rPr>
            </w:pPr>
            <w:r>
              <w:rPr>
                <w:rFonts w:hint="eastAsia" w:ascii="宋体" w:hAnsi="宋体" w:cs="宋体"/>
                <w:highlight w:val="none"/>
              </w:rPr>
              <w:t>企业诚信综合评价排名得分以投标截止当日广州市住房和城乡建设局网站上公布的检测企业60日诚信评价得分为准。（若以联合体方式参与投标的，投标人诚信综合评价排名得分以联合体牵头方的诚信综合评价排名得分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r>
              <w:rPr>
                <w:rFonts w:hint="eastAsia" w:ascii="宋体" w:hAnsi="宋体" w:cs="宋体"/>
                <w:szCs w:val="21"/>
                <w:highlight w:val="none"/>
              </w:rPr>
              <w:t>2.2.2</w:t>
            </w:r>
          </w:p>
        </w:tc>
        <w:tc>
          <w:tcPr>
            <w:tcW w:w="13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r>
              <w:rPr>
                <w:rFonts w:hint="eastAsia" w:ascii="宋体" w:hAnsi="宋体" w:cs="宋体"/>
                <w:szCs w:val="21"/>
                <w:highlight w:val="none"/>
              </w:rPr>
              <w:t>评标参考价计算方法</w:t>
            </w:r>
          </w:p>
        </w:tc>
        <w:tc>
          <w:tcPr>
            <w:tcW w:w="6137" w:type="dxa"/>
            <w:tcBorders>
              <w:top w:val="single" w:color="auto" w:sz="4" w:space="0"/>
              <w:left w:val="single" w:color="auto" w:sz="4" w:space="0"/>
              <w:bottom w:val="single" w:color="auto" w:sz="4" w:space="0"/>
              <w:right w:val="single" w:color="auto" w:sz="4" w:space="0"/>
            </w:tcBorders>
            <w:vAlign w:val="center"/>
          </w:tcPr>
          <w:p>
            <w:pPr>
              <w:pStyle w:val="43"/>
              <w:snapToGrid w:val="0"/>
              <w:spacing w:after="0" w:line="360" w:lineRule="auto"/>
              <w:ind w:firstLine="0"/>
              <w:rPr>
                <w:rFonts w:ascii="宋体" w:hAnsi="宋体"/>
                <w:bCs/>
                <w:szCs w:val="21"/>
                <w:highlight w:val="none"/>
              </w:rPr>
            </w:pPr>
            <w:r>
              <w:rPr>
                <w:rFonts w:hint="eastAsia" w:ascii="宋体" w:hAnsi="宋体"/>
                <w:bCs/>
                <w:szCs w:val="21"/>
                <w:highlight w:val="none"/>
              </w:rPr>
              <w:t>当通过形式性评审、资格评审、响应性评审的有效投标人报价中：当位于[最高投标限价总价，最高投标限价总价×80%]区间的投标价中的有效投标人大于5名时，所有入围的有效投标价中去掉一个最高价和一个最低价，取余下有效投标价的算术平均值的作为评标基准价；</w:t>
            </w:r>
          </w:p>
          <w:p>
            <w:pPr>
              <w:pStyle w:val="43"/>
              <w:snapToGrid w:val="0"/>
              <w:spacing w:after="0" w:line="360" w:lineRule="auto"/>
              <w:ind w:firstLine="0"/>
              <w:rPr>
                <w:rFonts w:ascii="宋体" w:hAnsi="宋体"/>
                <w:bCs/>
                <w:szCs w:val="21"/>
                <w:highlight w:val="none"/>
              </w:rPr>
            </w:pPr>
            <w:r>
              <w:rPr>
                <w:rFonts w:hint="eastAsia" w:ascii="宋体" w:hAnsi="宋体"/>
                <w:bCs/>
                <w:szCs w:val="21"/>
                <w:highlight w:val="none"/>
              </w:rPr>
              <w:t>当位于[最高投标限价总价，最高投标限价总价×80%]区间的投标价中的有效投标人小于或等于5名时，取所有入围的有效投标报价的算术平均值的作为评标基准</w:t>
            </w:r>
            <w:bookmarkStart w:id="365" w:name="_GoBack"/>
            <w:bookmarkEnd w:id="365"/>
            <w:r>
              <w:rPr>
                <w:rFonts w:hint="eastAsia" w:ascii="宋体" w:hAnsi="宋体"/>
                <w:bCs/>
                <w:szCs w:val="21"/>
                <w:highlight w:val="none"/>
              </w:rPr>
              <w:t>价。</w:t>
            </w:r>
          </w:p>
          <w:p>
            <w:pPr>
              <w:pStyle w:val="43"/>
              <w:snapToGrid w:val="0"/>
              <w:spacing w:after="0" w:line="360" w:lineRule="auto"/>
              <w:ind w:firstLine="0"/>
              <w:rPr>
                <w:rFonts w:ascii="宋体" w:hAnsi="宋体"/>
                <w:bCs/>
                <w:szCs w:val="21"/>
                <w:highlight w:val="none"/>
              </w:rPr>
            </w:pPr>
            <w:r>
              <w:rPr>
                <w:rFonts w:hint="eastAsia" w:ascii="宋体" w:hAnsi="宋体"/>
                <w:bCs/>
                <w:szCs w:val="21"/>
                <w:highlight w:val="none"/>
              </w:rPr>
              <w:t>若当通过初步评审没有投标价位于[最高投标限价×80%，最高投标限价]区间的有效投标人，所有投标人的报价得分为0分。</w:t>
            </w:r>
          </w:p>
          <w:p>
            <w:pPr>
              <w:pStyle w:val="43"/>
              <w:snapToGrid w:val="0"/>
              <w:spacing w:after="0" w:line="360" w:lineRule="auto"/>
              <w:ind w:firstLine="0"/>
              <w:rPr>
                <w:rFonts w:ascii="宋体" w:hAnsi="宋体"/>
                <w:bCs/>
                <w:szCs w:val="21"/>
                <w:highlight w:val="none"/>
              </w:rPr>
            </w:pPr>
            <w:r>
              <w:rPr>
                <w:rFonts w:hint="eastAsia" w:ascii="宋体" w:hAnsi="宋体"/>
                <w:bCs/>
                <w:szCs w:val="21"/>
                <w:highlight w:val="none"/>
              </w:rPr>
              <w:t>注：超过[最高投标限价总价，最高投标限价总价×80%]区间范围的报价不参加评标基准价的计算。</w:t>
            </w:r>
          </w:p>
          <w:p>
            <w:pPr>
              <w:pStyle w:val="43"/>
              <w:snapToGrid w:val="0"/>
              <w:spacing w:after="0" w:line="360" w:lineRule="auto"/>
              <w:ind w:firstLine="0"/>
              <w:rPr>
                <w:rFonts w:ascii="宋体" w:hAnsi="宋体"/>
                <w:bCs/>
                <w:szCs w:val="21"/>
                <w:highlight w:val="none"/>
              </w:rPr>
            </w:pPr>
            <w:r>
              <w:rPr>
                <w:rFonts w:hint="eastAsia" w:ascii="宋体" w:hAnsi="宋体"/>
                <w:bCs/>
                <w:szCs w:val="21"/>
                <w:highlight w:val="none"/>
              </w:rPr>
              <w:t>有效投标人是指通过形式评审、资格评审、响应性评审的投标人。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7"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r>
              <w:rPr>
                <w:rFonts w:hint="eastAsia" w:ascii="宋体" w:hAnsi="宋体" w:cs="宋体"/>
                <w:szCs w:val="21"/>
                <w:highlight w:val="none"/>
              </w:rPr>
              <w:t>2.2.3</w:t>
            </w:r>
          </w:p>
        </w:tc>
        <w:tc>
          <w:tcPr>
            <w:tcW w:w="13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r>
              <w:rPr>
                <w:rFonts w:hint="eastAsia" w:ascii="宋体" w:hAnsi="宋体" w:cs="宋体"/>
                <w:szCs w:val="21"/>
                <w:highlight w:val="none"/>
              </w:rPr>
              <w:t>投标报价的偏差率计算公式</w:t>
            </w:r>
          </w:p>
        </w:tc>
        <w:tc>
          <w:tcPr>
            <w:tcW w:w="613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bCs/>
                <w:szCs w:val="21"/>
                <w:highlight w:val="none"/>
              </w:rPr>
            </w:pPr>
            <w:r>
              <w:rPr>
                <w:rFonts w:hint="eastAsia" w:ascii="宋体" w:hAnsi="宋体"/>
                <w:bCs/>
                <w:szCs w:val="21"/>
                <w:highlight w:val="none"/>
              </w:rPr>
              <w:t>偏差率=∣有效投标报价—评标基准价∣/评标基准价×100%</w:t>
            </w:r>
          </w:p>
          <w:p>
            <w:pPr>
              <w:spacing w:line="312" w:lineRule="auto"/>
              <w:rPr>
                <w:rFonts w:ascii="宋体" w:hAnsi="宋体"/>
                <w:bCs/>
                <w:szCs w:val="21"/>
                <w:highlight w:val="none"/>
              </w:rPr>
            </w:pPr>
            <w:r>
              <w:rPr>
                <w:rFonts w:hint="eastAsia" w:ascii="宋体" w:hAnsi="宋体"/>
                <w:bCs/>
                <w:szCs w:val="21"/>
                <w:highlight w:val="none"/>
              </w:rPr>
              <w:t>注：1.有效投标报价为通过初步评审经算术错误修正后的核准报价（投标总报价）。</w:t>
            </w:r>
          </w:p>
          <w:p>
            <w:pPr>
              <w:spacing w:line="312" w:lineRule="auto"/>
              <w:rPr>
                <w:rFonts w:ascii="宋体" w:hAnsi="宋体"/>
                <w:bCs/>
                <w:szCs w:val="21"/>
                <w:highlight w:val="none"/>
              </w:rPr>
            </w:pPr>
            <w:r>
              <w:rPr>
                <w:rFonts w:hint="eastAsia" w:ascii="宋体" w:hAnsi="宋体"/>
                <w:bCs/>
                <w:szCs w:val="21"/>
                <w:highlight w:val="none"/>
              </w:rPr>
              <w:t>2.偏差率四舍五入保留2位小数，报价偏差率不足1%的，按直线内插法计算投标报价得分。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1947"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b/>
                <w:bCs/>
                <w:szCs w:val="21"/>
                <w:highlight w:val="none"/>
              </w:rPr>
            </w:pPr>
            <w:r>
              <w:rPr>
                <w:rFonts w:hint="eastAsia" w:ascii="宋体" w:hAnsi="宋体" w:cs="宋体"/>
                <w:b/>
                <w:bCs/>
                <w:szCs w:val="21"/>
                <w:highlight w:val="none"/>
              </w:rPr>
              <w:t>条款号</w:t>
            </w:r>
          </w:p>
        </w:tc>
        <w:tc>
          <w:tcPr>
            <w:tcW w:w="13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b/>
                <w:bCs/>
                <w:szCs w:val="21"/>
                <w:highlight w:val="none"/>
              </w:rPr>
            </w:pPr>
            <w:r>
              <w:rPr>
                <w:rFonts w:hint="eastAsia" w:ascii="宋体" w:hAnsi="宋体" w:cs="宋体"/>
                <w:b/>
                <w:bCs/>
                <w:szCs w:val="21"/>
                <w:highlight w:val="none"/>
              </w:rPr>
              <w:t>评分因素（偏差率）</w:t>
            </w:r>
          </w:p>
        </w:tc>
        <w:tc>
          <w:tcPr>
            <w:tcW w:w="6137"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s="宋体"/>
                <w:b/>
                <w:bCs/>
                <w:szCs w:val="21"/>
                <w:highlight w:val="none"/>
              </w:rPr>
            </w:pPr>
            <w:r>
              <w:rPr>
                <w:rFonts w:hint="eastAsia" w:ascii="宋体" w:hAnsi="宋体" w:cs="宋体"/>
                <w:b/>
                <w:bCs/>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gridSpan w:val="2"/>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b/>
                <w:bCs/>
                <w:szCs w:val="21"/>
                <w:highlight w:val="none"/>
              </w:rPr>
            </w:pPr>
            <w:r>
              <w:rPr>
                <w:rFonts w:hint="eastAsia" w:ascii="宋体" w:hAnsi="宋体" w:cs="宋体"/>
                <w:szCs w:val="21"/>
                <w:highlight w:val="none"/>
              </w:rPr>
              <w:t>2.2.4（1）</w:t>
            </w:r>
          </w:p>
        </w:tc>
        <w:tc>
          <w:tcPr>
            <w:tcW w:w="974"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r>
              <w:rPr>
                <w:rFonts w:hint="eastAsia" w:ascii="宋体" w:hAnsi="宋体" w:cs="宋体"/>
                <w:szCs w:val="21"/>
                <w:highlight w:val="none"/>
              </w:rPr>
              <w:t>资信业绩部分评分标准（55分）</w:t>
            </w:r>
          </w:p>
        </w:tc>
        <w:tc>
          <w:tcPr>
            <w:tcW w:w="13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r>
              <w:rPr>
                <w:rFonts w:hint="eastAsia" w:ascii="宋体" w:hAnsi="宋体" w:cs="宋体"/>
                <w:szCs w:val="21"/>
                <w:highlight w:val="none"/>
              </w:rPr>
              <w:t>类似业绩</w:t>
            </w:r>
          </w:p>
          <w:p>
            <w:pPr>
              <w:spacing w:line="312" w:lineRule="auto"/>
              <w:jc w:val="center"/>
              <w:rPr>
                <w:rFonts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10</w:t>
            </w:r>
            <w:r>
              <w:rPr>
                <w:rFonts w:hint="eastAsia" w:ascii="宋体" w:hAnsi="宋体" w:cs="宋体"/>
                <w:szCs w:val="21"/>
                <w:highlight w:val="none"/>
              </w:rPr>
              <w:t>分）</w:t>
            </w:r>
          </w:p>
        </w:tc>
        <w:tc>
          <w:tcPr>
            <w:tcW w:w="613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szCs w:val="21"/>
                <w:highlight w:val="none"/>
              </w:rPr>
            </w:pPr>
            <w:r>
              <w:rPr>
                <w:rFonts w:hint="eastAsia" w:ascii="宋体" w:hAnsi="宋体" w:cs="宋体"/>
                <w:color w:val="auto"/>
                <w:szCs w:val="21"/>
                <w:highlight w:val="none"/>
              </w:rPr>
              <w:t>投标人从20</w:t>
            </w:r>
            <w:r>
              <w:rPr>
                <w:rFonts w:hint="eastAsia" w:ascii="宋体" w:hAnsi="宋体" w:cs="宋体"/>
                <w:color w:val="auto"/>
                <w:szCs w:val="21"/>
                <w:highlight w:val="none"/>
                <w:lang w:val="en-US" w:eastAsia="zh-CN"/>
              </w:rPr>
              <w:t>19</w:t>
            </w:r>
            <w:r>
              <w:rPr>
                <w:rFonts w:hint="eastAsia" w:ascii="宋体" w:hAnsi="宋体" w:cs="宋体"/>
                <w:color w:val="auto"/>
                <w:szCs w:val="21"/>
                <w:highlight w:val="none"/>
              </w:rPr>
              <w:t>年1月1日至今承接过合同金额大于或等于</w:t>
            </w:r>
            <w:r>
              <w:rPr>
                <w:rFonts w:hint="eastAsia" w:ascii="宋体" w:hAnsi="宋体" w:cs="宋体"/>
                <w:color w:val="auto"/>
                <w:szCs w:val="21"/>
                <w:highlight w:val="none"/>
                <w:lang w:val="en-US" w:eastAsia="zh-CN"/>
              </w:rPr>
              <w:t>200</w:t>
            </w:r>
            <w:r>
              <w:rPr>
                <w:rFonts w:hint="eastAsia" w:ascii="宋体" w:hAnsi="宋体" w:cs="宋体"/>
                <w:color w:val="auto"/>
                <w:szCs w:val="21"/>
                <w:highlight w:val="none"/>
              </w:rPr>
              <w:t>万的类似工程检测业绩，每项得</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分，本项最多得</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分。</w:t>
            </w:r>
          </w:p>
          <w:p>
            <w:pPr>
              <w:spacing w:line="312" w:lineRule="auto"/>
              <w:rPr>
                <w:rFonts w:ascii="宋体" w:hAnsi="宋体" w:cs="宋体"/>
                <w:szCs w:val="21"/>
                <w:highlight w:val="none"/>
              </w:rPr>
            </w:pPr>
            <w:r>
              <w:rPr>
                <w:rFonts w:hint="eastAsia" w:ascii="宋体" w:hAnsi="宋体" w:cs="宋体"/>
                <w:szCs w:val="21"/>
                <w:highlight w:val="none"/>
              </w:rPr>
              <w:t>注：类似工程检测业绩是指包含本次检测招标内容的一项或多项的建设工程质量检测业绩，须同时提供中标通知书（或免招标的相关证明）、检测服务合同关键页清晰扫描件，否则不得分。同一工程只计取一项得分。业绩时间、金额均以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gridSpan w:val="2"/>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974" w:type="dxa"/>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1355"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r>
              <w:rPr>
                <w:rFonts w:hint="eastAsia" w:ascii="宋体" w:hAnsi="宋体" w:cs="宋体"/>
                <w:szCs w:val="21"/>
                <w:highlight w:val="none"/>
              </w:rPr>
              <w:t>企业资信</w:t>
            </w:r>
          </w:p>
          <w:p>
            <w:pPr>
              <w:spacing w:line="312" w:lineRule="auto"/>
              <w:jc w:val="center"/>
              <w:rPr>
                <w:rFonts w:ascii="宋体" w:hAnsi="宋体" w:cs="宋体"/>
                <w:szCs w:val="21"/>
                <w:highlight w:val="none"/>
              </w:rPr>
            </w:pPr>
            <w:r>
              <w:rPr>
                <w:rFonts w:hint="eastAsia" w:ascii="宋体" w:hAnsi="宋体" w:cs="宋体"/>
                <w:szCs w:val="21"/>
                <w:highlight w:val="none"/>
              </w:rPr>
              <w:t>（2</w:t>
            </w:r>
            <w:r>
              <w:rPr>
                <w:rFonts w:hint="eastAsia" w:ascii="宋体" w:hAnsi="宋体" w:cs="宋体"/>
                <w:szCs w:val="21"/>
                <w:highlight w:val="none"/>
                <w:lang w:val="en-US" w:eastAsia="zh-CN"/>
              </w:rPr>
              <w:t>5</w:t>
            </w:r>
            <w:r>
              <w:rPr>
                <w:rFonts w:hint="eastAsia" w:ascii="宋体" w:hAnsi="宋体" w:cs="宋体"/>
                <w:szCs w:val="21"/>
                <w:highlight w:val="none"/>
              </w:rPr>
              <w:t>分）</w:t>
            </w:r>
          </w:p>
        </w:tc>
        <w:tc>
          <w:tcPr>
            <w:tcW w:w="613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szCs w:val="21"/>
                <w:highlight w:val="none"/>
              </w:rPr>
            </w:pPr>
            <w:r>
              <w:rPr>
                <w:rFonts w:hint="eastAsia" w:ascii="宋体" w:hAnsi="宋体" w:cs="宋体"/>
                <w:szCs w:val="21"/>
                <w:highlight w:val="none"/>
              </w:rPr>
              <w:t>1、投标人具有环境管理体系、职业健康安全管理体系、质量管理体系、信息安全</w:t>
            </w:r>
            <w:r>
              <w:rPr>
                <w:rFonts w:hint="eastAsia" w:ascii="宋体" w:hAnsi="宋体" w:cs="宋体"/>
                <w:color w:val="auto"/>
                <w:szCs w:val="21"/>
                <w:highlight w:val="none"/>
              </w:rPr>
              <w:t>管理体系且在有效期内的，每具有一个证书的，得1</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分，本项最多得</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分，不提供或未在有效期的不得分。</w:t>
            </w:r>
          </w:p>
          <w:p>
            <w:pPr>
              <w:spacing w:line="312" w:lineRule="auto"/>
              <w:rPr>
                <w:rFonts w:ascii="宋体" w:hAnsi="宋体" w:cs="宋体"/>
                <w:szCs w:val="21"/>
                <w:highlight w:val="none"/>
              </w:rPr>
            </w:pPr>
            <w:r>
              <w:rPr>
                <w:rFonts w:hint="eastAsia" w:ascii="宋体" w:hAnsi="宋体" w:cs="宋体"/>
                <w:color w:val="auto"/>
                <w:szCs w:val="21"/>
                <w:highlight w:val="none"/>
              </w:rPr>
              <w:t>注：提供相关证书原件扫描件。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gridSpan w:val="2"/>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974" w:type="dxa"/>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1355" w:type="dxa"/>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rPr>
                <w:rFonts w:ascii="宋体" w:hAnsi="宋体" w:cs="宋体"/>
                <w:szCs w:val="21"/>
                <w:highlight w:val="none"/>
              </w:rPr>
            </w:pPr>
          </w:p>
        </w:tc>
        <w:tc>
          <w:tcPr>
            <w:tcW w:w="613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szCs w:val="21"/>
                <w:highlight w:val="none"/>
              </w:rPr>
            </w:pPr>
            <w:r>
              <w:rPr>
                <w:rFonts w:hint="eastAsia" w:ascii="宋体" w:hAnsi="宋体" w:cs="宋体"/>
                <w:szCs w:val="21"/>
                <w:highlight w:val="none"/>
              </w:rPr>
              <w:t>2、投标人同时具备中国合格评定国家认可委员会实验室认可证书(CNAS)和中国合格评定国家认可委员会检验机构认可证书(CNAS)，且在有效期内，得</w:t>
            </w:r>
            <w:r>
              <w:rPr>
                <w:rFonts w:hint="eastAsia" w:ascii="宋体" w:hAnsi="宋体" w:cs="宋体"/>
                <w:szCs w:val="21"/>
                <w:highlight w:val="none"/>
                <w:lang w:val="en-US" w:eastAsia="zh-CN"/>
              </w:rPr>
              <w:t>8</w:t>
            </w:r>
            <w:r>
              <w:rPr>
                <w:rFonts w:hint="eastAsia" w:ascii="宋体" w:hAnsi="宋体" w:cs="宋体"/>
                <w:szCs w:val="21"/>
                <w:highlight w:val="none"/>
              </w:rPr>
              <w:t>分，具备其中一项的，得</w:t>
            </w:r>
            <w:r>
              <w:rPr>
                <w:rFonts w:hint="eastAsia" w:ascii="宋体" w:hAnsi="宋体" w:cs="宋体"/>
                <w:szCs w:val="21"/>
                <w:highlight w:val="none"/>
                <w:lang w:val="en-US" w:eastAsia="zh-CN"/>
              </w:rPr>
              <w:t>4</w:t>
            </w:r>
            <w:r>
              <w:rPr>
                <w:rFonts w:hint="eastAsia" w:ascii="宋体" w:hAnsi="宋体" w:cs="宋体"/>
                <w:szCs w:val="21"/>
                <w:highlight w:val="none"/>
              </w:rPr>
              <w:t>分，本项最多得</w:t>
            </w:r>
            <w:r>
              <w:rPr>
                <w:rFonts w:hint="eastAsia" w:ascii="宋体" w:hAnsi="宋体" w:cs="宋体"/>
                <w:szCs w:val="21"/>
                <w:highlight w:val="none"/>
                <w:lang w:val="en-US" w:eastAsia="zh-CN"/>
              </w:rPr>
              <w:t>8</w:t>
            </w:r>
            <w:r>
              <w:rPr>
                <w:rFonts w:hint="eastAsia" w:ascii="宋体" w:hAnsi="宋体" w:cs="宋体"/>
                <w:szCs w:val="21"/>
                <w:highlight w:val="none"/>
              </w:rPr>
              <w:t>分，不提供或未在有效期的不得分。</w:t>
            </w:r>
          </w:p>
          <w:p>
            <w:pPr>
              <w:spacing w:line="312" w:lineRule="auto"/>
              <w:rPr>
                <w:rFonts w:ascii="宋体" w:hAnsi="宋体" w:cs="宋体"/>
                <w:szCs w:val="21"/>
                <w:highlight w:val="none"/>
              </w:rPr>
            </w:pPr>
            <w:r>
              <w:rPr>
                <w:rFonts w:hint="eastAsia" w:ascii="宋体" w:hAnsi="宋体" w:cs="宋体"/>
                <w:szCs w:val="21"/>
                <w:highlight w:val="none"/>
              </w:rPr>
              <w:t>注：提供相关证书原件扫描件。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gridSpan w:val="2"/>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974" w:type="dxa"/>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1355" w:type="dxa"/>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rPr>
                <w:rFonts w:ascii="宋体" w:hAnsi="宋体" w:cs="宋体"/>
                <w:szCs w:val="21"/>
                <w:highlight w:val="none"/>
              </w:rPr>
            </w:pPr>
          </w:p>
        </w:tc>
        <w:tc>
          <w:tcPr>
            <w:tcW w:w="613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szCs w:val="21"/>
                <w:highlight w:val="none"/>
              </w:rPr>
            </w:pPr>
            <w:r>
              <w:rPr>
                <w:rFonts w:hint="eastAsia" w:ascii="宋体" w:hAnsi="宋体" w:cs="宋体"/>
                <w:szCs w:val="21"/>
                <w:highlight w:val="none"/>
              </w:rPr>
              <w:t>3、投标人获</w:t>
            </w:r>
            <w:r>
              <w:rPr>
                <w:rFonts w:hint="eastAsia" w:ascii="宋体" w:hAnsi="宋体" w:cs="宋体"/>
                <w:color w:val="auto"/>
                <w:szCs w:val="21"/>
                <w:highlight w:val="none"/>
              </w:rPr>
              <w:t>得</w:t>
            </w:r>
            <w:r>
              <w:rPr>
                <w:rFonts w:hint="eastAsia" w:ascii="宋体" w:hAnsi="宋体" w:cs="宋体"/>
                <w:color w:val="auto"/>
                <w:szCs w:val="21"/>
                <w:highlight w:val="none"/>
                <w:lang w:val="en-US" w:eastAsia="zh-CN"/>
              </w:rPr>
              <w:t>国家级行业</w:t>
            </w:r>
            <w:r>
              <w:rPr>
                <w:rFonts w:hint="eastAsia" w:ascii="宋体" w:hAnsi="宋体" w:cs="宋体"/>
                <w:color w:val="auto"/>
                <w:szCs w:val="21"/>
                <w:highlight w:val="none"/>
              </w:rPr>
              <w:t>协会</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分会</w:t>
            </w:r>
            <w:r>
              <w:rPr>
                <w:rFonts w:hint="eastAsia" w:ascii="宋体" w:hAnsi="宋体" w:cs="宋体"/>
                <w:color w:val="auto"/>
                <w:szCs w:val="21"/>
                <w:highlight w:val="none"/>
                <w:lang w:eastAsia="zh-CN"/>
              </w:rPr>
              <w:t>）</w:t>
            </w:r>
            <w:r>
              <w:rPr>
                <w:rFonts w:hint="eastAsia" w:ascii="宋体" w:hAnsi="宋体" w:cs="宋体"/>
                <w:color w:val="auto"/>
                <w:szCs w:val="21"/>
                <w:highlight w:val="none"/>
              </w:rPr>
              <w:t>颁发AAA级或省</w:t>
            </w:r>
            <w:r>
              <w:rPr>
                <w:rFonts w:hint="eastAsia" w:ascii="宋体" w:hAnsi="宋体" w:cs="宋体"/>
                <w:color w:val="auto"/>
                <w:szCs w:val="21"/>
                <w:highlight w:val="none"/>
                <w:lang w:val="en-US" w:eastAsia="zh-CN"/>
              </w:rPr>
              <w:t>级</w:t>
            </w:r>
            <w:r>
              <w:rPr>
                <w:rFonts w:hint="eastAsia" w:ascii="宋体" w:hAnsi="宋体" w:cs="宋体"/>
                <w:color w:val="auto"/>
                <w:szCs w:val="21"/>
                <w:highlight w:val="none"/>
              </w:rPr>
              <w:t>行业协会颁发AAAAA级检测企业信用等级评价的得</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分；获得</w:t>
            </w:r>
            <w:r>
              <w:rPr>
                <w:rFonts w:hint="eastAsia" w:ascii="宋体" w:hAnsi="宋体" w:cs="宋体"/>
                <w:color w:val="auto"/>
                <w:szCs w:val="21"/>
                <w:highlight w:val="none"/>
                <w:lang w:val="en-US" w:eastAsia="zh-CN"/>
              </w:rPr>
              <w:t>国家级行业</w:t>
            </w:r>
            <w:r>
              <w:rPr>
                <w:rFonts w:hint="eastAsia" w:ascii="宋体" w:hAnsi="宋体" w:cs="宋体"/>
                <w:color w:val="auto"/>
                <w:szCs w:val="21"/>
                <w:highlight w:val="none"/>
              </w:rPr>
              <w:t>协会</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分会</w:t>
            </w:r>
            <w:r>
              <w:rPr>
                <w:rFonts w:hint="eastAsia" w:ascii="宋体" w:hAnsi="宋体" w:cs="宋体"/>
                <w:color w:val="auto"/>
                <w:szCs w:val="21"/>
                <w:highlight w:val="none"/>
                <w:lang w:eastAsia="zh-CN"/>
              </w:rPr>
              <w:t>）</w:t>
            </w:r>
            <w:r>
              <w:rPr>
                <w:rFonts w:hint="eastAsia" w:ascii="宋体" w:hAnsi="宋体" w:cs="宋体"/>
                <w:color w:val="auto"/>
                <w:szCs w:val="21"/>
                <w:highlight w:val="none"/>
              </w:rPr>
              <w:t>颁发AA级或省</w:t>
            </w:r>
            <w:r>
              <w:rPr>
                <w:rFonts w:hint="eastAsia" w:ascii="宋体" w:hAnsi="宋体" w:cs="宋体"/>
                <w:color w:val="auto"/>
                <w:szCs w:val="21"/>
                <w:highlight w:val="none"/>
                <w:lang w:val="en-US" w:eastAsia="zh-CN"/>
              </w:rPr>
              <w:t>级</w:t>
            </w:r>
            <w:r>
              <w:rPr>
                <w:rFonts w:hint="eastAsia" w:ascii="宋体" w:hAnsi="宋体" w:cs="宋体"/>
                <w:color w:val="auto"/>
                <w:szCs w:val="21"/>
                <w:highlight w:val="none"/>
              </w:rPr>
              <w:t>行业协会颁发AAAA级检测企业信用等级评价的得3分；获得</w:t>
            </w:r>
            <w:r>
              <w:rPr>
                <w:rFonts w:hint="eastAsia" w:ascii="宋体" w:hAnsi="宋体" w:cs="宋体"/>
                <w:color w:val="auto"/>
                <w:szCs w:val="21"/>
                <w:highlight w:val="none"/>
                <w:lang w:val="en-US" w:eastAsia="zh-CN"/>
              </w:rPr>
              <w:t>国家级行业</w:t>
            </w:r>
            <w:r>
              <w:rPr>
                <w:rFonts w:hint="eastAsia" w:ascii="宋体" w:hAnsi="宋体" w:cs="宋体"/>
                <w:color w:val="auto"/>
                <w:szCs w:val="21"/>
                <w:highlight w:val="none"/>
              </w:rPr>
              <w:t>协会</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分会</w:t>
            </w:r>
            <w:r>
              <w:rPr>
                <w:rFonts w:hint="eastAsia" w:ascii="宋体" w:hAnsi="宋体" w:cs="宋体"/>
                <w:color w:val="auto"/>
                <w:szCs w:val="21"/>
                <w:highlight w:val="none"/>
                <w:lang w:eastAsia="zh-CN"/>
              </w:rPr>
              <w:t>）</w:t>
            </w:r>
            <w:r>
              <w:rPr>
                <w:rFonts w:hint="eastAsia" w:ascii="宋体" w:hAnsi="宋体" w:cs="宋体"/>
                <w:color w:val="auto"/>
                <w:szCs w:val="21"/>
                <w:highlight w:val="none"/>
              </w:rPr>
              <w:t>颁发A级或省</w:t>
            </w:r>
            <w:r>
              <w:rPr>
                <w:rFonts w:hint="eastAsia" w:ascii="宋体" w:hAnsi="宋体" w:cs="宋体"/>
                <w:color w:val="auto"/>
                <w:szCs w:val="21"/>
                <w:highlight w:val="none"/>
                <w:lang w:val="en-US" w:eastAsia="zh-CN"/>
              </w:rPr>
              <w:t>级</w:t>
            </w:r>
            <w:r>
              <w:rPr>
                <w:rFonts w:hint="eastAsia" w:ascii="宋体" w:hAnsi="宋体" w:cs="宋体"/>
                <w:color w:val="auto"/>
                <w:szCs w:val="21"/>
                <w:highlight w:val="none"/>
              </w:rPr>
              <w:t>行业协会颁发AAA级检测企业信用等级评价</w:t>
            </w:r>
            <w:r>
              <w:rPr>
                <w:rFonts w:hint="eastAsia" w:ascii="宋体" w:hAnsi="宋体" w:cs="宋体"/>
                <w:szCs w:val="21"/>
                <w:highlight w:val="none"/>
              </w:rPr>
              <w:t>的得1分，本项最多</w:t>
            </w:r>
            <w:r>
              <w:rPr>
                <w:rFonts w:hint="eastAsia" w:ascii="宋体" w:hAnsi="宋体" w:cs="宋体"/>
                <w:color w:val="auto"/>
                <w:szCs w:val="21"/>
                <w:highlight w:val="none"/>
              </w:rPr>
              <w:t>得</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分，不提</w:t>
            </w:r>
            <w:r>
              <w:rPr>
                <w:rFonts w:hint="eastAsia" w:ascii="宋体" w:hAnsi="宋体" w:cs="宋体"/>
                <w:szCs w:val="21"/>
                <w:highlight w:val="none"/>
              </w:rPr>
              <w:t>供或未在有效期内的不得分。</w:t>
            </w:r>
          </w:p>
          <w:p>
            <w:pPr>
              <w:spacing w:line="360" w:lineRule="auto"/>
              <w:rPr>
                <w:rFonts w:hint="eastAsia" w:ascii="宋体" w:hAnsi="宋体" w:eastAsia="宋体" w:cs="宋体"/>
                <w:szCs w:val="21"/>
                <w:highlight w:val="none"/>
              </w:rPr>
            </w:pPr>
            <w:r>
              <w:rPr>
                <w:rFonts w:hint="eastAsia" w:ascii="宋体" w:hAnsi="宋体" w:cs="宋体"/>
                <w:szCs w:val="21"/>
                <w:highlight w:val="none"/>
              </w:rPr>
              <w:t>注：提供相关证书原件扫描件。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gridSpan w:val="2"/>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974" w:type="dxa"/>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1355" w:type="dxa"/>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rPr>
                <w:rFonts w:ascii="宋体" w:hAnsi="宋体" w:cs="宋体"/>
                <w:szCs w:val="21"/>
                <w:highlight w:val="none"/>
              </w:rPr>
            </w:pPr>
          </w:p>
        </w:tc>
        <w:tc>
          <w:tcPr>
            <w:tcW w:w="6137" w:type="dxa"/>
            <w:tcBorders>
              <w:top w:val="single" w:color="auto" w:sz="4" w:space="0"/>
              <w:left w:val="single" w:color="auto" w:sz="4" w:space="0"/>
              <w:bottom w:val="single" w:color="auto" w:sz="4" w:space="0"/>
              <w:right w:val="single" w:color="auto" w:sz="4" w:space="0"/>
            </w:tcBorders>
            <w:vAlign w:val="center"/>
          </w:tcPr>
          <w:p>
            <w:pPr>
              <w:spacing w:line="312" w:lineRule="auto"/>
              <w:jc w:val="both"/>
              <w:rPr>
                <w:rFonts w:hint="eastAsia" w:ascii="宋体" w:hAnsi="宋体" w:eastAsia="宋体" w:cs="宋体"/>
                <w:b w:val="0"/>
                <w:bCs w:val="0"/>
                <w:color w:val="auto"/>
                <w:szCs w:val="21"/>
                <w:highlight w:val="none"/>
                <w:lang w:val="en-US" w:eastAsia="zh-CN"/>
              </w:rPr>
            </w:pPr>
            <w:r>
              <w:rPr>
                <w:rFonts w:hint="eastAsia" w:ascii="宋体" w:hAnsi="宋体" w:eastAsia="宋体" w:cs="宋体"/>
                <w:b w:val="0"/>
                <w:bCs w:val="0"/>
                <w:color w:val="auto"/>
                <w:szCs w:val="21"/>
                <w:highlight w:val="none"/>
                <w:lang w:val="en-US" w:eastAsia="zh-CN"/>
              </w:rPr>
              <w:t>4、投标人获得过市级或以上科学技术奖励证书的，每项得</w:t>
            </w:r>
            <w:r>
              <w:rPr>
                <w:rFonts w:hint="eastAsia" w:ascii="宋体" w:hAnsi="宋体" w:cs="宋体"/>
                <w:b w:val="0"/>
                <w:bCs w:val="0"/>
                <w:color w:val="auto"/>
                <w:szCs w:val="21"/>
                <w:highlight w:val="none"/>
                <w:lang w:val="en-US" w:eastAsia="zh-CN"/>
              </w:rPr>
              <w:t>1.5</w:t>
            </w:r>
            <w:r>
              <w:rPr>
                <w:rFonts w:hint="eastAsia" w:ascii="宋体" w:hAnsi="宋体" w:eastAsia="宋体" w:cs="宋体"/>
                <w:b w:val="0"/>
                <w:bCs w:val="0"/>
                <w:color w:val="auto"/>
                <w:szCs w:val="21"/>
                <w:highlight w:val="none"/>
                <w:lang w:val="en-US" w:eastAsia="zh-CN"/>
              </w:rPr>
              <w:t>分，本项最多得</w:t>
            </w:r>
            <w:r>
              <w:rPr>
                <w:rFonts w:hint="eastAsia" w:ascii="宋体" w:hAnsi="宋体" w:cs="宋体"/>
                <w:b w:val="0"/>
                <w:bCs w:val="0"/>
                <w:color w:val="auto"/>
                <w:szCs w:val="21"/>
                <w:highlight w:val="none"/>
                <w:lang w:val="en-US" w:eastAsia="zh-CN"/>
              </w:rPr>
              <w:t>6</w:t>
            </w:r>
            <w:r>
              <w:rPr>
                <w:rFonts w:hint="eastAsia" w:ascii="宋体" w:hAnsi="宋体" w:eastAsia="宋体" w:cs="宋体"/>
                <w:b w:val="0"/>
                <w:bCs w:val="0"/>
                <w:color w:val="auto"/>
                <w:szCs w:val="21"/>
                <w:highlight w:val="none"/>
                <w:lang w:val="en-US" w:eastAsia="zh-CN"/>
              </w:rPr>
              <w:t>分，不提供不得分。</w:t>
            </w:r>
          </w:p>
          <w:p>
            <w:pPr>
              <w:spacing w:line="312" w:lineRule="auto"/>
              <w:rPr>
                <w:rFonts w:hint="eastAsia" w:ascii="宋体" w:hAnsi="宋体" w:eastAsia="宋体" w:cs="宋体"/>
                <w:szCs w:val="21"/>
                <w:highlight w:val="none"/>
              </w:rPr>
            </w:pPr>
            <w:r>
              <w:rPr>
                <w:rFonts w:hint="eastAsia" w:ascii="宋体" w:hAnsi="宋体" w:eastAsia="宋体" w:cs="宋体"/>
                <w:b w:val="0"/>
                <w:bCs w:val="0"/>
                <w:color w:val="auto"/>
                <w:szCs w:val="21"/>
                <w:highlight w:val="none"/>
                <w:lang w:val="en-US" w:eastAsia="zh-CN"/>
              </w:rPr>
              <w:t>注：须提供相关证书原件扫描件，科学技术奖包括国务院颁发的国家科学技术奖、住建部的华夏建设科学技术奖励委员会颁发的华夏建设科学技术奖、省级（直辖市）人民政府颁发的科学技术奖</w:t>
            </w:r>
            <w:r>
              <w:rPr>
                <w:rFonts w:hint="eastAsia" w:ascii="宋体" w:hAnsi="宋体" w:cs="宋体"/>
                <w:b w:val="0"/>
                <w:bCs w:val="0"/>
                <w:color w:val="auto"/>
                <w:szCs w:val="21"/>
                <w:highlight w:val="none"/>
                <w:lang w:val="en-US" w:eastAsia="zh-CN"/>
              </w:rPr>
              <w:t>（科技进步奖）、市级人民政府颁发的科学技术奖</w:t>
            </w:r>
            <w:r>
              <w:rPr>
                <w:rFonts w:hint="eastAsia" w:ascii="宋体" w:hAnsi="宋体" w:eastAsia="宋体" w:cs="宋体"/>
                <w:b w:val="0"/>
                <w:bCs w:val="0"/>
                <w:color w:val="auto"/>
                <w:szCs w:val="21"/>
                <w:highlight w:val="none"/>
                <w:lang w:val="en-US" w:eastAsia="zh-CN"/>
              </w:rPr>
              <w:t>。同一项目获得多个奖项的，按最高等级奖项计取，不重复计算；不同项目可累计计分。个人奖项不计分。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gridSpan w:val="2"/>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974" w:type="dxa"/>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1355"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r>
              <w:rPr>
                <w:rFonts w:hint="eastAsia" w:ascii="宋体" w:hAnsi="宋体" w:cs="宋体"/>
                <w:szCs w:val="21"/>
                <w:highlight w:val="none"/>
              </w:rPr>
              <w:t>拟派人员技术水平</w:t>
            </w:r>
          </w:p>
          <w:p>
            <w:pPr>
              <w:spacing w:line="312" w:lineRule="auto"/>
              <w:jc w:val="center"/>
              <w:rPr>
                <w:rFonts w:ascii="宋体" w:hAnsi="宋体" w:cs="宋体"/>
                <w:szCs w:val="21"/>
                <w:highlight w:val="none"/>
              </w:rPr>
            </w:pPr>
            <w:r>
              <w:rPr>
                <w:rFonts w:hint="eastAsia" w:ascii="宋体" w:hAnsi="宋体" w:cs="宋体"/>
                <w:szCs w:val="21"/>
                <w:highlight w:val="none"/>
              </w:rPr>
              <w:t>（2</w:t>
            </w:r>
            <w:r>
              <w:rPr>
                <w:rFonts w:hint="eastAsia" w:ascii="宋体" w:hAnsi="宋体" w:cs="宋体"/>
                <w:szCs w:val="21"/>
                <w:highlight w:val="none"/>
                <w:lang w:val="en-US" w:eastAsia="zh-CN"/>
              </w:rPr>
              <w:t>0</w:t>
            </w:r>
            <w:r>
              <w:rPr>
                <w:rFonts w:hint="eastAsia" w:ascii="宋体" w:hAnsi="宋体" w:cs="宋体"/>
                <w:szCs w:val="21"/>
                <w:highlight w:val="none"/>
              </w:rPr>
              <w:t>分）</w:t>
            </w:r>
          </w:p>
        </w:tc>
        <w:tc>
          <w:tcPr>
            <w:tcW w:w="613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szCs w:val="21"/>
                <w:highlight w:val="none"/>
              </w:rPr>
            </w:pPr>
            <w:r>
              <w:rPr>
                <w:rFonts w:hint="eastAsia" w:ascii="宋体" w:hAnsi="宋体" w:cs="宋体"/>
                <w:color w:val="auto"/>
                <w:szCs w:val="21"/>
                <w:highlight w:val="none"/>
              </w:rPr>
              <w:t>项目负责人：</w:t>
            </w:r>
          </w:p>
          <w:p>
            <w:pPr>
              <w:numPr>
                <w:ilvl w:val="0"/>
                <w:numId w:val="2"/>
              </w:numPr>
              <w:spacing w:line="312" w:lineRule="auto"/>
              <w:rPr>
                <w:rFonts w:hint="eastAsia" w:ascii="宋体" w:hAnsi="宋体" w:cs="宋体"/>
                <w:color w:val="auto"/>
                <w:szCs w:val="21"/>
                <w:highlight w:val="none"/>
                <w:lang w:val="zh-CN"/>
              </w:rPr>
            </w:pPr>
            <w:r>
              <w:rPr>
                <w:rFonts w:hint="eastAsia" w:ascii="宋体" w:hAnsi="宋体" w:cs="宋体"/>
                <w:color w:val="auto"/>
                <w:szCs w:val="21"/>
                <w:highlight w:val="none"/>
              </w:rPr>
              <w:t>拟投入的项目负责人具有工程类专业高级工程师或以上职称的得</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分，工程类中级工程师职称得1分，本小项最多得</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分，不提供或不符合的</w:t>
            </w:r>
            <w:r>
              <w:rPr>
                <w:rFonts w:hint="eastAsia" w:ascii="宋体" w:hAnsi="宋体" w:cs="宋体"/>
                <w:color w:val="auto"/>
                <w:szCs w:val="21"/>
                <w:highlight w:val="none"/>
                <w:lang w:val="zh-CN"/>
              </w:rPr>
              <w:t>不得分。</w:t>
            </w:r>
          </w:p>
          <w:p>
            <w:pPr>
              <w:numPr>
                <w:ilvl w:val="0"/>
                <w:numId w:val="2"/>
              </w:numPr>
              <w:spacing w:line="312" w:lineRule="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拟投入的项目负责人</w:t>
            </w:r>
            <w:r>
              <w:rPr>
                <w:rFonts w:hint="eastAsia" w:ascii="宋体" w:hAnsi="宋体" w:eastAsia="宋体" w:cs="宋体"/>
                <w:color w:val="auto"/>
                <w:szCs w:val="21"/>
                <w:highlight w:val="none"/>
                <w:lang w:val="en-US" w:eastAsia="zh-CN"/>
              </w:rPr>
              <w:t>具有“注册土木工程师（岩土）”</w:t>
            </w:r>
            <w:r>
              <w:rPr>
                <w:rFonts w:hint="eastAsia" w:ascii="宋体" w:hAnsi="宋体" w:cs="宋体"/>
                <w:color w:val="auto"/>
                <w:szCs w:val="21"/>
                <w:highlight w:val="none"/>
                <w:lang w:val="en-US" w:eastAsia="zh-CN"/>
              </w:rPr>
              <w:t>或</w:t>
            </w:r>
            <w:r>
              <w:rPr>
                <w:rFonts w:hint="eastAsia" w:ascii="宋体" w:hAnsi="宋体" w:eastAsia="宋体" w:cs="宋体"/>
                <w:color w:val="auto"/>
                <w:szCs w:val="21"/>
                <w:highlight w:val="none"/>
                <w:lang w:val="en-US" w:eastAsia="zh-CN"/>
              </w:rPr>
              <w:t>“一级注册结构工程师”的，</w:t>
            </w:r>
            <w:r>
              <w:rPr>
                <w:rFonts w:hint="eastAsia" w:ascii="宋体" w:hAnsi="宋体" w:eastAsia="宋体" w:cs="宋体"/>
                <w:color w:val="auto"/>
                <w:szCs w:val="21"/>
                <w:highlight w:val="none"/>
                <w:lang w:eastAsia="zh-CN"/>
              </w:rPr>
              <w:t>得</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lang w:eastAsia="zh-CN"/>
              </w:rPr>
              <w:t>分，</w:t>
            </w:r>
            <w:r>
              <w:rPr>
                <w:rFonts w:hint="eastAsia" w:ascii="宋体" w:hAnsi="宋体" w:eastAsia="宋体" w:cs="宋体"/>
                <w:color w:val="auto"/>
                <w:szCs w:val="21"/>
                <w:highlight w:val="none"/>
                <w:lang w:val="en-US" w:eastAsia="zh-CN"/>
              </w:rPr>
              <w:t>本小项最多得</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lang w:val="en-US" w:eastAsia="zh-CN"/>
              </w:rPr>
              <w:t>分，不提供或不符合的</w:t>
            </w:r>
            <w:r>
              <w:rPr>
                <w:rFonts w:hint="eastAsia" w:ascii="宋体" w:hAnsi="宋体" w:eastAsia="宋体" w:cs="宋体"/>
                <w:color w:val="auto"/>
                <w:szCs w:val="21"/>
                <w:highlight w:val="none"/>
                <w:lang w:val="zh-CN" w:eastAsia="zh-CN"/>
              </w:rPr>
              <w:t>不得分</w:t>
            </w:r>
            <w:r>
              <w:rPr>
                <w:rFonts w:hint="eastAsia" w:ascii="宋体" w:hAnsi="宋体" w:eastAsia="宋体" w:cs="宋体"/>
                <w:color w:val="auto"/>
                <w:szCs w:val="21"/>
                <w:highlight w:val="none"/>
                <w:lang w:eastAsia="zh-CN"/>
              </w:rPr>
              <w:t>。</w:t>
            </w:r>
          </w:p>
          <w:p>
            <w:pPr>
              <w:numPr>
                <w:ilvl w:val="0"/>
                <w:numId w:val="2"/>
              </w:numPr>
              <w:spacing w:line="312"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拟投入的项目负责人</w:t>
            </w:r>
            <w:r>
              <w:rPr>
                <w:rFonts w:hint="eastAsia" w:ascii="宋体" w:hAnsi="宋体" w:cs="宋体"/>
                <w:color w:val="auto"/>
                <w:szCs w:val="21"/>
                <w:highlight w:val="none"/>
                <w:lang w:val="zh-CN"/>
              </w:rPr>
              <w:t>持有建设行政主管部门或其委托的机构、行业协会颁发的检测员证或检测鉴定培训合格证，</w:t>
            </w:r>
            <w:r>
              <w:rPr>
                <w:rFonts w:hint="eastAsia" w:ascii="宋体" w:hAnsi="宋体" w:cs="宋体"/>
                <w:color w:val="auto"/>
                <w:szCs w:val="21"/>
                <w:highlight w:val="none"/>
                <w:lang w:val="en-US" w:eastAsia="zh-CN"/>
              </w:rPr>
              <w:t>检测项目包含</w:t>
            </w:r>
            <w:r>
              <w:rPr>
                <w:rFonts w:hint="eastAsia" w:ascii="宋体" w:hAnsi="宋体"/>
                <w:bCs/>
                <w:szCs w:val="21"/>
                <w:highlight w:val="none"/>
              </w:rPr>
              <w:t>地基基础静载荷试验</w:t>
            </w:r>
            <w:r>
              <w:rPr>
                <w:rFonts w:hint="eastAsia" w:ascii="宋体" w:hAnsi="宋体" w:cs="宋体"/>
                <w:color w:val="auto"/>
                <w:szCs w:val="21"/>
                <w:highlight w:val="none"/>
                <w:lang w:val="en-US" w:eastAsia="zh-CN"/>
              </w:rPr>
              <w:t>、声波透射、道路工程的</w:t>
            </w:r>
            <w:r>
              <w:rPr>
                <w:rFonts w:hint="eastAsia" w:ascii="宋体" w:hAnsi="宋体"/>
                <w:bCs/>
                <w:color w:val="auto"/>
                <w:szCs w:val="21"/>
                <w:highlight w:val="none"/>
                <w:lang w:val="en-US" w:eastAsia="zh-CN"/>
              </w:rPr>
              <w:t>，每一项得1分，最多得3分。</w:t>
            </w:r>
          </w:p>
          <w:p>
            <w:pPr>
              <w:spacing w:line="312" w:lineRule="auto"/>
              <w:rPr>
                <w:color w:val="auto"/>
                <w:highlight w:val="none"/>
              </w:rPr>
            </w:pPr>
            <w:r>
              <w:rPr>
                <w:rFonts w:hint="eastAsia" w:ascii="宋体" w:hAnsi="宋体" w:cs="宋体"/>
                <w:color w:val="auto"/>
                <w:szCs w:val="21"/>
                <w:highlight w:val="none"/>
                <w:lang w:val="zh-CN"/>
              </w:rPr>
              <w:t>本项最多得</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lang w:val="zh-CN"/>
              </w:rPr>
              <w:t>分。</w:t>
            </w:r>
          </w:p>
          <w:p>
            <w:pPr>
              <w:spacing w:line="312" w:lineRule="auto"/>
              <w:rPr>
                <w:rFonts w:ascii="宋体" w:hAnsi="宋体" w:cs="宋体"/>
                <w:color w:val="auto"/>
                <w:szCs w:val="21"/>
                <w:highlight w:val="none"/>
              </w:rPr>
            </w:pPr>
            <w:r>
              <w:rPr>
                <w:rFonts w:hint="eastAsia" w:ascii="宋体" w:hAnsi="宋体" w:cs="宋体"/>
                <w:color w:val="auto"/>
                <w:szCs w:val="21"/>
                <w:highlight w:val="none"/>
              </w:rPr>
              <w:t>注：（1）提供身份证、职称证、注册执业证、检测员证、检测资格证、202</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月（近一个月）在本单位交纳的社保证明文件（以加盖社会保险基金管理中心印章的《投保单》或《社会保险参保人员证明》资料为准）的扫描件，不提供或不符合的不得分。</w:t>
            </w:r>
          </w:p>
          <w:p>
            <w:pPr>
              <w:numPr>
                <w:ilvl w:val="0"/>
                <w:numId w:val="3"/>
              </w:numPr>
              <w:spacing w:line="312" w:lineRule="auto"/>
              <w:rPr>
                <w:rFonts w:ascii="宋体" w:hAnsi="宋体" w:cs="宋体"/>
                <w:color w:val="auto"/>
                <w:szCs w:val="21"/>
                <w:highlight w:val="none"/>
              </w:rPr>
            </w:pPr>
            <w:r>
              <w:rPr>
                <w:rFonts w:hint="eastAsia" w:ascii="宋体" w:hAnsi="宋体" w:cs="宋体"/>
                <w:color w:val="auto"/>
                <w:szCs w:val="21"/>
                <w:highlight w:val="none"/>
              </w:rPr>
              <w:t>注册土木工程师（岩土）</w:t>
            </w:r>
            <w:r>
              <w:rPr>
                <w:rFonts w:hint="eastAsia" w:ascii="宋体" w:hAnsi="宋体" w:cs="宋体"/>
                <w:color w:val="auto"/>
                <w:szCs w:val="21"/>
                <w:highlight w:val="none"/>
                <w:lang w:val="en-US" w:eastAsia="zh-CN"/>
              </w:rPr>
              <w:t>和</w:t>
            </w:r>
            <w:r>
              <w:rPr>
                <w:rFonts w:hint="eastAsia" w:ascii="宋体" w:hAnsi="宋体" w:cs="宋体"/>
                <w:color w:val="auto"/>
                <w:szCs w:val="21"/>
                <w:highlight w:val="none"/>
              </w:rPr>
              <w:t>一级注册结构工程师还须提供住房和城乡建设部网站注册单位截图，注册单位须与投标单位名称一致，否则不计分。</w:t>
            </w:r>
          </w:p>
          <w:p>
            <w:pPr>
              <w:spacing w:line="312" w:lineRule="auto"/>
              <w:rPr>
                <w:rFonts w:ascii="宋体" w:hAnsi="宋体" w:cs="宋体"/>
                <w:color w:val="auto"/>
                <w:szCs w:val="21"/>
                <w:highlight w:val="none"/>
              </w:rPr>
            </w:pPr>
            <w:r>
              <w:rPr>
                <w:rFonts w:hint="eastAsia" w:ascii="宋体" w:hAnsi="宋体" w:cs="宋体"/>
                <w:color w:val="auto"/>
                <w:szCs w:val="21"/>
                <w:highlight w:val="none"/>
              </w:rPr>
              <w:t>（3）项目负责人、技术负责人不得互相兼任，否则均不得分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gridSpan w:val="2"/>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974" w:type="dxa"/>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1355" w:type="dxa"/>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613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szCs w:val="21"/>
                <w:highlight w:val="none"/>
              </w:rPr>
            </w:pPr>
            <w:r>
              <w:rPr>
                <w:rFonts w:hint="eastAsia" w:ascii="宋体" w:hAnsi="宋体" w:cs="宋体"/>
                <w:color w:val="auto"/>
                <w:szCs w:val="21"/>
                <w:highlight w:val="none"/>
              </w:rPr>
              <w:t>技术负责人：</w:t>
            </w:r>
          </w:p>
          <w:p>
            <w:pPr>
              <w:numPr>
                <w:ilvl w:val="0"/>
                <w:numId w:val="4"/>
              </w:numPr>
              <w:spacing w:line="312"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拟投入的</w:t>
            </w:r>
            <w:r>
              <w:rPr>
                <w:rFonts w:hint="eastAsia" w:ascii="宋体" w:hAnsi="宋体" w:cs="宋体"/>
                <w:color w:val="auto"/>
                <w:szCs w:val="21"/>
                <w:highlight w:val="none"/>
                <w:lang w:val="en-US" w:eastAsia="zh-CN"/>
              </w:rPr>
              <w:t>技术</w:t>
            </w:r>
            <w:r>
              <w:rPr>
                <w:rFonts w:hint="eastAsia" w:ascii="宋体" w:hAnsi="宋体" w:cs="宋体"/>
                <w:color w:val="auto"/>
                <w:szCs w:val="21"/>
                <w:highlight w:val="none"/>
              </w:rPr>
              <w:t>负责人具有工程类专业高级工程师或以上职称的得</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分，工程类中级工程师职称得1分，本小项最多得</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分，不提供或不符合的</w:t>
            </w:r>
            <w:r>
              <w:rPr>
                <w:rFonts w:hint="eastAsia" w:ascii="宋体" w:hAnsi="宋体" w:cs="宋体"/>
                <w:color w:val="auto"/>
                <w:szCs w:val="21"/>
                <w:highlight w:val="none"/>
                <w:lang w:val="zh-CN"/>
              </w:rPr>
              <w:t>不得分。</w:t>
            </w:r>
          </w:p>
          <w:p>
            <w:pPr>
              <w:numPr>
                <w:ilvl w:val="0"/>
                <w:numId w:val="4"/>
              </w:numPr>
              <w:spacing w:line="312" w:lineRule="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拟投入的</w:t>
            </w:r>
            <w:r>
              <w:rPr>
                <w:rFonts w:hint="eastAsia" w:ascii="宋体" w:hAnsi="宋体" w:cs="宋体"/>
                <w:color w:val="auto"/>
                <w:szCs w:val="21"/>
                <w:highlight w:val="none"/>
                <w:lang w:val="en-US" w:eastAsia="zh-CN"/>
              </w:rPr>
              <w:t>技术</w:t>
            </w:r>
            <w:r>
              <w:rPr>
                <w:rFonts w:hint="eastAsia" w:ascii="宋体" w:hAnsi="宋体" w:eastAsia="宋体" w:cs="宋体"/>
                <w:color w:val="auto"/>
                <w:szCs w:val="21"/>
                <w:highlight w:val="none"/>
                <w:lang w:eastAsia="zh-CN"/>
              </w:rPr>
              <w:t>负责人</w:t>
            </w:r>
            <w:r>
              <w:rPr>
                <w:rFonts w:hint="eastAsia" w:ascii="宋体" w:hAnsi="宋体" w:eastAsia="宋体" w:cs="宋体"/>
                <w:color w:val="auto"/>
                <w:szCs w:val="21"/>
                <w:highlight w:val="none"/>
                <w:lang w:val="en-US" w:eastAsia="zh-CN"/>
              </w:rPr>
              <w:t>具有“一级注册结构工程师”的，</w:t>
            </w:r>
            <w:r>
              <w:rPr>
                <w:rFonts w:hint="eastAsia" w:ascii="宋体" w:hAnsi="宋体" w:eastAsia="宋体" w:cs="宋体"/>
                <w:color w:val="auto"/>
                <w:szCs w:val="21"/>
                <w:highlight w:val="none"/>
                <w:lang w:eastAsia="zh-CN"/>
              </w:rPr>
              <w:t>得</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lang w:eastAsia="zh-CN"/>
              </w:rPr>
              <w:t>分，</w:t>
            </w:r>
            <w:r>
              <w:rPr>
                <w:rFonts w:hint="eastAsia" w:ascii="宋体" w:hAnsi="宋体" w:eastAsia="宋体" w:cs="宋体"/>
                <w:color w:val="auto"/>
                <w:szCs w:val="21"/>
                <w:highlight w:val="none"/>
                <w:lang w:val="en-US" w:eastAsia="zh-CN"/>
              </w:rPr>
              <w:t>本小项最多得</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lang w:val="en-US" w:eastAsia="zh-CN"/>
              </w:rPr>
              <w:t>分，不提供或不符合的</w:t>
            </w:r>
            <w:r>
              <w:rPr>
                <w:rFonts w:hint="eastAsia" w:ascii="宋体" w:hAnsi="宋体" w:eastAsia="宋体" w:cs="宋体"/>
                <w:color w:val="auto"/>
                <w:szCs w:val="21"/>
                <w:highlight w:val="none"/>
                <w:lang w:val="zh-CN" w:eastAsia="zh-CN"/>
              </w:rPr>
              <w:t>不得分</w:t>
            </w:r>
            <w:r>
              <w:rPr>
                <w:rFonts w:hint="eastAsia" w:ascii="宋体" w:hAnsi="宋体" w:eastAsia="宋体" w:cs="宋体"/>
                <w:color w:val="auto"/>
                <w:szCs w:val="21"/>
                <w:highlight w:val="none"/>
                <w:lang w:eastAsia="zh-CN"/>
              </w:rPr>
              <w:t>。</w:t>
            </w:r>
          </w:p>
          <w:p>
            <w:pPr>
              <w:numPr>
                <w:ilvl w:val="0"/>
                <w:numId w:val="4"/>
              </w:numPr>
              <w:spacing w:line="312"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拟投入的</w:t>
            </w:r>
            <w:r>
              <w:rPr>
                <w:rFonts w:hint="eastAsia" w:ascii="宋体" w:hAnsi="宋体" w:cs="宋体"/>
                <w:color w:val="auto"/>
                <w:szCs w:val="21"/>
                <w:highlight w:val="none"/>
                <w:lang w:val="en-US" w:eastAsia="zh-CN"/>
              </w:rPr>
              <w:t>技术</w:t>
            </w:r>
            <w:r>
              <w:rPr>
                <w:rFonts w:hint="eastAsia" w:ascii="宋体" w:hAnsi="宋体" w:cs="宋体"/>
                <w:color w:val="auto"/>
                <w:szCs w:val="21"/>
                <w:highlight w:val="none"/>
              </w:rPr>
              <w:t>负责人</w:t>
            </w:r>
            <w:r>
              <w:rPr>
                <w:rFonts w:hint="eastAsia" w:ascii="宋体" w:hAnsi="宋体" w:cs="宋体"/>
                <w:color w:val="auto"/>
                <w:szCs w:val="21"/>
                <w:highlight w:val="none"/>
                <w:lang w:val="zh-CN"/>
              </w:rPr>
              <w:t>持有建设行政主管部门或其委托的机构、行业协会颁发的检测员证或检测鉴定培训合格证，</w:t>
            </w:r>
            <w:r>
              <w:rPr>
                <w:rFonts w:hint="eastAsia" w:ascii="宋体" w:hAnsi="宋体" w:cs="宋体"/>
                <w:color w:val="auto"/>
                <w:szCs w:val="21"/>
                <w:highlight w:val="none"/>
                <w:lang w:val="en-US" w:eastAsia="zh-CN"/>
              </w:rPr>
              <w:t>检测项目包含</w:t>
            </w:r>
            <w:r>
              <w:rPr>
                <w:rFonts w:hint="eastAsia" w:ascii="宋体" w:hAnsi="宋体"/>
                <w:bCs/>
                <w:szCs w:val="21"/>
                <w:highlight w:val="none"/>
              </w:rPr>
              <w:t>地基基础静载荷试验</w:t>
            </w:r>
            <w:r>
              <w:rPr>
                <w:rFonts w:hint="eastAsia" w:ascii="宋体" w:hAnsi="宋体" w:cs="宋体"/>
                <w:color w:val="auto"/>
                <w:szCs w:val="21"/>
                <w:highlight w:val="none"/>
                <w:lang w:val="en-US" w:eastAsia="zh-CN"/>
              </w:rPr>
              <w:t>、低应变、声波透射的</w:t>
            </w:r>
            <w:r>
              <w:rPr>
                <w:rFonts w:hint="eastAsia" w:ascii="宋体" w:hAnsi="宋体"/>
                <w:bCs/>
                <w:color w:val="auto"/>
                <w:szCs w:val="21"/>
                <w:highlight w:val="none"/>
                <w:lang w:val="en-US" w:eastAsia="zh-CN"/>
              </w:rPr>
              <w:t>，每一项得1分，最多得3分。</w:t>
            </w:r>
          </w:p>
          <w:p>
            <w:pPr>
              <w:spacing w:line="312" w:lineRule="auto"/>
              <w:rPr>
                <w:rFonts w:ascii="宋体" w:hAnsi="宋体" w:cs="宋体"/>
                <w:color w:val="auto"/>
                <w:szCs w:val="21"/>
                <w:highlight w:val="none"/>
              </w:rPr>
            </w:pPr>
            <w:r>
              <w:rPr>
                <w:rFonts w:hint="eastAsia" w:ascii="宋体" w:hAnsi="宋体" w:cs="宋体"/>
                <w:color w:val="auto"/>
                <w:szCs w:val="21"/>
                <w:highlight w:val="none"/>
                <w:lang w:val="zh-CN"/>
              </w:rPr>
              <w:t>本项最多得</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lang w:val="zh-CN"/>
              </w:rPr>
              <w:t>分。</w:t>
            </w:r>
          </w:p>
          <w:p>
            <w:pPr>
              <w:spacing w:line="312" w:lineRule="auto"/>
              <w:rPr>
                <w:rFonts w:ascii="宋体" w:hAnsi="宋体" w:cs="宋体"/>
                <w:color w:val="auto"/>
                <w:szCs w:val="21"/>
                <w:highlight w:val="none"/>
              </w:rPr>
            </w:pPr>
            <w:r>
              <w:rPr>
                <w:rFonts w:hint="eastAsia" w:ascii="宋体" w:hAnsi="宋体" w:cs="宋体"/>
                <w:color w:val="auto"/>
                <w:szCs w:val="21"/>
                <w:highlight w:val="none"/>
              </w:rPr>
              <w:t>注：（1）提供身份证、职称证、注册执业证、检测员证、检测资格证、202</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月（近一个月）在本单位交纳的社保证明文件（以加盖社会保险基金管理中心印章的《投保单》或《社会保险参保人员证明》资料为准）的扫描件，不提供或不符合的不得分。</w:t>
            </w:r>
          </w:p>
          <w:p>
            <w:pPr>
              <w:numPr>
                <w:ilvl w:val="0"/>
                <w:numId w:val="3"/>
              </w:numPr>
              <w:spacing w:line="312" w:lineRule="auto"/>
              <w:rPr>
                <w:rFonts w:ascii="宋体" w:hAnsi="宋体" w:cs="宋体"/>
                <w:color w:val="auto"/>
                <w:szCs w:val="21"/>
                <w:highlight w:val="none"/>
              </w:rPr>
            </w:pPr>
            <w:r>
              <w:rPr>
                <w:rFonts w:hint="eastAsia" w:ascii="宋体" w:hAnsi="宋体" w:cs="宋体"/>
                <w:color w:val="auto"/>
                <w:szCs w:val="21"/>
                <w:highlight w:val="none"/>
              </w:rPr>
              <w:t>一级注册结构工程师还须提供住房和城乡建设部网站注册单位截图，注册单位须与投标单位名称一致，否则不计分。</w:t>
            </w:r>
          </w:p>
          <w:p>
            <w:pPr>
              <w:spacing w:line="312" w:lineRule="auto"/>
              <w:rPr>
                <w:rFonts w:ascii="宋体" w:hAnsi="宋体" w:cs="宋体"/>
                <w:color w:val="auto"/>
                <w:szCs w:val="21"/>
                <w:highlight w:val="none"/>
              </w:rPr>
            </w:pPr>
            <w:r>
              <w:rPr>
                <w:rFonts w:hint="eastAsia" w:ascii="宋体" w:hAnsi="宋体" w:cs="宋体"/>
                <w:color w:val="auto"/>
                <w:szCs w:val="21"/>
                <w:highlight w:val="none"/>
              </w:rPr>
              <w:t>（3）项目负责人、技术负责人不得互相兼任，否则均不得分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gridSpan w:val="2"/>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974" w:type="dxa"/>
            <w:vMerge w:val="continue"/>
            <w:tcBorders>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1355" w:type="dxa"/>
            <w:vMerge w:val="continue"/>
            <w:tcBorders>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613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szCs w:val="21"/>
                <w:highlight w:val="none"/>
              </w:rPr>
            </w:pPr>
            <w:r>
              <w:rPr>
                <w:rFonts w:hint="eastAsia" w:ascii="宋体" w:hAnsi="宋体" w:cs="宋体"/>
                <w:szCs w:val="21"/>
                <w:highlight w:val="none"/>
              </w:rPr>
              <w:t>拟投入本项目的主要技术人员（不含项目负责人及技术负责人）：</w:t>
            </w:r>
          </w:p>
          <w:p>
            <w:pPr>
              <w:spacing w:line="312" w:lineRule="auto"/>
              <w:rPr>
                <w:rFonts w:ascii="宋体" w:hAnsi="宋体" w:cs="宋体"/>
                <w:szCs w:val="21"/>
                <w:highlight w:val="none"/>
              </w:rPr>
            </w:pPr>
            <w:r>
              <w:rPr>
                <w:rFonts w:hint="eastAsia" w:ascii="宋体" w:hAnsi="宋体" w:cs="宋体"/>
                <w:szCs w:val="21"/>
                <w:highlight w:val="none"/>
              </w:rPr>
              <w:t>1、持有建设行政主管部门或其委托的机构、行业协会颁发的检测员证或检测鉴定培训合格证：每满足1人得1分，本小项最多得</w:t>
            </w:r>
            <w:r>
              <w:rPr>
                <w:rFonts w:hint="eastAsia" w:ascii="宋体" w:hAnsi="宋体" w:cs="宋体"/>
                <w:szCs w:val="21"/>
                <w:highlight w:val="none"/>
                <w:lang w:val="en-US" w:eastAsia="zh-CN"/>
              </w:rPr>
              <w:t>3</w:t>
            </w:r>
            <w:r>
              <w:rPr>
                <w:rFonts w:hint="eastAsia" w:ascii="宋体" w:hAnsi="宋体" w:cs="宋体"/>
                <w:szCs w:val="21"/>
                <w:highlight w:val="none"/>
              </w:rPr>
              <w:t>分。</w:t>
            </w:r>
          </w:p>
          <w:p>
            <w:pPr>
              <w:spacing w:line="312" w:lineRule="auto"/>
              <w:rPr>
                <w:rFonts w:ascii="宋体" w:hAnsi="宋体" w:cs="宋体"/>
                <w:szCs w:val="21"/>
                <w:highlight w:val="none"/>
              </w:rPr>
            </w:pPr>
            <w:r>
              <w:rPr>
                <w:rFonts w:hint="eastAsia" w:ascii="宋体" w:hAnsi="宋体" w:cs="宋体"/>
                <w:szCs w:val="21"/>
                <w:highlight w:val="none"/>
              </w:rPr>
              <w:t>2、具有工程类高级工程师或以上职称的，每人得1分，具有工程类中级工程师职称的，每人得0.5分，本小项最多得</w:t>
            </w:r>
            <w:r>
              <w:rPr>
                <w:rFonts w:hint="eastAsia" w:ascii="宋体" w:hAnsi="宋体" w:cs="宋体"/>
                <w:szCs w:val="21"/>
                <w:highlight w:val="none"/>
                <w:lang w:val="en-US" w:eastAsia="zh-CN"/>
              </w:rPr>
              <w:t>3</w:t>
            </w:r>
            <w:r>
              <w:rPr>
                <w:rFonts w:hint="eastAsia" w:ascii="宋体" w:hAnsi="宋体" w:cs="宋体"/>
                <w:szCs w:val="21"/>
                <w:highlight w:val="none"/>
              </w:rPr>
              <w:t>分。</w:t>
            </w:r>
          </w:p>
          <w:p>
            <w:pPr>
              <w:spacing w:line="312" w:lineRule="auto"/>
              <w:rPr>
                <w:rFonts w:ascii="宋体" w:hAnsi="宋体" w:cs="宋体"/>
                <w:szCs w:val="21"/>
                <w:highlight w:val="none"/>
              </w:rPr>
            </w:pPr>
            <w:r>
              <w:rPr>
                <w:rFonts w:hint="eastAsia" w:ascii="宋体" w:hAnsi="宋体" w:cs="宋体"/>
                <w:szCs w:val="21"/>
                <w:highlight w:val="none"/>
              </w:rPr>
              <w:t>本项最多得</w:t>
            </w:r>
            <w:r>
              <w:rPr>
                <w:rFonts w:hint="eastAsia" w:ascii="宋体" w:hAnsi="宋体" w:cs="宋体"/>
                <w:szCs w:val="21"/>
                <w:highlight w:val="none"/>
                <w:lang w:val="en-US" w:eastAsia="zh-CN"/>
              </w:rPr>
              <w:t>6</w:t>
            </w:r>
            <w:r>
              <w:rPr>
                <w:rFonts w:hint="eastAsia" w:ascii="宋体" w:hAnsi="宋体" w:cs="宋体"/>
                <w:szCs w:val="21"/>
                <w:highlight w:val="none"/>
              </w:rPr>
              <w:t>分。</w:t>
            </w:r>
          </w:p>
          <w:p>
            <w:pPr>
              <w:spacing w:line="312" w:lineRule="auto"/>
              <w:rPr>
                <w:rFonts w:ascii="宋体" w:hAnsi="宋体" w:cs="宋体"/>
                <w:szCs w:val="21"/>
                <w:highlight w:val="none"/>
              </w:rPr>
            </w:pPr>
            <w:r>
              <w:rPr>
                <w:rFonts w:hint="eastAsia" w:ascii="宋体" w:hAnsi="宋体" w:cs="宋体"/>
                <w:szCs w:val="21"/>
                <w:highlight w:val="none"/>
              </w:rPr>
              <w:t>注：提供身份证、职称证、检测员证、检测资格证、</w:t>
            </w:r>
            <w:r>
              <w:rPr>
                <w:rFonts w:hint="eastAsia" w:ascii="宋体" w:hAnsi="宋体" w:cs="宋体"/>
                <w:color w:val="auto"/>
                <w:szCs w:val="21"/>
                <w:highlight w:val="none"/>
              </w:rPr>
              <w:t>202</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月（近一个月）</w:t>
            </w:r>
            <w:r>
              <w:rPr>
                <w:rFonts w:hint="eastAsia" w:ascii="宋体" w:hAnsi="宋体" w:cs="宋体"/>
                <w:szCs w:val="21"/>
                <w:highlight w:val="none"/>
              </w:rPr>
              <w:t>在本单位交纳的社保证明文件（以加盖社会保险基金管理中心印章的《投保单》或《社会保险参保人员证明》资料为准）的扫描件，不提供或不符合的不得分。同一人如具有多个级别职称证时，按最高级别计分，不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gridSpan w:val="2"/>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b/>
                <w:bCs/>
                <w:szCs w:val="21"/>
                <w:highlight w:val="none"/>
              </w:rPr>
            </w:pPr>
            <w:r>
              <w:rPr>
                <w:rFonts w:hint="eastAsia" w:ascii="宋体" w:hAnsi="宋体" w:cs="宋体"/>
                <w:szCs w:val="21"/>
                <w:highlight w:val="none"/>
              </w:rPr>
              <w:t>2.2.4（2）</w:t>
            </w:r>
          </w:p>
        </w:tc>
        <w:tc>
          <w:tcPr>
            <w:tcW w:w="974"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r>
              <w:rPr>
                <w:rFonts w:hint="eastAsia" w:ascii="宋体" w:hAnsi="宋体" w:cs="宋体"/>
                <w:szCs w:val="21"/>
                <w:highlight w:val="none"/>
              </w:rPr>
              <w:t>技术方案评分标准</w:t>
            </w:r>
          </w:p>
          <w:p>
            <w:pPr>
              <w:spacing w:line="312" w:lineRule="auto"/>
              <w:jc w:val="center"/>
              <w:rPr>
                <w:rFonts w:ascii="宋体" w:hAnsi="宋体" w:cs="宋体"/>
                <w:szCs w:val="21"/>
                <w:highlight w:val="none"/>
              </w:rPr>
            </w:pPr>
            <w:r>
              <w:rPr>
                <w:rFonts w:hint="eastAsia" w:ascii="宋体" w:hAnsi="宋体" w:cs="宋体"/>
                <w:szCs w:val="21"/>
                <w:highlight w:val="none"/>
              </w:rPr>
              <w:t>（15分）</w:t>
            </w:r>
          </w:p>
        </w:tc>
        <w:tc>
          <w:tcPr>
            <w:tcW w:w="13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r>
              <w:rPr>
                <w:rFonts w:hint="eastAsia" w:ascii="宋体" w:hAnsi="宋体" w:cs="宋体"/>
                <w:szCs w:val="21"/>
                <w:highlight w:val="none"/>
              </w:rPr>
              <w:t>检测技术方案</w:t>
            </w:r>
          </w:p>
          <w:p>
            <w:pPr>
              <w:spacing w:line="312" w:lineRule="auto"/>
              <w:jc w:val="center"/>
              <w:rPr>
                <w:rFonts w:ascii="宋体" w:hAnsi="宋体" w:cs="宋体"/>
                <w:szCs w:val="21"/>
                <w:highlight w:val="none"/>
              </w:rPr>
            </w:pPr>
            <w:r>
              <w:rPr>
                <w:rFonts w:hint="eastAsia" w:ascii="宋体" w:hAnsi="宋体" w:cs="宋体"/>
                <w:szCs w:val="21"/>
                <w:highlight w:val="none"/>
              </w:rPr>
              <w:t>（10分）</w:t>
            </w:r>
          </w:p>
        </w:tc>
        <w:tc>
          <w:tcPr>
            <w:tcW w:w="613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szCs w:val="21"/>
                <w:highlight w:val="none"/>
              </w:rPr>
            </w:pPr>
            <w:r>
              <w:rPr>
                <w:rFonts w:hint="eastAsia" w:ascii="宋体" w:hAnsi="宋体" w:cs="宋体"/>
                <w:szCs w:val="21"/>
                <w:highlight w:val="none"/>
              </w:rPr>
              <w:t>根据投标人的检测技方案进行评审，分为优、良、中、差四个等级，具体如下：</w:t>
            </w:r>
          </w:p>
          <w:p>
            <w:pPr>
              <w:spacing w:line="312" w:lineRule="auto"/>
              <w:rPr>
                <w:rFonts w:ascii="宋体" w:hAnsi="宋体" w:cs="宋体"/>
                <w:szCs w:val="21"/>
                <w:highlight w:val="none"/>
              </w:rPr>
            </w:pPr>
            <w:r>
              <w:rPr>
                <w:rFonts w:hint="eastAsia" w:ascii="宋体" w:hAnsi="宋体" w:cs="宋体"/>
                <w:szCs w:val="21"/>
                <w:highlight w:val="none"/>
              </w:rPr>
              <w:t>优：方案详细、具体，内容齐全，方法合理可行，能满足本工程提出的所有检测要求，有具体可行的质量、进度确保措施，得10分；</w:t>
            </w:r>
          </w:p>
          <w:p>
            <w:pPr>
              <w:spacing w:line="312" w:lineRule="auto"/>
              <w:rPr>
                <w:rFonts w:ascii="宋体" w:hAnsi="宋体" w:cs="宋体"/>
                <w:szCs w:val="21"/>
                <w:highlight w:val="none"/>
              </w:rPr>
            </w:pPr>
            <w:r>
              <w:rPr>
                <w:rFonts w:hint="eastAsia" w:ascii="宋体" w:hAnsi="宋体" w:cs="宋体"/>
                <w:szCs w:val="21"/>
                <w:highlight w:val="none"/>
              </w:rPr>
              <w:t>良：方案较详细、具体，内容较完整，方法较合理可行，满足检测要求，有可行的质量、进度确保措施，得7分；</w:t>
            </w:r>
          </w:p>
          <w:p>
            <w:pPr>
              <w:spacing w:line="312" w:lineRule="auto"/>
              <w:rPr>
                <w:rFonts w:ascii="宋体" w:hAnsi="宋体" w:cs="宋体"/>
                <w:szCs w:val="21"/>
                <w:highlight w:val="none"/>
              </w:rPr>
            </w:pPr>
            <w:r>
              <w:rPr>
                <w:rFonts w:hint="eastAsia" w:ascii="宋体" w:hAnsi="宋体" w:cs="宋体"/>
                <w:szCs w:val="21"/>
                <w:highlight w:val="none"/>
              </w:rPr>
              <w:t>中：方案一般，内容基本完整，方法基本可行，基本满足检测要求，有一定的质量、进度确保措施，得4分；</w:t>
            </w:r>
          </w:p>
          <w:p>
            <w:pPr>
              <w:spacing w:line="312" w:lineRule="auto"/>
              <w:rPr>
                <w:rFonts w:ascii="宋体" w:hAnsi="宋体" w:cs="宋体"/>
                <w:szCs w:val="21"/>
                <w:highlight w:val="none"/>
              </w:rPr>
            </w:pPr>
            <w:r>
              <w:rPr>
                <w:rFonts w:hint="eastAsia" w:ascii="宋体" w:hAnsi="宋体" w:cs="宋体"/>
                <w:szCs w:val="21"/>
                <w:highlight w:val="none"/>
              </w:rPr>
              <w:t>差：方案基本内容阐述缺项，方法不能满足检测要求，得1分。</w:t>
            </w:r>
          </w:p>
          <w:p>
            <w:pPr>
              <w:pStyle w:val="22"/>
              <w:rPr>
                <w:highlight w:val="none"/>
              </w:rPr>
            </w:pPr>
            <w:r>
              <w:rPr>
                <w:rFonts w:hint="eastAsia" w:hAnsi="宋体" w:cs="宋体"/>
                <w:highlight w:val="none"/>
              </w:rPr>
              <w:t>注：不提供的不得分。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gridSpan w:val="2"/>
            <w:vMerge w:val="continue"/>
            <w:tcBorders>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974" w:type="dxa"/>
            <w:vMerge w:val="continue"/>
            <w:tcBorders>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p>
        </w:tc>
        <w:tc>
          <w:tcPr>
            <w:tcW w:w="13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r>
              <w:rPr>
                <w:rFonts w:hint="eastAsia" w:ascii="宋体" w:hAnsi="宋体" w:cs="宋体"/>
                <w:szCs w:val="21"/>
                <w:highlight w:val="none"/>
              </w:rPr>
              <w:t>拟投入本项设备（5分）</w:t>
            </w:r>
          </w:p>
        </w:tc>
        <w:tc>
          <w:tcPr>
            <w:tcW w:w="613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szCs w:val="21"/>
                <w:highlight w:val="none"/>
              </w:rPr>
            </w:pPr>
            <w:r>
              <w:rPr>
                <w:rFonts w:hint="eastAsia" w:ascii="宋体" w:hAnsi="宋体" w:cs="宋体"/>
                <w:szCs w:val="21"/>
                <w:highlight w:val="none"/>
              </w:rPr>
              <w:t>根据投标人的投入设备进行评审，分为优、良、中、差四个等级，具体如下：</w:t>
            </w:r>
          </w:p>
          <w:p>
            <w:pPr>
              <w:spacing w:line="312" w:lineRule="auto"/>
              <w:rPr>
                <w:rFonts w:ascii="宋体" w:hAnsi="宋体" w:cs="宋体"/>
                <w:szCs w:val="21"/>
                <w:highlight w:val="none"/>
              </w:rPr>
            </w:pPr>
            <w:r>
              <w:rPr>
                <w:rFonts w:hint="eastAsia" w:ascii="宋体" w:hAnsi="宋体" w:cs="宋体"/>
                <w:szCs w:val="21"/>
                <w:highlight w:val="none"/>
              </w:rPr>
              <w:t>优：设备齐全、先进、现代化，满足检测和工期需要，年检合格，并且全部设备属于自有，得4-5分；</w:t>
            </w:r>
          </w:p>
          <w:p>
            <w:pPr>
              <w:spacing w:line="312" w:lineRule="auto"/>
              <w:rPr>
                <w:rFonts w:ascii="宋体" w:hAnsi="宋体" w:cs="宋体"/>
                <w:szCs w:val="21"/>
                <w:highlight w:val="none"/>
              </w:rPr>
            </w:pPr>
            <w:r>
              <w:rPr>
                <w:rFonts w:hint="eastAsia" w:ascii="宋体" w:hAnsi="宋体" w:cs="宋体"/>
                <w:szCs w:val="21"/>
                <w:highlight w:val="none"/>
              </w:rPr>
              <w:t>良：设备齐全，满足检测和工期需要，设备年检合格，80％（含80%）以上（不含100%）设备属于自有，得2-3分；</w:t>
            </w:r>
          </w:p>
          <w:p>
            <w:pPr>
              <w:spacing w:line="312" w:lineRule="auto"/>
              <w:rPr>
                <w:rFonts w:ascii="宋体" w:hAnsi="宋体" w:cs="宋体"/>
                <w:szCs w:val="21"/>
                <w:highlight w:val="none"/>
              </w:rPr>
            </w:pPr>
            <w:r>
              <w:rPr>
                <w:rFonts w:hint="eastAsia" w:ascii="宋体" w:hAnsi="宋体" w:cs="宋体"/>
                <w:szCs w:val="21"/>
                <w:highlight w:val="none"/>
              </w:rPr>
              <w:t>中：设备齐全，设备年检合格，基本满足检测和工期要求，60％～80％（不含80%）设备属于自有，得1分；</w:t>
            </w:r>
          </w:p>
          <w:p>
            <w:pPr>
              <w:spacing w:line="312" w:lineRule="auto"/>
              <w:rPr>
                <w:rFonts w:ascii="宋体" w:hAnsi="宋体" w:cs="宋体"/>
                <w:szCs w:val="21"/>
                <w:highlight w:val="none"/>
              </w:rPr>
            </w:pPr>
            <w:r>
              <w:rPr>
                <w:rFonts w:hint="eastAsia" w:ascii="宋体" w:hAnsi="宋体" w:cs="宋体"/>
                <w:szCs w:val="21"/>
                <w:highlight w:val="none"/>
              </w:rPr>
              <w:t>差：设备不能满足检测和工期需要，60%（不含60%）以下设备属于自有，得0分。</w:t>
            </w:r>
          </w:p>
          <w:p>
            <w:pPr>
              <w:spacing w:line="312" w:lineRule="auto"/>
              <w:rPr>
                <w:rFonts w:ascii="宋体" w:hAnsi="宋体" w:cs="宋体"/>
                <w:szCs w:val="21"/>
                <w:highlight w:val="none"/>
              </w:rPr>
            </w:pPr>
            <w:r>
              <w:rPr>
                <w:rFonts w:hint="eastAsia" w:ascii="宋体" w:hAnsi="宋体" w:cs="宋体"/>
                <w:szCs w:val="21"/>
                <w:highlight w:val="none"/>
              </w:rPr>
              <w:t>注：本项最多得5分。须提交设备购置发票、仪器检定证书或其他证明材料的原件扫描件，不提供或不符合的不得分。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b/>
                <w:bCs/>
                <w:szCs w:val="21"/>
                <w:highlight w:val="none"/>
              </w:rPr>
            </w:pPr>
            <w:r>
              <w:rPr>
                <w:rFonts w:hint="eastAsia" w:ascii="宋体" w:hAnsi="宋体" w:cs="宋体"/>
                <w:szCs w:val="21"/>
                <w:highlight w:val="none"/>
              </w:rPr>
              <w:t>2.2.4（3）</w:t>
            </w:r>
          </w:p>
        </w:tc>
        <w:tc>
          <w:tcPr>
            <w:tcW w:w="97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r>
              <w:rPr>
                <w:rFonts w:hint="eastAsia" w:ascii="宋体" w:hAnsi="宋体" w:cs="宋体"/>
                <w:szCs w:val="21"/>
                <w:highlight w:val="none"/>
              </w:rPr>
              <w:t>报价得分评分标准（20分）</w:t>
            </w:r>
          </w:p>
        </w:tc>
        <w:tc>
          <w:tcPr>
            <w:tcW w:w="13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r>
              <w:rPr>
                <w:rFonts w:hint="eastAsia" w:ascii="宋体" w:hAnsi="宋体" w:cs="宋体"/>
                <w:szCs w:val="21"/>
                <w:highlight w:val="none"/>
              </w:rPr>
              <w:t>投标报价</w:t>
            </w:r>
          </w:p>
          <w:p>
            <w:pPr>
              <w:spacing w:line="312" w:lineRule="auto"/>
              <w:jc w:val="center"/>
              <w:rPr>
                <w:rFonts w:ascii="宋体" w:hAnsi="宋体" w:cs="宋体"/>
                <w:szCs w:val="21"/>
                <w:highlight w:val="none"/>
              </w:rPr>
            </w:pPr>
            <w:r>
              <w:rPr>
                <w:rFonts w:hint="eastAsia" w:ascii="宋体" w:hAnsi="宋体" w:cs="宋体"/>
                <w:szCs w:val="21"/>
                <w:highlight w:val="none"/>
              </w:rPr>
              <w:t>（20分）</w:t>
            </w:r>
          </w:p>
        </w:tc>
        <w:tc>
          <w:tcPr>
            <w:tcW w:w="613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szCs w:val="21"/>
                <w:highlight w:val="none"/>
              </w:rPr>
            </w:pPr>
            <w:r>
              <w:rPr>
                <w:rFonts w:hint="eastAsia" w:ascii="宋体" w:hAnsi="宋体" w:cs="宋体"/>
                <w:szCs w:val="21"/>
                <w:highlight w:val="none"/>
              </w:rPr>
              <w:t>偏差率=∣有效投标报价-评标基准价∣/评标基准价×100%</w:t>
            </w:r>
          </w:p>
          <w:p>
            <w:pPr>
              <w:spacing w:line="312" w:lineRule="auto"/>
              <w:rPr>
                <w:rFonts w:ascii="宋体" w:hAnsi="宋体" w:cs="宋体"/>
                <w:szCs w:val="21"/>
                <w:highlight w:val="none"/>
              </w:rPr>
            </w:pPr>
            <w:r>
              <w:rPr>
                <w:rFonts w:hint="eastAsia" w:ascii="宋体" w:hAnsi="宋体" w:cs="宋体"/>
                <w:szCs w:val="21"/>
                <w:highlight w:val="none"/>
              </w:rPr>
              <w:t>偏差率四舍五入保留2位小数，报价偏差率不足1%的，按直线内插法计算投标报价得分。报价得分以评标参考价作为计算各有效投标价得分的基础，当有效投标价等于评标参考价时得20分，投标有效报价与评标参考价相比，每上偏1 %扣1分，每下偏 1 %扣0.8分，最高扣20分。得分精确到小数点后两位。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b/>
                <w:bCs/>
                <w:szCs w:val="21"/>
                <w:highlight w:val="none"/>
              </w:rPr>
            </w:pPr>
            <w:r>
              <w:rPr>
                <w:rFonts w:hint="eastAsia" w:ascii="宋体" w:hAnsi="宋体" w:cs="宋体"/>
                <w:szCs w:val="21"/>
                <w:highlight w:val="none"/>
              </w:rPr>
              <w:t>2.2.4（4）</w:t>
            </w:r>
          </w:p>
        </w:tc>
        <w:tc>
          <w:tcPr>
            <w:tcW w:w="97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r>
              <w:rPr>
                <w:rFonts w:hint="eastAsia" w:ascii="宋体" w:hAnsi="宋体" w:cs="宋体"/>
                <w:szCs w:val="21"/>
                <w:highlight w:val="none"/>
              </w:rPr>
              <w:t>其他因素评分标准</w:t>
            </w:r>
          </w:p>
          <w:p>
            <w:pPr>
              <w:spacing w:line="312" w:lineRule="auto"/>
              <w:jc w:val="center"/>
              <w:rPr>
                <w:rFonts w:ascii="Calibri" w:hAnsi="Calibri"/>
                <w:highlight w:val="none"/>
              </w:rPr>
            </w:pPr>
            <w:r>
              <w:rPr>
                <w:rFonts w:hint="eastAsia" w:ascii="宋体" w:hAnsi="宋体" w:cs="宋体"/>
                <w:szCs w:val="21"/>
                <w:highlight w:val="none"/>
              </w:rPr>
              <w:t>（10分）</w:t>
            </w:r>
          </w:p>
        </w:tc>
        <w:tc>
          <w:tcPr>
            <w:tcW w:w="13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12" w:lineRule="auto"/>
              <w:jc w:val="center"/>
              <w:rPr>
                <w:rFonts w:ascii="宋体" w:hAnsi="宋体" w:cs="宋体"/>
                <w:szCs w:val="21"/>
                <w:highlight w:val="none"/>
              </w:rPr>
            </w:pPr>
            <w:r>
              <w:rPr>
                <w:rFonts w:hint="eastAsia" w:ascii="宋体" w:hAnsi="宋体" w:cs="宋体"/>
                <w:szCs w:val="21"/>
                <w:highlight w:val="none"/>
              </w:rPr>
              <w:t>诚信得分</w:t>
            </w:r>
          </w:p>
          <w:p>
            <w:pPr>
              <w:spacing w:line="312" w:lineRule="auto"/>
              <w:jc w:val="center"/>
              <w:rPr>
                <w:rFonts w:ascii="宋体" w:hAnsi="宋体" w:cs="宋体"/>
                <w:b/>
                <w:bCs/>
                <w:szCs w:val="21"/>
                <w:highlight w:val="none"/>
              </w:rPr>
            </w:pPr>
            <w:r>
              <w:rPr>
                <w:rFonts w:hint="eastAsia" w:ascii="宋体" w:hAnsi="宋体" w:cs="宋体"/>
                <w:szCs w:val="21"/>
                <w:highlight w:val="none"/>
              </w:rPr>
              <w:t>（10分）</w:t>
            </w:r>
          </w:p>
        </w:tc>
        <w:tc>
          <w:tcPr>
            <w:tcW w:w="613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b/>
                <w:bCs/>
                <w:szCs w:val="21"/>
                <w:highlight w:val="none"/>
              </w:rPr>
            </w:pPr>
            <w:r>
              <w:rPr>
                <w:rFonts w:hint="eastAsia" w:ascii="宋体" w:hAnsi="宋体" w:cs="宋体"/>
                <w:szCs w:val="21"/>
                <w:highlight w:val="none"/>
              </w:rPr>
              <w:t>投标人诚信得分=诚信综合评价排名得分×10%。诚信综合评价排名得分以</w:t>
            </w:r>
            <w:r>
              <w:rPr>
                <w:rFonts w:hint="eastAsia" w:ascii="宋体" w:hAnsi="宋体" w:cs="宋体"/>
                <w:highlight w:val="none"/>
              </w:rPr>
              <w:t>投标截止当日</w:t>
            </w:r>
            <w:r>
              <w:rPr>
                <w:rFonts w:hint="eastAsia" w:ascii="宋体" w:hAnsi="宋体" w:cs="宋体"/>
                <w:szCs w:val="21"/>
                <w:highlight w:val="none"/>
              </w:rPr>
              <w:t>广州市住房和城乡建设局网站上公布的检测企业60日诚信评价得分为准。</w:t>
            </w:r>
          </w:p>
        </w:tc>
      </w:tr>
      <w:bookmarkEnd w:id="170"/>
      <w:bookmarkEnd w:id="171"/>
      <w:bookmarkEnd w:id="172"/>
      <w:bookmarkEnd w:id="173"/>
      <w:bookmarkEnd w:id="174"/>
      <w:bookmarkEnd w:id="175"/>
      <w:bookmarkEnd w:id="176"/>
      <w:bookmarkEnd w:id="177"/>
      <w:bookmarkEnd w:id="178"/>
      <w:bookmarkEnd w:id="179"/>
    </w:tbl>
    <w:p>
      <w:pPr>
        <w:snapToGrid w:val="0"/>
        <w:spacing w:line="276" w:lineRule="auto"/>
        <w:ind w:firstLine="420" w:firstLineChars="200"/>
        <w:rPr>
          <w:rFonts w:ascii="宋体" w:hAnsi="宋体"/>
          <w:szCs w:val="21"/>
          <w:highlight w:val="none"/>
        </w:rPr>
      </w:pPr>
      <w:r>
        <w:rPr>
          <w:rFonts w:hint="eastAsia" w:ascii="宋体" w:hAnsi="宋体"/>
          <w:szCs w:val="21"/>
          <w:highlight w:val="none"/>
        </w:rPr>
        <w:t>注：</w:t>
      </w:r>
    </w:p>
    <w:p>
      <w:pPr>
        <w:snapToGrid w:val="0"/>
        <w:spacing w:line="276" w:lineRule="auto"/>
        <w:ind w:firstLine="420" w:firstLineChars="200"/>
        <w:rPr>
          <w:rFonts w:ascii="宋体" w:hAnsi="宋体"/>
          <w:szCs w:val="21"/>
          <w:highlight w:val="none"/>
        </w:rPr>
      </w:pPr>
      <w:r>
        <w:rPr>
          <w:rFonts w:hint="eastAsia" w:ascii="宋体" w:hAnsi="宋体"/>
          <w:szCs w:val="21"/>
          <w:highlight w:val="none"/>
        </w:rPr>
        <w:t>1、评标委员会成员有对投标人的上述形式评审标准、资格评审标准、响应性评审标准意见存在意见不一致时，则按少数服从多数的原则确定是否通过。</w:t>
      </w:r>
    </w:p>
    <w:p>
      <w:pPr>
        <w:spacing w:line="312" w:lineRule="auto"/>
        <w:ind w:firstLine="420" w:firstLineChars="200"/>
        <w:rPr>
          <w:rFonts w:ascii="宋体" w:hAnsi="宋体"/>
          <w:szCs w:val="21"/>
          <w:highlight w:val="none"/>
        </w:rPr>
      </w:pPr>
      <w:r>
        <w:rPr>
          <w:rFonts w:hint="eastAsia" w:ascii="宋体" w:hAnsi="宋体"/>
          <w:szCs w:val="21"/>
          <w:highlight w:val="none"/>
        </w:rPr>
        <w:t>2、若以联合体方式参与投标的，类似业绩、</w:t>
      </w:r>
      <w:r>
        <w:rPr>
          <w:rFonts w:hint="eastAsia" w:ascii="宋体" w:hAnsi="宋体" w:cs="宋体"/>
          <w:szCs w:val="21"/>
          <w:highlight w:val="none"/>
        </w:rPr>
        <w:t>企业资信</w:t>
      </w:r>
      <w:r>
        <w:rPr>
          <w:rFonts w:hint="eastAsia" w:ascii="宋体" w:hAnsi="宋体"/>
          <w:szCs w:val="21"/>
          <w:highlight w:val="none"/>
        </w:rPr>
        <w:t>、项目负责人、技术负责人的评分内容以联合体牵头人（主办方）信息为准，其他成员单位不进行累计计分；主要技术人员、拟投入本项目的设备的评分内容联合体各成员可以累计加分。</w:t>
      </w:r>
    </w:p>
    <w:p>
      <w:pPr>
        <w:snapToGrid w:val="0"/>
        <w:spacing w:line="276" w:lineRule="auto"/>
        <w:ind w:firstLine="420" w:firstLineChars="200"/>
        <w:rPr>
          <w:rFonts w:ascii="宋体" w:hAnsi="宋体"/>
          <w:szCs w:val="21"/>
          <w:highlight w:val="none"/>
        </w:rPr>
      </w:pPr>
      <w:r>
        <w:rPr>
          <w:rFonts w:hint="eastAsia" w:ascii="宋体" w:hAnsi="宋体"/>
          <w:szCs w:val="21"/>
          <w:highlight w:val="none"/>
        </w:rPr>
        <w:t>3、若以联合体方式参与投标的，投标人诚信综合评价排名得分以联合体牵头人（主办方）的诚信综合评价排名得分为准。</w:t>
      </w:r>
    </w:p>
    <w:p>
      <w:pPr>
        <w:ind w:firstLine="420" w:firstLineChars="200"/>
        <w:rPr>
          <w:highlight w:val="none"/>
        </w:rPr>
      </w:pPr>
      <w:r>
        <w:rPr>
          <w:rFonts w:hint="eastAsia" w:ascii="宋体" w:hAnsi="宋体"/>
          <w:szCs w:val="21"/>
          <w:highlight w:val="none"/>
        </w:rPr>
        <w:t>4、投标人的综合得分为各评委的评分去掉一个最高分和一个最低分后计取的算术平均分（分数出现小数点时，保留小数点后二位，第三位小数四舍五入）。</w:t>
      </w:r>
    </w:p>
    <w:p>
      <w:pPr>
        <w:ind w:firstLine="420" w:firstLineChars="200"/>
        <w:rPr>
          <w:highlight w:val="none"/>
        </w:rPr>
      </w:pPr>
    </w:p>
    <w:p>
      <w:pPr>
        <w:keepNext/>
        <w:keepLines/>
        <w:spacing w:before="120" w:after="120"/>
        <w:jc w:val="left"/>
        <w:outlineLvl w:val="1"/>
        <w:rPr>
          <w:rFonts w:ascii="宋体" w:hAnsi="宋体" w:cs="宋体"/>
          <w:b/>
          <w:bCs/>
          <w:sz w:val="40"/>
          <w:szCs w:val="32"/>
          <w:highlight w:val="none"/>
        </w:rPr>
      </w:pPr>
      <w:bookmarkStart w:id="180" w:name="_Toc5223"/>
      <w:bookmarkStart w:id="181" w:name="_Toc38224852"/>
      <w:r>
        <w:rPr>
          <w:rFonts w:hint="eastAsia" w:ascii="宋体" w:hAnsi="宋体" w:cs="宋体"/>
          <w:b/>
          <w:bCs/>
          <w:sz w:val="28"/>
          <w:highlight w:val="none"/>
        </w:rPr>
        <w:br w:type="page"/>
      </w:r>
      <w:r>
        <w:rPr>
          <w:rFonts w:hint="eastAsia" w:ascii="宋体" w:hAnsi="宋体" w:cs="宋体"/>
          <w:b/>
          <w:bCs/>
          <w:sz w:val="28"/>
          <w:highlight w:val="none"/>
        </w:rPr>
        <w:t>1.评标方法</w:t>
      </w:r>
      <w:bookmarkEnd w:id="180"/>
      <w:bookmarkEnd w:id="181"/>
    </w:p>
    <w:p>
      <w:pPr>
        <w:spacing w:line="360" w:lineRule="auto"/>
        <w:ind w:firstLine="440" w:firstLineChars="200"/>
        <w:rPr>
          <w:rFonts w:ascii="宋体" w:hAnsi="宋体"/>
          <w:sz w:val="22"/>
          <w:highlight w:val="none"/>
        </w:rPr>
      </w:pPr>
      <w:r>
        <w:rPr>
          <w:rFonts w:hint="eastAsia" w:ascii="宋体" w:hAnsi="宋体"/>
          <w:sz w:val="22"/>
          <w:highlight w:val="none"/>
        </w:rPr>
        <w:t>本次评标采用综合评估法。评标委员会对满足招标文件实质性要求的投标文件，按照本章第2.2款规定的评分标准进行打分，并按得分由高到低顺序推荐中标候选人，排序的前一</w:t>
      </w:r>
      <w:r>
        <w:rPr>
          <w:rFonts w:hint="eastAsia" w:ascii="宋体" w:hAnsi="宋体" w:cs="宋体"/>
          <w:sz w:val="22"/>
          <w:highlight w:val="none"/>
        </w:rPr>
        <w:t>～</w:t>
      </w:r>
      <w:r>
        <w:rPr>
          <w:rFonts w:hint="eastAsia" w:ascii="宋体" w:hAnsi="宋体"/>
          <w:sz w:val="22"/>
          <w:highlight w:val="none"/>
        </w:rPr>
        <w:t>三名为第一中标候选人、第二中标候选人和第三中标候选人。</w:t>
      </w:r>
      <w:r>
        <w:rPr>
          <w:rFonts w:hint="eastAsia" w:ascii="宋体" w:hAnsi="宋体"/>
          <w:sz w:val="22"/>
          <w:highlight w:val="none"/>
          <w:u w:val="single"/>
        </w:rPr>
        <w:t>若两家或以上的投标人总得分相同时，按以下顺序确定中标候选人：①投标报价得分高的排前；②若投标报价得分相同，则方案部分得分高的排前；③若投标报价得分和方案部分得分均相同，则由评委采用记名投票方式，确定相等得分的中标候选人的排序。</w:t>
      </w:r>
    </w:p>
    <w:p>
      <w:pPr>
        <w:keepNext/>
        <w:keepLines/>
        <w:spacing w:before="120" w:after="120"/>
        <w:jc w:val="left"/>
        <w:outlineLvl w:val="1"/>
        <w:rPr>
          <w:rFonts w:ascii="宋体" w:hAnsi="宋体" w:cs="宋体"/>
          <w:b/>
          <w:bCs/>
          <w:sz w:val="40"/>
          <w:szCs w:val="32"/>
          <w:highlight w:val="none"/>
        </w:rPr>
      </w:pPr>
      <w:bookmarkStart w:id="182" w:name="_Toc23335"/>
      <w:bookmarkStart w:id="183" w:name="_Toc38224853"/>
      <w:r>
        <w:rPr>
          <w:rFonts w:hint="eastAsia" w:ascii="宋体" w:hAnsi="宋体" w:cs="宋体"/>
          <w:b/>
          <w:bCs/>
          <w:sz w:val="28"/>
          <w:szCs w:val="28"/>
          <w:highlight w:val="none"/>
        </w:rPr>
        <w:t>2.评审标准</w:t>
      </w:r>
      <w:bookmarkEnd w:id="182"/>
      <w:bookmarkEnd w:id="183"/>
    </w:p>
    <w:p>
      <w:pPr>
        <w:keepNext/>
        <w:keepLines/>
        <w:spacing w:line="360" w:lineRule="auto"/>
        <w:jc w:val="left"/>
        <w:outlineLvl w:val="2"/>
        <w:rPr>
          <w:rFonts w:ascii="宋体" w:hAnsi="宋体" w:cs="宋体"/>
          <w:b/>
          <w:bCs/>
          <w:sz w:val="22"/>
          <w:highlight w:val="none"/>
        </w:rPr>
      </w:pPr>
      <w:r>
        <w:rPr>
          <w:rFonts w:hint="eastAsia" w:ascii="宋体" w:hAnsi="宋体" w:cs="宋体"/>
          <w:b/>
          <w:bCs/>
          <w:sz w:val="22"/>
          <w:highlight w:val="none"/>
        </w:rPr>
        <w:t>2.1 初步评审标准</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2.1.1 形式评审标准：见评标办法前附表。</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2.1.2 资格评审标准：见评标办法前附表。</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2.1.3 响应性评审标准：见评标办法前附表。</w:t>
      </w:r>
    </w:p>
    <w:p>
      <w:pPr>
        <w:keepNext/>
        <w:keepLines/>
        <w:spacing w:line="360" w:lineRule="auto"/>
        <w:jc w:val="left"/>
        <w:outlineLvl w:val="2"/>
        <w:rPr>
          <w:rFonts w:ascii="宋体" w:hAnsi="宋体" w:cs="宋体"/>
          <w:b/>
          <w:bCs/>
          <w:sz w:val="22"/>
          <w:highlight w:val="none"/>
        </w:rPr>
      </w:pPr>
      <w:r>
        <w:rPr>
          <w:rFonts w:hint="eastAsia" w:ascii="宋体" w:hAnsi="宋体" w:cs="宋体"/>
          <w:b/>
          <w:bCs/>
          <w:sz w:val="22"/>
          <w:highlight w:val="none"/>
        </w:rPr>
        <w:t>2.2 分值构成与评分标准</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2.2.1 分值构成</w:t>
      </w:r>
    </w:p>
    <w:p>
      <w:pPr>
        <w:spacing w:line="360" w:lineRule="auto"/>
        <w:ind w:firstLine="440" w:firstLineChars="200"/>
        <w:rPr>
          <w:rFonts w:ascii="宋体" w:hAnsi="宋体" w:cs="宋体"/>
          <w:sz w:val="22"/>
          <w:highlight w:val="none"/>
          <w:u w:val="single"/>
        </w:rPr>
      </w:pPr>
      <w:r>
        <w:rPr>
          <w:rFonts w:hint="eastAsia" w:ascii="宋体" w:hAnsi="宋体" w:cs="宋体"/>
          <w:sz w:val="22"/>
          <w:highlight w:val="none"/>
          <w:u w:val="single"/>
        </w:rPr>
        <w:t>（1）资信业绩部分：见评标办法前附表；</w:t>
      </w:r>
    </w:p>
    <w:p>
      <w:pPr>
        <w:spacing w:line="360" w:lineRule="auto"/>
        <w:ind w:firstLine="440" w:firstLineChars="200"/>
        <w:rPr>
          <w:rFonts w:ascii="宋体" w:hAnsi="宋体" w:cs="宋体"/>
          <w:sz w:val="22"/>
          <w:highlight w:val="none"/>
          <w:u w:val="single"/>
        </w:rPr>
      </w:pPr>
      <w:r>
        <w:rPr>
          <w:rFonts w:hint="eastAsia" w:ascii="宋体" w:hAnsi="宋体" w:cs="宋体"/>
          <w:sz w:val="22"/>
          <w:highlight w:val="none"/>
          <w:u w:val="single"/>
        </w:rPr>
        <w:t>（2）技术方案部分：见评标办法前附表；</w:t>
      </w:r>
    </w:p>
    <w:p>
      <w:pPr>
        <w:spacing w:line="360" w:lineRule="auto"/>
        <w:ind w:firstLine="440" w:firstLineChars="200"/>
        <w:rPr>
          <w:rFonts w:ascii="宋体" w:hAnsi="宋体" w:cs="宋体"/>
          <w:sz w:val="22"/>
          <w:highlight w:val="none"/>
        </w:rPr>
      </w:pPr>
      <w:r>
        <w:rPr>
          <w:rFonts w:hint="eastAsia" w:ascii="宋体" w:hAnsi="宋体" w:cs="宋体"/>
          <w:sz w:val="22"/>
          <w:highlight w:val="none"/>
        </w:rPr>
        <w:t>（3）投标报价：见评标办法前附表；</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（4）其他评分因素：见评标办法前附表。</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2.2.2 评标基准价计算</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评标基准价计算方法：见评标办法前附表。</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2.2.3 投标报价的计算</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投标报价的计算公式：见评标办法前附表。</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2.2.4 评分标准</w:t>
      </w:r>
    </w:p>
    <w:p>
      <w:pPr>
        <w:spacing w:line="360" w:lineRule="auto"/>
        <w:ind w:firstLine="440" w:firstLineChars="200"/>
        <w:rPr>
          <w:rFonts w:ascii="宋体" w:hAnsi="宋体" w:cs="宋体"/>
          <w:sz w:val="22"/>
          <w:highlight w:val="none"/>
        </w:rPr>
      </w:pPr>
      <w:r>
        <w:rPr>
          <w:rFonts w:hint="eastAsia" w:ascii="宋体" w:hAnsi="宋体" w:cs="宋体"/>
          <w:sz w:val="22"/>
          <w:highlight w:val="none"/>
          <w:u w:val="single"/>
        </w:rPr>
        <w:t>（1）资信业绩部分</w:t>
      </w:r>
      <w:r>
        <w:rPr>
          <w:rFonts w:hint="eastAsia" w:ascii="宋体" w:hAnsi="宋体" w:cs="宋体"/>
          <w:sz w:val="22"/>
          <w:highlight w:val="none"/>
        </w:rPr>
        <w:t>：见评标办法前附表；</w:t>
      </w:r>
    </w:p>
    <w:p>
      <w:pPr>
        <w:spacing w:line="360" w:lineRule="auto"/>
        <w:ind w:firstLine="440" w:firstLineChars="200"/>
        <w:rPr>
          <w:rFonts w:ascii="宋体" w:hAnsi="宋体" w:cs="宋体"/>
          <w:sz w:val="22"/>
          <w:highlight w:val="none"/>
        </w:rPr>
      </w:pPr>
      <w:r>
        <w:rPr>
          <w:rFonts w:hint="eastAsia" w:ascii="宋体" w:hAnsi="宋体" w:cs="宋体"/>
          <w:sz w:val="22"/>
          <w:highlight w:val="none"/>
          <w:u w:val="single"/>
        </w:rPr>
        <w:t>（2）技术方案部分</w:t>
      </w:r>
      <w:r>
        <w:rPr>
          <w:rFonts w:hint="eastAsia" w:ascii="宋体" w:hAnsi="宋体" w:cs="宋体"/>
          <w:sz w:val="22"/>
          <w:highlight w:val="none"/>
        </w:rPr>
        <w:t>：见评标办法前附表；</w:t>
      </w:r>
    </w:p>
    <w:p>
      <w:pPr>
        <w:spacing w:line="360" w:lineRule="auto"/>
        <w:jc w:val="left"/>
        <w:rPr>
          <w:rFonts w:ascii="宋体" w:hAnsi="宋体" w:cs="宋体"/>
          <w:sz w:val="22"/>
          <w:highlight w:val="none"/>
        </w:rPr>
      </w:pPr>
      <w:r>
        <w:rPr>
          <w:rFonts w:hint="eastAsia" w:ascii="宋体" w:hAnsi="宋体" w:cs="宋体"/>
          <w:sz w:val="22"/>
          <w:highlight w:val="none"/>
        </w:rPr>
        <w:t xml:space="preserve">    （3）投标报价：见评标办法前附表；</w:t>
      </w:r>
    </w:p>
    <w:p>
      <w:pPr>
        <w:spacing w:line="360" w:lineRule="auto"/>
        <w:jc w:val="left"/>
        <w:rPr>
          <w:rFonts w:ascii="宋体" w:hAnsi="宋体" w:cs="宋体"/>
          <w:sz w:val="28"/>
          <w:szCs w:val="28"/>
          <w:highlight w:val="none"/>
        </w:rPr>
      </w:pPr>
      <w:r>
        <w:rPr>
          <w:rFonts w:hint="eastAsia" w:ascii="宋体" w:hAnsi="宋体" w:cs="宋体"/>
          <w:sz w:val="22"/>
          <w:highlight w:val="none"/>
        </w:rPr>
        <w:t xml:space="preserve">    （4）其他评分因素：见评标办法前附表。</w:t>
      </w:r>
    </w:p>
    <w:p>
      <w:pPr>
        <w:keepNext/>
        <w:keepLines/>
        <w:spacing w:before="120" w:after="120"/>
        <w:jc w:val="left"/>
        <w:outlineLvl w:val="1"/>
        <w:rPr>
          <w:rFonts w:ascii="宋体" w:hAnsi="宋体" w:cs="宋体"/>
          <w:b/>
          <w:bCs/>
          <w:sz w:val="40"/>
          <w:szCs w:val="32"/>
          <w:highlight w:val="none"/>
        </w:rPr>
      </w:pPr>
      <w:bookmarkStart w:id="184" w:name="_Toc25401"/>
      <w:bookmarkStart w:id="185" w:name="_Toc38224854"/>
      <w:r>
        <w:rPr>
          <w:rFonts w:hint="eastAsia" w:ascii="宋体" w:hAnsi="宋体" w:cs="宋体"/>
          <w:b/>
          <w:bCs/>
          <w:sz w:val="28"/>
          <w:szCs w:val="28"/>
          <w:highlight w:val="none"/>
        </w:rPr>
        <w:t>3. 评标程序</w:t>
      </w:r>
      <w:bookmarkEnd w:id="184"/>
      <w:bookmarkEnd w:id="185"/>
    </w:p>
    <w:p>
      <w:pPr>
        <w:keepNext/>
        <w:keepLines/>
        <w:spacing w:line="360" w:lineRule="auto"/>
        <w:jc w:val="left"/>
        <w:outlineLvl w:val="2"/>
        <w:rPr>
          <w:rFonts w:ascii="宋体" w:hAnsi="宋体" w:cs="宋体"/>
          <w:b/>
          <w:bCs/>
          <w:sz w:val="22"/>
          <w:highlight w:val="none"/>
        </w:rPr>
      </w:pPr>
      <w:r>
        <w:rPr>
          <w:rFonts w:hint="eastAsia" w:ascii="宋体" w:hAnsi="宋体" w:cs="宋体"/>
          <w:b/>
          <w:bCs/>
          <w:sz w:val="22"/>
          <w:highlight w:val="none"/>
        </w:rPr>
        <w:t>3.1 初步评审</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3.1.1 评标委员会依据本章第 2.1 款规定的标准对投标文件进行初步评审。有一项不符合评审标准的，评标委员会应当否决其投标。</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3.1.2 投标报价有算术错误及其他错误的，评标委员会按以下原则要求投标人对投标报价进行修正，并要求投标人书面澄清确认。投标人拒不澄清确认的，评标委员会应当否决其投标：</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（1）投标文件中的大写金额与小写金额不一致的，以大写金额为准；</w:t>
      </w:r>
    </w:p>
    <w:p>
      <w:pPr>
        <w:pStyle w:val="43"/>
        <w:rPr>
          <w:rFonts w:ascii="宋体" w:hAnsi="宋体" w:cs="宋体"/>
          <w:sz w:val="22"/>
          <w:highlight w:val="none"/>
        </w:rPr>
      </w:pPr>
      <w:r>
        <w:rPr>
          <w:rFonts w:hint="eastAsia" w:ascii="宋体" w:hAnsi="宋体" w:cs="宋体"/>
          <w:sz w:val="22"/>
          <w:highlight w:val="none"/>
        </w:rPr>
        <w:t>（2）总价金额与单价金额不一致的，以单价金额为准，但单价金额小数点有明显错误的除外。</w:t>
      </w:r>
    </w:p>
    <w:p>
      <w:pPr>
        <w:keepNext/>
        <w:keepLines/>
        <w:spacing w:line="360" w:lineRule="auto"/>
        <w:jc w:val="left"/>
        <w:outlineLvl w:val="2"/>
        <w:rPr>
          <w:rFonts w:ascii="宋体" w:hAnsi="宋体" w:cs="宋体"/>
          <w:b/>
          <w:bCs/>
          <w:sz w:val="22"/>
          <w:highlight w:val="none"/>
        </w:rPr>
      </w:pPr>
      <w:r>
        <w:rPr>
          <w:rFonts w:hint="eastAsia" w:ascii="宋体" w:hAnsi="宋体" w:cs="宋体"/>
          <w:b/>
          <w:bCs/>
          <w:sz w:val="22"/>
          <w:highlight w:val="none"/>
        </w:rPr>
        <w:t>3.2 详细评审</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3.2.1 评标委员会按本章第 2.2 款规定的量化因素和分值进行打分，并计算出综合评分得分。</w:t>
      </w:r>
    </w:p>
    <w:p>
      <w:pPr>
        <w:spacing w:line="360" w:lineRule="auto"/>
        <w:ind w:firstLine="446" w:firstLineChars="202"/>
        <w:jc w:val="left"/>
        <w:rPr>
          <w:rFonts w:ascii="宋体" w:hAnsi="宋体" w:cs="宋体"/>
          <w:b/>
          <w:bCs/>
          <w:sz w:val="22"/>
          <w:highlight w:val="none"/>
        </w:rPr>
      </w:pPr>
      <w:r>
        <w:rPr>
          <w:rFonts w:hint="eastAsia" w:ascii="宋体" w:hAnsi="宋体" w:cs="宋体"/>
          <w:b/>
          <w:bCs/>
          <w:sz w:val="22"/>
          <w:highlight w:val="none"/>
        </w:rPr>
        <w:t>（1）按本章第2.2.4（1）目规定的评审因素和分值对资信业绩部分计算出得分A；</w:t>
      </w:r>
    </w:p>
    <w:p>
      <w:pPr>
        <w:spacing w:line="360" w:lineRule="auto"/>
        <w:ind w:firstLine="446" w:firstLineChars="202"/>
        <w:jc w:val="left"/>
        <w:rPr>
          <w:rFonts w:ascii="宋体" w:hAnsi="宋体" w:cs="宋体"/>
          <w:b/>
          <w:bCs/>
          <w:sz w:val="22"/>
          <w:highlight w:val="none"/>
        </w:rPr>
      </w:pPr>
      <w:r>
        <w:rPr>
          <w:rFonts w:hint="eastAsia" w:ascii="宋体" w:hAnsi="宋体" w:cs="宋体"/>
          <w:b/>
          <w:bCs/>
          <w:sz w:val="22"/>
          <w:highlight w:val="none"/>
        </w:rPr>
        <w:t>（2）按本章第2.2.4（2）目规定的评审因素和分值对检测方案部分计算出得分B；</w:t>
      </w:r>
    </w:p>
    <w:p>
      <w:pPr>
        <w:spacing w:line="360" w:lineRule="auto"/>
        <w:ind w:firstLine="446" w:firstLineChars="202"/>
        <w:jc w:val="left"/>
        <w:rPr>
          <w:rFonts w:ascii="宋体" w:hAnsi="宋体" w:cs="宋体"/>
          <w:b/>
          <w:bCs/>
          <w:sz w:val="22"/>
          <w:highlight w:val="none"/>
        </w:rPr>
      </w:pPr>
      <w:r>
        <w:rPr>
          <w:rFonts w:hint="eastAsia" w:ascii="宋体" w:hAnsi="宋体" w:cs="宋体"/>
          <w:b/>
          <w:bCs/>
          <w:sz w:val="22"/>
          <w:highlight w:val="none"/>
        </w:rPr>
        <w:t>（3）按本章第2.2.4（3）目规定的评审因素和分值对投标报价计算出得分C；</w:t>
      </w:r>
    </w:p>
    <w:p>
      <w:pPr>
        <w:spacing w:line="360" w:lineRule="auto"/>
        <w:ind w:firstLine="446" w:firstLineChars="202"/>
        <w:jc w:val="left"/>
        <w:rPr>
          <w:rFonts w:ascii="宋体" w:hAnsi="宋体" w:cs="宋体"/>
          <w:b/>
          <w:bCs/>
          <w:sz w:val="22"/>
          <w:highlight w:val="none"/>
        </w:rPr>
      </w:pPr>
      <w:r>
        <w:rPr>
          <w:rFonts w:hint="eastAsia" w:ascii="宋体" w:hAnsi="宋体" w:cs="宋体"/>
          <w:b/>
          <w:bCs/>
          <w:sz w:val="22"/>
          <w:highlight w:val="none"/>
        </w:rPr>
        <w:t>（4）按本章第2.2.4（4）目规定的评审因素和分值对其他部分计算出得分D。</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3.2.2 评分分值计算保留小数点后两位，小数点后第三位“四舍五入”。</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3.2.3 投标人得分= A+B+C+D。</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keepNext/>
        <w:keepLines/>
        <w:spacing w:line="360" w:lineRule="auto"/>
        <w:jc w:val="left"/>
        <w:outlineLvl w:val="2"/>
        <w:rPr>
          <w:rFonts w:ascii="宋体" w:hAnsi="宋体" w:cs="宋体"/>
          <w:b/>
          <w:bCs/>
          <w:sz w:val="22"/>
          <w:highlight w:val="none"/>
        </w:rPr>
      </w:pPr>
      <w:r>
        <w:rPr>
          <w:rFonts w:hint="eastAsia" w:ascii="宋体" w:hAnsi="宋体" w:cs="宋体"/>
          <w:b/>
          <w:bCs/>
          <w:sz w:val="22"/>
          <w:highlight w:val="none"/>
        </w:rPr>
        <w:t>3.3 投标文件的澄清</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3.3.1 为有助于投标文件的审查、评价和比较，评标期间，经评标委员会中两人以上（含两人）的成员以书面形式提出动议，评标委员会或评标委员会专业评审组应当书面发出澄清通知，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3.3.2 澄清、说明或补正不得超出投标文件的范围且不得改变投标文件的实质性内容，并构成投标文件的组成部分。</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3.3.3 评标委员会对投标人提交的澄清、说明或补正有疑问的，可以要求投标人进一步澄清、说明或补正，直至满足评标委员会的要求。</w:t>
      </w:r>
    </w:p>
    <w:p>
      <w:pPr>
        <w:keepNext/>
        <w:keepLines/>
        <w:spacing w:line="360" w:lineRule="auto"/>
        <w:jc w:val="left"/>
        <w:outlineLvl w:val="2"/>
        <w:rPr>
          <w:rFonts w:ascii="宋体" w:hAnsi="宋体" w:cs="宋体"/>
          <w:b/>
          <w:bCs/>
          <w:sz w:val="22"/>
          <w:highlight w:val="none"/>
        </w:rPr>
      </w:pPr>
      <w:r>
        <w:rPr>
          <w:rFonts w:hint="eastAsia" w:ascii="宋体" w:hAnsi="宋体" w:cs="宋体"/>
          <w:b/>
          <w:bCs/>
          <w:sz w:val="22"/>
          <w:highlight w:val="none"/>
        </w:rPr>
        <w:t>3.4 评标结果</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3.4.1 除第二章“投标人须知”前附表授权直接确定中标人外，评标委员会按照得分由高到低的顺序推荐中标候选人，并标明排序。</w:t>
      </w:r>
    </w:p>
    <w:p>
      <w:pPr>
        <w:spacing w:line="360" w:lineRule="auto"/>
        <w:ind w:firstLine="444" w:firstLineChars="202"/>
        <w:jc w:val="left"/>
        <w:rPr>
          <w:rFonts w:ascii="宋体" w:hAnsi="宋体" w:cs="宋体"/>
          <w:sz w:val="22"/>
          <w:highlight w:val="none"/>
        </w:rPr>
      </w:pPr>
      <w:r>
        <w:rPr>
          <w:rFonts w:hint="eastAsia" w:ascii="宋体" w:hAnsi="宋体" w:cs="宋体"/>
          <w:sz w:val="22"/>
          <w:highlight w:val="none"/>
        </w:rPr>
        <w:t>3.4.2 评标委员会完成评标后，应当向招标人提交书面评标报告和中标候选人名单。</w:t>
      </w: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pStyle w:val="3"/>
        <w:keepNext w:val="0"/>
        <w:keepLines w:val="0"/>
        <w:rPr>
          <w:rFonts w:ascii="宋体" w:hAnsi="宋体" w:eastAsia="宋体" w:cs="宋体"/>
          <w:highlight w:val="none"/>
        </w:rPr>
        <w:sectPr>
          <w:pgSz w:w="11905" w:h="16838"/>
          <w:pgMar w:top="1440" w:right="1425" w:bottom="1440" w:left="1800" w:header="720" w:footer="720" w:gutter="0"/>
          <w:cols w:space="720" w:num="1"/>
          <w:docGrid w:linePitch="286" w:charSpace="0"/>
        </w:sectPr>
      </w:pPr>
      <w:bookmarkStart w:id="186" w:name="_Toc525063257"/>
    </w:p>
    <w:p>
      <w:pPr>
        <w:keepNext/>
        <w:keepLines/>
        <w:adjustRightInd w:val="0"/>
        <w:snapToGrid w:val="0"/>
        <w:spacing w:before="240" w:beforeLines="100" w:after="240" w:afterLines="100"/>
        <w:jc w:val="center"/>
        <w:textAlignment w:val="center"/>
        <w:outlineLvl w:val="0"/>
        <w:rPr>
          <w:rFonts w:ascii="宋体" w:hAnsi="宋体" w:cs="宋体"/>
          <w:highlight w:val="none"/>
        </w:rPr>
      </w:pPr>
      <w:bookmarkStart w:id="187" w:name="_Toc32167"/>
      <w:bookmarkStart w:id="188" w:name="_Toc25859"/>
      <w:bookmarkStart w:id="189" w:name="_Toc17141"/>
      <w:bookmarkStart w:id="190" w:name="_Toc18025"/>
      <w:bookmarkStart w:id="191" w:name="_Toc695"/>
      <w:bookmarkStart w:id="192" w:name="_Toc7907"/>
      <w:bookmarkStart w:id="193" w:name="_Toc22323"/>
      <w:bookmarkStart w:id="194" w:name="_Toc24053"/>
      <w:bookmarkStart w:id="195" w:name="_Toc38224856"/>
      <w:bookmarkStart w:id="196" w:name="_Toc532367884"/>
      <w:r>
        <w:rPr>
          <w:rFonts w:hint="eastAsia" w:ascii="宋体" w:hAnsi="宋体" w:cs="宋体"/>
          <w:b/>
          <w:bCs/>
          <w:sz w:val="44"/>
          <w:szCs w:val="44"/>
          <w:highlight w:val="none"/>
        </w:rPr>
        <w:t>第四章 合同条款及格式</w:t>
      </w:r>
      <w:bookmarkEnd w:id="186"/>
      <w:bookmarkEnd w:id="187"/>
      <w:bookmarkEnd w:id="188"/>
      <w:bookmarkEnd w:id="189"/>
      <w:bookmarkEnd w:id="190"/>
      <w:bookmarkEnd w:id="191"/>
      <w:bookmarkEnd w:id="192"/>
      <w:bookmarkEnd w:id="193"/>
      <w:bookmarkEnd w:id="194"/>
      <w:bookmarkEnd w:id="195"/>
      <w:bookmarkEnd w:id="196"/>
    </w:p>
    <w:p>
      <w:pPr>
        <w:pStyle w:val="8"/>
        <w:keepNext w:val="0"/>
        <w:keepLines w:val="0"/>
        <w:spacing w:before="100" w:beforeAutospacing="1" w:after="100" w:afterAutospacing="1" w:line="360" w:lineRule="auto"/>
        <w:jc w:val="center"/>
        <w:rPr>
          <w:rFonts w:ascii="宋体" w:hAnsi="宋体" w:eastAsia="宋体" w:cs="宋体"/>
          <w:b w:val="0"/>
          <w:sz w:val="36"/>
          <w:szCs w:val="36"/>
          <w:highlight w:val="none"/>
        </w:rPr>
      </w:pPr>
      <w:bookmarkStart w:id="197" w:name="_Toc38224857"/>
      <w:bookmarkStart w:id="198" w:name="_Toc10031"/>
      <w:bookmarkStart w:id="199" w:name="_Toc10037"/>
      <w:r>
        <w:rPr>
          <w:rFonts w:hint="eastAsia" w:ascii="宋体" w:hAnsi="宋体" w:eastAsia="宋体" w:cs="宋体"/>
          <w:b w:val="0"/>
          <w:sz w:val="36"/>
          <w:szCs w:val="36"/>
          <w:highlight w:val="none"/>
        </w:rPr>
        <w:t>另附</w:t>
      </w:r>
    </w:p>
    <w:p>
      <w:pPr>
        <w:rPr>
          <w:rFonts w:ascii="宋体" w:hAnsi="宋体"/>
          <w:sz w:val="36"/>
          <w:szCs w:val="36"/>
          <w:highlight w:val="none"/>
        </w:rPr>
      </w:pPr>
    </w:p>
    <w:p>
      <w:pPr>
        <w:spacing w:line="360" w:lineRule="auto"/>
        <w:ind w:firstLine="482" w:firstLineChars="200"/>
        <w:rPr>
          <w:rFonts w:ascii="宋体" w:hAnsi="宋体"/>
          <w:sz w:val="24"/>
          <w:highlight w:val="none"/>
        </w:rPr>
      </w:pPr>
      <w:r>
        <w:rPr>
          <w:rFonts w:hint="eastAsia" w:ascii="宋体" w:hAnsi="宋体" w:cs="宋体"/>
          <w:b/>
          <w:sz w:val="24"/>
          <w:szCs w:val="24"/>
          <w:highlight w:val="none"/>
        </w:rPr>
        <w:br w:type="page"/>
      </w:r>
    </w:p>
    <w:bookmarkEnd w:id="197"/>
    <w:bookmarkEnd w:id="198"/>
    <w:bookmarkEnd w:id="199"/>
    <w:p>
      <w:pPr>
        <w:keepNext/>
        <w:keepLines/>
        <w:numPr>
          <w:ilvl w:val="0"/>
          <w:numId w:val="5"/>
        </w:numPr>
        <w:tabs>
          <w:tab w:val="center" w:pos="0"/>
        </w:tabs>
        <w:adjustRightInd w:val="0"/>
        <w:snapToGrid w:val="0"/>
        <w:spacing w:before="240" w:beforeLines="100" w:after="240" w:afterLines="100"/>
        <w:jc w:val="center"/>
        <w:textAlignment w:val="center"/>
        <w:outlineLvl w:val="0"/>
        <w:rPr>
          <w:rFonts w:ascii="宋体" w:hAnsi="宋体" w:cs="宋体"/>
          <w:b/>
          <w:bCs/>
          <w:sz w:val="44"/>
          <w:szCs w:val="44"/>
          <w:highlight w:val="none"/>
        </w:rPr>
      </w:pPr>
      <w:bookmarkStart w:id="200" w:name="_Toc31688"/>
      <w:bookmarkStart w:id="201" w:name="_Toc179632787"/>
      <w:bookmarkStart w:id="202" w:name="_Toc246997081"/>
      <w:bookmarkStart w:id="203" w:name="_Toc247085853"/>
      <w:bookmarkStart w:id="204" w:name="_Toc246996338"/>
      <w:r>
        <w:rPr>
          <w:rFonts w:hint="eastAsia" w:ascii="宋体" w:hAnsi="宋体" w:cs="宋体"/>
          <w:b/>
          <w:bCs/>
          <w:sz w:val="44"/>
          <w:szCs w:val="44"/>
          <w:highlight w:val="none"/>
        </w:rPr>
        <w:t>技术要求</w:t>
      </w:r>
      <w:bookmarkEnd w:id="200"/>
    </w:p>
    <w:bookmarkEnd w:id="201"/>
    <w:bookmarkEnd w:id="202"/>
    <w:bookmarkEnd w:id="203"/>
    <w:bookmarkEnd w:id="204"/>
    <w:p>
      <w:pPr>
        <w:keepNext w:val="0"/>
        <w:keepLines w:val="0"/>
        <w:pageBreakBefore w:val="0"/>
        <w:kinsoku/>
        <w:wordWrap/>
        <w:overflowPunct/>
        <w:topLinePunct w:val="0"/>
        <w:bidi w:val="0"/>
        <w:spacing w:line="360" w:lineRule="auto"/>
        <w:jc w:val="center"/>
        <w:textAlignment w:val="auto"/>
        <w:outlineLvl w:val="1"/>
        <w:rPr>
          <w:b/>
          <w:sz w:val="32"/>
          <w:szCs w:val="32"/>
          <w:highlight w:val="none"/>
        </w:rPr>
      </w:pPr>
      <w:bookmarkStart w:id="205" w:name="_Toc530728910"/>
      <w:bookmarkStart w:id="206" w:name="_Toc38224859"/>
      <w:bookmarkStart w:id="207" w:name="_Toc6966"/>
      <w:bookmarkStart w:id="208" w:name="_Toc3296"/>
      <w:bookmarkStart w:id="209" w:name="_Toc525063271"/>
      <w:bookmarkStart w:id="210" w:name="_Toc8956"/>
      <w:bookmarkStart w:id="211" w:name="_Toc25816"/>
      <w:bookmarkStart w:id="212" w:name="_Toc7351"/>
      <w:bookmarkStart w:id="213" w:name="_Toc532367889"/>
      <w:bookmarkStart w:id="214" w:name="_Toc15985"/>
      <w:bookmarkStart w:id="215" w:name="_Toc6928"/>
      <w:r>
        <w:rPr>
          <w:rFonts w:hint="eastAsia"/>
          <w:b/>
          <w:sz w:val="32"/>
          <w:szCs w:val="32"/>
          <w:highlight w:val="none"/>
        </w:rPr>
        <w:t>检测部分</w:t>
      </w:r>
    </w:p>
    <w:bookmarkEnd w:id="205"/>
    <w:p>
      <w:pPr>
        <w:widowControl w:val="0"/>
        <w:autoSpaceDE w:val="0"/>
        <w:autoSpaceDN w:val="0"/>
        <w:adjustRightInd w:val="0"/>
        <w:snapToGrid w:val="0"/>
        <w:spacing w:before="0" w:beforeAutospacing="0" w:after="0" w:afterAutospacing="0" w:line="360" w:lineRule="auto"/>
        <w:ind w:firstLine="482" w:firstLineChars="200"/>
        <w:jc w:val="left"/>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
        </w:rPr>
        <w:t>一、检测工作要求（以招标文件、设计图纸、工程量清单及相关资料为准）</w:t>
      </w:r>
    </w:p>
    <w:p>
      <w:pPr>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360" w:lineRule="auto"/>
        <w:ind w:firstLine="480" w:firstLineChars="200"/>
        <w:jc w:val="left"/>
        <w:textAlignment w:val="auto"/>
        <w:rPr>
          <w:rFonts w:hint="eastAsia" w:ascii="宋体" w:hAnsi="宋体" w:eastAsia="宋体" w:cs="宋体"/>
          <w:color w:val="auto"/>
          <w:kern w:val="28"/>
          <w:sz w:val="24"/>
          <w:szCs w:val="24"/>
          <w:highlight w:val="none"/>
          <w:lang w:val="en-US" w:eastAsia="zh-CN" w:bidi="ar-SA"/>
        </w:rPr>
      </w:pPr>
      <w:r>
        <w:rPr>
          <w:rFonts w:hint="eastAsia" w:ascii="宋体" w:hAnsi="宋体" w:eastAsia="宋体" w:cs="宋体"/>
          <w:snapToGrid w:val="0"/>
          <w:color w:val="auto"/>
          <w:kern w:val="28"/>
          <w:sz w:val="24"/>
          <w:szCs w:val="24"/>
          <w:highlight w:val="none"/>
          <w:lang w:val="en-US" w:eastAsia="zh-CN" w:bidi="ar"/>
        </w:rPr>
        <w:t>1、中标人的检测工作必须满足国家、广东省、广州市相关检测规范、强制性标准。</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2、中标人除按要求完成本次招标范围内的检测工作外，还应完成以下工作：</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（1）与工程所在行政区域的相关建设行政主管部门和监督部门进行检测工作的协调，申报检测技术成果的审批，保证技术成果能够通过相关部门认可，确保不因检测工作影响本工程项目的建设进度和竣工验收。</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（2）在进行检测任务的过程中与该工程相关的项目管理单位、施工单位、监理单位、设计单位、建设主管部门等相关单位的协调工作。</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（3）负责检测数据的有关信息通过广州市建设工程质量检测监管信息网报送，中标人已在合同清单单价中综合考虑该项协调工作费用。</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4）根据设计文件、施工组织设计、相关规范和相关行政职能部门要求和甲方要求，结合项目实际情况，编制检测方案，并确保检测方案符合有关规范要求及通过工程所在行政区域的相关建设行政主管部门和监督部门的审批，同时负责协调相关工作，保证技术成果能够通过相关部门认可，确保不因检测工作影响本工程项目的建设进度和竣工验收。</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5）本项目实施期间，如果因本项目验收需要，按规范和经批准的检测方案，经甲方确认需增加《工程量清单》中没有的项目，且乙方也具备相应资质，则乙方不得以任何原因拒绝为甲方提供检测，并按要求出具符合验收要求的检测报告。乙方检测资质不能涵盖的项目由乙方委托有资质的相应单位实施，并取得相应管理部门的确认。</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（6）在进行检测服务过程中，与该工程相关的施工、监理、设计、咨询等相关单位及建设协调行政主管部门和监督部门协调，投标人需在投标报价中综合考虑该项协调工作费用。</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（7）清单中已包含监督抽检的工程量，监督抽检按建设行政主管部门要求实施，投标人需在投标报价中综合考虑该项费用。</w:t>
      </w:r>
    </w:p>
    <w:p>
      <w:pPr>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360" w:lineRule="auto"/>
        <w:ind w:firstLine="482" w:firstLineChars="200"/>
        <w:jc w:val="left"/>
        <w:textAlignment w:val="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
        </w:rPr>
        <w:t>二、检测设备要求</w:t>
      </w:r>
    </w:p>
    <w:p>
      <w:pPr>
        <w:keepNext w:val="0"/>
        <w:keepLines w:val="0"/>
        <w:pageBreakBefore w:val="0"/>
        <w:tabs>
          <w:tab w:val="left" w:pos="0"/>
          <w:tab w:val="left" w:pos="360"/>
          <w:tab w:val="left" w:pos="1260"/>
          <w:tab w:val="left" w:pos="1440"/>
        </w:tabs>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kern w:val="28"/>
          <w:sz w:val="24"/>
          <w:szCs w:val="24"/>
          <w:highlight w:val="none"/>
        </w:rPr>
      </w:pPr>
      <w:r>
        <w:rPr>
          <w:rFonts w:hint="eastAsia" w:ascii="宋体" w:hAnsi="宋体" w:eastAsia="宋体" w:cs="宋体"/>
          <w:snapToGrid w:val="0"/>
          <w:color w:val="auto"/>
          <w:kern w:val="28"/>
          <w:sz w:val="24"/>
          <w:szCs w:val="24"/>
          <w:highlight w:val="none"/>
          <w:lang w:bidi="ar"/>
        </w:rPr>
        <w:t>用于完成本项目检测的仪器、设备和材料由承包人自行运输，存管。仪器、设备和材料应有产品出厂合格证，检定</w:t>
      </w:r>
      <w:r>
        <w:rPr>
          <w:rFonts w:hint="eastAsia" w:ascii="宋体" w:hAnsi="宋体" w:eastAsia="宋体" w:cs="宋体"/>
          <w:color w:val="auto"/>
          <w:kern w:val="28"/>
          <w:sz w:val="24"/>
          <w:szCs w:val="24"/>
          <w:highlight w:val="none"/>
          <w:lang w:bidi="ar"/>
        </w:rPr>
        <w:t>/</w:t>
      </w:r>
      <w:r>
        <w:rPr>
          <w:rFonts w:hint="eastAsia" w:ascii="宋体" w:hAnsi="宋体" w:eastAsia="宋体" w:cs="宋体"/>
          <w:snapToGrid w:val="0"/>
          <w:color w:val="auto"/>
          <w:kern w:val="28"/>
          <w:sz w:val="24"/>
          <w:szCs w:val="24"/>
          <w:highlight w:val="none"/>
          <w:lang w:bidi="ar"/>
        </w:rPr>
        <w:t>校准证书，同时符合相关技术标准和检定要求。本项目应遵守广州市建设科学技术委员会等相关部门对本工程的相关批示及指导意见执行。</w:t>
      </w:r>
    </w:p>
    <w:p>
      <w:pPr>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360" w:lineRule="auto"/>
        <w:ind w:firstLine="482" w:firstLineChars="200"/>
        <w:jc w:val="left"/>
        <w:textAlignment w:val="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
        </w:rPr>
        <w:t>三、检测方案编制要求</w:t>
      </w:r>
    </w:p>
    <w:p>
      <w:pPr>
        <w:keepNext w:val="0"/>
        <w:keepLines w:val="0"/>
        <w:pageBreakBefore w:val="0"/>
        <w:kinsoku/>
        <w:wordWrap/>
        <w:overflowPunct/>
        <w:topLinePunct w:val="0"/>
        <w:bidi w:val="0"/>
        <w:spacing w:line="360" w:lineRule="auto"/>
        <w:jc w:val="left"/>
        <w:textAlignment w:val="auto"/>
        <w:rPr>
          <w:rFonts w:hint="eastAsia" w:ascii="宋体" w:hAnsi="宋体" w:eastAsia="宋体" w:cs="宋体"/>
          <w:snapToGrid w:val="0"/>
          <w:color w:val="auto"/>
          <w:kern w:val="28"/>
          <w:sz w:val="24"/>
          <w:szCs w:val="24"/>
          <w:highlight w:val="none"/>
          <w:lang w:bidi="ar"/>
        </w:rPr>
      </w:pPr>
      <w:r>
        <w:rPr>
          <w:rFonts w:hint="eastAsia" w:ascii="宋体" w:hAnsi="宋体" w:eastAsia="宋体" w:cs="宋体"/>
          <w:snapToGrid w:val="0"/>
          <w:color w:val="auto"/>
          <w:kern w:val="28"/>
          <w:sz w:val="24"/>
          <w:szCs w:val="24"/>
          <w:highlight w:val="none"/>
          <w:lang w:val="en-US" w:eastAsia="zh-CN" w:bidi="ar"/>
        </w:rPr>
        <w:t xml:space="preserve">   </w:t>
      </w:r>
      <w:r>
        <w:rPr>
          <w:rFonts w:hint="eastAsia" w:ascii="宋体" w:hAnsi="宋体" w:eastAsia="宋体" w:cs="宋体"/>
          <w:snapToGrid w:val="0"/>
          <w:color w:val="auto"/>
          <w:kern w:val="28"/>
          <w:sz w:val="24"/>
          <w:szCs w:val="24"/>
          <w:highlight w:val="none"/>
          <w:lang w:bidi="ar"/>
        </w:rPr>
        <w:t>中标人在进场检测前，需根据施工图纸及现场实际情况编制检测方案，并报监理工程师、招标人、项目所在行政区域的相关建设行政主管部门和监督部门等审批同意后实施。检测方案必须满足设计文件以及国家、广东省及广州市监督部门现行技术规范的要求。</w:t>
      </w:r>
    </w:p>
    <w:p>
      <w:pPr>
        <w:keepNext w:val="0"/>
        <w:keepLines w:val="0"/>
        <w:pageBreakBefore w:val="0"/>
        <w:kinsoku/>
        <w:wordWrap/>
        <w:overflowPunct/>
        <w:topLinePunct w:val="0"/>
        <w:bidi w:val="0"/>
        <w:spacing w:line="360" w:lineRule="auto"/>
        <w:jc w:val="left"/>
        <w:textAlignment w:val="auto"/>
        <w:rPr>
          <w:rFonts w:hint="eastAsia" w:ascii="宋体" w:hAnsi="宋体" w:eastAsia="宋体" w:cs="宋体"/>
          <w:snapToGrid w:val="0"/>
          <w:color w:val="auto"/>
          <w:kern w:val="28"/>
          <w:sz w:val="24"/>
          <w:szCs w:val="24"/>
          <w:highlight w:val="none"/>
          <w:lang w:bidi="ar"/>
        </w:rPr>
      </w:pPr>
    </w:p>
    <w:p>
      <w:pPr>
        <w:keepNext w:val="0"/>
        <w:keepLines w:val="0"/>
        <w:pageBreakBefore w:val="0"/>
        <w:kinsoku/>
        <w:wordWrap/>
        <w:overflowPunct/>
        <w:topLinePunct w:val="0"/>
        <w:bidi w:val="0"/>
        <w:spacing w:line="360" w:lineRule="auto"/>
        <w:jc w:val="center"/>
        <w:textAlignment w:val="auto"/>
        <w:rPr>
          <w:rFonts w:ascii="Times New Roman" w:eastAsia="宋体"/>
          <w:b/>
          <w:sz w:val="32"/>
          <w:szCs w:val="32"/>
          <w:highlight w:val="none"/>
        </w:rPr>
      </w:pPr>
      <w:r>
        <w:rPr>
          <w:rFonts w:hint="eastAsia" w:ascii="Times New Roman" w:eastAsia="宋体"/>
          <w:b/>
          <w:sz w:val="32"/>
          <w:szCs w:val="32"/>
          <w:highlight w:val="none"/>
        </w:rPr>
        <w:t>监测部分</w:t>
      </w:r>
    </w:p>
    <w:p>
      <w:pPr>
        <w:pStyle w:val="305"/>
        <w:keepNext w:val="0"/>
        <w:keepLines w:val="0"/>
        <w:pageBreakBefore w:val="0"/>
        <w:numPr>
          <w:ilvl w:val="0"/>
          <w:numId w:val="0"/>
        </w:numPr>
        <w:kinsoku/>
        <w:wordWrap/>
        <w:overflowPunct/>
        <w:topLinePunct w:val="0"/>
        <w:bidi w:val="0"/>
        <w:snapToGrid w:val="0"/>
        <w:spacing w:line="360" w:lineRule="auto"/>
        <w:ind w:firstLine="482" w:firstLineChars="200"/>
        <w:textAlignment w:val="auto"/>
        <w:rPr>
          <w:rFonts w:hint="eastAsia" w:ascii="宋体" w:hAnsi="宋体" w:eastAsia="宋体" w:cs="宋体"/>
          <w:b/>
          <w:bCs/>
          <w:color w:val="auto"/>
          <w:kern w:val="2"/>
          <w:sz w:val="24"/>
          <w:szCs w:val="24"/>
          <w:highlight w:val="none"/>
          <w:lang w:val="en-US" w:eastAsia="zh-CN" w:bidi="ar"/>
        </w:rPr>
      </w:pPr>
      <w:r>
        <w:rPr>
          <w:rFonts w:hint="eastAsia" w:ascii="宋体" w:hAnsi="宋体" w:eastAsia="宋体" w:cs="宋体"/>
          <w:b/>
          <w:color w:val="auto"/>
          <w:sz w:val="24"/>
          <w:szCs w:val="24"/>
          <w:highlight w:val="none"/>
          <w:lang w:val="en-US" w:eastAsia="zh-CN" w:bidi="ar"/>
        </w:rPr>
        <w:t>一</w:t>
      </w:r>
      <w:r>
        <w:rPr>
          <w:rFonts w:hint="eastAsia" w:ascii="宋体" w:hAnsi="宋体" w:eastAsia="宋体" w:cs="宋体"/>
          <w:b/>
          <w:color w:val="auto"/>
          <w:sz w:val="24"/>
          <w:szCs w:val="24"/>
          <w:highlight w:val="none"/>
          <w:lang w:bidi="ar"/>
        </w:rPr>
        <w:t>、</w:t>
      </w:r>
      <w:r>
        <w:rPr>
          <w:rFonts w:hint="eastAsia" w:ascii="宋体" w:hAnsi="宋体" w:eastAsia="宋体" w:cs="宋体"/>
          <w:b/>
          <w:bCs/>
          <w:color w:val="auto"/>
          <w:kern w:val="2"/>
          <w:sz w:val="24"/>
          <w:szCs w:val="24"/>
          <w:highlight w:val="none"/>
          <w:lang w:val="en-US" w:eastAsia="zh-CN" w:bidi="ar"/>
        </w:rPr>
        <w:t>主要使用的监测规范</w:t>
      </w:r>
    </w:p>
    <w:p>
      <w:pPr>
        <w:pStyle w:val="305"/>
        <w:keepNext w:val="0"/>
        <w:keepLines w:val="0"/>
        <w:pageBreakBefore w:val="0"/>
        <w:numPr>
          <w:ilvl w:val="0"/>
          <w:numId w:val="0"/>
        </w:numPr>
        <w:kinsoku/>
        <w:wordWrap/>
        <w:overflowPunct/>
        <w:topLinePunct w:val="0"/>
        <w:bidi w:val="0"/>
        <w:snapToGrid w:val="0"/>
        <w:spacing w:line="360" w:lineRule="auto"/>
        <w:ind w:firstLine="480" w:firstLineChars="200"/>
        <w:textAlignment w:val="auto"/>
        <w:rPr>
          <w:rFonts w:ascii="宋体" w:hAnsi="宋体" w:eastAsia="宋体"/>
          <w:snapToGrid w:val="0"/>
          <w:kern w:val="28"/>
          <w:sz w:val="24"/>
          <w:szCs w:val="24"/>
          <w:highlight w:val="none"/>
        </w:rPr>
      </w:pPr>
      <w:r>
        <w:rPr>
          <w:rFonts w:hint="eastAsia" w:ascii="宋体" w:hAnsi="宋体" w:eastAsia="宋体"/>
          <w:snapToGrid w:val="0"/>
          <w:kern w:val="28"/>
          <w:sz w:val="24"/>
          <w:szCs w:val="24"/>
          <w:highlight w:val="none"/>
        </w:rPr>
        <w:t>中标人的监测工作必须满足国家、广东省、广州市相关监测规范、强制性标准。</w:t>
      </w:r>
    </w:p>
    <w:p>
      <w:pPr>
        <w:keepNext w:val="0"/>
        <w:keepLines w:val="0"/>
        <w:pageBreakBefore w:val="0"/>
        <w:widowControl/>
        <w:kinsoku/>
        <w:wordWrap/>
        <w:overflowPunct/>
        <w:topLinePunct w:val="0"/>
        <w:bidi w:val="0"/>
        <w:adjustRightInd w:val="0"/>
        <w:snapToGrid w:val="0"/>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bidi="ar"/>
        </w:rPr>
        <w:t>二、现场作业计划</w:t>
      </w:r>
    </w:p>
    <w:p>
      <w:pPr>
        <w:keepNext w:val="0"/>
        <w:keepLines w:val="0"/>
        <w:pageBreakBefore w:val="0"/>
        <w:widowControl/>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监测人应在开展工作前向监理人报备作业计划，计划应包括作业内容及作业时间；完成后1个工作日内出具观测简报一式三份；全部观测结束后，5个工作日内完成监测总结报告，并招标人提交一式十份成果报告。现场监测要求：监测人应严格按照设计要求及报备的作业计划执行监测工作，并按照工程建设需要，配合招标人、监理人及时到赴现场进行监测工作。</w:t>
      </w:r>
    </w:p>
    <w:p>
      <w:pPr>
        <w:widowControl w:val="0"/>
        <w:autoSpaceDE w:val="0"/>
        <w:autoSpaceDN w:val="0"/>
        <w:adjustRightInd w:val="0"/>
        <w:snapToGrid w:val="0"/>
        <w:spacing w:before="0" w:beforeAutospacing="0" w:after="0" w:afterAutospacing="0" w:line="360" w:lineRule="auto"/>
        <w:ind w:firstLine="482" w:firstLineChars="200"/>
        <w:jc w:val="left"/>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szCs w:val="24"/>
          <w:highlight w:val="none"/>
          <w:lang w:bidi="ar"/>
        </w:rPr>
        <w:t>三、监测、观测频率和要求</w:t>
      </w:r>
      <w:r>
        <w:rPr>
          <w:rFonts w:hint="eastAsia" w:ascii="宋体" w:hAnsi="宋体" w:eastAsia="宋体" w:cs="宋体"/>
          <w:b/>
          <w:color w:val="auto"/>
          <w:kern w:val="2"/>
          <w:sz w:val="24"/>
          <w:szCs w:val="24"/>
          <w:highlight w:val="none"/>
          <w:lang w:val="en-US" w:eastAsia="zh-CN" w:bidi="ar"/>
        </w:rPr>
        <w:t>（以招标文件、设计图纸、工程量清单及相关资料为准）</w:t>
      </w:r>
    </w:p>
    <w:p>
      <w:pPr>
        <w:keepNext w:val="0"/>
        <w:keepLines w:val="0"/>
        <w:pageBreakBefore w:val="0"/>
        <w:widowControl/>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 xml:space="preserve">1.须编制具体监测方案，监测频率满足设计以及相关规范要求。 </w:t>
      </w:r>
    </w:p>
    <w:p>
      <w:pPr>
        <w:keepNext w:val="0"/>
        <w:keepLines w:val="0"/>
        <w:pageBreakBefore w:val="0"/>
        <w:widowControl/>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2.当变形超过有关标准或场地条件变化较大时，应加密观测，并通报监理人及招标人。</w:t>
      </w:r>
    </w:p>
    <w:p>
      <w:pPr>
        <w:keepNext w:val="0"/>
        <w:keepLines w:val="0"/>
        <w:pageBreakBefore w:val="0"/>
        <w:widowControl/>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3.当有危险事故征兆时，应进行连续监测，并向监理人及招标人作书面汇报。</w:t>
      </w:r>
    </w:p>
    <w:p>
      <w:pPr>
        <w:keepNext w:val="0"/>
        <w:keepLines w:val="0"/>
        <w:pageBreakBefore w:val="0"/>
        <w:widowControl/>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4.监测人应严格按照设计要求及监理人要求，及时到现场进行工作。</w:t>
      </w:r>
    </w:p>
    <w:p>
      <w:pPr>
        <w:keepNext w:val="0"/>
        <w:keepLines w:val="0"/>
        <w:pageBreakBefore w:val="0"/>
        <w:widowControl/>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5.监测工作应有完整的原始记录表、数据报表、图形和曲线等资料。</w:t>
      </w:r>
    </w:p>
    <w:p>
      <w:pPr>
        <w:keepNext w:val="0"/>
        <w:keepLines w:val="0"/>
        <w:pageBreakBefore w:val="0"/>
        <w:widowControl/>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6.工程出现质量隐患时，必须立即上报监理人及招标人，因监测人未及时上报情况，而造成安全事故的，中标监测人需负全部责任，对招标人造成损失的，应赔偿该部分费用。</w:t>
      </w:r>
    </w:p>
    <w:p>
      <w:pPr>
        <w:keepNext w:val="0"/>
        <w:keepLines w:val="0"/>
        <w:pageBreakBefore w:val="0"/>
        <w:widowControl/>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7.发生险情时，中标监测人收到监理人或招标人通知后的2个小时内必须派专人赶至施工现场。</w:t>
      </w:r>
    </w:p>
    <w:p>
      <w:pPr>
        <w:keepNext w:val="0"/>
        <w:keepLines w:val="0"/>
        <w:pageBreakBefore w:val="0"/>
        <w:widowControl/>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kern w:val="28"/>
          <w:sz w:val="24"/>
          <w:szCs w:val="24"/>
          <w:highlight w:val="none"/>
        </w:rPr>
      </w:pPr>
      <w:r>
        <w:rPr>
          <w:rFonts w:hint="eastAsia" w:ascii="宋体" w:hAnsi="宋体" w:eastAsia="宋体" w:cs="宋体"/>
          <w:color w:val="auto"/>
          <w:sz w:val="24"/>
          <w:szCs w:val="24"/>
          <w:highlight w:val="none"/>
          <w:lang w:bidi="ar"/>
        </w:rPr>
        <w:t>8.</w:t>
      </w:r>
      <w:r>
        <w:rPr>
          <w:rFonts w:hint="eastAsia" w:ascii="宋体" w:hAnsi="宋体" w:eastAsia="宋体" w:cs="宋体"/>
          <w:snapToGrid w:val="0"/>
          <w:color w:val="auto"/>
          <w:kern w:val="28"/>
          <w:sz w:val="24"/>
          <w:szCs w:val="24"/>
          <w:highlight w:val="none"/>
          <w:lang w:bidi="ar"/>
        </w:rPr>
        <w:t>监测设备要求：用于完成本项目监测的仪器</w:t>
      </w:r>
      <w:r>
        <w:rPr>
          <w:rFonts w:hint="eastAsia" w:ascii="宋体" w:hAnsi="宋体" w:eastAsia="宋体" w:cs="宋体"/>
          <w:color w:val="auto"/>
          <w:kern w:val="28"/>
          <w:sz w:val="24"/>
          <w:szCs w:val="24"/>
          <w:highlight w:val="none"/>
          <w:lang w:bidi="ar"/>
        </w:rPr>
        <w:t>.</w:t>
      </w:r>
      <w:r>
        <w:rPr>
          <w:rFonts w:hint="eastAsia" w:ascii="宋体" w:hAnsi="宋体" w:eastAsia="宋体" w:cs="宋体"/>
          <w:snapToGrid w:val="0"/>
          <w:color w:val="auto"/>
          <w:kern w:val="28"/>
          <w:sz w:val="24"/>
          <w:szCs w:val="24"/>
          <w:highlight w:val="none"/>
          <w:lang w:bidi="ar"/>
        </w:rPr>
        <w:t>设备和材料由监测人自行运输，存管。仪器、设备和材料应有产品出厂合格证，检定</w:t>
      </w:r>
      <w:r>
        <w:rPr>
          <w:rFonts w:hint="eastAsia" w:ascii="宋体" w:hAnsi="宋体" w:eastAsia="宋体" w:cs="宋体"/>
          <w:color w:val="auto"/>
          <w:kern w:val="28"/>
          <w:sz w:val="24"/>
          <w:szCs w:val="24"/>
          <w:highlight w:val="none"/>
          <w:lang w:bidi="ar"/>
        </w:rPr>
        <w:t>/</w:t>
      </w:r>
      <w:r>
        <w:rPr>
          <w:rFonts w:hint="eastAsia" w:ascii="宋体" w:hAnsi="宋体" w:eastAsia="宋体" w:cs="宋体"/>
          <w:snapToGrid w:val="0"/>
          <w:color w:val="auto"/>
          <w:kern w:val="28"/>
          <w:sz w:val="24"/>
          <w:szCs w:val="24"/>
          <w:highlight w:val="none"/>
          <w:lang w:bidi="ar"/>
        </w:rPr>
        <w:t>校准证书，同时符合相关技术标准和检定要求。</w:t>
      </w:r>
    </w:p>
    <w:p>
      <w:pPr>
        <w:keepNext w:val="0"/>
        <w:keepLines w:val="0"/>
        <w:pageBreakBefore w:val="0"/>
        <w:widowControl/>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kern w:val="28"/>
          <w:sz w:val="24"/>
          <w:szCs w:val="24"/>
          <w:highlight w:val="none"/>
        </w:rPr>
      </w:pPr>
      <w:r>
        <w:rPr>
          <w:rFonts w:hint="eastAsia" w:ascii="宋体" w:hAnsi="宋体" w:eastAsia="宋体" w:cs="宋体"/>
          <w:snapToGrid w:val="0"/>
          <w:color w:val="auto"/>
          <w:kern w:val="28"/>
          <w:sz w:val="24"/>
          <w:szCs w:val="24"/>
          <w:highlight w:val="none"/>
          <w:lang w:bidi="ar"/>
        </w:rPr>
        <w:t xml:space="preserve">9.监测人在进场监测前，需根据经招标人确认的监测图纸及现场实际情况编制服务方案，并报监理人、招标人、项目所在行政区域的相关建设行政主管部门和监督部门等，经审批同意后组织实施。监测方案必须满足设计文件以及国家、广东省及广州市监督部门现行技术规范的要求。 </w:t>
      </w:r>
    </w:p>
    <w:p>
      <w:pPr>
        <w:keepNext w:val="0"/>
        <w:keepLines w:val="0"/>
        <w:pageBreakBefore w:val="0"/>
        <w:widowControl/>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kern w:val="28"/>
          <w:sz w:val="24"/>
          <w:szCs w:val="24"/>
          <w:highlight w:val="none"/>
        </w:rPr>
      </w:pPr>
      <w:r>
        <w:rPr>
          <w:rFonts w:hint="eastAsia" w:ascii="宋体" w:hAnsi="宋体" w:eastAsia="宋体" w:cs="宋体"/>
          <w:snapToGrid w:val="0"/>
          <w:color w:val="auto"/>
          <w:kern w:val="28"/>
          <w:sz w:val="24"/>
          <w:szCs w:val="24"/>
          <w:highlight w:val="none"/>
          <w:lang w:bidi="ar"/>
        </w:rPr>
        <w:t>10.监测成果提交</w:t>
      </w:r>
    </w:p>
    <w:p>
      <w:pPr>
        <w:keepNext w:val="0"/>
        <w:keepLines w:val="0"/>
        <w:pageBreakBefore w:val="0"/>
        <w:widowControl/>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kern w:val="28"/>
          <w:sz w:val="24"/>
          <w:szCs w:val="24"/>
          <w:highlight w:val="none"/>
        </w:rPr>
      </w:pPr>
      <w:r>
        <w:rPr>
          <w:rFonts w:hint="eastAsia" w:ascii="宋体" w:hAnsi="宋体" w:eastAsia="宋体" w:cs="宋体"/>
          <w:snapToGrid w:val="0"/>
          <w:color w:val="auto"/>
          <w:kern w:val="28"/>
          <w:sz w:val="24"/>
          <w:szCs w:val="24"/>
          <w:highlight w:val="none"/>
          <w:lang w:bidi="ar"/>
        </w:rPr>
        <w:t xml:space="preserve">监测成果的提交分为电子数据和纸质成果，电子数据在监测完成后以电子邮件的形式发送，需确保不因传输报送工作影响本工程项目的建设进度和竣工验收。监测成果分为日报表、阶段报表（周、月报）和完成时提供的监测总报告。每次监测完成时提供监测日报表，报表主要内容组成如下： </w:t>
      </w:r>
    </w:p>
    <w:p>
      <w:pPr>
        <w:keepNext w:val="0"/>
        <w:keepLines w:val="0"/>
        <w:pageBreakBefore w:val="0"/>
        <w:widowControl/>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kern w:val="28"/>
          <w:sz w:val="24"/>
          <w:szCs w:val="24"/>
          <w:highlight w:val="none"/>
        </w:rPr>
      </w:pPr>
      <w:r>
        <w:rPr>
          <w:rFonts w:hint="eastAsia" w:ascii="宋体" w:hAnsi="宋体" w:eastAsia="宋体" w:cs="宋体"/>
          <w:snapToGrid w:val="0"/>
          <w:color w:val="auto"/>
          <w:kern w:val="28"/>
          <w:sz w:val="24"/>
          <w:szCs w:val="24"/>
          <w:highlight w:val="none"/>
          <w:lang w:bidi="ar"/>
        </w:rPr>
        <w:t>（</w:t>
      </w:r>
      <w:r>
        <w:rPr>
          <w:rFonts w:hint="eastAsia" w:ascii="宋体" w:hAnsi="宋体" w:eastAsia="宋体" w:cs="宋体"/>
          <w:color w:val="auto"/>
          <w:kern w:val="28"/>
          <w:sz w:val="24"/>
          <w:szCs w:val="24"/>
          <w:highlight w:val="none"/>
          <w:lang w:bidi="ar"/>
        </w:rPr>
        <w:t>1</w:t>
      </w:r>
      <w:r>
        <w:rPr>
          <w:rFonts w:hint="eastAsia" w:ascii="宋体" w:hAnsi="宋体" w:eastAsia="宋体" w:cs="宋体"/>
          <w:snapToGrid w:val="0"/>
          <w:color w:val="auto"/>
          <w:kern w:val="28"/>
          <w:sz w:val="24"/>
          <w:szCs w:val="24"/>
          <w:highlight w:val="none"/>
          <w:lang w:bidi="ar"/>
        </w:rPr>
        <w:t>）监测项目测点布置示意图；</w:t>
      </w:r>
    </w:p>
    <w:p>
      <w:pPr>
        <w:keepNext w:val="0"/>
        <w:keepLines w:val="0"/>
        <w:pageBreakBefore w:val="0"/>
        <w:widowControl/>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kern w:val="28"/>
          <w:sz w:val="24"/>
          <w:szCs w:val="24"/>
          <w:highlight w:val="none"/>
        </w:rPr>
      </w:pPr>
      <w:r>
        <w:rPr>
          <w:rFonts w:hint="eastAsia" w:ascii="宋体" w:hAnsi="宋体" w:eastAsia="宋体" w:cs="宋体"/>
          <w:snapToGrid w:val="0"/>
          <w:color w:val="auto"/>
          <w:kern w:val="28"/>
          <w:sz w:val="24"/>
          <w:szCs w:val="24"/>
          <w:highlight w:val="none"/>
          <w:lang w:bidi="ar"/>
        </w:rPr>
        <w:t>（</w:t>
      </w:r>
      <w:r>
        <w:rPr>
          <w:rFonts w:hint="eastAsia" w:ascii="宋体" w:hAnsi="宋体" w:eastAsia="宋体" w:cs="宋体"/>
          <w:color w:val="auto"/>
          <w:kern w:val="28"/>
          <w:sz w:val="24"/>
          <w:szCs w:val="24"/>
          <w:highlight w:val="none"/>
          <w:lang w:bidi="ar"/>
        </w:rPr>
        <w:t>2</w:t>
      </w:r>
      <w:r>
        <w:rPr>
          <w:rFonts w:hint="eastAsia" w:ascii="宋体" w:hAnsi="宋体" w:eastAsia="宋体" w:cs="宋体"/>
          <w:snapToGrid w:val="0"/>
          <w:color w:val="auto"/>
          <w:kern w:val="28"/>
          <w:sz w:val="24"/>
          <w:szCs w:val="24"/>
          <w:highlight w:val="none"/>
          <w:lang w:bidi="ar"/>
        </w:rPr>
        <w:t>）监测项目监测数据的分析与说明；</w:t>
      </w:r>
    </w:p>
    <w:p>
      <w:pPr>
        <w:keepNext w:val="0"/>
        <w:keepLines w:val="0"/>
        <w:pageBreakBefore w:val="0"/>
        <w:widowControl/>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kern w:val="28"/>
          <w:sz w:val="24"/>
          <w:szCs w:val="24"/>
          <w:highlight w:val="none"/>
        </w:rPr>
      </w:pPr>
      <w:r>
        <w:rPr>
          <w:rFonts w:hint="eastAsia" w:ascii="宋体" w:hAnsi="宋体" w:eastAsia="宋体" w:cs="宋体"/>
          <w:snapToGrid w:val="0"/>
          <w:color w:val="auto"/>
          <w:kern w:val="28"/>
          <w:sz w:val="24"/>
          <w:szCs w:val="24"/>
          <w:highlight w:val="none"/>
          <w:lang w:bidi="ar"/>
        </w:rPr>
        <w:t>（</w:t>
      </w:r>
      <w:r>
        <w:rPr>
          <w:rFonts w:hint="eastAsia" w:ascii="宋体" w:hAnsi="宋体" w:eastAsia="宋体" w:cs="宋体"/>
          <w:color w:val="auto"/>
          <w:kern w:val="28"/>
          <w:sz w:val="24"/>
          <w:szCs w:val="24"/>
          <w:highlight w:val="none"/>
          <w:lang w:bidi="ar"/>
        </w:rPr>
        <w:t>3</w:t>
      </w:r>
      <w:r>
        <w:rPr>
          <w:rFonts w:hint="eastAsia" w:ascii="宋体" w:hAnsi="宋体" w:eastAsia="宋体" w:cs="宋体"/>
          <w:snapToGrid w:val="0"/>
          <w:color w:val="auto"/>
          <w:kern w:val="28"/>
          <w:sz w:val="24"/>
          <w:szCs w:val="24"/>
          <w:highlight w:val="none"/>
          <w:lang w:bidi="ar"/>
        </w:rPr>
        <w:t>）监测项目监测值数据变化表及变化曲线。</w:t>
      </w:r>
    </w:p>
    <w:p>
      <w:pPr>
        <w:keepNext w:val="0"/>
        <w:keepLines w:val="0"/>
        <w:pageBreakBefore w:val="0"/>
        <w:widowControl/>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kern w:val="28"/>
          <w:sz w:val="24"/>
          <w:szCs w:val="24"/>
          <w:highlight w:val="none"/>
        </w:rPr>
      </w:pPr>
      <w:r>
        <w:rPr>
          <w:rFonts w:hint="eastAsia" w:ascii="宋体" w:hAnsi="宋体" w:eastAsia="宋体" w:cs="宋体"/>
          <w:snapToGrid w:val="0"/>
          <w:color w:val="auto"/>
          <w:kern w:val="28"/>
          <w:sz w:val="24"/>
          <w:szCs w:val="24"/>
          <w:highlight w:val="none"/>
          <w:lang w:bidi="ar"/>
        </w:rPr>
        <w:t>11.本技术要求未说明事项，均按现行国家及地方的相关法律、规范和规定、行业标准等实施。</w:t>
      </w:r>
    </w:p>
    <w:p>
      <w:pPr>
        <w:keepNext w:val="0"/>
        <w:keepLines w:val="0"/>
        <w:pageBreakBefore w:val="0"/>
        <w:widowControl/>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kern w:val="28"/>
          <w:sz w:val="24"/>
          <w:szCs w:val="24"/>
          <w:highlight w:val="none"/>
        </w:rPr>
      </w:pPr>
      <w:r>
        <w:rPr>
          <w:rFonts w:hint="eastAsia" w:ascii="宋体" w:hAnsi="宋体" w:eastAsia="宋体" w:cs="宋体"/>
          <w:snapToGrid w:val="0"/>
          <w:color w:val="auto"/>
          <w:kern w:val="28"/>
          <w:sz w:val="24"/>
          <w:szCs w:val="24"/>
          <w:highlight w:val="none"/>
          <w:lang w:bidi="ar"/>
        </w:rPr>
        <w:t>12.中标单位需配合做好信息化管理工作。</w:t>
      </w:r>
    </w:p>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b/>
          <w:color w:val="auto"/>
          <w:sz w:val="24"/>
          <w:szCs w:val="24"/>
          <w:highlight w:val="none"/>
        </w:rPr>
      </w:pPr>
      <w:r>
        <w:rPr>
          <w:rFonts w:ascii="宋体" w:hAnsi="宋体" w:eastAsia="宋体" w:cs="宋体"/>
          <w:snapToGrid w:val="0"/>
          <w:color w:val="auto"/>
          <w:kern w:val="28"/>
          <w:sz w:val="24"/>
          <w:szCs w:val="24"/>
          <w:highlight w:val="none"/>
          <w:lang w:bidi="ar"/>
        </w:rPr>
        <w:t xml:space="preserve">    </w:t>
      </w:r>
      <w:r>
        <w:rPr>
          <w:rFonts w:hint="eastAsia" w:ascii="宋体" w:hAnsi="宋体" w:eastAsia="宋体" w:cs="宋体"/>
          <w:b/>
          <w:color w:val="auto"/>
          <w:sz w:val="24"/>
          <w:szCs w:val="24"/>
          <w:highlight w:val="none"/>
          <w:lang w:bidi="ar"/>
        </w:rPr>
        <w:t>四、其它要求</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1、中标人根据工程实际情况，完善深化中标监测方案，并报相关部门审批，按审批通过的方案实施监测工作。</w:t>
      </w:r>
    </w:p>
    <w:p>
      <w:pPr>
        <w:numPr>
          <w:ilvl w:val="0"/>
          <w:numId w:val="0"/>
        </w:numPr>
        <w:spacing w:before="240" w:beforeLines="100" w:after="120" w:afterLines="50" w:line="360" w:lineRule="auto"/>
        <w:ind w:firstLine="480" w:firstLineChars="200"/>
        <w:rPr>
          <w:rFonts w:ascii="宋体" w:hAnsi="宋体" w:cs="宋体"/>
          <w:sz w:val="24"/>
          <w:szCs w:val="24"/>
          <w:highlight w:val="none"/>
        </w:rPr>
      </w:pPr>
      <w:r>
        <w:rPr>
          <w:rFonts w:hint="eastAsia" w:ascii="宋体" w:hAnsi="宋体" w:eastAsia="宋体" w:cs="宋体"/>
          <w:b w:val="0"/>
          <w:bCs w:val="0"/>
          <w:color w:val="auto"/>
          <w:kern w:val="0"/>
          <w:sz w:val="24"/>
          <w:szCs w:val="24"/>
          <w:highlight w:val="none"/>
          <w:lang w:val="en-US" w:eastAsia="zh-CN" w:bidi="ar"/>
        </w:rPr>
        <w:t>2、工程量清单的具体监测范围及频率以相关主管部门规定及招标人要求为准。</w:t>
      </w:r>
      <w:r>
        <w:rPr>
          <w:b w:val="0"/>
          <w:bCs w:val="0"/>
          <w:sz w:val="24"/>
          <w:szCs w:val="24"/>
          <w:highlight w:val="none"/>
        </w:rPr>
        <w:t xml:space="preserve"> </w:t>
      </w:r>
      <w:r>
        <w:rPr>
          <w:rFonts w:hint="eastAsia" w:ascii="宋体" w:hAnsi="宋体" w:cs="宋体"/>
          <w:bCs/>
          <w:sz w:val="24"/>
          <w:szCs w:val="24"/>
          <w:highlight w:val="none"/>
        </w:rPr>
        <w:br w:type="textWrapping"/>
      </w:r>
      <w:r>
        <w:rPr>
          <w:rFonts w:hint="eastAsia" w:ascii="宋体" w:hAnsi="宋体" w:cs="宋体"/>
          <w:bCs/>
          <w:sz w:val="24"/>
          <w:szCs w:val="24"/>
          <w:highlight w:val="none"/>
        </w:rPr>
        <w:t xml:space="preserve">    </w:t>
      </w:r>
    </w:p>
    <w:p>
      <w:pPr>
        <w:numPr>
          <w:ilvl w:val="0"/>
          <w:numId w:val="0"/>
        </w:numPr>
        <w:spacing w:before="240" w:beforeLines="100" w:after="120" w:afterLines="50" w:line="360" w:lineRule="auto"/>
        <w:rPr>
          <w:rFonts w:hint="eastAsia" w:ascii="宋体" w:hAnsi="宋体" w:cs="宋体"/>
          <w:b/>
          <w:sz w:val="28"/>
          <w:szCs w:val="28"/>
          <w:highlight w:val="none"/>
        </w:rPr>
      </w:pPr>
      <w:r>
        <w:rPr>
          <w:rFonts w:hint="eastAsia" w:ascii="宋体" w:hAnsi="宋体" w:cs="宋体"/>
          <w:b/>
          <w:sz w:val="28"/>
          <w:szCs w:val="28"/>
          <w:highlight w:val="none"/>
        </w:rPr>
        <w:br w:type="page"/>
      </w:r>
    </w:p>
    <w:p>
      <w:pPr>
        <w:rPr>
          <w:highlight w:val="none"/>
        </w:rPr>
      </w:pPr>
    </w:p>
    <w:p>
      <w:pPr>
        <w:pStyle w:val="3"/>
        <w:keepNext w:val="0"/>
        <w:keepLines w:val="0"/>
        <w:spacing w:line="240" w:lineRule="auto"/>
        <w:jc w:val="center"/>
        <w:rPr>
          <w:rFonts w:ascii="宋体" w:hAnsi="宋体" w:eastAsia="宋体" w:cs="宋体"/>
          <w:highlight w:val="none"/>
        </w:rPr>
      </w:pPr>
      <w:bookmarkStart w:id="216" w:name="_Toc7304"/>
      <w:r>
        <w:rPr>
          <w:rFonts w:hint="eastAsia" w:ascii="宋体" w:hAnsi="宋体" w:eastAsia="宋体" w:cs="宋体"/>
          <w:kern w:val="2"/>
          <w:highlight w:val="none"/>
        </w:rPr>
        <w:t>第六章 投标文件格式</w:t>
      </w:r>
      <w:bookmarkEnd w:id="206"/>
      <w:bookmarkEnd w:id="207"/>
      <w:bookmarkEnd w:id="208"/>
      <w:bookmarkEnd w:id="209"/>
      <w:bookmarkEnd w:id="210"/>
      <w:bookmarkEnd w:id="211"/>
      <w:bookmarkEnd w:id="212"/>
      <w:bookmarkEnd w:id="213"/>
      <w:bookmarkEnd w:id="214"/>
      <w:bookmarkEnd w:id="215"/>
      <w:bookmarkEnd w:id="216"/>
    </w:p>
    <w:p>
      <w:pPr>
        <w:spacing w:line="400" w:lineRule="exact"/>
        <w:rPr>
          <w:rFonts w:ascii="宋体" w:hAnsi="宋体" w:cs="宋体"/>
          <w:highlight w:val="none"/>
        </w:rPr>
      </w:pPr>
    </w:p>
    <w:p>
      <w:pPr>
        <w:spacing w:line="400" w:lineRule="exact"/>
        <w:rPr>
          <w:rFonts w:ascii="宋体" w:hAnsi="宋体" w:cs="宋体"/>
          <w:highlight w:val="none"/>
        </w:rPr>
      </w:pPr>
    </w:p>
    <w:p>
      <w:pPr>
        <w:ind w:firstLine="1325" w:firstLineChars="300"/>
        <w:rPr>
          <w:rFonts w:ascii="宋体" w:hAnsi="宋体" w:cs="宋体"/>
          <w:b/>
          <w:bCs/>
          <w:sz w:val="44"/>
          <w:szCs w:val="44"/>
          <w:highlight w:val="none"/>
        </w:rPr>
      </w:pPr>
      <w:r>
        <w:rPr>
          <w:rFonts w:hint="eastAsia" w:ascii="宋体" w:hAnsi="宋体" w:cs="宋体"/>
          <w:b/>
          <w:bCs/>
          <w:sz w:val="44"/>
          <w:szCs w:val="44"/>
          <w:highlight w:val="none"/>
          <w:lang w:val="en-US" w:eastAsia="zh-CN"/>
        </w:rPr>
        <w:t>天坤一路-棠陂路建设工程检测监测</w:t>
      </w:r>
    </w:p>
    <w:p>
      <w:pPr>
        <w:rPr>
          <w:rFonts w:ascii="宋体" w:hAnsi="宋体" w:cs="宋体"/>
          <w:sz w:val="20"/>
          <w:highlight w:val="none"/>
        </w:rPr>
      </w:pPr>
    </w:p>
    <w:p>
      <w:pPr>
        <w:rPr>
          <w:rFonts w:ascii="宋体" w:hAnsi="宋体" w:cs="宋体"/>
          <w:sz w:val="20"/>
          <w:highlight w:val="none"/>
        </w:rPr>
      </w:pPr>
    </w:p>
    <w:p>
      <w:pPr>
        <w:rPr>
          <w:rFonts w:ascii="宋体" w:hAnsi="宋体" w:cs="宋体"/>
          <w:sz w:val="20"/>
          <w:highlight w:val="none"/>
        </w:rPr>
      </w:pPr>
    </w:p>
    <w:p>
      <w:pPr>
        <w:rPr>
          <w:rFonts w:ascii="宋体" w:hAnsi="宋体" w:cs="宋体"/>
          <w:sz w:val="20"/>
          <w:highlight w:val="none"/>
        </w:rPr>
      </w:pPr>
    </w:p>
    <w:p>
      <w:pPr>
        <w:rPr>
          <w:rFonts w:ascii="宋体" w:hAnsi="宋体" w:cs="宋体"/>
          <w:sz w:val="20"/>
          <w:highlight w:val="none"/>
        </w:rPr>
      </w:pPr>
    </w:p>
    <w:p>
      <w:pPr>
        <w:rPr>
          <w:rFonts w:ascii="宋体" w:hAnsi="宋体" w:cs="宋体"/>
          <w:sz w:val="20"/>
          <w:highlight w:val="none"/>
        </w:rPr>
      </w:pPr>
    </w:p>
    <w:p>
      <w:pPr>
        <w:pStyle w:val="43"/>
        <w:rPr>
          <w:rFonts w:ascii="宋体" w:hAnsi="宋体" w:cs="宋体"/>
          <w:sz w:val="20"/>
          <w:highlight w:val="none"/>
        </w:rPr>
      </w:pPr>
    </w:p>
    <w:p>
      <w:pPr>
        <w:pStyle w:val="43"/>
        <w:rPr>
          <w:rFonts w:ascii="宋体" w:hAnsi="宋体" w:cs="宋体"/>
          <w:sz w:val="20"/>
          <w:highlight w:val="none"/>
        </w:rPr>
      </w:pPr>
    </w:p>
    <w:p>
      <w:pPr>
        <w:rPr>
          <w:rFonts w:ascii="宋体" w:hAnsi="宋体" w:cs="宋体"/>
          <w:sz w:val="20"/>
          <w:highlight w:val="none"/>
        </w:rPr>
      </w:pPr>
    </w:p>
    <w:p>
      <w:pPr>
        <w:jc w:val="center"/>
        <w:rPr>
          <w:rFonts w:ascii="宋体" w:hAnsi="宋体" w:cs="宋体"/>
          <w:sz w:val="44"/>
          <w:highlight w:val="none"/>
        </w:rPr>
      </w:pPr>
      <w:r>
        <w:rPr>
          <w:rFonts w:hint="eastAsia" w:ascii="宋体" w:hAnsi="宋体" w:cs="宋体"/>
          <w:sz w:val="48"/>
          <w:szCs w:val="24"/>
          <w:highlight w:val="none"/>
        </w:rPr>
        <w:t>投标文件</w:t>
      </w:r>
    </w:p>
    <w:p>
      <w:pPr>
        <w:rPr>
          <w:rFonts w:ascii="宋体" w:hAnsi="宋体" w:cs="宋体"/>
          <w:sz w:val="28"/>
          <w:highlight w:val="none"/>
        </w:rPr>
      </w:pPr>
    </w:p>
    <w:p>
      <w:pPr>
        <w:rPr>
          <w:rFonts w:ascii="宋体" w:hAnsi="宋体" w:cs="宋体"/>
          <w:sz w:val="28"/>
          <w:highlight w:val="none"/>
        </w:rPr>
      </w:pPr>
    </w:p>
    <w:p>
      <w:pPr>
        <w:rPr>
          <w:rFonts w:ascii="宋体" w:hAnsi="宋体" w:cs="宋体"/>
          <w:sz w:val="28"/>
          <w:highlight w:val="none"/>
        </w:rPr>
      </w:pPr>
    </w:p>
    <w:p>
      <w:pPr>
        <w:rPr>
          <w:rFonts w:ascii="宋体" w:hAnsi="宋体" w:cs="宋体"/>
          <w:sz w:val="28"/>
          <w:highlight w:val="none"/>
        </w:rPr>
      </w:pPr>
    </w:p>
    <w:p>
      <w:pPr>
        <w:rPr>
          <w:rFonts w:ascii="宋体" w:hAnsi="宋体" w:cs="宋体"/>
          <w:sz w:val="28"/>
          <w:highlight w:val="none"/>
        </w:rPr>
      </w:pPr>
    </w:p>
    <w:p>
      <w:pPr>
        <w:rPr>
          <w:rFonts w:ascii="宋体" w:hAnsi="宋体" w:cs="宋体"/>
          <w:sz w:val="28"/>
          <w:highlight w:val="none"/>
        </w:rPr>
      </w:pPr>
    </w:p>
    <w:p>
      <w:pPr>
        <w:rPr>
          <w:rFonts w:ascii="宋体" w:hAnsi="宋体" w:cs="宋体"/>
          <w:sz w:val="28"/>
          <w:highlight w:val="none"/>
        </w:rPr>
      </w:pPr>
    </w:p>
    <w:p>
      <w:pPr>
        <w:rPr>
          <w:rFonts w:ascii="宋体" w:hAnsi="宋体" w:cs="宋体"/>
          <w:sz w:val="28"/>
          <w:highlight w:val="none"/>
        </w:rPr>
      </w:pPr>
    </w:p>
    <w:p>
      <w:pPr>
        <w:rPr>
          <w:rFonts w:ascii="宋体" w:hAnsi="宋体" w:cs="宋体"/>
          <w:sz w:val="28"/>
          <w:highlight w:val="none"/>
        </w:rPr>
      </w:pPr>
    </w:p>
    <w:p>
      <w:pPr>
        <w:rPr>
          <w:rFonts w:ascii="宋体" w:hAnsi="宋体" w:cs="宋体"/>
          <w:sz w:val="28"/>
          <w:highlight w:val="none"/>
        </w:rPr>
      </w:pPr>
    </w:p>
    <w:p>
      <w:pPr>
        <w:spacing w:line="360" w:lineRule="auto"/>
        <w:rPr>
          <w:rFonts w:ascii="宋体" w:hAnsi="宋体" w:cs="宋体"/>
          <w:sz w:val="28"/>
          <w:highlight w:val="none"/>
        </w:rPr>
      </w:pPr>
    </w:p>
    <w:p>
      <w:pPr>
        <w:spacing w:line="360" w:lineRule="auto"/>
        <w:ind w:firstLine="1120" w:firstLineChars="400"/>
        <w:rPr>
          <w:rFonts w:ascii="宋体" w:hAnsi="宋体" w:cs="宋体"/>
          <w:sz w:val="28"/>
          <w:highlight w:val="none"/>
          <w:u w:val="single"/>
        </w:rPr>
      </w:pPr>
      <w:r>
        <w:rPr>
          <w:rFonts w:hint="eastAsia" w:ascii="宋体" w:hAnsi="宋体" w:cs="宋体"/>
          <w:sz w:val="28"/>
          <w:highlight w:val="none"/>
        </w:rPr>
        <w:t>投标人：（盖单位章）</w:t>
      </w:r>
    </w:p>
    <w:p>
      <w:pPr>
        <w:spacing w:line="360" w:lineRule="auto"/>
        <w:ind w:firstLine="1120" w:firstLineChars="400"/>
        <w:jc w:val="left"/>
        <w:rPr>
          <w:rFonts w:ascii="宋体" w:hAnsi="宋体" w:cs="宋体"/>
          <w:sz w:val="28"/>
          <w:highlight w:val="none"/>
        </w:rPr>
      </w:pPr>
      <w:r>
        <w:rPr>
          <w:rFonts w:hint="eastAsia" w:ascii="宋体" w:hAnsi="宋体" w:cs="宋体"/>
          <w:sz w:val="28"/>
          <w:highlight w:val="none"/>
        </w:rPr>
        <w:t>法定代表人或其委托代理人：（签字）</w:t>
      </w:r>
    </w:p>
    <w:p>
      <w:pPr>
        <w:jc w:val="center"/>
        <w:rPr>
          <w:rFonts w:ascii="宋体" w:hAnsi="宋体" w:cs="宋体"/>
          <w:sz w:val="28"/>
          <w:highlight w:val="none"/>
        </w:rPr>
      </w:pPr>
    </w:p>
    <w:p>
      <w:pPr>
        <w:spacing w:line="400" w:lineRule="exact"/>
        <w:jc w:val="center"/>
        <w:rPr>
          <w:rFonts w:ascii="宋体" w:hAnsi="宋体" w:cs="宋体"/>
          <w:highlight w:val="none"/>
        </w:rPr>
      </w:pPr>
      <w:r>
        <w:rPr>
          <w:rFonts w:hint="eastAsia" w:ascii="宋体" w:hAnsi="宋体" w:cs="宋体"/>
          <w:sz w:val="28"/>
          <w:highlight w:val="none"/>
        </w:rPr>
        <w:t>年   月   日</w:t>
      </w: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spacing w:line="400" w:lineRule="exact"/>
        <w:jc w:val="center"/>
        <w:rPr>
          <w:rFonts w:ascii="宋体" w:hAnsi="宋体" w:cs="宋体"/>
          <w:sz w:val="44"/>
          <w:szCs w:val="44"/>
          <w:highlight w:val="none"/>
        </w:rPr>
      </w:pPr>
      <w:bookmarkStart w:id="217" w:name="_Toc20192"/>
      <w:bookmarkStart w:id="218" w:name="_Toc7672"/>
      <w:bookmarkStart w:id="219" w:name="_Toc525063272"/>
      <w:bookmarkStart w:id="220" w:name="_Toc759"/>
      <w:bookmarkStart w:id="221" w:name="_Toc14300"/>
      <w:bookmarkStart w:id="222" w:name="_Toc15847"/>
    </w:p>
    <w:p>
      <w:pPr>
        <w:rPr>
          <w:rFonts w:hint="eastAsia" w:ascii="宋体" w:hAnsi="宋体" w:cs="宋体"/>
          <w:b/>
          <w:bCs/>
          <w:sz w:val="44"/>
          <w:szCs w:val="44"/>
          <w:highlight w:val="none"/>
        </w:rPr>
      </w:pPr>
      <w:r>
        <w:rPr>
          <w:rFonts w:hint="eastAsia" w:ascii="宋体" w:hAnsi="宋体" w:cs="宋体"/>
          <w:b/>
          <w:bCs/>
          <w:sz w:val="44"/>
          <w:szCs w:val="44"/>
          <w:highlight w:val="none"/>
        </w:rPr>
        <w:br w:type="page"/>
      </w:r>
    </w:p>
    <w:p>
      <w:pPr>
        <w:spacing w:line="400" w:lineRule="exact"/>
        <w:jc w:val="center"/>
        <w:rPr>
          <w:rFonts w:ascii="宋体" w:hAnsi="宋体" w:cs="宋体"/>
          <w:b/>
          <w:bCs/>
          <w:sz w:val="44"/>
          <w:szCs w:val="44"/>
          <w:highlight w:val="none"/>
        </w:rPr>
      </w:pPr>
      <w:r>
        <w:rPr>
          <w:rFonts w:hint="eastAsia" w:ascii="宋体" w:hAnsi="宋体" w:cs="宋体"/>
          <w:b/>
          <w:bCs/>
          <w:sz w:val="44"/>
          <w:szCs w:val="44"/>
          <w:highlight w:val="none"/>
        </w:rPr>
        <w:t>目 录</w:t>
      </w:r>
    </w:p>
    <w:p>
      <w:pPr>
        <w:spacing w:line="360" w:lineRule="auto"/>
        <w:jc w:val="left"/>
        <w:rPr>
          <w:rFonts w:ascii="宋体" w:hAnsi="宋体" w:cs="宋体"/>
          <w:sz w:val="22"/>
          <w:highlight w:val="none"/>
        </w:rPr>
      </w:pPr>
    </w:p>
    <w:bookmarkEnd w:id="217"/>
    <w:bookmarkEnd w:id="218"/>
    <w:bookmarkEnd w:id="219"/>
    <w:bookmarkEnd w:id="220"/>
    <w:bookmarkEnd w:id="221"/>
    <w:bookmarkEnd w:id="222"/>
    <w:p>
      <w:pPr>
        <w:spacing w:line="360" w:lineRule="auto"/>
        <w:jc w:val="left"/>
        <w:rPr>
          <w:rFonts w:ascii="宋体" w:hAnsi="宋体" w:cs="宋体"/>
          <w:sz w:val="22"/>
          <w:highlight w:val="none"/>
        </w:rPr>
      </w:pPr>
      <w:bookmarkStart w:id="223" w:name="_Toc369531691"/>
      <w:bookmarkStart w:id="224" w:name="_Toc352691655"/>
      <w:bookmarkStart w:id="225" w:name="_Toc7039"/>
      <w:r>
        <w:rPr>
          <w:rFonts w:hint="eastAsia" w:ascii="宋体" w:hAnsi="宋体" w:cs="宋体"/>
          <w:sz w:val="22"/>
          <w:highlight w:val="none"/>
        </w:rPr>
        <w:t>一、投标函及投标函附录</w:t>
      </w:r>
      <w:r>
        <w:rPr>
          <w:rFonts w:hint="eastAsia" w:ascii="宋体" w:hAnsi="宋体" w:cs="宋体"/>
          <w:sz w:val="22"/>
          <w:highlight w:val="none"/>
        </w:rPr>
        <w:tab/>
      </w:r>
    </w:p>
    <w:p>
      <w:pPr>
        <w:spacing w:line="360" w:lineRule="auto"/>
        <w:jc w:val="left"/>
        <w:rPr>
          <w:rFonts w:ascii="宋体" w:hAnsi="宋体" w:cs="宋体"/>
          <w:sz w:val="22"/>
          <w:highlight w:val="none"/>
        </w:rPr>
      </w:pPr>
      <w:r>
        <w:rPr>
          <w:rFonts w:hint="eastAsia" w:ascii="宋体" w:hAnsi="宋体" w:cs="宋体"/>
          <w:sz w:val="22"/>
          <w:highlight w:val="none"/>
        </w:rPr>
        <w:t>二、法定代表人身份证明</w:t>
      </w:r>
      <w:r>
        <w:rPr>
          <w:rFonts w:hint="eastAsia" w:ascii="宋体" w:hAnsi="宋体" w:cs="宋体"/>
          <w:sz w:val="22"/>
          <w:highlight w:val="none"/>
        </w:rPr>
        <w:tab/>
      </w:r>
      <w:r>
        <w:rPr>
          <w:rFonts w:hint="eastAsia" w:ascii="宋体" w:hAnsi="宋体" w:cs="宋体"/>
          <w:sz w:val="22"/>
          <w:highlight w:val="none"/>
        </w:rPr>
        <w:t>或授权委托书</w:t>
      </w:r>
    </w:p>
    <w:p>
      <w:pPr>
        <w:spacing w:line="360" w:lineRule="auto"/>
        <w:jc w:val="left"/>
        <w:rPr>
          <w:rFonts w:ascii="宋体" w:hAnsi="宋体" w:cs="宋体"/>
          <w:sz w:val="22"/>
          <w:highlight w:val="none"/>
        </w:rPr>
      </w:pPr>
      <w:r>
        <w:rPr>
          <w:rFonts w:hint="eastAsia" w:ascii="宋体" w:hAnsi="宋体" w:cs="宋体"/>
          <w:sz w:val="22"/>
          <w:highlight w:val="none"/>
        </w:rPr>
        <w:t>三、</w:t>
      </w:r>
      <w:r>
        <w:rPr>
          <w:rFonts w:hint="eastAsia" w:ascii="宋体" w:hAnsi="宋体" w:cs="宋体"/>
          <w:sz w:val="22"/>
          <w:highlight w:val="none"/>
        </w:rPr>
        <w:tab/>
      </w:r>
      <w:r>
        <w:rPr>
          <w:rFonts w:hint="eastAsia" w:ascii="宋体" w:hAnsi="宋体" w:cs="宋体"/>
          <w:sz w:val="22"/>
          <w:highlight w:val="none"/>
        </w:rPr>
        <w:t>资格审查资料</w:t>
      </w:r>
    </w:p>
    <w:p>
      <w:pPr>
        <w:spacing w:line="360" w:lineRule="auto"/>
        <w:jc w:val="left"/>
        <w:rPr>
          <w:rFonts w:ascii="宋体" w:hAnsi="宋体" w:cs="宋体"/>
          <w:sz w:val="22"/>
          <w:highlight w:val="none"/>
        </w:rPr>
      </w:pPr>
      <w:r>
        <w:rPr>
          <w:rFonts w:hint="eastAsia" w:ascii="宋体" w:hAnsi="宋体" w:cs="宋体"/>
          <w:sz w:val="22"/>
          <w:highlight w:val="none"/>
        </w:rPr>
        <w:t>四、联合体协议书</w:t>
      </w:r>
      <w:r>
        <w:rPr>
          <w:rFonts w:hint="eastAsia" w:ascii="宋体" w:hAnsi="宋体" w:cs="宋体"/>
          <w:sz w:val="22"/>
          <w:highlight w:val="none"/>
        </w:rPr>
        <w:tab/>
      </w:r>
      <w:r>
        <w:rPr>
          <w:rFonts w:hint="eastAsia" w:ascii="宋体" w:hAnsi="宋体" w:cs="宋体"/>
          <w:sz w:val="22"/>
          <w:highlight w:val="none"/>
        </w:rPr>
        <w:t>（如有）</w:t>
      </w:r>
      <w:r>
        <w:rPr>
          <w:rFonts w:hint="eastAsia" w:ascii="宋体" w:hAnsi="宋体" w:cs="宋体"/>
          <w:sz w:val="22"/>
          <w:highlight w:val="none"/>
        </w:rPr>
        <w:tab/>
      </w:r>
    </w:p>
    <w:p>
      <w:pPr>
        <w:spacing w:line="360" w:lineRule="auto"/>
        <w:jc w:val="left"/>
        <w:rPr>
          <w:rFonts w:ascii="宋体" w:hAnsi="宋体" w:cs="宋体"/>
          <w:sz w:val="22"/>
          <w:highlight w:val="none"/>
        </w:rPr>
      </w:pPr>
      <w:r>
        <w:rPr>
          <w:rFonts w:hint="eastAsia" w:ascii="宋体" w:hAnsi="宋体" w:cs="宋体"/>
          <w:sz w:val="22"/>
          <w:highlight w:val="none"/>
        </w:rPr>
        <w:t>五、投标人声明</w:t>
      </w:r>
      <w:r>
        <w:rPr>
          <w:rFonts w:hint="eastAsia" w:ascii="宋体" w:hAnsi="宋体" w:cs="宋体"/>
          <w:sz w:val="22"/>
          <w:highlight w:val="none"/>
        </w:rPr>
        <w:tab/>
      </w:r>
    </w:p>
    <w:p>
      <w:pPr>
        <w:spacing w:line="360" w:lineRule="auto"/>
        <w:jc w:val="left"/>
        <w:rPr>
          <w:rFonts w:ascii="宋体" w:hAnsi="宋体" w:cs="宋体"/>
          <w:sz w:val="22"/>
          <w:highlight w:val="none"/>
        </w:rPr>
      </w:pPr>
      <w:r>
        <w:rPr>
          <w:rFonts w:hint="eastAsia" w:ascii="宋体" w:hAnsi="宋体" w:cs="宋体"/>
          <w:sz w:val="22"/>
          <w:highlight w:val="none"/>
        </w:rPr>
        <w:t>六、拟投入本项目的检验监测人员一览表</w:t>
      </w:r>
    </w:p>
    <w:p>
      <w:pPr>
        <w:spacing w:line="360" w:lineRule="auto"/>
        <w:jc w:val="left"/>
        <w:rPr>
          <w:rFonts w:ascii="宋体" w:hAnsi="宋体" w:cs="宋体"/>
          <w:sz w:val="22"/>
          <w:highlight w:val="none"/>
        </w:rPr>
      </w:pPr>
      <w:r>
        <w:rPr>
          <w:rFonts w:hint="eastAsia" w:ascii="宋体" w:hAnsi="宋体" w:cs="宋体"/>
          <w:sz w:val="22"/>
          <w:highlight w:val="none"/>
        </w:rPr>
        <w:t>七、拟投入本项目的检验监测人员简历表</w:t>
      </w:r>
    </w:p>
    <w:p>
      <w:pPr>
        <w:spacing w:line="360" w:lineRule="auto"/>
        <w:jc w:val="left"/>
        <w:rPr>
          <w:rFonts w:ascii="宋体" w:hAnsi="宋体" w:cs="宋体"/>
          <w:sz w:val="22"/>
          <w:highlight w:val="none"/>
        </w:rPr>
      </w:pPr>
      <w:r>
        <w:rPr>
          <w:rFonts w:hint="eastAsia" w:ascii="宋体" w:hAnsi="宋体" w:cs="宋体"/>
          <w:sz w:val="22"/>
          <w:highlight w:val="none"/>
        </w:rPr>
        <w:t>八、类似项目经验</w:t>
      </w:r>
    </w:p>
    <w:p>
      <w:pPr>
        <w:spacing w:line="360" w:lineRule="auto"/>
        <w:jc w:val="left"/>
        <w:rPr>
          <w:rFonts w:ascii="宋体" w:hAnsi="宋体" w:cs="宋体"/>
          <w:sz w:val="22"/>
          <w:highlight w:val="none"/>
        </w:rPr>
      </w:pPr>
      <w:r>
        <w:rPr>
          <w:rFonts w:hint="eastAsia" w:ascii="宋体" w:hAnsi="宋体" w:cs="宋体"/>
          <w:sz w:val="22"/>
          <w:highlight w:val="none"/>
        </w:rPr>
        <w:t>九、拟投入本项目的主要检验监测仪器设备一览表</w:t>
      </w:r>
    </w:p>
    <w:p>
      <w:pPr>
        <w:spacing w:line="360" w:lineRule="auto"/>
        <w:jc w:val="left"/>
        <w:rPr>
          <w:rFonts w:ascii="宋体" w:hAnsi="宋体" w:cs="宋体"/>
          <w:sz w:val="22"/>
          <w:highlight w:val="none"/>
        </w:rPr>
      </w:pPr>
      <w:r>
        <w:rPr>
          <w:rFonts w:hint="eastAsia" w:ascii="宋体" w:hAnsi="宋体" w:cs="宋体"/>
          <w:sz w:val="22"/>
          <w:highlight w:val="none"/>
        </w:rPr>
        <w:t>十、检测监测方案</w:t>
      </w:r>
      <w:r>
        <w:rPr>
          <w:rFonts w:hint="eastAsia" w:ascii="宋体" w:hAnsi="宋体" w:cs="宋体"/>
          <w:sz w:val="22"/>
          <w:highlight w:val="none"/>
        </w:rPr>
        <w:tab/>
      </w:r>
    </w:p>
    <w:p>
      <w:pPr>
        <w:spacing w:line="360" w:lineRule="auto"/>
        <w:jc w:val="left"/>
        <w:rPr>
          <w:rFonts w:ascii="宋体" w:hAnsi="宋体" w:cs="宋体"/>
          <w:sz w:val="22"/>
          <w:highlight w:val="none"/>
        </w:rPr>
      </w:pPr>
      <w:r>
        <w:rPr>
          <w:rFonts w:hint="eastAsia" w:ascii="宋体" w:hAnsi="宋体" w:cs="宋体"/>
          <w:sz w:val="22"/>
          <w:highlight w:val="none"/>
        </w:rPr>
        <w:t>十一、工程量清单报价表</w:t>
      </w:r>
    </w:p>
    <w:p>
      <w:pPr>
        <w:spacing w:line="360" w:lineRule="auto"/>
        <w:jc w:val="left"/>
        <w:rPr>
          <w:rFonts w:ascii="宋体" w:hAnsi="宋体" w:cs="宋体"/>
          <w:sz w:val="22"/>
          <w:highlight w:val="none"/>
        </w:rPr>
      </w:pPr>
      <w:r>
        <w:rPr>
          <w:rFonts w:hint="eastAsia" w:ascii="宋体" w:hAnsi="宋体" w:cs="宋体"/>
          <w:sz w:val="22"/>
          <w:highlight w:val="none"/>
        </w:rPr>
        <w:t>十二、其他资料</w:t>
      </w:r>
    </w:p>
    <w:p>
      <w:pPr>
        <w:spacing w:line="540" w:lineRule="exact"/>
        <w:rPr>
          <w:rFonts w:ascii="宋体" w:hAnsi="宋体" w:cs="宋体"/>
          <w:sz w:val="20"/>
          <w:highlight w:val="none"/>
        </w:rPr>
      </w:pPr>
    </w:p>
    <w:bookmarkEnd w:id="223"/>
    <w:bookmarkEnd w:id="224"/>
    <w:bookmarkEnd w:id="225"/>
    <w:p>
      <w:pPr>
        <w:pStyle w:val="4"/>
        <w:keepNext w:val="0"/>
        <w:keepLines w:val="0"/>
        <w:rPr>
          <w:rFonts w:ascii="宋体" w:hAnsi="宋体" w:eastAsia="宋体" w:cs="宋体"/>
          <w:highlight w:val="none"/>
        </w:rPr>
        <w:sectPr>
          <w:footerReference r:id="rId8" w:type="default"/>
          <w:pgSz w:w="11905" w:h="16838"/>
          <w:pgMar w:top="1440" w:right="1425" w:bottom="1440" w:left="1800" w:header="720" w:footer="720" w:gutter="0"/>
          <w:cols w:space="720" w:num="1"/>
          <w:docGrid w:linePitch="286" w:charSpace="0"/>
        </w:sectPr>
      </w:pPr>
    </w:p>
    <w:p>
      <w:pPr>
        <w:keepNext/>
        <w:keepLines/>
        <w:spacing w:line="360" w:lineRule="auto"/>
        <w:jc w:val="center"/>
        <w:outlineLvl w:val="1"/>
        <w:rPr>
          <w:rFonts w:ascii="宋体" w:hAnsi="宋体" w:cs="宋体"/>
          <w:sz w:val="32"/>
          <w:highlight w:val="none"/>
        </w:rPr>
      </w:pPr>
      <w:bookmarkStart w:id="226" w:name="_Toc14192"/>
      <w:bookmarkStart w:id="227" w:name="_Toc29324"/>
      <w:bookmarkStart w:id="228" w:name="_Toc15006"/>
      <w:bookmarkStart w:id="229" w:name="_Toc532367890"/>
      <w:bookmarkStart w:id="230" w:name="_Toc38224860"/>
      <w:bookmarkStart w:id="231" w:name="_Toc32670"/>
      <w:bookmarkStart w:id="232" w:name="_Toc1136"/>
      <w:bookmarkStart w:id="233" w:name="_Toc2849"/>
      <w:bookmarkStart w:id="234" w:name="_Toc525063280"/>
      <w:bookmarkStart w:id="235" w:name="_Toc15651"/>
      <w:r>
        <w:rPr>
          <w:rFonts w:hint="eastAsia" w:ascii="宋体" w:hAnsi="宋体" w:cs="宋体"/>
          <w:sz w:val="32"/>
          <w:highlight w:val="none"/>
        </w:rPr>
        <w:t>一、</w:t>
      </w:r>
      <w:r>
        <w:rPr>
          <w:rFonts w:hint="eastAsia" w:ascii="宋体" w:hAnsi="宋体" w:cs="宋体"/>
          <w:b/>
          <w:bCs/>
          <w:sz w:val="32"/>
          <w:szCs w:val="32"/>
          <w:highlight w:val="none"/>
        </w:rPr>
        <w:t>投标</w:t>
      </w:r>
      <w:bookmarkStart w:id="236" w:name="_Toc6931"/>
      <w:bookmarkStart w:id="237" w:name="_Toc369531692"/>
      <w:bookmarkStart w:id="238" w:name="_Toc352691656"/>
      <w:r>
        <w:rPr>
          <w:rFonts w:hint="eastAsia" w:ascii="宋体" w:hAnsi="宋体" w:cs="宋体"/>
          <w:b/>
          <w:bCs/>
          <w:sz w:val="32"/>
          <w:szCs w:val="32"/>
          <w:highlight w:val="none"/>
        </w:rPr>
        <w:t>函及投标函附录</w:t>
      </w:r>
      <w:bookmarkEnd w:id="226"/>
      <w:bookmarkEnd w:id="227"/>
      <w:bookmarkEnd w:id="228"/>
      <w:bookmarkEnd w:id="229"/>
      <w:bookmarkEnd w:id="230"/>
      <w:bookmarkEnd w:id="231"/>
      <w:bookmarkEnd w:id="232"/>
      <w:bookmarkEnd w:id="233"/>
      <w:bookmarkEnd w:id="234"/>
      <w:bookmarkEnd w:id="235"/>
      <w:bookmarkEnd w:id="236"/>
      <w:bookmarkEnd w:id="237"/>
      <w:bookmarkEnd w:id="238"/>
    </w:p>
    <w:p>
      <w:pPr>
        <w:spacing w:line="360" w:lineRule="auto"/>
        <w:jc w:val="center"/>
        <w:rPr>
          <w:rFonts w:ascii="宋体" w:hAnsi="宋体" w:cs="宋体"/>
          <w:sz w:val="30"/>
          <w:szCs w:val="24"/>
          <w:highlight w:val="none"/>
        </w:rPr>
      </w:pPr>
    </w:p>
    <w:p>
      <w:pPr>
        <w:spacing w:line="360" w:lineRule="auto"/>
        <w:jc w:val="center"/>
        <w:rPr>
          <w:rFonts w:ascii="宋体" w:hAnsi="宋体" w:cs="宋体"/>
          <w:sz w:val="30"/>
          <w:szCs w:val="24"/>
          <w:highlight w:val="none"/>
        </w:rPr>
      </w:pPr>
      <w:r>
        <w:rPr>
          <w:rFonts w:hint="eastAsia" w:ascii="宋体" w:hAnsi="宋体" w:cs="宋体"/>
          <w:sz w:val="30"/>
          <w:szCs w:val="24"/>
          <w:highlight w:val="none"/>
        </w:rPr>
        <w:t>投标函</w:t>
      </w:r>
    </w:p>
    <w:p>
      <w:pPr>
        <w:spacing w:line="320" w:lineRule="atLeast"/>
        <w:rPr>
          <w:rFonts w:ascii="宋体" w:hAnsi="宋体" w:cs="宋体"/>
          <w:szCs w:val="24"/>
          <w:highlight w:val="none"/>
        </w:rPr>
      </w:pPr>
    </w:p>
    <w:p>
      <w:pPr>
        <w:spacing w:line="540" w:lineRule="exact"/>
        <w:jc w:val="left"/>
        <w:rPr>
          <w:rFonts w:ascii="宋体" w:hAnsi="宋体" w:cs="宋体"/>
          <w:sz w:val="22"/>
          <w:highlight w:val="none"/>
        </w:rPr>
      </w:pPr>
      <w:bookmarkStart w:id="239" w:name="_Toc17960"/>
      <w:bookmarkStart w:id="240" w:name="_Toc352691661"/>
      <w:bookmarkStart w:id="241" w:name="_Toc384308375"/>
      <w:bookmarkStart w:id="242" w:name="_Toc247527827"/>
      <w:bookmarkStart w:id="243" w:name="_Toc152042576"/>
      <w:bookmarkStart w:id="244" w:name="_Toc361508752"/>
      <w:bookmarkStart w:id="245" w:name="_Toc247514246"/>
      <w:bookmarkStart w:id="246" w:name="_Toc369531697"/>
      <w:bookmarkStart w:id="247" w:name="_Toc300835209"/>
      <w:bookmarkStart w:id="248" w:name="_Toc144974856"/>
      <w:bookmarkStart w:id="249" w:name="_Toc152045787"/>
      <w:r>
        <w:rPr>
          <w:rFonts w:hint="eastAsia" w:ascii="宋体" w:hAnsi="宋体" w:cs="宋体"/>
          <w:sz w:val="22"/>
          <w:highlight w:val="none"/>
        </w:rPr>
        <w:t>致：广州市天河区道路扩建工程中心</w:t>
      </w:r>
    </w:p>
    <w:p>
      <w:pPr>
        <w:spacing w:line="560" w:lineRule="exact"/>
        <w:ind w:firstLine="480"/>
        <w:rPr>
          <w:rFonts w:ascii="宋体" w:hAnsi="宋体" w:cs="宋体"/>
          <w:sz w:val="22"/>
          <w:highlight w:val="none"/>
        </w:rPr>
      </w:pPr>
      <w:r>
        <w:rPr>
          <w:rFonts w:hint="eastAsia" w:ascii="宋体" w:hAnsi="宋体" w:cs="宋体"/>
          <w:sz w:val="22"/>
          <w:highlight w:val="none"/>
        </w:rPr>
        <w:t>1. 在仔细分析研究了贵单位提供的</w:t>
      </w:r>
      <w:r>
        <w:rPr>
          <w:rFonts w:hint="eastAsia" w:ascii="宋体" w:hAnsi="宋体" w:cs="宋体"/>
          <w:sz w:val="22"/>
          <w:highlight w:val="none"/>
          <w:u w:val="single"/>
          <w:lang w:val="en-US" w:eastAsia="zh-CN"/>
        </w:rPr>
        <w:t>天坤一路-棠陂路建设工程检测监测</w:t>
      </w:r>
      <w:r>
        <w:rPr>
          <w:rFonts w:hint="eastAsia" w:ascii="宋体" w:hAnsi="宋体" w:cs="宋体"/>
          <w:sz w:val="22"/>
          <w:highlight w:val="none"/>
        </w:rPr>
        <w:t>招标文件后，我方愿意以总报价¥</w:t>
      </w:r>
      <w:r>
        <w:rPr>
          <w:rFonts w:hint="eastAsia" w:ascii="宋体" w:hAnsi="宋体" w:cs="宋体"/>
          <w:sz w:val="22"/>
          <w:highlight w:val="none"/>
          <w:u w:val="single"/>
        </w:rPr>
        <w:t xml:space="preserve">       </w:t>
      </w:r>
      <w:r>
        <w:rPr>
          <w:rFonts w:hint="eastAsia" w:ascii="宋体" w:hAnsi="宋体" w:cs="宋体"/>
          <w:sz w:val="22"/>
          <w:highlight w:val="none"/>
        </w:rPr>
        <w:t>元（大写：</w:t>
      </w:r>
      <w:r>
        <w:rPr>
          <w:rFonts w:hint="eastAsia" w:ascii="宋体" w:hAnsi="宋体" w:cs="宋体"/>
          <w:sz w:val="22"/>
          <w:highlight w:val="none"/>
          <w:u w:val="single"/>
        </w:rPr>
        <w:t xml:space="preserve">       </w:t>
      </w:r>
      <w:r>
        <w:rPr>
          <w:rFonts w:hint="eastAsia" w:ascii="宋体" w:hAnsi="宋体" w:cs="宋体"/>
          <w:sz w:val="22"/>
          <w:highlight w:val="none"/>
        </w:rPr>
        <w:t>）作为</w:t>
      </w:r>
      <w:r>
        <w:rPr>
          <w:rFonts w:hint="eastAsia" w:ascii="宋体" w:hAnsi="宋体" w:cs="宋体"/>
          <w:sz w:val="22"/>
          <w:highlight w:val="none"/>
          <w:u w:val="single"/>
          <w:lang w:val="en-US" w:eastAsia="zh-CN"/>
        </w:rPr>
        <w:t>天坤一路-棠陂路建设工程检测监测</w:t>
      </w:r>
      <w:r>
        <w:rPr>
          <w:rFonts w:hint="eastAsia" w:ascii="宋体" w:hAnsi="宋体" w:cs="宋体"/>
          <w:sz w:val="22"/>
          <w:highlight w:val="none"/>
        </w:rPr>
        <w:t>的投标报价，并遵照招标文件的有关规定要求，承担全部服务任务工作。</w:t>
      </w:r>
    </w:p>
    <w:p>
      <w:pPr>
        <w:spacing w:line="540" w:lineRule="exact"/>
        <w:ind w:firstLine="440" w:firstLineChars="200"/>
        <w:jc w:val="left"/>
        <w:rPr>
          <w:rFonts w:ascii="宋体" w:hAnsi="宋体" w:cs="宋体"/>
          <w:sz w:val="22"/>
          <w:highlight w:val="none"/>
        </w:rPr>
      </w:pPr>
      <w:r>
        <w:rPr>
          <w:rFonts w:hint="eastAsia" w:ascii="宋体" w:hAnsi="宋体" w:cs="宋体"/>
          <w:sz w:val="22"/>
          <w:highlight w:val="none"/>
        </w:rPr>
        <w:t>2.我方确认的投标函是我单位投标文件的组成部分。</w:t>
      </w:r>
    </w:p>
    <w:p>
      <w:pPr>
        <w:spacing w:line="540" w:lineRule="exact"/>
        <w:ind w:firstLine="440" w:firstLineChars="200"/>
        <w:jc w:val="left"/>
        <w:rPr>
          <w:rFonts w:ascii="宋体" w:hAnsi="宋体" w:cs="宋体"/>
          <w:sz w:val="22"/>
          <w:highlight w:val="none"/>
        </w:rPr>
      </w:pPr>
      <w:r>
        <w:rPr>
          <w:rFonts w:hint="eastAsia" w:ascii="宋体" w:hAnsi="宋体" w:cs="宋体"/>
          <w:sz w:val="22"/>
          <w:highlight w:val="none"/>
        </w:rPr>
        <w:t>3.如果贵单位接受我方的投标，我方保证按合同规定的期限内开始本工程的检验工作并按投标书中规定的期限内完成合同规定的全部任务。</w:t>
      </w:r>
    </w:p>
    <w:p>
      <w:pPr>
        <w:spacing w:line="540" w:lineRule="exact"/>
        <w:ind w:firstLine="440" w:firstLineChars="200"/>
        <w:jc w:val="left"/>
        <w:rPr>
          <w:rFonts w:ascii="宋体" w:hAnsi="宋体" w:cs="宋体"/>
          <w:sz w:val="22"/>
          <w:highlight w:val="none"/>
        </w:rPr>
      </w:pPr>
      <w:r>
        <w:rPr>
          <w:rFonts w:hint="eastAsia" w:ascii="宋体" w:hAnsi="宋体" w:cs="宋体"/>
          <w:sz w:val="22"/>
          <w:highlight w:val="none"/>
        </w:rPr>
        <w:t>4.我方同意在从规定的递交投标文件截止之日起90天内遵守本投标文件。在此期限届满之前，本投标文件始终将对我们具有约束力并随时接受中标。</w:t>
      </w:r>
    </w:p>
    <w:p>
      <w:pPr>
        <w:spacing w:line="540" w:lineRule="exact"/>
        <w:ind w:firstLine="440" w:firstLineChars="200"/>
        <w:jc w:val="left"/>
        <w:rPr>
          <w:rFonts w:ascii="宋体" w:hAnsi="宋体" w:cs="宋体"/>
          <w:sz w:val="22"/>
          <w:highlight w:val="none"/>
        </w:rPr>
      </w:pPr>
      <w:r>
        <w:rPr>
          <w:rFonts w:hint="eastAsia" w:ascii="宋体" w:hAnsi="宋体" w:cs="宋体"/>
          <w:sz w:val="22"/>
          <w:highlight w:val="none"/>
        </w:rPr>
        <w:t>5.在合同协议制定和签署之前，本投标书连同贵单位的中标通知书、双方签认的补充、修正或澄清文件及其他文件和附件应成为约束贵、我双方的合同文件。</w:t>
      </w:r>
    </w:p>
    <w:p>
      <w:pPr>
        <w:spacing w:line="540" w:lineRule="exact"/>
        <w:ind w:firstLine="440" w:firstLineChars="200"/>
        <w:jc w:val="left"/>
        <w:rPr>
          <w:rFonts w:ascii="宋体" w:hAnsi="宋体" w:cs="宋体"/>
          <w:sz w:val="22"/>
          <w:highlight w:val="none"/>
        </w:rPr>
      </w:pPr>
      <w:r>
        <w:rPr>
          <w:rFonts w:hint="eastAsia" w:ascii="宋体" w:hAnsi="宋体" w:cs="宋体"/>
          <w:sz w:val="22"/>
          <w:highlight w:val="none"/>
        </w:rPr>
        <w:t>6.我们理解，贵单位不一定接受最低标价的投标文件或可能接受其他任何投标文件，同时也理解，贵单位不负担我们的任何投标费用。</w:t>
      </w:r>
    </w:p>
    <w:p>
      <w:pPr>
        <w:pStyle w:val="43"/>
        <w:rPr>
          <w:rFonts w:ascii="宋体" w:hAnsi="宋体" w:cs="宋体"/>
          <w:sz w:val="22"/>
          <w:szCs w:val="22"/>
          <w:highlight w:val="none"/>
        </w:rPr>
      </w:pPr>
    </w:p>
    <w:p>
      <w:pPr>
        <w:pStyle w:val="43"/>
        <w:rPr>
          <w:rFonts w:ascii="宋体" w:hAnsi="宋体" w:cs="宋体"/>
          <w:sz w:val="22"/>
          <w:szCs w:val="22"/>
          <w:highlight w:val="none"/>
        </w:rPr>
      </w:pPr>
    </w:p>
    <w:p>
      <w:pPr>
        <w:spacing w:line="360" w:lineRule="auto"/>
        <w:ind w:firstLine="5720" w:firstLineChars="2600"/>
        <w:rPr>
          <w:rFonts w:ascii="宋体" w:hAnsi="宋体" w:cs="宋体"/>
          <w:sz w:val="22"/>
          <w:highlight w:val="none"/>
        </w:rPr>
      </w:pPr>
      <w:r>
        <w:rPr>
          <w:rFonts w:hint="eastAsia" w:ascii="宋体" w:hAnsi="宋体" w:cs="宋体"/>
          <w:sz w:val="22"/>
          <w:highlight w:val="none"/>
        </w:rPr>
        <w:t>投标人：（盖单位章）</w:t>
      </w:r>
    </w:p>
    <w:p>
      <w:pPr>
        <w:spacing w:line="360" w:lineRule="auto"/>
        <w:jc w:val="right"/>
        <w:rPr>
          <w:rFonts w:ascii="宋体" w:hAnsi="宋体" w:cs="宋体"/>
          <w:sz w:val="22"/>
          <w:highlight w:val="none"/>
        </w:rPr>
      </w:pPr>
      <w:r>
        <w:rPr>
          <w:rFonts w:hint="eastAsia" w:ascii="宋体" w:hAnsi="宋体" w:cs="宋体"/>
          <w:sz w:val="22"/>
          <w:highlight w:val="none"/>
        </w:rPr>
        <w:t>法定代表人或其委托代理人：（签字</w:t>
      </w:r>
      <w:r>
        <w:rPr>
          <w:rFonts w:hint="eastAsia" w:ascii="宋体" w:hAnsi="宋体" w:cs="宋体"/>
          <w:sz w:val="22"/>
          <w:highlight w:val="none"/>
          <w:lang w:eastAsia="zh-Hans"/>
        </w:rPr>
        <w:t>或盖章</w:t>
      </w:r>
      <w:r>
        <w:rPr>
          <w:rFonts w:hint="eastAsia" w:ascii="宋体" w:hAnsi="宋体" w:cs="宋体"/>
          <w:sz w:val="22"/>
          <w:highlight w:val="none"/>
        </w:rPr>
        <w:t>）</w:t>
      </w:r>
    </w:p>
    <w:p>
      <w:pPr>
        <w:spacing w:line="360" w:lineRule="auto"/>
        <w:jc w:val="center"/>
        <w:rPr>
          <w:rFonts w:ascii="宋体" w:hAnsi="宋体" w:cs="宋体"/>
          <w:sz w:val="22"/>
          <w:highlight w:val="none"/>
        </w:rPr>
      </w:pPr>
      <w:r>
        <w:rPr>
          <w:rFonts w:hint="eastAsia" w:ascii="宋体" w:hAnsi="宋体" w:cs="宋体"/>
          <w:sz w:val="22"/>
          <w:highlight w:val="none"/>
        </w:rPr>
        <w:t xml:space="preserve">                                             日期：  年  月  日</w:t>
      </w:r>
    </w:p>
    <w:p>
      <w:pPr>
        <w:spacing w:line="320" w:lineRule="atLeast"/>
        <w:jc w:val="center"/>
        <w:rPr>
          <w:rFonts w:ascii="宋体" w:hAnsi="宋体" w:cs="宋体"/>
          <w:b/>
          <w:bCs/>
          <w:sz w:val="30"/>
          <w:szCs w:val="24"/>
          <w:highlight w:val="none"/>
        </w:rPr>
      </w:pPr>
      <w:r>
        <w:rPr>
          <w:rFonts w:hint="eastAsia" w:ascii="宋体" w:hAnsi="宋体" w:cs="宋体"/>
          <w:b/>
          <w:bCs/>
          <w:sz w:val="30"/>
          <w:szCs w:val="24"/>
          <w:highlight w:val="none"/>
        </w:rPr>
        <w:br w:type="page"/>
      </w:r>
      <w:r>
        <w:rPr>
          <w:rFonts w:hint="eastAsia" w:ascii="宋体" w:hAnsi="宋体" w:cs="宋体"/>
          <w:b/>
          <w:bCs/>
          <w:sz w:val="30"/>
          <w:szCs w:val="24"/>
          <w:highlight w:val="none"/>
        </w:rPr>
        <w:t>投标函附录</w:t>
      </w:r>
    </w:p>
    <w:p>
      <w:pPr>
        <w:spacing w:line="320" w:lineRule="atLeast"/>
        <w:rPr>
          <w:rFonts w:ascii="宋体" w:hAnsi="宋体" w:cs="宋体"/>
          <w:szCs w:val="24"/>
          <w:highlight w:val="none"/>
        </w:rPr>
      </w:pP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6"/>
        <w:gridCol w:w="2618"/>
        <w:gridCol w:w="3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2666" w:type="dxa"/>
            <w:vAlign w:val="center"/>
          </w:tcPr>
          <w:p>
            <w:pPr>
              <w:jc w:val="center"/>
              <w:rPr>
                <w:rFonts w:ascii="宋体" w:hAnsi="宋体" w:cs="宋体"/>
                <w:bCs/>
                <w:sz w:val="22"/>
                <w:highlight w:val="none"/>
              </w:rPr>
            </w:pPr>
            <w:r>
              <w:rPr>
                <w:rFonts w:hint="eastAsia" w:ascii="宋体" w:hAnsi="宋体" w:cs="宋体"/>
                <w:bCs/>
                <w:sz w:val="22"/>
                <w:highlight w:val="none"/>
              </w:rPr>
              <w:t>工程名称</w:t>
            </w:r>
          </w:p>
        </w:tc>
        <w:tc>
          <w:tcPr>
            <w:tcW w:w="6105" w:type="dxa"/>
            <w:gridSpan w:val="2"/>
            <w:vAlign w:val="center"/>
          </w:tcPr>
          <w:p>
            <w:pPr>
              <w:jc w:val="center"/>
              <w:rPr>
                <w:rFonts w:ascii="宋体" w:hAnsi="宋体" w:cs="宋体"/>
                <w:bCs/>
                <w:sz w:val="22"/>
                <w:highlight w:val="none"/>
              </w:rPr>
            </w:pPr>
            <w:r>
              <w:rPr>
                <w:rFonts w:hint="eastAsia" w:ascii="宋体" w:hAnsi="宋体" w:cs="宋体"/>
                <w:bCs/>
                <w:sz w:val="22"/>
                <w:highlight w:val="none"/>
                <w:lang w:val="en-US" w:eastAsia="zh-CN"/>
              </w:rPr>
              <w:t>天坤一路-棠陂路建设工程检测监测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2666" w:type="dxa"/>
            <w:vAlign w:val="center"/>
          </w:tcPr>
          <w:p>
            <w:pPr>
              <w:jc w:val="center"/>
              <w:rPr>
                <w:rFonts w:ascii="宋体" w:hAnsi="宋体" w:cs="宋体"/>
                <w:bCs/>
                <w:sz w:val="22"/>
                <w:highlight w:val="none"/>
              </w:rPr>
            </w:pPr>
            <w:r>
              <w:rPr>
                <w:rFonts w:hint="eastAsia" w:ascii="宋体" w:hAnsi="宋体" w:cs="宋体"/>
                <w:bCs/>
                <w:sz w:val="22"/>
                <w:highlight w:val="none"/>
              </w:rPr>
              <w:t>投标总报价</w:t>
            </w:r>
          </w:p>
        </w:tc>
        <w:tc>
          <w:tcPr>
            <w:tcW w:w="6105" w:type="dxa"/>
            <w:gridSpan w:val="2"/>
            <w:vAlign w:val="center"/>
          </w:tcPr>
          <w:p>
            <w:pPr>
              <w:jc w:val="center"/>
              <w:rPr>
                <w:rFonts w:ascii="宋体" w:hAnsi="宋体" w:cs="宋体"/>
                <w:bCs/>
                <w:sz w:val="22"/>
                <w:highlight w:val="none"/>
              </w:rPr>
            </w:pPr>
            <w:r>
              <w:rPr>
                <w:rFonts w:hint="eastAsia" w:ascii="宋体" w:hAnsi="宋体" w:cs="宋体"/>
                <w:bCs/>
                <w:sz w:val="22"/>
                <w:highlight w:val="none"/>
              </w:rPr>
              <w:t>元(大写：</w:t>
            </w:r>
            <w:r>
              <w:rPr>
                <w:rFonts w:hint="eastAsia" w:ascii="宋体" w:hAnsi="宋体" w:cs="宋体"/>
                <w:bCs/>
                <w:sz w:val="22"/>
                <w:highlight w:val="none"/>
                <w:u w:val="single"/>
              </w:rPr>
              <w:t xml:space="preserve">           </w:t>
            </w:r>
            <w:r>
              <w:rPr>
                <w:rFonts w:hint="eastAsia" w:ascii="宋体" w:hAnsi="宋体" w:cs="宋体"/>
                <w:bCs/>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666" w:type="dxa"/>
            <w:vAlign w:val="center"/>
          </w:tcPr>
          <w:p>
            <w:pPr>
              <w:jc w:val="center"/>
              <w:rPr>
                <w:rFonts w:ascii="宋体" w:hAnsi="宋体" w:cs="宋体"/>
                <w:bCs/>
                <w:sz w:val="22"/>
                <w:highlight w:val="none"/>
              </w:rPr>
            </w:pPr>
            <w:r>
              <w:rPr>
                <w:rFonts w:hint="eastAsia" w:ascii="宋体" w:hAnsi="宋体" w:cs="宋体"/>
                <w:bCs/>
                <w:sz w:val="22"/>
                <w:highlight w:val="none"/>
              </w:rPr>
              <w:t>服务期</w:t>
            </w:r>
          </w:p>
        </w:tc>
        <w:tc>
          <w:tcPr>
            <w:tcW w:w="6105" w:type="dxa"/>
            <w:gridSpan w:val="2"/>
            <w:vAlign w:val="center"/>
          </w:tcPr>
          <w:p>
            <w:pPr>
              <w:jc w:val="center"/>
              <w:rPr>
                <w:rFonts w:ascii="宋体" w:hAnsi="宋体" w:cs="宋体"/>
                <w:bCs/>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666" w:type="dxa"/>
            <w:vAlign w:val="center"/>
          </w:tcPr>
          <w:p>
            <w:pPr>
              <w:jc w:val="center"/>
              <w:rPr>
                <w:rFonts w:ascii="宋体" w:hAnsi="宋体" w:cs="宋体"/>
                <w:bCs/>
                <w:sz w:val="22"/>
                <w:highlight w:val="none"/>
              </w:rPr>
            </w:pPr>
            <w:r>
              <w:rPr>
                <w:rFonts w:hint="eastAsia" w:ascii="宋体" w:hAnsi="宋体" w:cs="宋体"/>
                <w:bCs/>
                <w:sz w:val="22"/>
                <w:highlight w:val="none"/>
              </w:rPr>
              <w:t>质量标准</w:t>
            </w:r>
          </w:p>
        </w:tc>
        <w:tc>
          <w:tcPr>
            <w:tcW w:w="6105" w:type="dxa"/>
            <w:gridSpan w:val="2"/>
            <w:vAlign w:val="center"/>
          </w:tcPr>
          <w:p>
            <w:pPr>
              <w:jc w:val="center"/>
              <w:rPr>
                <w:rFonts w:ascii="宋体" w:hAnsi="宋体" w:cs="宋体"/>
                <w:bCs/>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666" w:type="dxa"/>
            <w:vMerge w:val="restart"/>
            <w:vAlign w:val="center"/>
          </w:tcPr>
          <w:p>
            <w:pPr>
              <w:jc w:val="center"/>
              <w:rPr>
                <w:rFonts w:ascii="宋体" w:hAnsi="宋体" w:cs="宋体"/>
                <w:bCs/>
                <w:sz w:val="22"/>
                <w:highlight w:val="none"/>
              </w:rPr>
            </w:pPr>
            <w:r>
              <w:rPr>
                <w:rFonts w:hint="eastAsia" w:ascii="宋体" w:hAnsi="宋体" w:cs="宋体"/>
                <w:bCs/>
                <w:sz w:val="22"/>
                <w:highlight w:val="none"/>
              </w:rPr>
              <w:t>委派的项目负责人</w:t>
            </w:r>
          </w:p>
        </w:tc>
        <w:tc>
          <w:tcPr>
            <w:tcW w:w="2618" w:type="dxa"/>
            <w:vAlign w:val="center"/>
          </w:tcPr>
          <w:p>
            <w:pPr>
              <w:jc w:val="center"/>
              <w:rPr>
                <w:rFonts w:ascii="宋体" w:hAnsi="宋体" w:cs="宋体"/>
                <w:bCs/>
                <w:sz w:val="22"/>
                <w:highlight w:val="none"/>
              </w:rPr>
            </w:pPr>
            <w:r>
              <w:rPr>
                <w:rFonts w:hint="eastAsia" w:ascii="宋体" w:hAnsi="宋体" w:cs="宋体"/>
                <w:bCs/>
                <w:sz w:val="22"/>
                <w:highlight w:val="none"/>
              </w:rPr>
              <w:t>姓名</w:t>
            </w:r>
          </w:p>
        </w:tc>
        <w:tc>
          <w:tcPr>
            <w:tcW w:w="3487" w:type="dxa"/>
            <w:vAlign w:val="center"/>
          </w:tcPr>
          <w:p>
            <w:pPr>
              <w:jc w:val="center"/>
              <w:rPr>
                <w:rFonts w:ascii="宋体" w:hAnsi="宋体" w:cs="宋体"/>
                <w:bCs/>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666" w:type="dxa"/>
            <w:vMerge w:val="continue"/>
            <w:vAlign w:val="center"/>
          </w:tcPr>
          <w:p>
            <w:pPr>
              <w:jc w:val="center"/>
              <w:rPr>
                <w:rFonts w:ascii="宋体" w:hAnsi="宋体" w:cs="宋体"/>
                <w:bCs/>
                <w:sz w:val="22"/>
                <w:highlight w:val="none"/>
              </w:rPr>
            </w:pPr>
          </w:p>
        </w:tc>
        <w:tc>
          <w:tcPr>
            <w:tcW w:w="2618" w:type="dxa"/>
            <w:vAlign w:val="center"/>
          </w:tcPr>
          <w:p>
            <w:pPr>
              <w:jc w:val="center"/>
              <w:rPr>
                <w:rFonts w:ascii="宋体" w:hAnsi="宋体" w:cs="宋体"/>
                <w:bCs/>
                <w:sz w:val="22"/>
                <w:highlight w:val="none"/>
              </w:rPr>
            </w:pPr>
            <w:r>
              <w:rPr>
                <w:rFonts w:hint="eastAsia" w:ascii="宋体" w:hAnsi="宋体" w:cs="宋体"/>
                <w:bCs/>
                <w:sz w:val="22"/>
                <w:highlight w:val="none"/>
              </w:rPr>
              <w:t>技术职、技术证书编号</w:t>
            </w:r>
          </w:p>
        </w:tc>
        <w:tc>
          <w:tcPr>
            <w:tcW w:w="3487" w:type="dxa"/>
            <w:vAlign w:val="center"/>
          </w:tcPr>
          <w:p>
            <w:pPr>
              <w:jc w:val="center"/>
              <w:rPr>
                <w:rFonts w:ascii="宋体" w:hAnsi="宋体" w:cs="宋体"/>
                <w:bCs/>
                <w:sz w:val="22"/>
                <w:highlight w:val="none"/>
              </w:rPr>
            </w:pPr>
          </w:p>
        </w:tc>
      </w:tr>
    </w:tbl>
    <w:p>
      <w:pPr>
        <w:spacing w:line="360" w:lineRule="auto"/>
        <w:rPr>
          <w:rFonts w:ascii="宋体" w:hAnsi="宋体" w:cs="宋体"/>
          <w:sz w:val="22"/>
          <w:highlight w:val="none"/>
        </w:rPr>
      </w:pPr>
      <w:r>
        <w:rPr>
          <w:rFonts w:hint="eastAsia" w:ascii="宋体" w:hAnsi="宋体" w:cs="宋体"/>
          <w:sz w:val="22"/>
          <w:highlight w:val="none"/>
        </w:rPr>
        <w:t>本项目投标报价采用的币种为人民币，以元为单位，投标总报价保留小数点后两位小数,第三位小数四舍五入。</w:t>
      </w:r>
    </w:p>
    <w:p>
      <w:pPr>
        <w:spacing w:line="360" w:lineRule="auto"/>
        <w:rPr>
          <w:rFonts w:ascii="宋体" w:hAnsi="宋体" w:cs="宋体"/>
          <w:sz w:val="22"/>
          <w:highlight w:val="none"/>
        </w:rPr>
      </w:pPr>
    </w:p>
    <w:p>
      <w:pPr>
        <w:spacing w:line="360" w:lineRule="auto"/>
        <w:jc w:val="center"/>
        <w:rPr>
          <w:rFonts w:ascii="宋体" w:hAnsi="宋体" w:cs="宋体"/>
          <w:sz w:val="22"/>
          <w:highlight w:val="none"/>
        </w:rPr>
      </w:pPr>
    </w:p>
    <w:p>
      <w:pPr>
        <w:spacing w:line="360" w:lineRule="auto"/>
        <w:ind w:firstLine="5720" w:firstLineChars="2600"/>
        <w:rPr>
          <w:rFonts w:ascii="宋体" w:hAnsi="宋体" w:cs="宋体"/>
          <w:sz w:val="22"/>
          <w:highlight w:val="none"/>
        </w:rPr>
      </w:pPr>
      <w:r>
        <w:rPr>
          <w:rFonts w:hint="eastAsia" w:ascii="宋体" w:hAnsi="宋体" w:cs="宋体"/>
          <w:sz w:val="22"/>
          <w:highlight w:val="none"/>
        </w:rPr>
        <w:t>投标人：（盖单位章）</w:t>
      </w:r>
    </w:p>
    <w:p>
      <w:pPr>
        <w:spacing w:line="360" w:lineRule="auto"/>
        <w:jc w:val="right"/>
        <w:rPr>
          <w:rFonts w:ascii="宋体" w:hAnsi="宋体" w:cs="宋体"/>
          <w:sz w:val="22"/>
          <w:highlight w:val="none"/>
        </w:rPr>
      </w:pPr>
      <w:r>
        <w:rPr>
          <w:rFonts w:hint="eastAsia" w:ascii="宋体" w:hAnsi="宋体" w:cs="宋体"/>
          <w:sz w:val="22"/>
          <w:highlight w:val="none"/>
        </w:rPr>
        <w:t>法定代表人或其委托代理人：（签字</w:t>
      </w:r>
      <w:r>
        <w:rPr>
          <w:rFonts w:hint="eastAsia" w:ascii="宋体" w:hAnsi="宋体" w:cs="宋体"/>
          <w:sz w:val="22"/>
          <w:highlight w:val="none"/>
          <w:lang w:eastAsia="zh-Hans"/>
        </w:rPr>
        <w:t>或盖章</w:t>
      </w:r>
      <w:r>
        <w:rPr>
          <w:rFonts w:hint="eastAsia" w:ascii="宋体" w:hAnsi="宋体" w:cs="宋体"/>
          <w:sz w:val="22"/>
          <w:highlight w:val="none"/>
        </w:rPr>
        <w:t>）</w:t>
      </w:r>
    </w:p>
    <w:p>
      <w:pPr>
        <w:spacing w:line="360" w:lineRule="auto"/>
        <w:jc w:val="center"/>
        <w:rPr>
          <w:rFonts w:ascii="宋体" w:hAnsi="宋体" w:cs="宋体"/>
          <w:szCs w:val="21"/>
          <w:highlight w:val="none"/>
        </w:rPr>
      </w:pPr>
      <w:r>
        <w:rPr>
          <w:rFonts w:hint="eastAsia" w:ascii="宋体" w:hAnsi="宋体" w:cs="宋体"/>
          <w:sz w:val="22"/>
          <w:highlight w:val="none"/>
        </w:rPr>
        <w:t xml:space="preserve">                                             日期：  年  月  日</w:t>
      </w:r>
    </w:p>
    <w:p>
      <w:pPr>
        <w:spacing w:line="440" w:lineRule="exact"/>
        <w:rPr>
          <w:rFonts w:ascii="宋体" w:hAnsi="宋体" w:cs="宋体"/>
          <w:szCs w:val="21"/>
          <w:highlight w:val="none"/>
        </w:rPr>
      </w:pPr>
    </w:p>
    <w:p>
      <w:pPr>
        <w:spacing w:line="440" w:lineRule="exact"/>
        <w:ind w:firstLine="420" w:firstLineChars="200"/>
        <w:rPr>
          <w:rFonts w:ascii="宋体" w:hAnsi="宋体" w:cs="宋体"/>
          <w:szCs w:val="21"/>
          <w:highlight w:val="none"/>
        </w:rPr>
      </w:pPr>
    </w:p>
    <w:p>
      <w:pPr>
        <w:pStyle w:val="4"/>
        <w:keepNext w:val="0"/>
        <w:keepLines w:val="0"/>
        <w:rPr>
          <w:rFonts w:ascii="宋体" w:hAnsi="宋体" w:eastAsia="宋体" w:cs="宋体"/>
          <w:highlight w:val="none"/>
        </w:rPr>
        <w:sectPr>
          <w:pgSz w:w="11905" w:h="16838"/>
          <w:pgMar w:top="1440" w:right="1425" w:bottom="1440" w:left="1800" w:header="720" w:footer="720" w:gutter="0"/>
          <w:cols w:space="720" w:num="1"/>
          <w:docGrid w:linePitch="286" w:charSpace="0"/>
        </w:sectPr>
      </w:pPr>
      <w:bookmarkStart w:id="250" w:name="_Toc525063283"/>
    </w:p>
    <w:bookmarkEnd w:id="239"/>
    <w:bookmarkEnd w:id="240"/>
    <w:bookmarkEnd w:id="241"/>
    <w:bookmarkEnd w:id="242"/>
    <w:bookmarkEnd w:id="243"/>
    <w:bookmarkEnd w:id="244"/>
    <w:bookmarkEnd w:id="245"/>
    <w:bookmarkEnd w:id="246"/>
    <w:bookmarkEnd w:id="247"/>
    <w:bookmarkEnd w:id="248"/>
    <w:bookmarkEnd w:id="249"/>
    <w:p>
      <w:pPr>
        <w:keepNext/>
        <w:keepLines/>
        <w:spacing w:line="360" w:lineRule="auto"/>
        <w:jc w:val="center"/>
        <w:outlineLvl w:val="1"/>
        <w:rPr>
          <w:rFonts w:ascii="宋体" w:hAnsi="宋体" w:cs="宋体"/>
          <w:sz w:val="32"/>
          <w:highlight w:val="none"/>
        </w:rPr>
      </w:pPr>
      <w:bookmarkStart w:id="251" w:name="_Toc38224861"/>
      <w:bookmarkStart w:id="252" w:name="_Toc15155"/>
      <w:bookmarkStart w:id="253" w:name="_Toc28074"/>
      <w:bookmarkStart w:id="254" w:name="_Toc532367891"/>
      <w:bookmarkStart w:id="255" w:name="_Toc787"/>
      <w:bookmarkStart w:id="256" w:name="_Toc24490"/>
      <w:bookmarkStart w:id="257" w:name="_Toc28597"/>
      <w:bookmarkStart w:id="258" w:name="_Toc9391"/>
      <w:bookmarkStart w:id="259" w:name="_Toc3626"/>
      <w:r>
        <w:rPr>
          <w:rFonts w:hint="eastAsia" w:ascii="宋体" w:hAnsi="宋体" w:cs="宋体"/>
          <w:b/>
          <w:bCs/>
          <w:sz w:val="32"/>
          <w:szCs w:val="32"/>
          <w:highlight w:val="none"/>
        </w:rPr>
        <w:t>二、法定代表人身份证明</w:t>
      </w:r>
      <w:bookmarkEnd w:id="251"/>
      <w:bookmarkEnd w:id="252"/>
      <w:bookmarkEnd w:id="253"/>
    </w:p>
    <w:p>
      <w:pPr>
        <w:spacing w:line="440" w:lineRule="exact"/>
        <w:rPr>
          <w:rFonts w:ascii="宋体" w:hAnsi="宋体" w:cs="宋体"/>
          <w:sz w:val="20"/>
          <w:highlight w:val="none"/>
        </w:rPr>
      </w:pPr>
    </w:p>
    <w:p>
      <w:pPr>
        <w:spacing w:line="440" w:lineRule="exact"/>
        <w:rPr>
          <w:rFonts w:ascii="宋体" w:hAnsi="宋体" w:cs="宋体"/>
          <w:highlight w:val="none"/>
        </w:rPr>
      </w:pPr>
    </w:p>
    <w:p>
      <w:pPr>
        <w:spacing w:line="360" w:lineRule="auto"/>
        <w:rPr>
          <w:rFonts w:ascii="宋体" w:hAnsi="宋体" w:cs="宋体"/>
          <w:sz w:val="22"/>
          <w:highlight w:val="none"/>
        </w:rPr>
      </w:pPr>
      <w:r>
        <w:rPr>
          <w:rFonts w:hint="eastAsia" w:ascii="宋体" w:hAnsi="宋体" w:cs="宋体"/>
          <w:sz w:val="22"/>
          <w:highlight w:val="none"/>
        </w:rPr>
        <w:t>投标人名称：</w:t>
      </w:r>
      <w:r>
        <w:rPr>
          <w:rFonts w:hint="eastAsia" w:ascii="宋体" w:hAnsi="宋体" w:cs="宋体"/>
          <w:sz w:val="22"/>
          <w:highlight w:val="none"/>
          <w:u w:val="single"/>
        </w:rPr>
        <w:t xml:space="preserve">                          </w:t>
      </w:r>
    </w:p>
    <w:p>
      <w:pPr>
        <w:spacing w:line="360" w:lineRule="auto"/>
        <w:rPr>
          <w:rFonts w:ascii="宋体" w:hAnsi="宋体" w:cs="宋体"/>
          <w:sz w:val="22"/>
          <w:highlight w:val="none"/>
        </w:rPr>
      </w:pPr>
      <w:r>
        <w:rPr>
          <w:rFonts w:hint="eastAsia" w:ascii="宋体" w:hAnsi="宋体" w:cs="宋体"/>
          <w:sz w:val="22"/>
          <w:highlight w:val="none"/>
        </w:rPr>
        <w:t>姓名：</w:t>
      </w:r>
      <w:r>
        <w:rPr>
          <w:rFonts w:hint="eastAsia" w:ascii="宋体" w:hAnsi="宋体" w:cs="宋体"/>
          <w:sz w:val="22"/>
          <w:highlight w:val="none"/>
          <w:u w:val="single"/>
        </w:rPr>
        <w:t xml:space="preserve">      </w:t>
      </w:r>
      <w:r>
        <w:rPr>
          <w:rFonts w:hint="eastAsia" w:ascii="宋体" w:hAnsi="宋体" w:cs="宋体"/>
          <w:sz w:val="22"/>
          <w:highlight w:val="none"/>
        </w:rPr>
        <w:t>性别：</w:t>
      </w:r>
      <w:bookmarkStart w:id="260" w:name="_Toc369531698"/>
      <w:bookmarkStart w:id="261" w:name="_Toc27897"/>
      <w:bookmarkStart w:id="262" w:name="_Toc352691662"/>
      <w:r>
        <w:rPr>
          <w:rFonts w:hint="eastAsia" w:ascii="宋体" w:hAnsi="宋体" w:cs="宋体"/>
          <w:sz w:val="22"/>
          <w:highlight w:val="none"/>
          <w:u w:val="single"/>
        </w:rPr>
        <w:t xml:space="preserve">     </w:t>
      </w:r>
      <w:r>
        <w:rPr>
          <w:rFonts w:hint="eastAsia" w:ascii="宋体" w:hAnsi="宋体" w:cs="宋体"/>
          <w:sz w:val="22"/>
          <w:highlight w:val="none"/>
        </w:rPr>
        <w:t>年</w:t>
      </w:r>
      <w:bookmarkEnd w:id="260"/>
      <w:bookmarkEnd w:id="261"/>
      <w:bookmarkEnd w:id="262"/>
      <w:r>
        <w:rPr>
          <w:rFonts w:hint="eastAsia" w:ascii="宋体" w:hAnsi="宋体" w:cs="宋体"/>
          <w:sz w:val="22"/>
          <w:highlight w:val="none"/>
        </w:rPr>
        <w:t>龄</w:t>
      </w:r>
      <w:bookmarkStart w:id="263" w:name="_Toc352691663"/>
      <w:bookmarkStart w:id="264" w:name="_Toc361508754"/>
      <w:bookmarkStart w:id="265" w:name="_Toc247527829"/>
      <w:bookmarkStart w:id="266" w:name="_Toc369531699"/>
      <w:bookmarkStart w:id="267" w:name="_Toc144974858"/>
      <w:bookmarkStart w:id="268" w:name="_Toc384308377"/>
      <w:bookmarkStart w:id="269" w:name="_Toc152042578"/>
      <w:bookmarkStart w:id="270" w:name="_Toc300835211"/>
      <w:bookmarkStart w:id="271" w:name="_Toc152045789"/>
      <w:bookmarkStart w:id="272" w:name="_Toc247514248"/>
      <w:bookmarkStart w:id="273" w:name="_Toc15573"/>
      <w:r>
        <w:rPr>
          <w:rFonts w:hint="eastAsia" w:ascii="宋体" w:hAnsi="宋体" w:cs="宋体"/>
          <w:sz w:val="22"/>
          <w:highlight w:val="none"/>
        </w:rPr>
        <w:t>：</w:t>
      </w:r>
      <w:bookmarkEnd w:id="263"/>
      <w:bookmarkEnd w:id="264"/>
      <w:bookmarkEnd w:id="265"/>
      <w:bookmarkEnd w:id="266"/>
      <w:bookmarkEnd w:id="267"/>
      <w:bookmarkEnd w:id="268"/>
      <w:bookmarkEnd w:id="269"/>
      <w:bookmarkEnd w:id="270"/>
      <w:bookmarkEnd w:id="271"/>
      <w:bookmarkEnd w:id="272"/>
      <w:bookmarkEnd w:id="273"/>
      <w:r>
        <w:rPr>
          <w:rFonts w:hint="eastAsia" w:ascii="宋体" w:hAnsi="宋体" w:cs="宋体"/>
          <w:sz w:val="22"/>
          <w:highlight w:val="none"/>
          <w:u w:val="single"/>
        </w:rPr>
        <w:t xml:space="preserve">         </w:t>
      </w:r>
      <w:r>
        <w:rPr>
          <w:rFonts w:hint="eastAsia" w:ascii="宋体" w:hAnsi="宋体" w:cs="宋体"/>
          <w:sz w:val="22"/>
          <w:highlight w:val="none"/>
        </w:rPr>
        <w:t>职务：</w:t>
      </w:r>
      <w:r>
        <w:rPr>
          <w:rFonts w:hint="eastAsia" w:ascii="宋体" w:hAnsi="宋体" w:cs="宋体"/>
          <w:sz w:val="22"/>
          <w:highlight w:val="none"/>
          <w:u w:val="single"/>
        </w:rPr>
        <w:t xml:space="preserve">          </w:t>
      </w:r>
    </w:p>
    <w:p>
      <w:pPr>
        <w:spacing w:line="360" w:lineRule="auto"/>
        <w:rPr>
          <w:rFonts w:ascii="宋体" w:hAnsi="宋体" w:cs="宋体"/>
          <w:sz w:val="22"/>
          <w:highlight w:val="none"/>
        </w:rPr>
      </w:pPr>
      <w:r>
        <w:rPr>
          <w:rFonts w:hint="eastAsia" w:ascii="宋体" w:hAnsi="宋体" w:cs="宋体"/>
          <w:sz w:val="22"/>
          <w:highlight w:val="none"/>
        </w:rPr>
        <w:t>系</w:t>
      </w:r>
      <w:r>
        <w:rPr>
          <w:rFonts w:hint="eastAsia" w:ascii="宋体" w:hAnsi="宋体" w:cs="宋体"/>
          <w:sz w:val="22"/>
          <w:highlight w:val="none"/>
          <w:u w:val="single"/>
        </w:rPr>
        <w:t xml:space="preserve">          （投标人名称）                   </w:t>
      </w:r>
      <w:r>
        <w:rPr>
          <w:rFonts w:hint="eastAsia" w:ascii="宋体" w:hAnsi="宋体" w:cs="宋体"/>
          <w:sz w:val="22"/>
          <w:highlight w:val="none"/>
        </w:rPr>
        <w:t xml:space="preserve"> 的法定代表人。</w:t>
      </w:r>
    </w:p>
    <w:p>
      <w:pPr>
        <w:spacing w:line="360" w:lineRule="auto"/>
        <w:ind w:firstLine="440" w:firstLineChars="200"/>
        <w:rPr>
          <w:rFonts w:ascii="宋体" w:hAnsi="宋体" w:cs="宋体"/>
          <w:sz w:val="22"/>
          <w:highlight w:val="none"/>
        </w:rPr>
      </w:pPr>
      <w:r>
        <w:rPr>
          <w:rFonts w:hint="eastAsia" w:ascii="宋体" w:hAnsi="宋体" w:cs="宋体"/>
          <w:sz w:val="22"/>
          <w:highlight w:val="none"/>
        </w:rPr>
        <w:t>特此证明。</w:t>
      </w:r>
    </w:p>
    <w:p>
      <w:pPr>
        <w:spacing w:line="360" w:lineRule="auto"/>
        <w:rPr>
          <w:rFonts w:ascii="宋体" w:hAnsi="宋体" w:cs="宋体"/>
          <w:sz w:val="22"/>
          <w:highlight w:val="none"/>
        </w:rPr>
      </w:pPr>
    </w:p>
    <w:p>
      <w:pPr>
        <w:spacing w:line="360" w:lineRule="auto"/>
        <w:rPr>
          <w:rFonts w:ascii="宋体" w:hAnsi="宋体" w:cs="宋体"/>
          <w:sz w:val="22"/>
          <w:highlight w:val="none"/>
        </w:rPr>
      </w:pPr>
      <w:r>
        <w:rPr>
          <w:rFonts w:hint="eastAsia" w:ascii="宋体" w:hAnsi="宋体" w:cs="宋体"/>
          <w:sz w:val="22"/>
          <w:highlight w:val="none"/>
        </w:rPr>
        <w:t>附：法定代表人身份证扫描件。</w:t>
      </w:r>
    </w:p>
    <w:p>
      <w:pPr>
        <w:spacing w:line="360" w:lineRule="auto"/>
        <w:rPr>
          <w:rFonts w:ascii="宋体" w:hAnsi="宋体" w:cs="宋体"/>
          <w:sz w:val="22"/>
          <w:highlight w:val="none"/>
        </w:rPr>
      </w:pPr>
    </w:p>
    <w:p>
      <w:pPr>
        <w:spacing w:line="360" w:lineRule="auto"/>
        <w:rPr>
          <w:rFonts w:ascii="宋体" w:hAnsi="宋体" w:cs="宋体"/>
          <w:sz w:val="22"/>
          <w:highlight w:val="none"/>
        </w:rPr>
      </w:pPr>
      <w:r>
        <w:rPr>
          <w:rFonts w:hint="eastAsia" w:ascii="宋体" w:hAnsi="宋体" w:cs="宋体"/>
          <w:sz w:val="22"/>
          <w:highlight w:val="none"/>
        </w:rPr>
        <w:t>注：本身份证明需由投标人加盖单位公章。</w:t>
      </w:r>
    </w:p>
    <w:p>
      <w:pPr>
        <w:spacing w:line="360" w:lineRule="auto"/>
        <w:rPr>
          <w:rFonts w:ascii="宋体" w:hAnsi="宋体" w:cs="宋体"/>
          <w:sz w:val="22"/>
          <w:highlight w:val="none"/>
        </w:rPr>
      </w:pPr>
    </w:p>
    <w:p>
      <w:pPr>
        <w:spacing w:line="360" w:lineRule="auto"/>
        <w:rPr>
          <w:rFonts w:ascii="宋体" w:hAnsi="宋体" w:cs="宋体"/>
          <w:sz w:val="22"/>
          <w:highlight w:val="none"/>
        </w:rPr>
      </w:pPr>
    </w:p>
    <w:p>
      <w:pPr>
        <w:spacing w:line="360" w:lineRule="auto"/>
        <w:jc w:val="center"/>
        <w:rPr>
          <w:rFonts w:ascii="宋体" w:hAnsi="宋体" w:cs="宋体"/>
          <w:sz w:val="22"/>
          <w:highlight w:val="none"/>
        </w:rPr>
      </w:pPr>
      <w:r>
        <w:rPr>
          <w:rFonts w:hint="eastAsia" w:ascii="宋体" w:hAnsi="宋体" w:cs="宋体"/>
          <w:sz w:val="22"/>
          <w:highlight w:val="none"/>
        </w:rPr>
        <w:t>投标人：</w:t>
      </w:r>
      <w:r>
        <w:rPr>
          <w:rFonts w:hint="eastAsia" w:ascii="宋体" w:hAnsi="宋体" w:cs="宋体"/>
          <w:sz w:val="22"/>
          <w:highlight w:val="none"/>
          <w:u w:val="single"/>
        </w:rPr>
        <w:tab/>
      </w:r>
      <w:r>
        <w:rPr>
          <w:rFonts w:hint="eastAsia" w:ascii="宋体" w:hAnsi="宋体" w:cs="宋体"/>
          <w:sz w:val="22"/>
          <w:highlight w:val="none"/>
        </w:rPr>
        <w:t>（盖单位章）</w:t>
      </w:r>
    </w:p>
    <w:p>
      <w:pPr>
        <w:spacing w:line="360" w:lineRule="auto"/>
        <w:ind w:firstLine="4840" w:firstLineChars="2200"/>
        <w:rPr>
          <w:rFonts w:ascii="宋体" w:hAnsi="宋体" w:cs="宋体"/>
          <w:sz w:val="22"/>
          <w:highlight w:val="none"/>
        </w:rPr>
      </w:pPr>
      <w:r>
        <w:rPr>
          <w:rFonts w:hint="eastAsia" w:ascii="宋体" w:hAnsi="宋体" w:cs="宋体"/>
          <w:sz w:val="22"/>
          <w:highlight w:val="none"/>
        </w:rPr>
        <w:t>年　月　日</w:t>
      </w:r>
    </w:p>
    <w:p>
      <w:pPr>
        <w:spacing w:line="440" w:lineRule="exact"/>
        <w:rPr>
          <w:rFonts w:ascii="宋体" w:hAnsi="宋体" w:cs="宋体"/>
          <w:sz w:val="20"/>
          <w:highlight w:val="none"/>
        </w:rPr>
      </w:pPr>
    </w:p>
    <w:p>
      <w:pPr>
        <w:spacing w:line="440" w:lineRule="exact"/>
        <w:rPr>
          <w:rFonts w:ascii="宋体" w:hAnsi="宋体" w:cs="宋体"/>
          <w:sz w:val="20"/>
          <w:highlight w:val="none"/>
        </w:rPr>
      </w:pPr>
    </w:p>
    <w:p>
      <w:pPr>
        <w:spacing w:line="440" w:lineRule="exact"/>
        <w:rPr>
          <w:rFonts w:ascii="宋体" w:hAnsi="宋体" w:cs="宋体"/>
          <w:sz w:val="20"/>
          <w:highlight w:val="none"/>
        </w:rPr>
      </w:pPr>
    </w:p>
    <w:p>
      <w:pPr>
        <w:spacing w:line="440" w:lineRule="exact"/>
        <w:rPr>
          <w:rFonts w:ascii="宋体" w:hAnsi="宋体" w:cs="宋体"/>
          <w:sz w:val="20"/>
          <w:highlight w:val="none"/>
        </w:rPr>
      </w:pPr>
    </w:p>
    <w:p>
      <w:pPr>
        <w:spacing w:line="440" w:lineRule="exact"/>
        <w:rPr>
          <w:rFonts w:ascii="宋体" w:hAnsi="宋体" w:cs="宋体"/>
          <w:sz w:val="20"/>
          <w:highlight w:val="none"/>
        </w:rPr>
      </w:pPr>
    </w:p>
    <w:p>
      <w:pPr>
        <w:spacing w:line="440" w:lineRule="exact"/>
        <w:rPr>
          <w:rFonts w:ascii="宋体" w:hAnsi="宋体" w:cs="宋体"/>
          <w:sz w:val="20"/>
          <w:highlight w:val="none"/>
        </w:rPr>
      </w:pPr>
    </w:p>
    <w:p>
      <w:pPr>
        <w:spacing w:line="440" w:lineRule="exact"/>
        <w:rPr>
          <w:rFonts w:ascii="宋体" w:hAnsi="宋体" w:cs="宋体"/>
          <w:sz w:val="20"/>
          <w:highlight w:val="none"/>
        </w:rPr>
      </w:pPr>
      <w:r>
        <w:rPr>
          <w:rFonts w:hint="eastAsia" w:ascii="宋体" w:hAnsi="宋体" w:cs="宋体"/>
          <w:sz w:val="20"/>
          <w:highlight w:val="none"/>
        </w:rPr>
        <w:br w:type="page"/>
      </w:r>
      <w:bookmarkEnd w:id="250"/>
      <w:bookmarkEnd w:id="254"/>
      <w:bookmarkEnd w:id="255"/>
      <w:bookmarkEnd w:id="256"/>
      <w:bookmarkEnd w:id="257"/>
      <w:bookmarkEnd w:id="258"/>
      <w:bookmarkEnd w:id="259"/>
    </w:p>
    <w:p>
      <w:pPr>
        <w:keepNext/>
        <w:keepLines/>
        <w:spacing w:line="360" w:lineRule="auto"/>
        <w:jc w:val="center"/>
        <w:outlineLvl w:val="1"/>
        <w:rPr>
          <w:rFonts w:ascii="宋体" w:hAnsi="宋体" w:cs="宋体"/>
          <w:sz w:val="32"/>
          <w:highlight w:val="none"/>
        </w:rPr>
      </w:pPr>
      <w:bookmarkStart w:id="274" w:name="_Toc6013"/>
      <w:bookmarkStart w:id="275" w:name="_Toc38224862"/>
      <w:bookmarkStart w:id="276" w:name="_Toc22093"/>
      <w:bookmarkStart w:id="277" w:name="_Toc15147"/>
      <w:bookmarkStart w:id="278" w:name="_Toc525063284"/>
      <w:bookmarkStart w:id="279" w:name="_Toc8221"/>
      <w:bookmarkStart w:id="280" w:name="_Toc25035"/>
      <w:bookmarkStart w:id="281" w:name="_Toc532367892"/>
      <w:bookmarkStart w:id="282" w:name="_Toc23444"/>
      <w:bookmarkStart w:id="283" w:name="_Toc29040"/>
      <w:r>
        <w:rPr>
          <w:rFonts w:hint="eastAsia" w:ascii="宋体" w:hAnsi="宋体" w:cs="宋体"/>
          <w:b/>
          <w:bCs/>
          <w:sz w:val="32"/>
          <w:szCs w:val="32"/>
          <w:highlight w:val="none"/>
        </w:rPr>
        <w:t>授权委托书</w:t>
      </w:r>
      <w:bookmarkEnd w:id="274"/>
      <w:bookmarkEnd w:id="275"/>
      <w:bookmarkEnd w:id="276"/>
    </w:p>
    <w:p>
      <w:pPr>
        <w:spacing w:line="440" w:lineRule="exact"/>
        <w:rPr>
          <w:rFonts w:ascii="宋体" w:hAnsi="宋体" w:cs="宋体"/>
          <w:highlight w:val="none"/>
        </w:rPr>
      </w:pPr>
    </w:p>
    <w:p>
      <w:pPr>
        <w:topLinePunct/>
        <w:spacing w:line="360" w:lineRule="auto"/>
        <w:ind w:firstLine="440" w:firstLineChars="200"/>
        <w:rPr>
          <w:rFonts w:ascii="宋体" w:hAnsi="宋体" w:cs="宋体"/>
          <w:sz w:val="22"/>
          <w:highlight w:val="none"/>
        </w:rPr>
      </w:pPr>
      <w:r>
        <w:rPr>
          <w:rFonts w:hint="eastAsia" w:ascii="宋体" w:hAnsi="宋体" w:cs="宋体"/>
          <w:sz w:val="22"/>
          <w:highlight w:val="none"/>
        </w:rPr>
        <w:t>本人</w:t>
      </w:r>
      <w:r>
        <w:rPr>
          <w:rFonts w:hint="eastAsia" w:ascii="宋体" w:hAnsi="宋体" w:cs="宋体"/>
          <w:sz w:val="22"/>
          <w:highlight w:val="none"/>
          <w:u w:val="single"/>
        </w:rPr>
        <w:t xml:space="preserve">     （姓名）   </w:t>
      </w:r>
      <w:r>
        <w:rPr>
          <w:rFonts w:hint="eastAsia" w:ascii="宋体" w:hAnsi="宋体" w:cs="宋体"/>
          <w:sz w:val="22"/>
          <w:highlight w:val="none"/>
        </w:rPr>
        <w:t>系</w:t>
      </w:r>
      <w:r>
        <w:rPr>
          <w:rFonts w:hint="eastAsia" w:ascii="宋体" w:hAnsi="宋体" w:cs="宋体"/>
          <w:sz w:val="22"/>
          <w:highlight w:val="none"/>
          <w:u w:val="single"/>
        </w:rPr>
        <w:t xml:space="preserve">    （投标人</w:t>
      </w:r>
      <w:r>
        <w:rPr>
          <w:rFonts w:hint="eastAsia" w:cs="宋体"/>
          <w:sz w:val="22"/>
          <w:highlight w:val="none"/>
          <w:u w:val="single"/>
          <w:lang w:bidi="ar"/>
        </w:rPr>
        <w:t>名称）</w:t>
      </w:r>
      <w:r>
        <w:rPr>
          <w:rFonts w:hint="eastAsia" w:ascii="宋体" w:hAnsi="宋体" w:cs="宋体"/>
          <w:sz w:val="22"/>
          <w:highlight w:val="none"/>
          <w:u w:val="single"/>
        </w:rPr>
        <w:t xml:space="preserve"> </w:t>
      </w:r>
      <w:r>
        <w:rPr>
          <w:rFonts w:hint="eastAsia" w:ascii="宋体" w:hAnsi="宋体" w:cs="宋体"/>
          <w:sz w:val="22"/>
          <w:highlight w:val="none"/>
        </w:rPr>
        <w:t>的法定代表人，现委托</w:t>
      </w:r>
      <w:r>
        <w:rPr>
          <w:rFonts w:hint="eastAsia" w:ascii="宋体" w:hAnsi="宋体" w:cs="宋体"/>
          <w:sz w:val="22"/>
          <w:highlight w:val="none"/>
          <w:u w:val="single"/>
        </w:rPr>
        <w:t xml:space="preserve"> （姓名）  </w:t>
      </w:r>
      <w:r>
        <w:rPr>
          <w:rFonts w:hint="eastAsia" w:ascii="宋体" w:hAnsi="宋体" w:cs="宋体"/>
          <w:sz w:val="22"/>
          <w:highlight w:val="none"/>
        </w:rPr>
        <w:t>为我方代理人。代理人根据授权，以我方名义签署、澄清确认、递交、撤回、修改招标项目投标文件、签订合同和处理有关事宜，其法律后果由我方承担。</w:t>
      </w:r>
    </w:p>
    <w:p>
      <w:pPr>
        <w:spacing w:line="360" w:lineRule="auto"/>
        <w:rPr>
          <w:rFonts w:ascii="宋体" w:hAnsi="宋体" w:cs="宋体"/>
          <w:sz w:val="22"/>
          <w:highlight w:val="none"/>
        </w:rPr>
      </w:pPr>
      <w:r>
        <w:rPr>
          <w:rFonts w:hint="eastAsia" w:ascii="宋体" w:hAnsi="宋体" w:cs="宋体"/>
          <w:sz w:val="22"/>
          <w:highlight w:val="none"/>
        </w:rPr>
        <w:t>委托期限：</w:t>
      </w:r>
      <w:r>
        <w:rPr>
          <w:rFonts w:hint="eastAsia" w:ascii="宋体" w:hAnsi="宋体" w:cs="宋体"/>
          <w:sz w:val="22"/>
          <w:highlight w:val="none"/>
          <w:u w:val="single"/>
        </w:rPr>
        <w:t xml:space="preserve">                 。</w:t>
      </w:r>
    </w:p>
    <w:p>
      <w:pPr>
        <w:spacing w:line="360" w:lineRule="auto"/>
        <w:ind w:firstLine="440" w:firstLineChars="200"/>
        <w:rPr>
          <w:rFonts w:ascii="宋体" w:hAnsi="宋体" w:cs="宋体"/>
          <w:sz w:val="22"/>
          <w:highlight w:val="none"/>
        </w:rPr>
      </w:pPr>
      <w:r>
        <w:rPr>
          <w:rFonts w:hint="eastAsia" w:ascii="宋体" w:hAnsi="宋体" w:cs="宋体"/>
          <w:sz w:val="22"/>
          <w:highlight w:val="none"/>
        </w:rPr>
        <w:t>代理人无转委托权。</w:t>
      </w:r>
    </w:p>
    <w:p>
      <w:pPr>
        <w:spacing w:line="360" w:lineRule="auto"/>
        <w:ind w:firstLine="440" w:firstLineChars="200"/>
        <w:rPr>
          <w:rFonts w:ascii="宋体" w:hAnsi="宋体" w:cs="宋体"/>
          <w:sz w:val="22"/>
          <w:highlight w:val="none"/>
        </w:rPr>
      </w:pPr>
    </w:p>
    <w:p>
      <w:pPr>
        <w:spacing w:line="360" w:lineRule="auto"/>
        <w:rPr>
          <w:rFonts w:ascii="宋体" w:hAnsi="宋体" w:cs="宋体"/>
          <w:sz w:val="22"/>
          <w:highlight w:val="none"/>
        </w:rPr>
      </w:pPr>
      <w:r>
        <w:rPr>
          <w:rFonts w:hint="eastAsia" w:ascii="宋体" w:hAnsi="宋体" w:cs="宋体"/>
          <w:sz w:val="22"/>
          <w:highlight w:val="none"/>
        </w:rPr>
        <w:t>附：法定代表人身份证扫描件及委托代理人身份证扫描件。</w:t>
      </w:r>
    </w:p>
    <w:p>
      <w:pPr>
        <w:spacing w:line="360" w:lineRule="auto"/>
        <w:rPr>
          <w:rFonts w:ascii="宋体" w:hAnsi="宋体" w:cs="宋体"/>
          <w:sz w:val="22"/>
          <w:highlight w:val="none"/>
        </w:rPr>
      </w:pPr>
    </w:p>
    <w:p>
      <w:pPr>
        <w:spacing w:line="360" w:lineRule="auto"/>
        <w:rPr>
          <w:rFonts w:ascii="宋体" w:hAnsi="宋体" w:cs="宋体"/>
          <w:sz w:val="22"/>
          <w:highlight w:val="none"/>
        </w:rPr>
      </w:pPr>
      <w:r>
        <w:rPr>
          <w:rFonts w:hint="eastAsia" w:ascii="宋体" w:hAnsi="宋体" w:cs="宋体"/>
          <w:sz w:val="22"/>
          <w:highlight w:val="none"/>
        </w:rPr>
        <w:t>注：本授权委托书需由投标人加盖单位公章并由其法定代表人和委托代理人签字</w:t>
      </w:r>
      <w:r>
        <w:rPr>
          <w:rFonts w:hint="eastAsia" w:ascii="宋体" w:hAnsi="宋体" w:cs="宋体"/>
          <w:sz w:val="22"/>
          <w:highlight w:val="none"/>
          <w:lang w:eastAsia="zh-Hans"/>
        </w:rPr>
        <w:t>或盖章</w:t>
      </w:r>
      <w:r>
        <w:rPr>
          <w:rFonts w:hint="eastAsia" w:ascii="宋体" w:hAnsi="宋体" w:cs="宋体"/>
          <w:sz w:val="22"/>
          <w:highlight w:val="none"/>
        </w:rPr>
        <w:t>。</w:t>
      </w:r>
    </w:p>
    <w:p>
      <w:pPr>
        <w:spacing w:line="360" w:lineRule="auto"/>
        <w:rPr>
          <w:rFonts w:ascii="宋体" w:hAnsi="宋体" w:cs="宋体"/>
          <w:sz w:val="22"/>
          <w:highlight w:val="none"/>
        </w:rPr>
      </w:pPr>
    </w:p>
    <w:p>
      <w:pPr>
        <w:spacing w:line="360" w:lineRule="auto"/>
        <w:ind w:firstLine="2820" w:firstLineChars="1282"/>
        <w:rPr>
          <w:rFonts w:ascii="宋体" w:hAnsi="宋体" w:cs="宋体"/>
          <w:sz w:val="22"/>
          <w:highlight w:val="none"/>
        </w:rPr>
      </w:pPr>
      <w:r>
        <w:rPr>
          <w:rFonts w:hint="eastAsia" w:ascii="宋体" w:hAnsi="宋体" w:cs="宋体"/>
          <w:sz w:val="22"/>
          <w:highlight w:val="none"/>
        </w:rPr>
        <w:t>投标人：（盖单位章）</w:t>
      </w:r>
    </w:p>
    <w:p>
      <w:pPr>
        <w:spacing w:line="360" w:lineRule="auto"/>
        <w:ind w:firstLine="2820" w:firstLineChars="1282"/>
        <w:rPr>
          <w:rFonts w:ascii="宋体" w:hAnsi="宋体" w:cs="宋体"/>
          <w:sz w:val="22"/>
          <w:highlight w:val="none"/>
        </w:rPr>
      </w:pPr>
    </w:p>
    <w:p>
      <w:pPr>
        <w:spacing w:line="360" w:lineRule="auto"/>
        <w:ind w:firstLine="2818" w:firstLineChars="1281"/>
        <w:jc w:val="left"/>
        <w:rPr>
          <w:rFonts w:ascii="宋体" w:hAnsi="宋体" w:cs="宋体"/>
          <w:sz w:val="22"/>
          <w:highlight w:val="none"/>
        </w:rPr>
      </w:pPr>
      <w:r>
        <w:rPr>
          <w:rFonts w:hint="eastAsia" w:ascii="宋体" w:hAnsi="宋体" w:cs="宋体"/>
          <w:sz w:val="22"/>
          <w:highlight w:val="none"/>
        </w:rPr>
        <w:t>法定代表人：（签字</w:t>
      </w:r>
      <w:r>
        <w:rPr>
          <w:rFonts w:hint="eastAsia" w:ascii="宋体" w:hAnsi="宋体" w:cs="宋体"/>
          <w:sz w:val="22"/>
          <w:highlight w:val="none"/>
          <w:lang w:eastAsia="zh-Hans"/>
        </w:rPr>
        <w:t>或盖章</w:t>
      </w:r>
      <w:r>
        <w:rPr>
          <w:rFonts w:hint="eastAsia" w:ascii="宋体" w:hAnsi="宋体" w:cs="宋体"/>
          <w:sz w:val="22"/>
          <w:highlight w:val="none"/>
        </w:rPr>
        <w:t>）</w:t>
      </w:r>
    </w:p>
    <w:p>
      <w:pPr>
        <w:spacing w:line="360" w:lineRule="auto"/>
        <w:rPr>
          <w:rFonts w:ascii="宋体" w:hAnsi="宋体" w:cs="宋体"/>
          <w:sz w:val="22"/>
          <w:highlight w:val="none"/>
        </w:rPr>
      </w:pPr>
    </w:p>
    <w:p>
      <w:pPr>
        <w:spacing w:line="360" w:lineRule="auto"/>
        <w:ind w:firstLine="2820" w:firstLineChars="1282"/>
        <w:rPr>
          <w:rFonts w:ascii="宋体" w:hAnsi="宋体" w:cs="宋体"/>
          <w:sz w:val="22"/>
          <w:highlight w:val="none"/>
        </w:rPr>
      </w:pPr>
      <w:r>
        <w:rPr>
          <w:rFonts w:hint="eastAsia" w:ascii="宋体" w:hAnsi="宋体" w:cs="宋体"/>
          <w:sz w:val="22"/>
          <w:highlight w:val="none"/>
        </w:rPr>
        <w:t>委托代理人：（签字</w:t>
      </w:r>
      <w:r>
        <w:rPr>
          <w:rFonts w:hint="eastAsia" w:ascii="宋体" w:hAnsi="宋体" w:cs="宋体"/>
          <w:sz w:val="22"/>
          <w:highlight w:val="none"/>
          <w:lang w:eastAsia="zh-Hans"/>
        </w:rPr>
        <w:t>或盖章</w:t>
      </w:r>
      <w:r>
        <w:rPr>
          <w:rFonts w:hint="eastAsia" w:ascii="宋体" w:hAnsi="宋体" w:cs="宋体"/>
          <w:sz w:val="22"/>
          <w:highlight w:val="none"/>
        </w:rPr>
        <w:t>）</w:t>
      </w:r>
    </w:p>
    <w:p>
      <w:pPr>
        <w:spacing w:line="360" w:lineRule="auto"/>
        <w:ind w:firstLine="2820" w:firstLineChars="1282"/>
        <w:rPr>
          <w:rFonts w:ascii="宋体" w:hAnsi="宋体" w:cs="宋体"/>
          <w:sz w:val="22"/>
          <w:highlight w:val="none"/>
        </w:rPr>
      </w:pPr>
    </w:p>
    <w:p>
      <w:pPr>
        <w:spacing w:line="360" w:lineRule="auto"/>
        <w:ind w:firstLine="3478" w:firstLineChars="1581"/>
        <w:rPr>
          <w:rFonts w:ascii="宋体" w:hAnsi="宋体" w:cs="宋体"/>
          <w:sz w:val="22"/>
          <w:highlight w:val="none"/>
        </w:rPr>
      </w:pPr>
      <w:r>
        <w:rPr>
          <w:rFonts w:hint="eastAsia" w:ascii="宋体" w:hAnsi="宋体" w:cs="宋体"/>
          <w:sz w:val="22"/>
          <w:highlight w:val="none"/>
        </w:rPr>
        <w:t>年   月   日</w:t>
      </w:r>
    </w:p>
    <w:p>
      <w:pPr>
        <w:spacing w:line="360" w:lineRule="auto"/>
        <w:rPr>
          <w:rFonts w:ascii="宋体" w:hAnsi="宋体" w:cs="宋体"/>
          <w:sz w:val="22"/>
          <w:highlight w:val="none"/>
        </w:rPr>
      </w:pPr>
    </w:p>
    <w:bookmarkEnd w:id="277"/>
    <w:bookmarkEnd w:id="278"/>
    <w:bookmarkEnd w:id="279"/>
    <w:bookmarkEnd w:id="280"/>
    <w:bookmarkEnd w:id="281"/>
    <w:bookmarkEnd w:id="282"/>
    <w:bookmarkEnd w:id="283"/>
    <w:p>
      <w:pPr>
        <w:spacing w:line="440" w:lineRule="exact"/>
        <w:ind w:firstLine="4057" w:firstLineChars="1932"/>
        <w:jc w:val="right"/>
        <w:rPr>
          <w:rFonts w:ascii="宋体" w:hAnsi="宋体" w:cs="宋体"/>
          <w:highlight w:val="none"/>
        </w:rPr>
      </w:pPr>
    </w:p>
    <w:p>
      <w:pPr>
        <w:pStyle w:val="43"/>
        <w:rPr>
          <w:highlight w:val="none"/>
        </w:rPr>
      </w:pPr>
    </w:p>
    <w:p>
      <w:pPr>
        <w:rPr>
          <w:rFonts w:ascii="宋体" w:hAnsi="宋体" w:cs="宋体"/>
          <w:highlight w:val="none"/>
        </w:rPr>
      </w:pPr>
    </w:p>
    <w:p>
      <w:pPr>
        <w:pStyle w:val="4"/>
        <w:keepNext w:val="0"/>
        <w:keepLines w:val="0"/>
        <w:jc w:val="center"/>
        <w:rPr>
          <w:rFonts w:ascii="宋体" w:hAnsi="宋体" w:eastAsia="宋体" w:cs="宋体"/>
          <w:highlight w:val="none"/>
        </w:rPr>
        <w:sectPr>
          <w:pgSz w:w="11905" w:h="16838"/>
          <w:pgMar w:top="1440" w:right="1425" w:bottom="1440" w:left="1800" w:header="720" w:footer="720" w:gutter="0"/>
          <w:cols w:space="720" w:num="1"/>
          <w:docGrid w:linePitch="286" w:charSpace="0"/>
        </w:sectPr>
      </w:pPr>
      <w:bookmarkStart w:id="284" w:name="_Toc525063285"/>
    </w:p>
    <w:p>
      <w:pPr>
        <w:keepNext/>
        <w:keepLines/>
        <w:widowControl/>
        <w:spacing w:line="360" w:lineRule="auto"/>
        <w:jc w:val="center"/>
        <w:outlineLvl w:val="1"/>
        <w:rPr>
          <w:rFonts w:ascii="宋体" w:hAnsi="宋体" w:cs="宋体"/>
          <w:b/>
          <w:bCs/>
          <w:sz w:val="36"/>
          <w:szCs w:val="36"/>
          <w:highlight w:val="none"/>
        </w:rPr>
      </w:pPr>
      <w:bookmarkStart w:id="285" w:name="_Toc38224863"/>
      <w:bookmarkStart w:id="286" w:name="_Toc24069"/>
      <w:bookmarkStart w:id="287" w:name="_Toc11116"/>
      <w:bookmarkStart w:id="288" w:name="_Toc25059"/>
      <w:bookmarkStart w:id="289" w:name="_Toc29217"/>
      <w:bookmarkStart w:id="290" w:name="_Toc7590"/>
      <w:bookmarkStart w:id="291" w:name="_Toc26732"/>
      <w:bookmarkStart w:id="292" w:name="_Toc532367893"/>
      <w:bookmarkStart w:id="293" w:name="_Toc10935"/>
      <w:r>
        <w:rPr>
          <w:rFonts w:hint="eastAsia" w:ascii="宋体" w:hAnsi="宋体" w:cs="宋体"/>
          <w:b/>
          <w:bCs/>
          <w:sz w:val="36"/>
          <w:szCs w:val="36"/>
          <w:highlight w:val="none"/>
        </w:rPr>
        <w:t>三、资格审查资料</w:t>
      </w:r>
    </w:p>
    <w:p>
      <w:pPr>
        <w:widowControl/>
        <w:jc w:val="center"/>
        <w:rPr>
          <w:rFonts w:ascii="宋体" w:hAnsi="宋体" w:cs="宋体"/>
          <w:kern w:val="0"/>
          <w:sz w:val="28"/>
          <w:szCs w:val="28"/>
          <w:highlight w:val="none"/>
          <w:u w:val="single"/>
        </w:rPr>
      </w:pPr>
      <w:r>
        <w:rPr>
          <w:rFonts w:hint="eastAsia" w:ascii="宋体" w:hAnsi="宋体" w:cs="宋体"/>
          <w:kern w:val="0"/>
          <w:sz w:val="28"/>
          <w:szCs w:val="28"/>
          <w:highlight w:val="none"/>
        </w:rPr>
        <w:t>（具体资料要求详见招标文件）</w:t>
      </w:r>
    </w:p>
    <w:p>
      <w:pPr>
        <w:pStyle w:val="43"/>
        <w:ind w:firstLine="0"/>
        <w:rPr>
          <w:rFonts w:ascii="宋体" w:hAnsi="宋体" w:cs="宋体"/>
          <w:highlight w:val="none"/>
        </w:rPr>
      </w:pPr>
    </w:p>
    <w:p>
      <w:pPr>
        <w:pStyle w:val="43"/>
        <w:ind w:firstLine="0"/>
        <w:rPr>
          <w:rFonts w:ascii="宋体" w:hAnsi="宋体" w:cs="宋体"/>
          <w:highlight w:val="none"/>
        </w:rPr>
      </w:pPr>
    </w:p>
    <w:p>
      <w:pPr>
        <w:pStyle w:val="43"/>
        <w:ind w:firstLine="0"/>
        <w:rPr>
          <w:rFonts w:ascii="宋体" w:hAnsi="宋体" w:cs="宋体"/>
          <w:highlight w:val="none"/>
        </w:rPr>
      </w:pPr>
    </w:p>
    <w:p>
      <w:pPr>
        <w:pStyle w:val="43"/>
        <w:ind w:firstLine="0"/>
        <w:rPr>
          <w:rFonts w:ascii="宋体" w:hAnsi="宋体" w:cs="宋体"/>
          <w:highlight w:val="none"/>
        </w:rPr>
      </w:pPr>
    </w:p>
    <w:p>
      <w:pPr>
        <w:pStyle w:val="43"/>
        <w:ind w:firstLine="0"/>
        <w:rPr>
          <w:rFonts w:ascii="宋体" w:hAnsi="宋体" w:cs="宋体"/>
          <w:highlight w:val="none"/>
        </w:rPr>
      </w:pPr>
    </w:p>
    <w:p>
      <w:pPr>
        <w:pStyle w:val="43"/>
        <w:ind w:firstLine="0"/>
        <w:rPr>
          <w:rFonts w:ascii="宋体" w:hAnsi="宋体" w:cs="宋体"/>
          <w:highlight w:val="none"/>
        </w:rPr>
      </w:pPr>
    </w:p>
    <w:p>
      <w:pPr>
        <w:pStyle w:val="43"/>
        <w:ind w:firstLine="0"/>
        <w:rPr>
          <w:rFonts w:ascii="宋体" w:hAnsi="宋体" w:cs="宋体"/>
          <w:highlight w:val="none"/>
        </w:rPr>
      </w:pPr>
    </w:p>
    <w:p>
      <w:pPr>
        <w:pStyle w:val="43"/>
        <w:ind w:firstLine="0"/>
        <w:rPr>
          <w:rFonts w:ascii="宋体" w:hAnsi="宋体" w:cs="宋体"/>
          <w:highlight w:val="none"/>
        </w:rPr>
      </w:pPr>
    </w:p>
    <w:p>
      <w:pPr>
        <w:pStyle w:val="43"/>
        <w:ind w:firstLine="0"/>
        <w:rPr>
          <w:rFonts w:ascii="宋体" w:hAnsi="宋体" w:cs="宋体"/>
          <w:highlight w:val="none"/>
        </w:rPr>
      </w:pPr>
    </w:p>
    <w:p>
      <w:pPr>
        <w:pStyle w:val="43"/>
        <w:ind w:firstLine="0"/>
        <w:rPr>
          <w:rFonts w:ascii="宋体" w:hAnsi="宋体" w:cs="宋体"/>
          <w:highlight w:val="none"/>
        </w:rPr>
      </w:pPr>
    </w:p>
    <w:p>
      <w:pPr>
        <w:pStyle w:val="43"/>
        <w:ind w:firstLine="0"/>
        <w:rPr>
          <w:rFonts w:ascii="宋体" w:hAnsi="宋体" w:cs="宋体"/>
          <w:highlight w:val="none"/>
        </w:rPr>
      </w:pPr>
    </w:p>
    <w:p>
      <w:pPr>
        <w:pStyle w:val="43"/>
        <w:ind w:firstLine="0"/>
        <w:rPr>
          <w:rFonts w:ascii="宋体" w:hAnsi="宋体" w:cs="宋体"/>
          <w:highlight w:val="none"/>
        </w:rPr>
      </w:pPr>
    </w:p>
    <w:p>
      <w:pPr>
        <w:pStyle w:val="43"/>
        <w:ind w:firstLine="0"/>
        <w:rPr>
          <w:rFonts w:ascii="宋体" w:hAnsi="宋体" w:cs="宋体"/>
          <w:highlight w:val="none"/>
        </w:rPr>
      </w:pPr>
    </w:p>
    <w:p>
      <w:pPr>
        <w:pStyle w:val="43"/>
        <w:ind w:firstLine="0"/>
        <w:rPr>
          <w:rFonts w:ascii="宋体" w:hAnsi="宋体" w:cs="宋体"/>
          <w:highlight w:val="none"/>
        </w:rPr>
      </w:pPr>
    </w:p>
    <w:p>
      <w:pPr>
        <w:pStyle w:val="43"/>
        <w:ind w:firstLine="0"/>
        <w:rPr>
          <w:rFonts w:ascii="宋体" w:hAnsi="宋体" w:cs="宋体"/>
          <w:highlight w:val="none"/>
        </w:rPr>
      </w:pPr>
    </w:p>
    <w:p>
      <w:pPr>
        <w:pStyle w:val="43"/>
        <w:ind w:firstLine="0"/>
        <w:rPr>
          <w:rFonts w:ascii="宋体" w:hAnsi="宋体" w:cs="宋体"/>
          <w:highlight w:val="none"/>
        </w:rPr>
      </w:pPr>
    </w:p>
    <w:p>
      <w:pPr>
        <w:pStyle w:val="43"/>
        <w:ind w:firstLine="0"/>
        <w:rPr>
          <w:rFonts w:ascii="宋体" w:hAnsi="宋体" w:cs="宋体"/>
          <w:highlight w:val="none"/>
        </w:rPr>
      </w:pPr>
    </w:p>
    <w:p>
      <w:pPr>
        <w:pStyle w:val="43"/>
        <w:ind w:firstLine="0"/>
        <w:rPr>
          <w:rFonts w:ascii="宋体" w:hAnsi="宋体" w:cs="宋体"/>
          <w:highlight w:val="none"/>
        </w:rPr>
      </w:pPr>
    </w:p>
    <w:p>
      <w:pPr>
        <w:pStyle w:val="43"/>
        <w:ind w:firstLine="0"/>
        <w:rPr>
          <w:rFonts w:ascii="宋体" w:hAnsi="宋体" w:cs="宋体"/>
          <w:highlight w:val="none"/>
        </w:rPr>
      </w:pPr>
    </w:p>
    <w:p>
      <w:pPr>
        <w:pStyle w:val="43"/>
        <w:ind w:firstLine="0"/>
        <w:rPr>
          <w:rFonts w:ascii="宋体" w:hAnsi="宋体" w:cs="宋体"/>
          <w:highlight w:val="none"/>
        </w:rPr>
      </w:pPr>
    </w:p>
    <w:p>
      <w:pPr>
        <w:pStyle w:val="43"/>
        <w:ind w:firstLine="0"/>
        <w:rPr>
          <w:rFonts w:ascii="宋体" w:hAnsi="宋体" w:cs="宋体"/>
          <w:highlight w:val="none"/>
        </w:rPr>
      </w:pPr>
    </w:p>
    <w:p>
      <w:pPr>
        <w:pStyle w:val="43"/>
        <w:ind w:firstLine="0"/>
        <w:rPr>
          <w:rFonts w:ascii="宋体" w:hAnsi="宋体" w:cs="宋体"/>
          <w:highlight w:val="none"/>
        </w:rPr>
      </w:pPr>
    </w:p>
    <w:p>
      <w:pPr>
        <w:pStyle w:val="43"/>
        <w:ind w:firstLine="0"/>
        <w:rPr>
          <w:rFonts w:ascii="宋体" w:hAnsi="宋体" w:cs="宋体"/>
          <w:highlight w:val="none"/>
        </w:rPr>
      </w:pPr>
    </w:p>
    <w:p>
      <w:pPr>
        <w:pStyle w:val="43"/>
        <w:ind w:firstLine="0"/>
        <w:rPr>
          <w:rFonts w:ascii="宋体" w:hAnsi="宋体" w:cs="宋体"/>
          <w:highlight w:val="none"/>
        </w:rPr>
      </w:pPr>
    </w:p>
    <w:p>
      <w:pPr>
        <w:keepNext w:val="0"/>
        <w:keepLines w:val="0"/>
        <w:spacing w:line="360" w:lineRule="auto"/>
        <w:ind w:left="559"/>
        <w:jc w:val="left"/>
        <w:outlineLvl w:val="9"/>
        <w:rPr>
          <w:rFonts w:ascii="宋体" w:hAnsi="宋体" w:cs="宋体"/>
          <w:b/>
          <w:bCs/>
          <w:sz w:val="32"/>
          <w:szCs w:val="32"/>
          <w:highlight w:val="none"/>
        </w:rPr>
      </w:pPr>
      <w:r>
        <w:rPr>
          <w:rFonts w:hint="eastAsia" w:ascii="宋体" w:hAnsi="宋体" w:cs="宋体"/>
          <w:b/>
          <w:bCs/>
          <w:sz w:val="32"/>
          <w:szCs w:val="32"/>
          <w:highlight w:val="none"/>
          <w:lang w:val="en-US" w:eastAsia="zh-CN"/>
        </w:rPr>
        <w:t xml:space="preserve">             </w:t>
      </w:r>
      <w:bookmarkEnd w:id="284"/>
      <w:bookmarkEnd w:id="285"/>
      <w:bookmarkEnd w:id="286"/>
      <w:bookmarkEnd w:id="287"/>
      <w:bookmarkEnd w:id="288"/>
      <w:bookmarkEnd w:id="289"/>
      <w:bookmarkEnd w:id="290"/>
      <w:bookmarkEnd w:id="291"/>
      <w:bookmarkEnd w:id="292"/>
      <w:bookmarkEnd w:id="293"/>
      <w:bookmarkStart w:id="294" w:name="_Toc532367896"/>
      <w:bookmarkStart w:id="295" w:name="_Toc377719916"/>
      <w:bookmarkStart w:id="296" w:name="_Toc29731"/>
      <w:bookmarkStart w:id="297" w:name="_Toc12800"/>
      <w:bookmarkStart w:id="298" w:name="_Toc7316"/>
      <w:bookmarkStart w:id="299" w:name="_Toc23762"/>
      <w:bookmarkStart w:id="300" w:name="_Toc32483"/>
      <w:bookmarkStart w:id="301" w:name="_Toc24823"/>
      <w:bookmarkStart w:id="302" w:name="_Toc21254"/>
      <w:bookmarkStart w:id="303" w:name="_Toc38224866"/>
      <w:bookmarkStart w:id="304" w:name="_Toc17600"/>
      <w:r>
        <w:rPr>
          <w:rFonts w:hint="eastAsia" w:ascii="宋体" w:hAnsi="宋体" w:cs="宋体"/>
          <w:b/>
          <w:bCs/>
          <w:sz w:val="32"/>
          <w:szCs w:val="32"/>
          <w:highlight w:val="none"/>
          <w:lang w:eastAsia="zh-CN"/>
        </w:rPr>
        <w:t>四</w:t>
      </w:r>
      <w:r>
        <w:rPr>
          <w:rFonts w:hint="eastAsia" w:ascii="宋体" w:hAnsi="宋体" w:cs="宋体"/>
          <w:b/>
          <w:bCs/>
          <w:sz w:val="32"/>
          <w:szCs w:val="32"/>
          <w:highlight w:val="none"/>
        </w:rPr>
        <w:t>、</w:t>
      </w:r>
      <w:bookmarkEnd w:id="294"/>
      <w:bookmarkEnd w:id="295"/>
      <w:bookmarkEnd w:id="296"/>
      <w:bookmarkEnd w:id="297"/>
      <w:bookmarkEnd w:id="298"/>
      <w:bookmarkEnd w:id="299"/>
      <w:bookmarkEnd w:id="300"/>
      <w:bookmarkEnd w:id="301"/>
      <w:r>
        <w:rPr>
          <w:rFonts w:hint="eastAsia" w:ascii="宋体" w:hAnsi="宋体" w:cs="宋体"/>
          <w:b/>
          <w:bCs/>
          <w:sz w:val="32"/>
          <w:szCs w:val="32"/>
          <w:highlight w:val="none"/>
        </w:rPr>
        <w:t>联合体协议书（参考格式）</w:t>
      </w:r>
      <w:bookmarkEnd w:id="302"/>
      <w:bookmarkEnd w:id="303"/>
      <w:bookmarkEnd w:id="304"/>
    </w:p>
    <w:p>
      <w:pPr>
        <w:spacing w:line="400" w:lineRule="exact"/>
        <w:jc w:val="center"/>
        <w:rPr>
          <w:rFonts w:ascii="宋体" w:hAnsi="宋体" w:cs="宋体"/>
          <w:sz w:val="28"/>
          <w:szCs w:val="28"/>
          <w:highlight w:val="none"/>
        </w:rPr>
      </w:pPr>
      <w:r>
        <w:rPr>
          <w:rFonts w:hint="eastAsia" w:ascii="宋体" w:hAnsi="宋体" w:cs="宋体"/>
          <w:sz w:val="28"/>
          <w:szCs w:val="28"/>
          <w:highlight w:val="none"/>
        </w:rPr>
        <w:t>（详见招标公告附件</w:t>
      </w:r>
      <w:r>
        <w:rPr>
          <w:rFonts w:hint="eastAsia" w:ascii="宋体" w:hAnsi="宋体" w:cs="宋体"/>
          <w:sz w:val="28"/>
          <w:szCs w:val="28"/>
          <w:highlight w:val="none"/>
          <w:lang w:val="en-US" w:eastAsia="zh-CN"/>
        </w:rPr>
        <w:t>二</w:t>
      </w:r>
      <w:r>
        <w:rPr>
          <w:rFonts w:hint="eastAsia" w:ascii="宋体" w:hAnsi="宋体" w:cs="宋体"/>
          <w:sz w:val="28"/>
          <w:szCs w:val="28"/>
          <w:highlight w:val="none"/>
        </w:rPr>
        <w:t>）</w:t>
      </w:r>
    </w:p>
    <w:p>
      <w:pPr>
        <w:keepNext w:val="0"/>
        <w:keepLines w:val="0"/>
        <w:numPr>
          <w:ilvl w:val="0"/>
          <w:numId w:val="6"/>
        </w:numPr>
        <w:spacing w:line="360" w:lineRule="auto"/>
        <w:ind w:left="559"/>
        <w:jc w:val="center"/>
        <w:outlineLvl w:val="9"/>
        <w:rPr>
          <w:rFonts w:hint="eastAsia" w:ascii="宋体" w:hAnsi="宋体" w:cs="宋体"/>
          <w:b/>
          <w:bCs/>
          <w:sz w:val="32"/>
          <w:szCs w:val="32"/>
          <w:highlight w:val="none"/>
        </w:rPr>
      </w:pPr>
      <w:r>
        <w:rPr>
          <w:rFonts w:hint="eastAsia" w:ascii="宋体" w:hAnsi="宋体" w:cs="宋体"/>
          <w:b/>
          <w:bCs/>
          <w:sz w:val="40"/>
          <w:szCs w:val="32"/>
          <w:highlight w:val="none"/>
        </w:rPr>
        <w:br w:type="page"/>
      </w:r>
      <w:bookmarkStart w:id="305" w:name="_Toc38224867"/>
      <w:bookmarkStart w:id="306" w:name="_Toc9140"/>
      <w:bookmarkStart w:id="307" w:name="_Toc532367897"/>
      <w:bookmarkStart w:id="308" w:name="_Toc25406"/>
      <w:bookmarkStart w:id="309" w:name="_Toc377719917"/>
      <w:bookmarkStart w:id="310" w:name="_Toc13214"/>
      <w:bookmarkStart w:id="311" w:name="_Toc29747"/>
      <w:bookmarkStart w:id="312" w:name="_Toc17488"/>
      <w:bookmarkStart w:id="313" w:name="_Toc18694"/>
      <w:bookmarkStart w:id="314" w:name="_Toc12738"/>
      <w:r>
        <w:rPr>
          <w:rFonts w:hint="eastAsia" w:ascii="宋体" w:hAnsi="宋体" w:cs="宋体"/>
          <w:b/>
          <w:bCs/>
          <w:sz w:val="32"/>
          <w:szCs w:val="32"/>
          <w:highlight w:val="none"/>
        </w:rPr>
        <w:t>投标人声明</w:t>
      </w:r>
    </w:p>
    <w:p>
      <w:pPr>
        <w:spacing w:line="400" w:lineRule="exact"/>
        <w:jc w:val="center"/>
        <w:rPr>
          <w:rFonts w:ascii="宋体" w:hAnsi="宋体" w:cs="宋体"/>
          <w:sz w:val="28"/>
          <w:szCs w:val="28"/>
          <w:highlight w:val="none"/>
        </w:rPr>
      </w:pPr>
      <w:r>
        <w:rPr>
          <w:rFonts w:hint="eastAsia" w:ascii="宋体" w:hAnsi="宋体" w:cs="宋体"/>
          <w:sz w:val="28"/>
          <w:szCs w:val="28"/>
          <w:highlight w:val="none"/>
        </w:rPr>
        <w:t>（详见招标公告附件一）</w:t>
      </w:r>
    </w:p>
    <w:p>
      <w:pPr>
        <w:rPr>
          <w:rFonts w:ascii="宋体" w:hAnsi="宋体" w:cs="宋体"/>
          <w:b/>
          <w:bCs/>
          <w:sz w:val="32"/>
          <w:szCs w:val="32"/>
          <w:highlight w:val="none"/>
        </w:rPr>
      </w:pPr>
      <w:r>
        <w:rPr>
          <w:rFonts w:hint="eastAsia" w:ascii="宋体" w:hAnsi="宋体" w:cs="宋体"/>
          <w:b/>
          <w:bCs/>
          <w:sz w:val="32"/>
          <w:szCs w:val="32"/>
          <w:highlight w:val="none"/>
        </w:rPr>
        <w:br w:type="page"/>
      </w:r>
    </w:p>
    <w:p>
      <w:pPr>
        <w:keepNext w:val="0"/>
        <w:keepLines w:val="0"/>
        <w:numPr>
          <w:ilvl w:val="0"/>
          <w:numId w:val="6"/>
        </w:numPr>
        <w:spacing w:line="360" w:lineRule="auto"/>
        <w:ind w:left="559"/>
        <w:jc w:val="center"/>
        <w:outlineLvl w:val="9"/>
        <w:rPr>
          <w:rFonts w:ascii="宋体" w:hAnsi="宋体" w:cs="宋体"/>
          <w:b/>
          <w:bCs/>
          <w:sz w:val="32"/>
          <w:szCs w:val="32"/>
          <w:highlight w:val="none"/>
        </w:rPr>
      </w:pPr>
      <w:r>
        <w:rPr>
          <w:rFonts w:hint="eastAsia" w:ascii="宋体" w:hAnsi="宋体" w:cs="宋体"/>
          <w:b/>
          <w:bCs/>
          <w:sz w:val="32"/>
          <w:szCs w:val="32"/>
          <w:highlight w:val="none"/>
        </w:rPr>
        <w:t>拟投入本项目的检验监测人员一览表</w:t>
      </w:r>
      <w:bookmarkEnd w:id="305"/>
      <w:bookmarkEnd w:id="306"/>
    </w:p>
    <w:bookmarkEnd w:id="307"/>
    <w:bookmarkEnd w:id="308"/>
    <w:bookmarkEnd w:id="309"/>
    <w:bookmarkEnd w:id="310"/>
    <w:bookmarkEnd w:id="311"/>
    <w:bookmarkEnd w:id="312"/>
    <w:bookmarkEnd w:id="313"/>
    <w:bookmarkEnd w:id="314"/>
    <w:p>
      <w:pPr>
        <w:jc w:val="left"/>
        <w:rPr>
          <w:rFonts w:ascii="宋体" w:hAnsi="宋体" w:cs="宋体"/>
          <w:szCs w:val="24"/>
          <w:highlight w:val="none"/>
        </w:rPr>
      </w:pPr>
    </w:p>
    <w:tbl>
      <w:tblPr>
        <w:tblStyle w:val="4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0"/>
        <w:gridCol w:w="1354"/>
        <w:gridCol w:w="953"/>
        <w:gridCol w:w="1586"/>
        <w:gridCol w:w="1262"/>
        <w:gridCol w:w="1431"/>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522" w:type="pct"/>
            <w:vAlign w:val="center"/>
          </w:tcPr>
          <w:p>
            <w:pPr>
              <w:snapToGrid w:val="0"/>
              <w:spacing w:line="240" w:lineRule="atLeast"/>
              <w:jc w:val="center"/>
              <w:rPr>
                <w:rFonts w:ascii="宋体" w:hAnsi="宋体" w:cs="宋体"/>
                <w:sz w:val="22"/>
                <w:highlight w:val="none"/>
              </w:rPr>
            </w:pPr>
            <w:r>
              <w:rPr>
                <w:rFonts w:hint="eastAsia" w:ascii="宋体" w:hAnsi="宋体" w:cs="宋体"/>
                <w:sz w:val="22"/>
                <w:highlight w:val="none"/>
              </w:rPr>
              <w:t>序号</w:t>
            </w:r>
          </w:p>
        </w:tc>
        <w:tc>
          <w:tcPr>
            <w:tcW w:w="776" w:type="pct"/>
            <w:vAlign w:val="center"/>
          </w:tcPr>
          <w:p>
            <w:pPr>
              <w:snapToGrid w:val="0"/>
              <w:spacing w:line="240" w:lineRule="atLeast"/>
              <w:jc w:val="center"/>
              <w:rPr>
                <w:rFonts w:ascii="宋体" w:hAnsi="宋体" w:cs="宋体"/>
                <w:sz w:val="22"/>
                <w:highlight w:val="none"/>
              </w:rPr>
            </w:pPr>
            <w:r>
              <w:rPr>
                <w:rFonts w:hint="eastAsia" w:ascii="宋体" w:hAnsi="宋体" w:cs="宋体"/>
                <w:sz w:val="22"/>
                <w:highlight w:val="none"/>
              </w:rPr>
              <w:t>姓名</w:t>
            </w:r>
          </w:p>
        </w:tc>
        <w:tc>
          <w:tcPr>
            <w:tcW w:w="546" w:type="pct"/>
            <w:vAlign w:val="center"/>
          </w:tcPr>
          <w:p>
            <w:pPr>
              <w:snapToGrid w:val="0"/>
              <w:spacing w:line="240" w:lineRule="atLeast"/>
              <w:jc w:val="center"/>
              <w:rPr>
                <w:rFonts w:ascii="宋体" w:hAnsi="宋体" w:cs="宋体"/>
                <w:sz w:val="22"/>
                <w:highlight w:val="none"/>
              </w:rPr>
            </w:pPr>
            <w:r>
              <w:rPr>
                <w:rFonts w:hint="eastAsia" w:ascii="宋体" w:hAnsi="宋体" w:cs="宋体"/>
                <w:sz w:val="22"/>
                <w:highlight w:val="none"/>
              </w:rPr>
              <w:t>年龄</w:t>
            </w:r>
          </w:p>
        </w:tc>
        <w:tc>
          <w:tcPr>
            <w:tcW w:w="909" w:type="pct"/>
            <w:vAlign w:val="center"/>
          </w:tcPr>
          <w:p>
            <w:pPr>
              <w:snapToGrid w:val="0"/>
              <w:spacing w:line="240" w:lineRule="atLeast"/>
              <w:jc w:val="center"/>
              <w:rPr>
                <w:rFonts w:ascii="宋体" w:hAnsi="宋体" w:cs="宋体"/>
                <w:sz w:val="22"/>
                <w:highlight w:val="none"/>
              </w:rPr>
            </w:pPr>
            <w:r>
              <w:rPr>
                <w:rFonts w:hint="eastAsia" w:ascii="宋体" w:hAnsi="宋体" w:cs="宋体"/>
                <w:sz w:val="22"/>
                <w:highlight w:val="none"/>
              </w:rPr>
              <w:t>拟在本项目任职职位</w:t>
            </w:r>
          </w:p>
        </w:tc>
        <w:tc>
          <w:tcPr>
            <w:tcW w:w="723" w:type="pct"/>
            <w:vAlign w:val="center"/>
          </w:tcPr>
          <w:p>
            <w:pPr>
              <w:snapToGrid w:val="0"/>
              <w:spacing w:line="240" w:lineRule="atLeast"/>
              <w:jc w:val="center"/>
              <w:rPr>
                <w:rFonts w:ascii="宋体" w:hAnsi="宋体" w:cs="宋体"/>
                <w:sz w:val="22"/>
                <w:highlight w:val="none"/>
              </w:rPr>
            </w:pPr>
            <w:r>
              <w:rPr>
                <w:rFonts w:hint="eastAsia" w:ascii="宋体" w:hAnsi="宋体" w:cs="宋体"/>
                <w:sz w:val="22"/>
                <w:highlight w:val="none"/>
              </w:rPr>
              <w:t>学历</w:t>
            </w:r>
          </w:p>
        </w:tc>
        <w:tc>
          <w:tcPr>
            <w:tcW w:w="820" w:type="pct"/>
            <w:vAlign w:val="center"/>
          </w:tcPr>
          <w:p>
            <w:pPr>
              <w:snapToGrid w:val="0"/>
              <w:spacing w:line="240" w:lineRule="atLeast"/>
              <w:jc w:val="center"/>
              <w:rPr>
                <w:rFonts w:ascii="宋体" w:hAnsi="宋体" w:cs="宋体"/>
                <w:sz w:val="22"/>
                <w:highlight w:val="none"/>
              </w:rPr>
            </w:pPr>
            <w:r>
              <w:rPr>
                <w:rFonts w:hint="eastAsia" w:ascii="宋体" w:hAnsi="宋体" w:cs="宋体"/>
                <w:sz w:val="22"/>
                <w:highlight w:val="none"/>
              </w:rPr>
              <w:t>职称及专业</w:t>
            </w:r>
          </w:p>
        </w:tc>
        <w:tc>
          <w:tcPr>
            <w:tcW w:w="699" w:type="pct"/>
            <w:vAlign w:val="center"/>
          </w:tcPr>
          <w:p>
            <w:pPr>
              <w:snapToGrid w:val="0"/>
              <w:spacing w:line="240" w:lineRule="atLeast"/>
              <w:jc w:val="center"/>
              <w:rPr>
                <w:rFonts w:ascii="宋体" w:hAnsi="宋体" w:cs="宋体"/>
                <w:sz w:val="22"/>
                <w:highlight w:val="none"/>
              </w:rPr>
            </w:pPr>
            <w:r>
              <w:rPr>
                <w:rFonts w:hint="eastAsia" w:ascii="宋体" w:hAnsi="宋体" w:cs="宋体"/>
                <w:sz w:val="22"/>
                <w:highlight w:val="none"/>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22" w:type="pct"/>
            <w:vAlign w:val="center"/>
          </w:tcPr>
          <w:p>
            <w:pPr>
              <w:jc w:val="center"/>
              <w:rPr>
                <w:rFonts w:ascii="宋体" w:hAnsi="宋体" w:cs="宋体"/>
                <w:sz w:val="22"/>
                <w:highlight w:val="none"/>
              </w:rPr>
            </w:pPr>
          </w:p>
        </w:tc>
        <w:tc>
          <w:tcPr>
            <w:tcW w:w="776" w:type="pct"/>
            <w:vAlign w:val="center"/>
          </w:tcPr>
          <w:p>
            <w:pPr>
              <w:jc w:val="center"/>
              <w:rPr>
                <w:rFonts w:ascii="宋体" w:hAnsi="宋体" w:cs="宋体"/>
                <w:sz w:val="22"/>
                <w:highlight w:val="none"/>
              </w:rPr>
            </w:pPr>
          </w:p>
        </w:tc>
        <w:tc>
          <w:tcPr>
            <w:tcW w:w="546" w:type="pct"/>
            <w:vAlign w:val="center"/>
          </w:tcPr>
          <w:p>
            <w:pPr>
              <w:jc w:val="center"/>
              <w:rPr>
                <w:rFonts w:ascii="宋体" w:hAnsi="宋体" w:cs="宋体"/>
                <w:sz w:val="22"/>
                <w:highlight w:val="none"/>
              </w:rPr>
            </w:pPr>
          </w:p>
        </w:tc>
        <w:tc>
          <w:tcPr>
            <w:tcW w:w="909" w:type="pct"/>
            <w:vAlign w:val="center"/>
          </w:tcPr>
          <w:p>
            <w:pPr>
              <w:jc w:val="center"/>
              <w:rPr>
                <w:rFonts w:ascii="宋体" w:hAnsi="宋体" w:cs="宋体"/>
                <w:sz w:val="22"/>
                <w:highlight w:val="none"/>
              </w:rPr>
            </w:pPr>
          </w:p>
        </w:tc>
        <w:tc>
          <w:tcPr>
            <w:tcW w:w="723" w:type="pct"/>
            <w:vAlign w:val="center"/>
          </w:tcPr>
          <w:p>
            <w:pPr>
              <w:jc w:val="center"/>
              <w:rPr>
                <w:rFonts w:ascii="宋体" w:hAnsi="宋体" w:cs="宋体"/>
                <w:sz w:val="22"/>
                <w:highlight w:val="none"/>
              </w:rPr>
            </w:pPr>
          </w:p>
        </w:tc>
        <w:tc>
          <w:tcPr>
            <w:tcW w:w="820" w:type="pct"/>
            <w:vAlign w:val="center"/>
          </w:tcPr>
          <w:p>
            <w:pPr>
              <w:jc w:val="center"/>
              <w:rPr>
                <w:rFonts w:ascii="宋体" w:hAnsi="宋体" w:cs="宋体"/>
                <w:sz w:val="22"/>
                <w:highlight w:val="none"/>
              </w:rPr>
            </w:pPr>
          </w:p>
        </w:tc>
        <w:tc>
          <w:tcPr>
            <w:tcW w:w="699" w:type="pct"/>
            <w:vAlign w:val="center"/>
          </w:tcPr>
          <w:p>
            <w:pPr>
              <w:jc w:val="cente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22" w:type="pct"/>
            <w:vAlign w:val="center"/>
          </w:tcPr>
          <w:p>
            <w:pPr>
              <w:jc w:val="center"/>
              <w:rPr>
                <w:rFonts w:ascii="宋体" w:hAnsi="宋体" w:cs="宋体"/>
                <w:sz w:val="22"/>
                <w:highlight w:val="none"/>
              </w:rPr>
            </w:pPr>
          </w:p>
        </w:tc>
        <w:tc>
          <w:tcPr>
            <w:tcW w:w="776" w:type="pct"/>
            <w:vAlign w:val="center"/>
          </w:tcPr>
          <w:p>
            <w:pPr>
              <w:jc w:val="center"/>
              <w:rPr>
                <w:rFonts w:ascii="宋体" w:hAnsi="宋体" w:cs="宋体"/>
                <w:sz w:val="22"/>
                <w:highlight w:val="none"/>
              </w:rPr>
            </w:pPr>
          </w:p>
        </w:tc>
        <w:tc>
          <w:tcPr>
            <w:tcW w:w="546" w:type="pct"/>
            <w:vAlign w:val="center"/>
          </w:tcPr>
          <w:p>
            <w:pPr>
              <w:jc w:val="center"/>
              <w:rPr>
                <w:rFonts w:ascii="宋体" w:hAnsi="宋体" w:cs="宋体"/>
                <w:sz w:val="22"/>
                <w:highlight w:val="none"/>
              </w:rPr>
            </w:pPr>
          </w:p>
        </w:tc>
        <w:tc>
          <w:tcPr>
            <w:tcW w:w="909" w:type="pct"/>
            <w:vAlign w:val="center"/>
          </w:tcPr>
          <w:p>
            <w:pPr>
              <w:jc w:val="center"/>
              <w:rPr>
                <w:rFonts w:ascii="宋体" w:hAnsi="宋体" w:cs="宋体"/>
                <w:sz w:val="22"/>
                <w:highlight w:val="none"/>
              </w:rPr>
            </w:pPr>
          </w:p>
        </w:tc>
        <w:tc>
          <w:tcPr>
            <w:tcW w:w="723" w:type="pct"/>
            <w:vAlign w:val="center"/>
          </w:tcPr>
          <w:p>
            <w:pPr>
              <w:jc w:val="center"/>
              <w:rPr>
                <w:rFonts w:ascii="宋体" w:hAnsi="宋体" w:cs="宋体"/>
                <w:sz w:val="22"/>
                <w:highlight w:val="none"/>
              </w:rPr>
            </w:pPr>
          </w:p>
        </w:tc>
        <w:tc>
          <w:tcPr>
            <w:tcW w:w="820" w:type="pct"/>
            <w:vAlign w:val="center"/>
          </w:tcPr>
          <w:p>
            <w:pPr>
              <w:jc w:val="center"/>
              <w:rPr>
                <w:rFonts w:ascii="宋体" w:hAnsi="宋体" w:cs="宋体"/>
                <w:sz w:val="22"/>
                <w:highlight w:val="none"/>
              </w:rPr>
            </w:pPr>
          </w:p>
        </w:tc>
        <w:tc>
          <w:tcPr>
            <w:tcW w:w="699" w:type="pct"/>
            <w:vAlign w:val="center"/>
          </w:tcPr>
          <w:p>
            <w:pPr>
              <w:jc w:val="cente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22" w:type="pct"/>
            <w:vAlign w:val="center"/>
          </w:tcPr>
          <w:p>
            <w:pPr>
              <w:jc w:val="center"/>
              <w:rPr>
                <w:rFonts w:ascii="宋体" w:hAnsi="宋体" w:cs="宋体"/>
                <w:sz w:val="22"/>
                <w:highlight w:val="none"/>
              </w:rPr>
            </w:pPr>
          </w:p>
        </w:tc>
        <w:tc>
          <w:tcPr>
            <w:tcW w:w="776" w:type="pct"/>
            <w:vAlign w:val="center"/>
          </w:tcPr>
          <w:p>
            <w:pPr>
              <w:jc w:val="center"/>
              <w:rPr>
                <w:rFonts w:ascii="宋体" w:hAnsi="宋体" w:cs="宋体"/>
                <w:sz w:val="22"/>
                <w:highlight w:val="none"/>
              </w:rPr>
            </w:pPr>
          </w:p>
        </w:tc>
        <w:tc>
          <w:tcPr>
            <w:tcW w:w="546" w:type="pct"/>
            <w:vAlign w:val="center"/>
          </w:tcPr>
          <w:p>
            <w:pPr>
              <w:jc w:val="center"/>
              <w:rPr>
                <w:rFonts w:ascii="宋体" w:hAnsi="宋体" w:cs="宋体"/>
                <w:sz w:val="22"/>
                <w:highlight w:val="none"/>
              </w:rPr>
            </w:pPr>
          </w:p>
        </w:tc>
        <w:tc>
          <w:tcPr>
            <w:tcW w:w="909" w:type="pct"/>
            <w:vAlign w:val="center"/>
          </w:tcPr>
          <w:p>
            <w:pPr>
              <w:jc w:val="center"/>
              <w:rPr>
                <w:rFonts w:ascii="宋体" w:hAnsi="宋体" w:cs="宋体"/>
                <w:sz w:val="22"/>
                <w:highlight w:val="none"/>
              </w:rPr>
            </w:pPr>
          </w:p>
        </w:tc>
        <w:tc>
          <w:tcPr>
            <w:tcW w:w="723" w:type="pct"/>
            <w:vAlign w:val="center"/>
          </w:tcPr>
          <w:p>
            <w:pPr>
              <w:jc w:val="center"/>
              <w:rPr>
                <w:rFonts w:ascii="宋体" w:hAnsi="宋体" w:cs="宋体"/>
                <w:sz w:val="22"/>
                <w:highlight w:val="none"/>
              </w:rPr>
            </w:pPr>
          </w:p>
        </w:tc>
        <w:tc>
          <w:tcPr>
            <w:tcW w:w="820" w:type="pct"/>
            <w:vAlign w:val="center"/>
          </w:tcPr>
          <w:p>
            <w:pPr>
              <w:jc w:val="center"/>
              <w:rPr>
                <w:rFonts w:ascii="宋体" w:hAnsi="宋体" w:cs="宋体"/>
                <w:sz w:val="22"/>
                <w:highlight w:val="none"/>
              </w:rPr>
            </w:pPr>
          </w:p>
        </w:tc>
        <w:tc>
          <w:tcPr>
            <w:tcW w:w="699" w:type="pct"/>
            <w:vAlign w:val="center"/>
          </w:tcPr>
          <w:p>
            <w:pPr>
              <w:jc w:val="cente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22" w:type="pct"/>
            <w:vAlign w:val="center"/>
          </w:tcPr>
          <w:p>
            <w:pPr>
              <w:jc w:val="center"/>
              <w:rPr>
                <w:rFonts w:ascii="宋体" w:hAnsi="宋体" w:cs="宋体"/>
                <w:sz w:val="22"/>
                <w:highlight w:val="none"/>
              </w:rPr>
            </w:pPr>
          </w:p>
        </w:tc>
        <w:tc>
          <w:tcPr>
            <w:tcW w:w="776" w:type="pct"/>
            <w:vAlign w:val="center"/>
          </w:tcPr>
          <w:p>
            <w:pPr>
              <w:jc w:val="center"/>
              <w:rPr>
                <w:rFonts w:ascii="宋体" w:hAnsi="宋体" w:cs="宋体"/>
                <w:sz w:val="22"/>
                <w:highlight w:val="none"/>
              </w:rPr>
            </w:pPr>
          </w:p>
        </w:tc>
        <w:tc>
          <w:tcPr>
            <w:tcW w:w="546" w:type="pct"/>
            <w:vAlign w:val="center"/>
          </w:tcPr>
          <w:p>
            <w:pPr>
              <w:jc w:val="center"/>
              <w:rPr>
                <w:rFonts w:ascii="宋体" w:hAnsi="宋体" w:cs="宋体"/>
                <w:sz w:val="22"/>
                <w:highlight w:val="none"/>
              </w:rPr>
            </w:pPr>
          </w:p>
        </w:tc>
        <w:tc>
          <w:tcPr>
            <w:tcW w:w="909" w:type="pct"/>
            <w:vAlign w:val="center"/>
          </w:tcPr>
          <w:p>
            <w:pPr>
              <w:jc w:val="center"/>
              <w:rPr>
                <w:rFonts w:ascii="宋体" w:hAnsi="宋体" w:cs="宋体"/>
                <w:sz w:val="22"/>
                <w:highlight w:val="none"/>
              </w:rPr>
            </w:pPr>
          </w:p>
        </w:tc>
        <w:tc>
          <w:tcPr>
            <w:tcW w:w="723" w:type="pct"/>
            <w:vAlign w:val="center"/>
          </w:tcPr>
          <w:p>
            <w:pPr>
              <w:jc w:val="center"/>
              <w:rPr>
                <w:rFonts w:ascii="宋体" w:hAnsi="宋体" w:cs="宋体"/>
                <w:sz w:val="22"/>
                <w:highlight w:val="none"/>
              </w:rPr>
            </w:pPr>
          </w:p>
        </w:tc>
        <w:tc>
          <w:tcPr>
            <w:tcW w:w="820" w:type="pct"/>
            <w:vAlign w:val="center"/>
          </w:tcPr>
          <w:p>
            <w:pPr>
              <w:jc w:val="center"/>
              <w:rPr>
                <w:rFonts w:ascii="宋体" w:hAnsi="宋体" w:cs="宋体"/>
                <w:sz w:val="22"/>
                <w:highlight w:val="none"/>
              </w:rPr>
            </w:pPr>
          </w:p>
        </w:tc>
        <w:tc>
          <w:tcPr>
            <w:tcW w:w="699" w:type="pct"/>
            <w:vAlign w:val="center"/>
          </w:tcPr>
          <w:p>
            <w:pPr>
              <w:jc w:val="cente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22" w:type="pct"/>
            <w:vAlign w:val="center"/>
          </w:tcPr>
          <w:p>
            <w:pPr>
              <w:jc w:val="center"/>
              <w:rPr>
                <w:rFonts w:ascii="宋体" w:hAnsi="宋体" w:cs="宋体"/>
                <w:sz w:val="22"/>
                <w:highlight w:val="none"/>
              </w:rPr>
            </w:pPr>
          </w:p>
        </w:tc>
        <w:tc>
          <w:tcPr>
            <w:tcW w:w="776" w:type="pct"/>
            <w:vAlign w:val="center"/>
          </w:tcPr>
          <w:p>
            <w:pPr>
              <w:jc w:val="center"/>
              <w:rPr>
                <w:rFonts w:ascii="宋体" w:hAnsi="宋体" w:cs="宋体"/>
                <w:sz w:val="22"/>
                <w:highlight w:val="none"/>
              </w:rPr>
            </w:pPr>
          </w:p>
        </w:tc>
        <w:tc>
          <w:tcPr>
            <w:tcW w:w="546" w:type="pct"/>
            <w:vAlign w:val="center"/>
          </w:tcPr>
          <w:p>
            <w:pPr>
              <w:jc w:val="center"/>
              <w:rPr>
                <w:rFonts w:ascii="宋体" w:hAnsi="宋体" w:cs="宋体"/>
                <w:sz w:val="22"/>
                <w:highlight w:val="none"/>
              </w:rPr>
            </w:pPr>
          </w:p>
        </w:tc>
        <w:tc>
          <w:tcPr>
            <w:tcW w:w="909" w:type="pct"/>
            <w:vAlign w:val="center"/>
          </w:tcPr>
          <w:p>
            <w:pPr>
              <w:jc w:val="center"/>
              <w:rPr>
                <w:rFonts w:ascii="宋体" w:hAnsi="宋体" w:cs="宋体"/>
                <w:sz w:val="22"/>
                <w:highlight w:val="none"/>
              </w:rPr>
            </w:pPr>
          </w:p>
        </w:tc>
        <w:tc>
          <w:tcPr>
            <w:tcW w:w="723" w:type="pct"/>
            <w:vAlign w:val="center"/>
          </w:tcPr>
          <w:p>
            <w:pPr>
              <w:jc w:val="center"/>
              <w:rPr>
                <w:rFonts w:ascii="宋体" w:hAnsi="宋体" w:cs="宋体"/>
                <w:sz w:val="22"/>
                <w:highlight w:val="none"/>
              </w:rPr>
            </w:pPr>
          </w:p>
        </w:tc>
        <w:tc>
          <w:tcPr>
            <w:tcW w:w="820" w:type="pct"/>
            <w:vAlign w:val="center"/>
          </w:tcPr>
          <w:p>
            <w:pPr>
              <w:jc w:val="center"/>
              <w:rPr>
                <w:rFonts w:ascii="宋体" w:hAnsi="宋体" w:cs="宋体"/>
                <w:sz w:val="22"/>
                <w:highlight w:val="none"/>
              </w:rPr>
            </w:pPr>
          </w:p>
        </w:tc>
        <w:tc>
          <w:tcPr>
            <w:tcW w:w="699" w:type="pct"/>
            <w:vAlign w:val="center"/>
          </w:tcPr>
          <w:p>
            <w:pPr>
              <w:jc w:val="cente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22" w:type="pct"/>
            <w:vAlign w:val="center"/>
          </w:tcPr>
          <w:p>
            <w:pPr>
              <w:jc w:val="center"/>
              <w:rPr>
                <w:rFonts w:ascii="宋体" w:hAnsi="宋体" w:cs="宋体"/>
                <w:sz w:val="22"/>
                <w:highlight w:val="none"/>
              </w:rPr>
            </w:pPr>
          </w:p>
        </w:tc>
        <w:tc>
          <w:tcPr>
            <w:tcW w:w="776" w:type="pct"/>
            <w:vAlign w:val="center"/>
          </w:tcPr>
          <w:p>
            <w:pPr>
              <w:jc w:val="center"/>
              <w:rPr>
                <w:rFonts w:ascii="宋体" w:hAnsi="宋体" w:cs="宋体"/>
                <w:sz w:val="22"/>
                <w:highlight w:val="none"/>
              </w:rPr>
            </w:pPr>
          </w:p>
        </w:tc>
        <w:tc>
          <w:tcPr>
            <w:tcW w:w="546" w:type="pct"/>
            <w:vAlign w:val="center"/>
          </w:tcPr>
          <w:p>
            <w:pPr>
              <w:jc w:val="center"/>
              <w:rPr>
                <w:rFonts w:ascii="宋体" w:hAnsi="宋体" w:cs="宋体"/>
                <w:sz w:val="22"/>
                <w:highlight w:val="none"/>
              </w:rPr>
            </w:pPr>
          </w:p>
        </w:tc>
        <w:tc>
          <w:tcPr>
            <w:tcW w:w="909" w:type="pct"/>
            <w:vAlign w:val="center"/>
          </w:tcPr>
          <w:p>
            <w:pPr>
              <w:jc w:val="center"/>
              <w:rPr>
                <w:rFonts w:ascii="宋体" w:hAnsi="宋体" w:cs="宋体"/>
                <w:sz w:val="22"/>
                <w:highlight w:val="none"/>
              </w:rPr>
            </w:pPr>
          </w:p>
        </w:tc>
        <w:tc>
          <w:tcPr>
            <w:tcW w:w="723" w:type="pct"/>
            <w:vAlign w:val="center"/>
          </w:tcPr>
          <w:p>
            <w:pPr>
              <w:jc w:val="center"/>
              <w:rPr>
                <w:rFonts w:ascii="宋体" w:hAnsi="宋体" w:cs="宋体"/>
                <w:sz w:val="22"/>
                <w:highlight w:val="none"/>
              </w:rPr>
            </w:pPr>
          </w:p>
        </w:tc>
        <w:tc>
          <w:tcPr>
            <w:tcW w:w="820" w:type="pct"/>
            <w:vAlign w:val="center"/>
          </w:tcPr>
          <w:p>
            <w:pPr>
              <w:jc w:val="center"/>
              <w:rPr>
                <w:rFonts w:ascii="宋体" w:hAnsi="宋体" w:cs="宋体"/>
                <w:sz w:val="22"/>
                <w:highlight w:val="none"/>
              </w:rPr>
            </w:pPr>
          </w:p>
        </w:tc>
        <w:tc>
          <w:tcPr>
            <w:tcW w:w="699" w:type="pct"/>
            <w:vAlign w:val="center"/>
          </w:tcPr>
          <w:p>
            <w:pPr>
              <w:jc w:val="cente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22" w:type="pct"/>
            <w:vAlign w:val="center"/>
          </w:tcPr>
          <w:p>
            <w:pPr>
              <w:jc w:val="center"/>
              <w:rPr>
                <w:rFonts w:ascii="宋体" w:hAnsi="宋体" w:cs="宋体"/>
                <w:sz w:val="22"/>
                <w:highlight w:val="none"/>
              </w:rPr>
            </w:pPr>
          </w:p>
        </w:tc>
        <w:tc>
          <w:tcPr>
            <w:tcW w:w="776" w:type="pct"/>
            <w:vAlign w:val="center"/>
          </w:tcPr>
          <w:p>
            <w:pPr>
              <w:jc w:val="center"/>
              <w:rPr>
                <w:rFonts w:ascii="宋体" w:hAnsi="宋体" w:cs="宋体"/>
                <w:sz w:val="22"/>
                <w:highlight w:val="none"/>
              </w:rPr>
            </w:pPr>
          </w:p>
        </w:tc>
        <w:tc>
          <w:tcPr>
            <w:tcW w:w="546" w:type="pct"/>
            <w:vAlign w:val="center"/>
          </w:tcPr>
          <w:p>
            <w:pPr>
              <w:jc w:val="center"/>
              <w:rPr>
                <w:rFonts w:ascii="宋体" w:hAnsi="宋体" w:cs="宋体"/>
                <w:sz w:val="22"/>
                <w:highlight w:val="none"/>
              </w:rPr>
            </w:pPr>
          </w:p>
        </w:tc>
        <w:tc>
          <w:tcPr>
            <w:tcW w:w="909" w:type="pct"/>
            <w:vAlign w:val="center"/>
          </w:tcPr>
          <w:p>
            <w:pPr>
              <w:jc w:val="center"/>
              <w:rPr>
                <w:rFonts w:ascii="宋体" w:hAnsi="宋体" w:cs="宋体"/>
                <w:sz w:val="22"/>
                <w:highlight w:val="none"/>
              </w:rPr>
            </w:pPr>
          </w:p>
        </w:tc>
        <w:tc>
          <w:tcPr>
            <w:tcW w:w="723" w:type="pct"/>
            <w:vAlign w:val="center"/>
          </w:tcPr>
          <w:p>
            <w:pPr>
              <w:jc w:val="center"/>
              <w:rPr>
                <w:rFonts w:ascii="宋体" w:hAnsi="宋体" w:cs="宋体"/>
                <w:sz w:val="22"/>
                <w:highlight w:val="none"/>
              </w:rPr>
            </w:pPr>
          </w:p>
        </w:tc>
        <w:tc>
          <w:tcPr>
            <w:tcW w:w="820" w:type="pct"/>
            <w:vAlign w:val="center"/>
          </w:tcPr>
          <w:p>
            <w:pPr>
              <w:jc w:val="center"/>
              <w:rPr>
                <w:rFonts w:ascii="宋体" w:hAnsi="宋体" w:cs="宋体"/>
                <w:sz w:val="22"/>
                <w:highlight w:val="none"/>
              </w:rPr>
            </w:pPr>
          </w:p>
        </w:tc>
        <w:tc>
          <w:tcPr>
            <w:tcW w:w="699" w:type="pct"/>
            <w:vAlign w:val="center"/>
          </w:tcPr>
          <w:p>
            <w:pPr>
              <w:jc w:val="cente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22" w:type="pct"/>
            <w:vAlign w:val="center"/>
          </w:tcPr>
          <w:p>
            <w:pPr>
              <w:jc w:val="center"/>
              <w:rPr>
                <w:rFonts w:ascii="宋体" w:hAnsi="宋体" w:cs="宋体"/>
                <w:sz w:val="22"/>
                <w:highlight w:val="none"/>
              </w:rPr>
            </w:pPr>
          </w:p>
        </w:tc>
        <w:tc>
          <w:tcPr>
            <w:tcW w:w="776" w:type="pct"/>
            <w:vAlign w:val="center"/>
          </w:tcPr>
          <w:p>
            <w:pPr>
              <w:jc w:val="center"/>
              <w:rPr>
                <w:rFonts w:ascii="宋体" w:hAnsi="宋体" w:cs="宋体"/>
                <w:sz w:val="22"/>
                <w:highlight w:val="none"/>
              </w:rPr>
            </w:pPr>
          </w:p>
        </w:tc>
        <w:tc>
          <w:tcPr>
            <w:tcW w:w="546" w:type="pct"/>
            <w:vAlign w:val="center"/>
          </w:tcPr>
          <w:p>
            <w:pPr>
              <w:jc w:val="center"/>
              <w:rPr>
                <w:rFonts w:ascii="宋体" w:hAnsi="宋体" w:cs="宋体"/>
                <w:sz w:val="22"/>
                <w:highlight w:val="none"/>
              </w:rPr>
            </w:pPr>
          </w:p>
        </w:tc>
        <w:tc>
          <w:tcPr>
            <w:tcW w:w="909" w:type="pct"/>
            <w:vAlign w:val="center"/>
          </w:tcPr>
          <w:p>
            <w:pPr>
              <w:jc w:val="center"/>
              <w:rPr>
                <w:rFonts w:ascii="宋体" w:hAnsi="宋体" w:cs="宋体"/>
                <w:sz w:val="22"/>
                <w:highlight w:val="none"/>
              </w:rPr>
            </w:pPr>
          </w:p>
        </w:tc>
        <w:tc>
          <w:tcPr>
            <w:tcW w:w="723" w:type="pct"/>
            <w:vAlign w:val="center"/>
          </w:tcPr>
          <w:p>
            <w:pPr>
              <w:jc w:val="center"/>
              <w:rPr>
                <w:rFonts w:ascii="宋体" w:hAnsi="宋体" w:cs="宋体"/>
                <w:sz w:val="22"/>
                <w:highlight w:val="none"/>
              </w:rPr>
            </w:pPr>
          </w:p>
        </w:tc>
        <w:tc>
          <w:tcPr>
            <w:tcW w:w="820" w:type="pct"/>
            <w:vAlign w:val="center"/>
          </w:tcPr>
          <w:p>
            <w:pPr>
              <w:jc w:val="center"/>
              <w:rPr>
                <w:rFonts w:ascii="宋体" w:hAnsi="宋体" w:cs="宋体"/>
                <w:sz w:val="22"/>
                <w:highlight w:val="none"/>
              </w:rPr>
            </w:pPr>
          </w:p>
        </w:tc>
        <w:tc>
          <w:tcPr>
            <w:tcW w:w="699" w:type="pct"/>
            <w:vAlign w:val="center"/>
          </w:tcPr>
          <w:p>
            <w:pPr>
              <w:jc w:val="cente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22" w:type="pct"/>
            <w:vAlign w:val="center"/>
          </w:tcPr>
          <w:p>
            <w:pPr>
              <w:jc w:val="center"/>
              <w:rPr>
                <w:rFonts w:ascii="宋体" w:hAnsi="宋体" w:cs="宋体"/>
                <w:sz w:val="22"/>
                <w:highlight w:val="none"/>
              </w:rPr>
            </w:pPr>
          </w:p>
        </w:tc>
        <w:tc>
          <w:tcPr>
            <w:tcW w:w="776" w:type="pct"/>
            <w:vAlign w:val="center"/>
          </w:tcPr>
          <w:p>
            <w:pPr>
              <w:jc w:val="center"/>
              <w:rPr>
                <w:rFonts w:ascii="宋体" w:hAnsi="宋体" w:cs="宋体"/>
                <w:sz w:val="22"/>
                <w:highlight w:val="none"/>
              </w:rPr>
            </w:pPr>
          </w:p>
        </w:tc>
        <w:tc>
          <w:tcPr>
            <w:tcW w:w="546" w:type="pct"/>
            <w:vAlign w:val="center"/>
          </w:tcPr>
          <w:p>
            <w:pPr>
              <w:jc w:val="center"/>
              <w:rPr>
                <w:rFonts w:ascii="宋体" w:hAnsi="宋体" w:cs="宋体"/>
                <w:sz w:val="22"/>
                <w:highlight w:val="none"/>
              </w:rPr>
            </w:pPr>
          </w:p>
        </w:tc>
        <w:tc>
          <w:tcPr>
            <w:tcW w:w="909" w:type="pct"/>
            <w:vAlign w:val="center"/>
          </w:tcPr>
          <w:p>
            <w:pPr>
              <w:jc w:val="center"/>
              <w:rPr>
                <w:rFonts w:ascii="宋体" w:hAnsi="宋体" w:cs="宋体"/>
                <w:sz w:val="22"/>
                <w:highlight w:val="none"/>
              </w:rPr>
            </w:pPr>
          </w:p>
        </w:tc>
        <w:tc>
          <w:tcPr>
            <w:tcW w:w="723" w:type="pct"/>
            <w:vAlign w:val="center"/>
          </w:tcPr>
          <w:p>
            <w:pPr>
              <w:jc w:val="center"/>
              <w:rPr>
                <w:rFonts w:ascii="宋体" w:hAnsi="宋体" w:cs="宋体"/>
                <w:sz w:val="22"/>
                <w:highlight w:val="none"/>
              </w:rPr>
            </w:pPr>
          </w:p>
        </w:tc>
        <w:tc>
          <w:tcPr>
            <w:tcW w:w="820" w:type="pct"/>
            <w:vAlign w:val="center"/>
          </w:tcPr>
          <w:p>
            <w:pPr>
              <w:jc w:val="center"/>
              <w:rPr>
                <w:rFonts w:ascii="宋体" w:hAnsi="宋体" w:cs="宋体"/>
                <w:sz w:val="22"/>
                <w:highlight w:val="none"/>
              </w:rPr>
            </w:pPr>
          </w:p>
        </w:tc>
        <w:tc>
          <w:tcPr>
            <w:tcW w:w="699" w:type="pct"/>
            <w:vAlign w:val="center"/>
          </w:tcPr>
          <w:p>
            <w:pPr>
              <w:jc w:val="cente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22" w:type="pct"/>
            <w:vAlign w:val="center"/>
          </w:tcPr>
          <w:p>
            <w:pPr>
              <w:jc w:val="center"/>
              <w:rPr>
                <w:rFonts w:ascii="宋体" w:hAnsi="宋体" w:cs="宋体"/>
                <w:sz w:val="22"/>
                <w:highlight w:val="none"/>
              </w:rPr>
            </w:pPr>
          </w:p>
        </w:tc>
        <w:tc>
          <w:tcPr>
            <w:tcW w:w="776" w:type="pct"/>
            <w:vAlign w:val="center"/>
          </w:tcPr>
          <w:p>
            <w:pPr>
              <w:jc w:val="center"/>
              <w:rPr>
                <w:rFonts w:ascii="宋体" w:hAnsi="宋体" w:cs="宋体"/>
                <w:sz w:val="22"/>
                <w:highlight w:val="none"/>
              </w:rPr>
            </w:pPr>
          </w:p>
        </w:tc>
        <w:tc>
          <w:tcPr>
            <w:tcW w:w="546" w:type="pct"/>
            <w:vAlign w:val="center"/>
          </w:tcPr>
          <w:p>
            <w:pPr>
              <w:jc w:val="center"/>
              <w:rPr>
                <w:rFonts w:ascii="宋体" w:hAnsi="宋体" w:cs="宋体"/>
                <w:sz w:val="22"/>
                <w:highlight w:val="none"/>
              </w:rPr>
            </w:pPr>
          </w:p>
        </w:tc>
        <w:tc>
          <w:tcPr>
            <w:tcW w:w="909" w:type="pct"/>
            <w:vAlign w:val="center"/>
          </w:tcPr>
          <w:p>
            <w:pPr>
              <w:jc w:val="center"/>
              <w:rPr>
                <w:rFonts w:ascii="宋体" w:hAnsi="宋体" w:cs="宋体"/>
                <w:sz w:val="22"/>
                <w:highlight w:val="none"/>
              </w:rPr>
            </w:pPr>
          </w:p>
        </w:tc>
        <w:tc>
          <w:tcPr>
            <w:tcW w:w="723" w:type="pct"/>
            <w:vAlign w:val="center"/>
          </w:tcPr>
          <w:p>
            <w:pPr>
              <w:jc w:val="center"/>
              <w:rPr>
                <w:rFonts w:ascii="宋体" w:hAnsi="宋体" w:cs="宋体"/>
                <w:sz w:val="22"/>
                <w:highlight w:val="none"/>
              </w:rPr>
            </w:pPr>
          </w:p>
        </w:tc>
        <w:tc>
          <w:tcPr>
            <w:tcW w:w="820" w:type="pct"/>
            <w:vAlign w:val="center"/>
          </w:tcPr>
          <w:p>
            <w:pPr>
              <w:jc w:val="center"/>
              <w:rPr>
                <w:rFonts w:ascii="宋体" w:hAnsi="宋体" w:cs="宋体"/>
                <w:sz w:val="22"/>
                <w:highlight w:val="none"/>
              </w:rPr>
            </w:pPr>
          </w:p>
        </w:tc>
        <w:tc>
          <w:tcPr>
            <w:tcW w:w="699" w:type="pct"/>
            <w:vAlign w:val="center"/>
          </w:tcPr>
          <w:p>
            <w:pPr>
              <w:jc w:val="cente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22" w:type="pct"/>
            <w:vAlign w:val="center"/>
          </w:tcPr>
          <w:p>
            <w:pPr>
              <w:jc w:val="center"/>
              <w:rPr>
                <w:rFonts w:ascii="宋体" w:hAnsi="宋体" w:cs="宋体"/>
                <w:sz w:val="22"/>
                <w:highlight w:val="none"/>
              </w:rPr>
            </w:pPr>
          </w:p>
        </w:tc>
        <w:tc>
          <w:tcPr>
            <w:tcW w:w="776" w:type="pct"/>
            <w:vAlign w:val="center"/>
          </w:tcPr>
          <w:p>
            <w:pPr>
              <w:jc w:val="center"/>
              <w:rPr>
                <w:rFonts w:ascii="宋体" w:hAnsi="宋体" w:cs="宋体"/>
                <w:sz w:val="22"/>
                <w:highlight w:val="none"/>
              </w:rPr>
            </w:pPr>
          </w:p>
        </w:tc>
        <w:tc>
          <w:tcPr>
            <w:tcW w:w="546" w:type="pct"/>
            <w:vAlign w:val="center"/>
          </w:tcPr>
          <w:p>
            <w:pPr>
              <w:jc w:val="center"/>
              <w:rPr>
                <w:rFonts w:ascii="宋体" w:hAnsi="宋体" w:cs="宋体"/>
                <w:sz w:val="22"/>
                <w:highlight w:val="none"/>
              </w:rPr>
            </w:pPr>
          </w:p>
        </w:tc>
        <w:tc>
          <w:tcPr>
            <w:tcW w:w="909" w:type="pct"/>
            <w:vAlign w:val="center"/>
          </w:tcPr>
          <w:p>
            <w:pPr>
              <w:jc w:val="center"/>
              <w:rPr>
                <w:rFonts w:ascii="宋体" w:hAnsi="宋体" w:cs="宋体"/>
                <w:sz w:val="22"/>
                <w:highlight w:val="none"/>
              </w:rPr>
            </w:pPr>
          </w:p>
        </w:tc>
        <w:tc>
          <w:tcPr>
            <w:tcW w:w="723" w:type="pct"/>
            <w:vAlign w:val="center"/>
          </w:tcPr>
          <w:p>
            <w:pPr>
              <w:jc w:val="center"/>
              <w:rPr>
                <w:rFonts w:ascii="宋体" w:hAnsi="宋体" w:cs="宋体"/>
                <w:sz w:val="22"/>
                <w:highlight w:val="none"/>
              </w:rPr>
            </w:pPr>
          </w:p>
        </w:tc>
        <w:tc>
          <w:tcPr>
            <w:tcW w:w="820" w:type="pct"/>
            <w:vAlign w:val="center"/>
          </w:tcPr>
          <w:p>
            <w:pPr>
              <w:jc w:val="center"/>
              <w:rPr>
                <w:rFonts w:ascii="宋体" w:hAnsi="宋体" w:cs="宋体"/>
                <w:sz w:val="22"/>
                <w:highlight w:val="none"/>
              </w:rPr>
            </w:pPr>
          </w:p>
        </w:tc>
        <w:tc>
          <w:tcPr>
            <w:tcW w:w="699" w:type="pct"/>
            <w:vAlign w:val="center"/>
          </w:tcPr>
          <w:p>
            <w:pPr>
              <w:jc w:val="cente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22" w:type="pct"/>
            <w:vAlign w:val="center"/>
          </w:tcPr>
          <w:p>
            <w:pPr>
              <w:jc w:val="center"/>
              <w:rPr>
                <w:rFonts w:ascii="宋体" w:hAnsi="宋体" w:cs="宋体"/>
                <w:sz w:val="22"/>
                <w:highlight w:val="none"/>
              </w:rPr>
            </w:pPr>
          </w:p>
        </w:tc>
        <w:tc>
          <w:tcPr>
            <w:tcW w:w="776" w:type="pct"/>
            <w:vAlign w:val="center"/>
          </w:tcPr>
          <w:p>
            <w:pPr>
              <w:jc w:val="center"/>
              <w:rPr>
                <w:rFonts w:ascii="宋体" w:hAnsi="宋体" w:cs="宋体"/>
                <w:sz w:val="22"/>
                <w:highlight w:val="none"/>
              </w:rPr>
            </w:pPr>
          </w:p>
        </w:tc>
        <w:tc>
          <w:tcPr>
            <w:tcW w:w="546" w:type="pct"/>
            <w:vAlign w:val="center"/>
          </w:tcPr>
          <w:p>
            <w:pPr>
              <w:jc w:val="center"/>
              <w:rPr>
                <w:rFonts w:ascii="宋体" w:hAnsi="宋体" w:cs="宋体"/>
                <w:sz w:val="22"/>
                <w:highlight w:val="none"/>
              </w:rPr>
            </w:pPr>
          </w:p>
        </w:tc>
        <w:tc>
          <w:tcPr>
            <w:tcW w:w="909" w:type="pct"/>
            <w:vAlign w:val="center"/>
          </w:tcPr>
          <w:p>
            <w:pPr>
              <w:jc w:val="center"/>
              <w:rPr>
                <w:rFonts w:ascii="宋体" w:hAnsi="宋体" w:cs="宋体"/>
                <w:sz w:val="22"/>
                <w:highlight w:val="none"/>
              </w:rPr>
            </w:pPr>
          </w:p>
        </w:tc>
        <w:tc>
          <w:tcPr>
            <w:tcW w:w="723" w:type="pct"/>
            <w:vAlign w:val="center"/>
          </w:tcPr>
          <w:p>
            <w:pPr>
              <w:jc w:val="center"/>
              <w:rPr>
                <w:rFonts w:ascii="宋体" w:hAnsi="宋体" w:cs="宋体"/>
                <w:sz w:val="22"/>
                <w:highlight w:val="none"/>
              </w:rPr>
            </w:pPr>
          </w:p>
        </w:tc>
        <w:tc>
          <w:tcPr>
            <w:tcW w:w="820" w:type="pct"/>
            <w:vAlign w:val="center"/>
          </w:tcPr>
          <w:p>
            <w:pPr>
              <w:jc w:val="center"/>
              <w:rPr>
                <w:rFonts w:ascii="宋体" w:hAnsi="宋体" w:cs="宋体"/>
                <w:sz w:val="22"/>
                <w:highlight w:val="none"/>
              </w:rPr>
            </w:pPr>
          </w:p>
        </w:tc>
        <w:tc>
          <w:tcPr>
            <w:tcW w:w="699" w:type="pct"/>
            <w:vAlign w:val="center"/>
          </w:tcPr>
          <w:p>
            <w:pPr>
              <w:jc w:val="cente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22" w:type="pct"/>
            <w:vAlign w:val="center"/>
          </w:tcPr>
          <w:p>
            <w:pPr>
              <w:jc w:val="center"/>
              <w:rPr>
                <w:rFonts w:ascii="宋体" w:hAnsi="宋体" w:cs="宋体"/>
                <w:sz w:val="22"/>
                <w:highlight w:val="none"/>
              </w:rPr>
            </w:pPr>
          </w:p>
        </w:tc>
        <w:tc>
          <w:tcPr>
            <w:tcW w:w="776" w:type="pct"/>
            <w:vAlign w:val="center"/>
          </w:tcPr>
          <w:p>
            <w:pPr>
              <w:jc w:val="center"/>
              <w:rPr>
                <w:rFonts w:ascii="宋体" w:hAnsi="宋体" w:cs="宋体"/>
                <w:sz w:val="22"/>
                <w:highlight w:val="none"/>
              </w:rPr>
            </w:pPr>
          </w:p>
        </w:tc>
        <w:tc>
          <w:tcPr>
            <w:tcW w:w="546" w:type="pct"/>
            <w:vAlign w:val="center"/>
          </w:tcPr>
          <w:p>
            <w:pPr>
              <w:jc w:val="center"/>
              <w:rPr>
                <w:rFonts w:ascii="宋体" w:hAnsi="宋体" w:cs="宋体"/>
                <w:sz w:val="22"/>
                <w:highlight w:val="none"/>
              </w:rPr>
            </w:pPr>
          </w:p>
        </w:tc>
        <w:tc>
          <w:tcPr>
            <w:tcW w:w="909" w:type="pct"/>
            <w:vAlign w:val="center"/>
          </w:tcPr>
          <w:p>
            <w:pPr>
              <w:jc w:val="center"/>
              <w:rPr>
                <w:rFonts w:ascii="宋体" w:hAnsi="宋体" w:cs="宋体"/>
                <w:sz w:val="22"/>
                <w:highlight w:val="none"/>
              </w:rPr>
            </w:pPr>
          </w:p>
        </w:tc>
        <w:tc>
          <w:tcPr>
            <w:tcW w:w="723" w:type="pct"/>
            <w:vAlign w:val="center"/>
          </w:tcPr>
          <w:p>
            <w:pPr>
              <w:jc w:val="center"/>
              <w:rPr>
                <w:rFonts w:ascii="宋体" w:hAnsi="宋体" w:cs="宋体"/>
                <w:sz w:val="22"/>
                <w:highlight w:val="none"/>
              </w:rPr>
            </w:pPr>
          </w:p>
        </w:tc>
        <w:tc>
          <w:tcPr>
            <w:tcW w:w="820" w:type="pct"/>
            <w:vAlign w:val="center"/>
          </w:tcPr>
          <w:p>
            <w:pPr>
              <w:jc w:val="center"/>
              <w:rPr>
                <w:rFonts w:ascii="宋体" w:hAnsi="宋体" w:cs="宋体"/>
                <w:sz w:val="22"/>
                <w:highlight w:val="none"/>
              </w:rPr>
            </w:pPr>
          </w:p>
        </w:tc>
        <w:tc>
          <w:tcPr>
            <w:tcW w:w="699" w:type="pct"/>
            <w:vAlign w:val="center"/>
          </w:tcPr>
          <w:p>
            <w:pPr>
              <w:jc w:val="center"/>
              <w:rPr>
                <w:rFonts w:ascii="宋体" w:hAnsi="宋体" w:cs="宋体"/>
                <w:sz w:val="22"/>
                <w:highlight w:val="none"/>
              </w:rPr>
            </w:pPr>
          </w:p>
        </w:tc>
      </w:tr>
    </w:tbl>
    <w:p>
      <w:pPr>
        <w:spacing w:line="360" w:lineRule="auto"/>
        <w:rPr>
          <w:rFonts w:ascii="宋体" w:hAnsi="宋体" w:cs="宋体"/>
          <w:sz w:val="22"/>
          <w:highlight w:val="none"/>
        </w:rPr>
      </w:pPr>
      <w:r>
        <w:rPr>
          <w:rFonts w:hint="eastAsia" w:ascii="宋体" w:hAnsi="宋体" w:cs="宋体"/>
          <w:sz w:val="22"/>
          <w:highlight w:val="none"/>
        </w:rPr>
        <w:t>注：投标人应根据招标文件的要求在本表后附相关证明材料。</w:t>
      </w:r>
    </w:p>
    <w:p>
      <w:pPr>
        <w:spacing w:line="360" w:lineRule="auto"/>
        <w:jc w:val="left"/>
        <w:rPr>
          <w:rFonts w:ascii="宋体" w:hAnsi="宋体" w:cs="宋体"/>
          <w:sz w:val="22"/>
          <w:highlight w:val="none"/>
        </w:rPr>
      </w:pPr>
      <w:r>
        <w:rPr>
          <w:rFonts w:hint="eastAsia" w:ascii="宋体" w:hAnsi="宋体" w:cs="宋体"/>
          <w:sz w:val="22"/>
          <w:highlight w:val="none"/>
        </w:rPr>
        <w:t>（本项不作为资格审查内容，但（如有）需提供，仅作为投标人的评标（综合评分）资料进行考察。表格格式可以根据实际情况调整。）</w:t>
      </w:r>
    </w:p>
    <w:p>
      <w:pPr>
        <w:keepNext w:val="0"/>
        <w:keepLines w:val="0"/>
        <w:numPr>
          <w:ilvl w:val="0"/>
          <w:numId w:val="6"/>
        </w:numPr>
        <w:spacing w:line="360" w:lineRule="auto"/>
        <w:ind w:left="559"/>
        <w:jc w:val="center"/>
        <w:outlineLvl w:val="9"/>
        <w:rPr>
          <w:rFonts w:ascii="宋体" w:hAnsi="宋体" w:cs="宋体"/>
          <w:sz w:val="32"/>
          <w:szCs w:val="32"/>
          <w:highlight w:val="none"/>
        </w:rPr>
      </w:pPr>
      <w:r>
        <w:rPr>
          <w:rFonts w:hint="eastAsia" w:ascii="宋体" w:hAnsi="宋体" w:cs="宋体"/>
          <w:sz w:val="32"/>
          <w:szCs w:val="32"/>
          <w:highlight w:val="none"/>
        </w:rPr>
        <w:br w:type="page"/>
      </w:r>
      <w:bookmarkStart w:id="315" w:name="_Toc11072"/>
      <w:bookmarkStart w:id="316" w:name="_Toc27070"/>
      <w:bookmarkStart w:id="317" w:name="_Toc16786"/>
      <w:bookmarkStart w:id="318" w:name="_Toc17534"/>
      <w:bookmarkStart w:id="319" w:name="_Toc4156"/>
      <w:bookmarkStart w:id="320" w:name="_Toc12140"/>
      <w:r>
        <w:rPr>
          <w:rFonts w:hint="eastAsia" w:ascii="宋体" w:hAnsi="宋体" w:cs="宋体"/>
          <w:b/>
          <w:bCs/>
          <w:sz w:val="32"/>
          <w:szCs w:val="32"/>
          <w:highlight w:val="none"/>
        </w:rPr>
        <w:t>拟投入本项目的检验监测人员简历表</w:t>
      </w:r>
    </w:p>
    <w:tbl>
      <w:tblPr>
        <w:tblStyle w:val="45"/>
        <w:tblW w:w="892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87"/>
        <w:gridCol w:w="180"/>
        <w:gridCol w:w="1295"/>
        <w:gridCol w:w="281"/>
        <w:gridCol w:w="763"/>
        <w:gridCol w:w="957"/>
        <w:gridCol w:w="407"/>
        <w:gridCol w:w="1200"/>
        <w:gridCol w:w="1086"/>
        <w:gridCol w:w="15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5" w:hRule="atLeast"/>
          <w:jc w:val="center"/>
        </w:trPr>
        <w:tc>
          <w:tcPr>
            <w:tcW w:w="1367" w:type="dxa"/>
            <w:gridSpan w:val="2"/>
            <w:vAlign w:val="center"/>
          </w:tcPr>
          <w:p>
            <w:pPr>
              <w:snapToGrid w:val="0"/>
              <w:spacing w:line="0" w:lineRule="atLeast"/>
              <w:jc w:val="center"/>
              <w:rPr>
                <w:rFonts w:ascii="宋体" w:hAnsi="宋体" w:cs="宋体"/>
                <w:sz w:val="22"/>
                <w:highlight w:val="none"/>
              </w:rPr>
            </w:pPr>
            <w:r>
              <w:rPr>
                <w:rFonts w:hint="eastAsia" w:ascii="宋体" w:hAnsi="宋体" w:cs="宋体"/>
                <w:sz w:val="22"/>
                <w:highlight w:val="none"/>
              </w:rPr>
              <w:t>姓名</w:t>
            </w:r>
          </w:p>
        </w:tc>
        <w:tc>
          <w:tcPr>
            <w:tcW w:w="1295" w:type="dxa"/>
            <w:vAlign w:val="center"/>
          </w:tcPr>
          <w:p>
            <w:pPr>
              <w:snapToGrid w:val="0"/>
              <w:spacing w:line="0" w:lineRule="atLeast"/>
              <w:jc w:val="center"/>
              <w:rPr>
                <w:rFonts w:ascii="宋体" w:hAnsi="宋体" w:cs="宋体"/>
                <w:sz w:val="22"/>
                <w:highlight w:val="none"/>
              </w:rPr>
            </w:pPr>
          </w:p>
        </w:tc>
        <w:tc>
          <w:tcPr>
            <w:tcW w:w="1044" w:type="dxa"/>
            <w:gridSpan w:val="2"/>
            <w:vAlign w:val="center"/>
          </w:tcPr>
          <w:p>
            <w:pPr>
              <w:snapToGrid w:val="0"/>
              <w:spacing w:line="0" w:lineRule="atLeast"/>
              <w:jc w:val="center"/>
              <w:rPr>
                <w:rFonts w:ascii="宋体" w:hAnsi="宋体" w:cs="宋体"/>
                <w:sz w:val="22"/>
                <w:highlight w:val="none"/>
              </w:rPr>
            </w:pPr>
            <w:r>
              <w:rPr>
                <w:rFonts w:hint="eastAsia" w:ascii="宋体" w:hAnsi="宋体" w:cs="宋体"/>
                <w:sz w:val="22"/>
                <w:highlight w:val="none"/>
              </w:rPr>
              <w:t>年龄</w:t>
            </w:r>
          </w:p>
        </w:tc>
        <w:tc>
          <w:tcPr>
            <w:tcW w:w="1364" w:type="dxa"/>
            <w:gridSpan w:val="2"/>
            <w:vAlign w:val="center"/>
          </w:tcPr>
          <w:p>
            <w:pPr>
              <w:snapToGrid w:val="0"/>
              <w:spacing w:line="0" w:lineRule="atLeast"/>
              <w:jc w:val="center"/>
              <w:rPr>
                <w:rFonts w:ascii="宋体" w:hAnsi="宋体" w:cs="宋体"/>
                <w:sz w:val="22"/>
                <w:highlight w:val="none"/>
              </w:rPr>
            </w:pPr>
          </w:p>
        </w:tc>
        <w:tc>
          <w:tcPr>
            <w:tcW w:w="2286" w:type="dxa"/>
            <w:gridSpan w:val="2"/>
            <w:vAlign w:val="center"/>
          </w:tcPr>
          <w:p>
            <w:pPr>
              <w:snapToGrid w:val="0"/>
              <w:spacing w:line="0" w:lineRule="atLeast"/>
              <w:jc w:val="center"/>
              <w:rPr>
                <w:rFonts w:ascii="宋体" w:hAnsi="宋体" w:cs="宋体"/>
                <w:sz w:val="22"/>
                <w:highlight w:val="none"/>
              </w:rPr>
            </w:pPr>
            <w:r>
              <w:rPr>
                <w:rFonts w:hint="eastAsia" w:ascii="宋体" w:hAnsi="宋体" w:cs="宋体"/>
                <w:sz w:val="22"/>
                <w:highlight w:val="none"/>
              </w:rPr>
              <w:t>学历</w:t>
            </w:r>
          </w:p>
        </w:tc>
        <w:tc>
          <w:tcPr>
            <w:tcW w:w="1571" w:type="dxa"/>
          </w:tcPr>
          <w:p>
            <w:pPr>
              <w:snapToGrid w:val="0"/>
              <w:spacing w:line="0" w:lineRule="atLeast"/>
              <w:jc w:val="center"/>
              <w:rPr>
                <w:rFonts w:ascii="宋体" w:hAnsi="宋体" w:cs="宋体"/>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3" w:hRule="atLeast"/>
          <w:jc w:val="center"/>
        </w:trPr>
        <w:tc>
          <w:tcPr>
            <w:tcW w:w="1367" w:type="dxa"/>
            <w:gridSpan w:val="2"/>
            <w:vAlign w:val="center"/>
          </w:tcPr>
          <w:p>
            <w:pPr>
              <w:snapToGrid w:val="0"/>
              <w:spacing w:line="0" w:lineRule="atLeast"/>
              <w:jc w:val="center"/>
              <w:rPr>
                <w:rFonts w:ascii="宋体" w:hAnsi="宋体" w:cs="宋体"/>
                <w:sz w:val="22"/>
                <w:highlight w:val="none"/>
              </w:rPr>
            </w:pPr>
            <w:r>
              <w:rPr>
                <w:rFonts w:hint="eastAsia" w:ascii="宋体" w:hAnsi="宋体" w:cs="宋体"/>
                <w:sz w:val="22"/>
                <w:highlight w:val="none"/>
              </w:rPr>
              <w:t>技术职称</w:t>
            </w:r>
          </w:p>
        </w:tc>
        <w:tc>
          <w:tcPr>
            <w:tcW w:w="1295" w:type="dxa"/>
            <w:vAlign w:val="center"/>
          </w:tcPr>
          <w:p>
            <w:pPr>
              <w:snapToGrid w:val="0"/>
              <w:spacing w:line="0" w:lineRule="atLeast"/>
              <w:jc w:val="center"/>
              <w:rPr>
                <w:rFonts w:ascii="宋体" w:hAnsi="宋体" w:cs="宋体"/>
                <w:sz w:val="22"/>
                <w:highlight w:val="none"/>
              </w:rPr>
            </w:pPr>
          </w:p>
        </w:tc>
        <w:tc>
          <w:tcPr>
            <w:tcW w:w="1044" w:type="dxa"/>
            <w:gridSpan w:val="2"/>
            <w:vAlign w:val="center"/>
          </w:tcPr>
          <w:p>
            <w:pPr>
              <w:snapToGrid w:val="0"/>
              <w:spacing w:line="0" w:lineRule="atLeast"/>
              <w:jc w:val="center"/>
              <w:rPr>
                <w:rFonts w:ascii="宋体" w:hAnsi="宋体" w:cs="宋体"/>
                <w:sz w:val="22"/>
                <w:highlight w:val="none"/>
              </w:rPr>
            </w:pPr>
            <w:r>
              <w:rPr>
                <w:rFonts w:hint="eastAsia" w:ascii="宋体" w:hAnsi="宋体" w:cs="宋体"/>
                <w:sz w:val="22"/>
                <w:highlight w:val="none"/>
              </w:rPr>
              <w:t>职务</w:t>
            </w:r>
          </w:p>
        </w:tc>
        <w:tc>
          <w:tcPr>
            <w:tcW w:w="1364" w:type="dxa"/>
            <w:gridSpan w:val="2"/>
            <w:vAlign w:val="center"/>
          </w:tcPr>
          <w:p>
            <w:pPr>
              <w:snapToGrid w:val="0"/>
              <w:spacing w:line="0" w:lineRule="atLeast"/>
              <w:jc w:val="center"/>
              <w:rPr>
                <w:rFonts w:ascii="宋体" w:hAnsi="宋体" w:cs="宋体"/>
                <w:sz w:val="22"/>
                <w:highlight w:val="none"/>
              </w:rPr>
            </w:pPr>
          </w:p>
        </w:tc>
        <w:tc>
          <w:tcPr>
            <w:tcW w:w="2286" w:type="dxa"/>
            <w:gridSpan w:val="2"/>
            <w:vAlign w:val="center"/>
          </w:tcPr>
          <w:p>
            <w:pPr>
              <w:snapToGrid w:val="0"/>
              <w:spacing w:line="0" w:lineRule="atLeast"/>
              <w:jc w:val="center"/>
              <w:rPr>
                <w:rFonts w:ascii="宋体" w:hAnsi="宋体" w:cs="宋体"/>
                <w:sz w:val="22"/>
                <w:highlight w:val="none"/>
              </w:rPr>
            </w:pPr>
            <w:r>
              <w:rPr>
                <w:rFonts w:hint="eastAsia" w:ascii="宋体" w:hAnsi="宋体" w:cs="宋体"/>
                <w:sz w:val="22"/>
                <w:highlight w:val="none"/>
              </w:rPr>
              <w:t>在本项目担任职务</w:t>
            </w:r>
          </w:p>
        </w:tc>
        <w:tc>
          <w:tcPr>
            <w:tcW w:w="1571" w:type="dxa"/>
          </w:tcPr>
          <w:p>
            <w:pPr>
              <w:snapToGrid w:val="0"/>
              <w:spacing w:line="0" w:lineRule="atLeast"/>
              <w:jc w:val="center"/>
              <w:rPr>
                <w:rFonts w:ascii="宋体" w:hAnsi="宋体" w:cs="宋体"/>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9" w:hRule="atLeast"/>
          <w:jc w:val="center"/>
        </w:trPr>
        <w:tc>
          <w:tcPr>
            <w:tcW w:w="1367" w:type="dxa"/>
            <w:gridSpan w:val="2"/>
            <w:vAlign w:val="center"/>
          </w:tcPr>
          <w:p>
            <w:pPr>
              <w:snapToGrid w:val="0"/>
              <w:spacing w:line="0" w:lineRule="atLeast"/>
              <w:jc w:val="center"/>
              <w:rPr>
                <w:rFonts w:ascii="宋体" w:hAnsi="宋体" w:cs="宋体"/>
                <w:sz w:val="22"/>
                <w:highlight w:val="none"/>
              </w:rPr>
            </w:pPr>
            <w:r>
              <w:rPr>
                <w:rFonts w:hint="eastAsia" w:ascii="宋体" w:hAnsi="宋体" w:cs="宋体"/>
                <w:sz w:val="22"/>
                <w:highlight w:val="none"/>
              </w:rPr>
              <w:t>毕业学校</w:t>
            </w:r>
          </w:p>
        </w:tc>
        <w:tc>
          <w:tcPr>
            <w:tcW w:w="3703" w:type="dxa"/>
            <w:gridSpan w:val="5"/>
            <w:vAlign w:val="center"/>
          </w:tcPr>
          <w:p>
            <w:pPr>
              <w:snapToGrid w:val="0"/>
              <w:spacing w:line="0" w:lineRule="atLeast"/>
              <w:jc w:val="center"/>
              <w:rPr>
                <w:rFonts w:ascii="宋体" w:hAnsi="宋体" w:cs="宋体"/>
                <w:sz w:val="22"/>
                <w:highlight w:val="none"/>
              </w:rPr>
            </w:pPr>
            <w:r>
              <w:rPr>
                <w:rFonts w:hint="eastAsia" w:ascii="宋体" w:hAnsi="宋体" w:cs="宋体"/>
                <w:sz w:val="22"/>
                <w:highlight w:val="none"/>
              </w:rPr>
              <w:t>毕业于      学校     专业</w:t>
            </w:r>
          </w:p>
        </w:tc>
        <w:tc>
          <w:tcPr>
            <w:tcW w:w="2286" w:type="dxa"/>
            <w:gridSpan w:val="2"/>
            <w:vAlign w:val="center"/>
          </w:tcPr>
          <w:p>
            <w:pPr>
              <w:snapToGrid w:val="0"/>
              <w:spacing w:line="0" w:lineRule="atLeast"/>
              <w:jc w:val="center"/>
              <w:rPr>
                <w:rFonts w:ascii="宋体" w:hAnsi="宋体" w:cs="宋体"/>
                <w:sz w:val="22"/>
                <w:highlight w:val="none"/>
              </w:rPr>
            </w:pPr>
            <w:r>
              <w:rPr>
                <w:rFonts w:hint="eastAsia" w:ascii="宋体" w:hAnsi="宋体" w:cs="宋体"/>
                <w:position w:val="-30"/>
                <w:sz w:val="22"/>
                <w:highlight w:val="none"/>
              </w:rPr>
              <w:t>工作年限</w:t>
            </w:r>
          </w:p>
        </w:tc>
        <w:tc>
          <w:tcPr>
            <w:tcW w:w="1571" w:type="dxa"/>
          </w:tcPr>
          <w:p>
            <w:pPr>
              <w:snapToGrid w:val="0"/>
              <w:spacing w:line="0" w:lineRule="atLeast"/>
              <w:jc w:val="center"/>
              <w:rPr>
                <w:rFonts w:ascii="宋体" w:hAnsi="宋体" w:cs="宋体"/>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2943" w:type="dxa"/>
            <w:gridSpan w:val="4"/>
            <w:vAlign w:val="center"/>
          </w:tcPr>
          <w:p>
            <w:pPr>
              <w:snapToGrid w:val="0"/>
              <w:spacing w:line="0" w:lineRule="atLeast"/>
              <w:jc w:val="center"/>
              <w:rPr>
                <w:rFonts w:ascii="宋体" w:hAnsi="宋体" w:cs="宋体"/>
                <w:sz w:val="22"/>
                <w:highlight w:val="none"/>
              </w:rPr>
            </w:pPr>
            <w:r>
              <w:rPr>
                <w:rFonts w:hint="eastAsia" w:ascii="宋体" w:hAnsi="宋体" w:cs="宋体"/>
                <w:sz w:val="22"/>
                <w:highlight w:val="none"/>
              </w:rPr>
              <w:t>执业资格证号或注册证号</w:t>
            </w:r>
          </w:p>
        </w:tc>
        <w:tc>
          <w:tcPr>
            <w:tcW w:w="5984" w:type="dxa"/>
            <w:gridSpan w:val="6"/>
          </w:tcPr>
          <w:p>
            <w:pPr>
              <w:snapToGrid w:val="0"/>
              <w:spacing w:line="0" w:lineRule="atLeast"/>
              <w:rPr>
                <w:rFonts w:ascii="宋体" w:hAnsi="宋体" w:cs="宋体"/>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4" w:hRule="atLeast"/>
          <w:jc w:val="center"/>
        </w:trPr>
        <w:tc>
          <w:tcPr>
            <w:tcW w:w="8927" w:type="dxa"/>
            <w:gridSpan w:val="10"/>
          </w:tcPr>
          <w:p>
            <w:pPr>
              <w:snapToGrid w:val="0"/>
              <w:spacing w:line="0" w:lineRule="atLeast"/>
              <w:jc w:val="center"/>
              <w:rPr>
                <w:rFonts w:ascii="宋体" w:hAnsi="宋体" w:cs="宋体"/>
                <w:sz w:val="22"/>
                <w:highlight w:val="none"/>
              </w:rPr>
            </w:pPr>
            <w:r>
              <w:rPr>
                <w:rFonts w:hint="eastAsia" w:ascii="宋体" w:hAnsi="宋体" w:cs="宋体"/>
                <w:sz w:val="22"/>
                <w:highlight w:val="none"/>
              </w:rPr>
              <w:t>主要业绩经历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1" w:hRule="atLeast"/>
          <w:jc w:val="center"/>
        </w:trPr>
        <w:tc>
          <w:tcPr>
            <w:tcW w:w="1187" w:type="dxa"/>
          </w:tcPr>
          <w:p>
            <w:pPr>
              <w:snapToGrid w:val="0"/>
              <w:spacing w:line="0" w:lineRule="atLeast"/>
              <w:jc w:val="center"/>
              <w:rPr>
                <w:rFonts w:ascii="宋体" w:hAnsi="宋体" w:cs="宋体"/>
                <w:sz w:val="22"/>
                <w:highlight w:val="none"/>
              </w:rPr>
            </w:pPr>
            <w:r>
              <w:rPr>
                <w:rFonts w:hint="eastAsia" w:ascii="宋体" w:hAnsi="宋体" w:cs="宋体"/>
                <w:sz w:val="22"/>
                <w:highlight w:val="none"/>
              </w:rPr>
              <w:t>时间</w:t>
            </w:r>
          </w:p>
        </w:tc>
        <w:tc>
          <w:tcPr>
            <w:tcW w:w="3476" w:type="dxa"/>
            <w:gridSpan w:val="5"/>
          </w:tcPr>
          <w:p>
            <w:pPr>
              <w:snapToGrid w:val="0"/>
              <w:spacing w:line="0" w:lineRule="atLeast"/>
              <w:jc w:val="center"/>
              <w:rPr>
                <w:rFonts w:ascii="宋体" w:hAnsi="宋体" w:cs="宋体"/>
                <w:sz w:val="22"/>
                <w:highlight w:val="none"/>
              </w:rPr>
            </w:pPr>
            <w:r>
              <w:rPr>
                <w:rFonts w:hint="eastAsia" w:ascii="宋体" w:hAnsi="宋体" w:cs="宋体"/>
                <w:sz w:val="22"/>
                <w:highlight w:val="none"/>
              </w:rPr>
              <w:t>参加过的主要工作</w:t>
            </w:r>
          </w:p>
        </w:tc>
        <w:tc>
          <w:tcPr>
            <w:tcW w:w="1607" w:type="dxa"/>
            <w:gridSpan w:val="2"/>
          </w:tcPr>
          <w:p>
            <w:pPr>
              <w:snapToGrid w:val="0"/>
              <w:spacing w:line="0" w:lineRule="atLeast"/>
              <w:jc w:val="center"/>
              <w:rPr>
                <w:rFonts w:ascii="宋体" w:hAnsi="宋体" w:cs="宋体"/>
                <w:sz w:val="22"/>
                <w:highlight w:val="none"/>
              </w:rPr>
            </w:pPr>
            <w:r>
              <w:rPr>
                <w:rFonts w:hint="eastAsia" w:ascii="宋体" w:hAnsi="宋体" w:cs="宋体"/>
                <w:sz w:val="22"/>
                <w:highlight w:val="none"/>
              </w:rPr>
              <w:t>担任何职</w:t>
            </w:r>
          </w:p>
        </w:tc>
        <w:tc>
          <w:tcPr>
            <w:tcW w:w="2657" w:type="dxa"/>
            <w:gridSpan w:val="2"/>
          </w:tcPr>
          <w:p>
            <w:pPr>
              <w:snapToGrid w:val="0"/>
              <w:spacing w:line="0" w:lineRule="atLeast"/>
              <w:jc w:val="center"/>
              <w:rPr>
                <w:rFonts w:ascii="宋体" w:hAnsi="宋体" w:cs="宋体"/>
                <w:sz w:val="22"/>
                <w:highlight w:val="none"/>
              </w:rPr>
            </w:pPr>
            <w:r>
              <w:rPr>
                <w:rFonts w:hint="eastAsia" w:ascii="宋体" w:hAnsi="宋体" w:cs="宋体"/>
                <w:sz w:val="22"/>
                <w:highlight w:val="none"/>
              </w:rPr>
              <w:t>委托人名称、联系方式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187" w:type="dxa"/>
          </w:tcPr>
          <w:p>
            <w:pPr>
              <w:snapToGrid w:val="0"/>
              <w:spacing w:line="0" w:lineRule="atLeast"/>
              <w:rPr>
                <w:rFonts w:ascii="宋体" w:hAnsi="宋体" w:cs="宋体"/>
                <w:sz w:val="22"/>
                <w:highlight w:val="none"/>
              </w:rPr>
            </w:pPr>
          </w:p>
        </w:tc>
        <w:tc>
          <w:tcPr>
            <w:tcW w:w="3476" w:type="dxa"/>
            <w:gridSpan w:val="5"/>
          </w:tcPr>
          <w:p>
            <w:pPr>
              <w:snapToGrid w:val="0"/>
              <w:spacing w:line="0" w:lineRule="atLeast"/>
              <w:rPr>
                <w:rFonts w:ascii="宋体" w:hAnsi="宋体" w:cs="宋体"/>
                <w:sz w:val="22"/>
                <w:highlight w:val="none"/>
              </w:rPr>
            </w:pPr>
          </w:p>
        </w:tc>
        <w:tc>
          <w:tcPr>
            <w:tcW w:w="1607" w:type="dxa"/>
            <w:gridSpan w:val="2"/>
          </w:tcPr>
          <w:p>
            <w:pPr>
              <w:snapToGrid w:val="0"/>
              <w:spacing w:line="0" w:lineRule="atLeast"/>
              <w:rPr>
                <w:rFonts w:ascii="宋体" w:hAnsi="宋体" w:cs="宋体"/>
                <w:sz w:val="22"/>
                <w:highlight w:val="none"/>
              </w:rPr>
            </w:pPr>
          </w:p>
        </w:tc>
        <w:tc>
          <w:tcPr>
            <w:tcW w:w="2657" w:type="dxa"/>
            <w:gridSpan w:val="2"/>
          </w:tcPr>
          <w:p>
            <w:pPr>
              <w:snapToGrid w:val="0"/>
              <w:spacing w:line="0" w:lineRule="atLeast"/>
              <w:rPr>
                <w:rFonts w:ascii="宋体" w:hAnsi="宋体" w:cs="宋体"/>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187" w:type="dxa"/>
          </w:tcPr>
          <w:p>
            <w:pPr>
              <w:snapToGrid w:val="0"/>
              <w:spacing w:line="0" w:lineRule="atLeast"/>
              <w:rPr>
                <w:rFonts w:ascii="宋体" w:hAnsi="宋体" w:cs="宋体"/>
                <w:sz w:val="22"/>
                <w:highlight w:val="none"/>
              </w:rPr>
            </w:pPr>
          </w:p>
        </w:tc>
        <w:tc>
          <w:tcPr>
            <w:tcW w:w="3476" w:type="dxa"/>
            <w:gridSpan w:val="5"/>
          </w:tcPr>
          <w:p>
            <w:pPr>
              <w:snapToGrid w:val="0"/>
              <w:spacing w:line="0" w:lineRule="atLeast"/>
              <w:rPr>
                <w:rFonts w:ascii="宋体" w:hAnsi="宋体" w:cs="宋体"/>
                <w:sz w:val="22"/>
                <w:highlight w:val="none"/>
              </w:rPr>
            </w:pPr>
          </w:p>
        </w:tc>
        <w:tc>
          <w:tcPr>
            <w:tcW w:w="1607" w:type="dxa"/>
            <w:gridSpan w:val="2"/>
          </w:tcPr>
          <w:p>
            <w:pPr>
              <w:snapToGrid w:val="0"/>
              <w:spacing w:line="0" w:lineRule="atLeast"/>
              <w:rPr>
                <w:rFonts w:ascii="宋体" w:hAnsi="宋体" w:cs="宋体"/>
                <w:sz w:val="22"/>
                <w:highlight w:val="none"/>
              </w:rPr>
            </w:pPr>
          </w:p>
        </w:tc>
        <w:tc>
          <w:tcPr>
            <w:tcW w:w="2657" w:type="dxa"/>
            <w:gridSpan w:val="2"/>
          </w:tcPr>
          <w:p>
            <w:pPr>
              <w:snapToGrid w:val="0"/>
              <w:spacing w:line="0" w:lineRule="atLeast"/>
              <w:rPr>
                <w:rFonts w:ascii="宋体" w:hAnsi="宋体" w:cs="宋体"/>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187" w:type="dxa"/>
          </w:tcPr>
          <w:p>
            <w:pPr>
              <w:snapToGrid w:val="0"/>
              <w:spacing w:line="0" w:lineRule="atLeast"/>
              <w:rPr>
                <w:rFonts w:ascii="宋体" w:hAnsi="宋体" w:cs="宋体"/>
                <w:sz w:val="22"/>
                <w:highlight w:val="none"/>
              </w:rPr>
            </w:pPr>
          </w:p>
        </w:tc>
        <w:tc>
          <w:tcPr>
            <w:tcW w:w="3476" w:type="dxa"/>
            <w:gridSpan w:val="5"/>
          </w:tcPr>
          <w:p>
            <w:pPr>
              <w:snapToGrid w:val="0"/>
              <w:spacing w:line="0" w:lineRule="atLeast"/>
              <w:rPr>
                <w:rFonts w:ascii="宋体" w:hAnsi="宋体" w:cs="宋体"/>
                <w:sz w:val="22"/>
                <w:highlight w:val="none"/>
              </w:rPr>
            </w:pPr>
          </w:p>
        </w:tc>
        <w:tc>
          <w:tcPr>
            <w:tcW w:w="1607" w:type="dxa"/>
            <w:gridSpan w:val="2"/>
          </w:tcPr>
          <w:p>
            <w:pPr>
              <w:snapToGrid w:val="0"/>
              <w:spacing w:line="0" w:lineRule="atLeast"/>
              <w:rPr>
                <w:rFonts w:ascii="宋体" w:hAnsi="宋体" w:cs="宋体"/>
                <w:sz w:val="22"/>
                <w:highlight w:val="none"/>
              </w:rPr>
            </w:pPr>
          </w:p>
        </w:tc>
        <w:tc>
          <w:tcPr>
            <w:tcW w:w="2657" w:type="dxa"/>
            <w:gridSpan w:val="2"/>
          </w:tcPr>
          <w:p>
            <w:pPr>
              <w:snapToGrid w:val="0"/>
              <w:spacing w:line="0" w:lineRule="atLeast"/>
              <w:rPr>
                <w:rFonts w:ascii="宋体" w:hAnsi="宋体" w:cs="宋体"/>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187" w:type="dxa"/>
          </w:tcPr>
          <w:p>
            <w:pPr>
              <w:snapToGrid w:val="0"/>
              <w:spacing w:line="0" w:lineRule="atLeast"/>
              <w:rPr>
                <w:rFonts w:ascii="宋体" w:hAnsi="宋体" w:cs="宋体"/>
                <w:sz w:val="22"/>
                <w:highlight w:val="none"/>
              </w:rPr>
            </w:pPr>
          </w:p>
        </w:tc>
        <w:tc>
          <w:tcPr>
            <w:tcW w:w="3476" w:type="dxa"/>
            <w:gridSpan w:val="5"/>
          </w:tcPr>
          <w:p>
            <w:pPr>
              <w:snapToGrid w:val="0"/>
              <w:spacing w:line="0" w:lineRule="atLeast"/>
              <w:rPr>
                <w:rFonts w:ascii="宋体" w:hAnsi="宋体" w:cs="宋体"/>
                <w:sz w:val="22"/>
                <w:highlight w:val="none"/>
              </w:rPr>
            </w:pPr>
          </w:p>
        </w:tc>
        <w:tc>
          <w:tcPr>
            <w:tcW w:w="1607" w:type="dxa"/>
            <w:gridSpan w:val="2"/>
          </w:tcPr>
          <w:p>
            <w:pPr>
              <w:snapToGrid w:val="0"/>
              <w:spacing w:line="0" w:lineRule="atLeast"/>
              <w:rPr>
                <w:rFonts w:ascii="宋体" w:hAnsi="宋体" w:cs="宋体"/>
                <w:sz w:val="22"/>
                <w:highlight w:val="none"/>
              </w:rPr>
            </w:pPr>
          </w:p>
        </w:tc>
        <w:tc>
          <w:tcPr>
            <w:tcW w:w="2657" w:type="dxa"/>
            <w:gridSpan w:val="2"/>
          </w:tcPr>
          <w:p>
            <w:pPr>
              <w:snapToGrid w:val="0"/>
              <w:spacing w:line="0" w:lineRule="atLeast"/>
              <w:rPr>
                <w:rFonts w:ascii="宋体" w:hAnsi="宋体" w:cs="宋体"/>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187" w:type="dxa"/>
          </w:tcPr>
          <w:p>
            <w:pPr>
              <w:snapToGrid w:val="0"/>
              <w:spacing w:line="0" w:lineRule="atLeast"/>
              <w:rPr>
                <w:rFonts w:ascii="宋体" w:hAnsi="宋体" w:cs="宋体"/>
                <w:sz w:val="22"/>
                <w:highlight w:val="none"/>
              </w:rPr>
            </w:pPr>
          </w:p>
        </w:tc>
        <w:tc>
          <w:tcPr>
            <w:tcW w:w="3476" w:type="dxa"/>
            <w:gridSpan w:val="5"/>
          </w:tcPr>
          <w:p>
            <w:pPr>
              <w:snapToGrid w:val="0"/>
              <w:spacing w:line="0" w:lineRule="atLeast"/>
              <w:rPr>
                <w:rFonts w:ascii="宋体" w:hAnsi="宋体" w:cs="宋体"/>
                <w:sz w:val="22"/>
                <w:highlight w:val="none"/>
              </w:rPr>
            </w:pPr>
          </w:p>
        </w:tc>
        <w:tc>
          <w:tcPr>
            <w:tcW w:w="1607" w:type="dxa"/>
            <w:gridSpan w:val="2"/>
          </w:tcPr>
          <w:p>
            <w:pPr>
              <w:snapToGrid w:val="0"/>
              <w:spacing w:line="0" w:lineRule="atLeast"/>
              <w:rPr>
                <w:rFonts w:ascii="宋体" w:hAnsi="宋体" w:cs="宋体"/>
                <w:sz w:val="22"/>
                <w:highlight w:val="none"/>
              </w:rPr>
            </w:pPr>
          </w:p>
        </w:tc>
        <w:tc>
          <w:tcPr>
            <w:tcW w:w="2657" w:type="dxa"/>
            <w:gridSpan w:val="2"/>
          </w:tcPr>
          <w:p>
            <w:pPr>
              <w:snapToGrid w:val="0"/>
              <w:spacing w:line="0" w:lineRule="atLeast"/>
              <w:rPr>
                <w:rFonts w:ascii="宋体" w:hAnsi="宋体" w:cs="宋体"/>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187" w:type="dxa"/>
          </w:tcPr>
          <w:p>
            <w:pPr>
              <w:snapToGrid w:val="0"/>
              <w:spacing w:line="0" w:lineRule="atLeast"/>
              <w:rPr>
                <w:rFonts w:ascii="宋体" w:hAnsi="宋体" w:cs="宋体"/>
                <w:sz w:val="22"/>
                <w:highlight w:val="none"/>
              </w:rPr>
            </w:pPr>
          </w:p>
        </w:tc>
        <w:tc>
          <w:tcPr>
            <w:tcW w:w="3476" w:type="dxa"/>
            <w:gridSpan w:val="5"/>
          </w:tcPr>
          <w:p>
            <w:pPr>
              <w:snapToGrid w:val="0"/>
              <w:spacing w:line="0" w:lineRule="atLeast"/>
              <w:rPr>
                <w:rFonts w:ascii="宋体" w:hAnsi="宋体" w:cs="宋体"/>
                <w:sz w:val="22"/>
                <w:highlight w:val="none"/>
              </w:rPr>
            </w:pPr>
          </w:p>
        </w:tc>
        <w:tc>
          <w:tcPr>
            <w:tcW w:w="1607" w:type="dxa"/>
            <w:gridSpan w:val="2"/>
          </w:tcPr>
          <w:p>
            <w:pPr>
              <w:snapToGrid w:val="0"/>
              <w:spacing w:line="0" w:lineRule="atLeast"/>
              <w:rPr>
                <w:rFonts w:ascii="宋体" w:hAnsi="宋体" w:cs="宋体"/>
                <w:sz w:val="22"/>
                <w:highlight w:val="none"/>
              </w:rPr>
            </w:pPr>
          </w:p>
        </w:tc>
        <w:tc>
          <w:tcPr>
            <w:tcW w:w="2657" w:type="dxa"/>
            <w:gridSpan w:val="2"/>
          </w:tcPr>
          <w:p>
            <w:pPr>
              <w:snapToGrid w:val="0"/>
              <w:spacing w:line="0" w:lineRule="atLeast"/>
              <w:rPr>
                <w:rFonts w:ascii="宋体" w:hAnsi="宋体" w:cs="宋体"/>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187" w:type="dxa"/>
          </w:tcPr>
          <w:p>
            <w:pPr>
              <w:snapToGrid w:val="0"/>
              <w:spacing w:line="0" w:lineRule="atLeast"/>
              <w:rPr>
                <w:rFonts w:ascii="宋体" w:hAnsi="宋体" w:cs="宋体"/>
                <w:sz w:val="22"/>
                <w:highlight w:val="none"/>
              </w:rPr>
            </w:pPr>
          </w:p>
        </w:tc>
        <w:tc>
          <w:tcPr>
            <w:tcW w:w="3476" w:type="dxa"/>
            <w:gridSpan w:val="5"/>
          </w:tcPr>
          <w:p>
            <w:pPr>
              <w:snapToGrid w:val="0"/>
              <w:spacing w:line="0" w:lineRule="atLeast"/>
              <w:rPr>
                <w:rFonts w:ascii="宋体" w:hAnsi="宋体" w:cs="宋体"/>
                <w:sz w:val="22"/>
                <w:highlight w:val="none"/>
              </w:rPr>
            </w:pPr>
          </w:p>
        </w:tc>
        <w:tc>
          <w:tcPr>
            <w:tcW w:w="1607" w:type="dxa"/>
            <w:gridSpan w:val="2"/>
          </w:tcPr>
          <w:p>
            <w:pPr>
              <w:snapToGrid w:val="0"/>
              <w:spacing w:line="0" w:lineRule="atLeast"/>
              <w:rPr>
                <w:rFonts w:ascii="宋体" w:hAnsi="宋体" w:cs="宋体"/>
                <w:sz w:val="22"/>
                <w:highlight w:val="none"/>
              </w:rPr>
            </w:pPr>
          </w:p>
        </w:tc>
        <w:tc>
          <w:tcPr>
            <w:tcW w:w="2657" w:type="dxa"/>
            <w:gridSpan w:val="2"/>
          </w:tcPr>
          <w:p>
            <w:pPr>
              <w:snapToGrid w:val="0"/>
              <w:spacing w:line="0" w:lineRule="atLeast"/>
              <w:rPr>
                <w:rFonts w:ascii="宋体" w:hAnsi="宋体" w:cs="宋体"/>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187" w:type="dxa"/>
          </w:tcPr>
          <w:p>
            <w:pPr>
              <w:snapToGrid w:val="0"/>
              <w:spacing w:line="0" w:lineRule="atLeast"/>
              <w:rPr>
                <w:rFonts w:ascii="宋体" w:hAnsi="宋体" w:cs="宋体"/>
                <w:sz w:val="22"/>
                <w:highlight w:val="none"/>
              </w:rPr>
            </w:pPr>
          </w:p>
        </w:tc>
        <w:tc>
          <w:tcPr>
            <w:tcW w:w="3476" w:type="dxa"/>
            <w:gridSpan w:val="5"/>
          </w:tcPr>
          <w:p>
            <w:pPr>
              <w:snapToGrid w:val="0"/>
              <w:spacing w:line="0" w:lineRule="atLeast"/>
              <w:rPr>
                <w:rFonts w:ascii="宋体" w:hAnsi="宋体" w:cs="宋体"/>
                <w:sz w:val="22"/>
                <w:highlight w:val="none"/>
              </w:rPr>
            </w:pPr>
          </w:p>
        </w:tc>
        <w:tc>
          <w:tcPr>
            <w:tcW w:w="1607" w:type="dxa"/>
            <w:gridSpan w:val="2"/>
          </w:tcPr>
          <w:p>
            <w:pPr>
              <w:snapToGrid w:val="0"/>
              <w:spacing w:line="0" w:lineRule="atLeast"/>
              <w:rPr>
                <w:rFonts w:ascii="宋体" w:hAnsi="宋体" w:cs="宋体"/>
                <w:sz w:val="22"/>
                <w:highlight w:val="none"/>
              </w:rPr>
            </w:pPr>
          </w:p>
        </w:tc>
        <w:tc>
          <w:tcPr>
            <w:tcW w:w="2657" w:type="dxa"/>
            <w:gridSpan w:val="2"/>
          </w:tcPr>
          <w:p>
            <w:pPr>
              <w:snapToGrid w:val="0"/>
              <w:spacing w:line="0" w:lineRule="atLeast"/>
              <w:rPr>
                <w:rFonts w:ascii="宋体" w:hAnsi="宋体" w:cs="宋体"/>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187" w:type="dxa"/>
          </w:tcPr>
          <w:p>
            <w:pPr>
              <w:snapToGrid w:val="0"/>
              <w:spacing w:line="0" w:lineRule="atLeast"/>
              <w:rPr>
                <w:rFonts w:ascii="宋体" w:hAnsi="宋体" w:cs="宋体"/>
                <w:sz w:val="22"/>
                <w:highlight w:val="none"/>
              </w:rPr>
            </w:pPr>
          </w:p>
        </w:tc>
        <w:tc>
          <w:tcPr>
            <w:tcW w:w="3476" w:type="dxa"/>
            <w:gridSpan w:val="5"/>
          </w:tcPr>
          <w:p>
            <w:pPr>
              <w:snapToGrid w:val="0"/>
              <w:spacing w:line="0" w:lineRule="atLeast"/>
              <w:rPr>
                <w:rFonts w:ascii="宋体" w:hAnsi="宋体" w:cs="宋体"/>
                <w:sz w:val="22"/>
                <w:highlight w:val="none"/>
              </w:rPr>
            </w:pPr>
          </w:p>
        </w:tc>
        <w:tc>
          <w:tcPr>
            <w:tcW w:w="1607" w:type="dxa"/>
            <w:gridSpan w:val="2"/>
          </w:tcPr>
          <w:p>
            <w:pPr>
              <w:snapToGrid w:val="0"/>
              <w:spacing w:line="0" w:lineRule="atLeast"/>
              <w:rPr>
                <w:rFonts w:ascii="宋体" w:hAnsi="宋体" w:cs="宋体"/>
                <w:sz w:val="22"/>
                <w:highlight w:val="none"/>
              </w:rPr>
            </w:pPr>
          </w:p>
        </w:tc>
        <w:tc>
          <w:tcPr>
            <w:tcW w:w="2657" w:type="dxa"/>
            <w:gridSpan w:val="2"/>
          </w:tcPr>
          <w:p>
            <w:pPr>
              <w:snapToGrid w:val="0"/>
              <w:spacing w:line="0" w:lineRule="atLeast"/>
              <w:rPr>
                <w:rFonts w:ascii="宋体" w:hAnsi="宋体" w:cs="宋体"/>
                <w:sz w:val="22"/>
                <w:highlight w:val="none"/>
              </w:rPr>
            </w:pPr>
          </w:p>
        </w:tc>
      </w:tr>
    </w:tbl>
    <w:p>
      <w:pPr>
        <w:spacing w:line="360" w:lineRule="auto"/>
        <w:rPr>
          <w:rFonts w:ascii="宋体" w:hAnsi="宋体" w:cs="宋体"/>
          <w:sz w:val="22"/>
          <w:highlight w:val="none"/>
        </w:rPr>
      </w:pPr>
      <w:r>
        <w:rPr>
          <w:rFonts w:hint="eastAsia" w:ascii="宋体" w:hAnsi="宋体" w:cs="宋体"/>
          <w:sz w:val="22"/>
          <w:highlight w:val="none"/>
        </w:rPr>
        <w:t>注：投标人应根据招标文件的要求在本表后附相关证明材料</w:t>
      </w:r>
    </w:p>
    <w:p>
      <w:pPr>
        <w:spacing w:line="360" w:lineRule="auto"/>
        <w:jc w:val="left"/>
        <w:rPr>
          <w:rFonts w:ascii="宋体" w:hAnsi="宋体" w:cs="宋体"/>
          <w:sz w:val="28"/>
          <w:szCs w:val="28"/>
          <w:highlight w:val="none"/>
        </w:rPr>
      </w:pPr>
      <w:r>
        <w:rPr>
          <w:rFonts w:hint="eastAsia" w:ascii="宋体" w:hAnsi="宋体" w:cs="宋体"/>
          <w:sz w:val="22"/>
          <w:highlight w:val="none"/>
        </w:rPr>
        <w:t>（本项不作为资格审查内容，但（如有）需提供，仅作为投标人的评标（综合评分）资料进行考察。表格格式可以根据实际情况调整。）</w:t>
      </w:r>
    </w:p>
    <w:p>
      <w:pPr>
        <w:keepNext/>
        <w:keepLines/>
        <w:spacing w:line="360" w:lineRule="auto"/>
        <w:jc w:val="center"/>
        <w:outlineLvl w:val="1"/>
        <w:rPr>
          <w:rFonts w:ascii="宋体" w:hAnsi="宋体" w:cs="宋体"/>
          <w:szCs w:val="24"/>
          <w:highlight w:val="none"/>
        </w:rPr>
      </w:pPr>
      <w:r>
        <w:rPr>
          <w:rFonts w:hint="eastAsia" w:ascii="宋体" w:hAnsi="宋体" w:cs="宋体"/>
          <w:b/>
          <w:bCs/>
          <w:sz w:val="40"/>
          <w:szCs w:val="32"/>
          <w:highlight w:val="none"/>
        </w:rPr>
        <w:br w:type="page"/>
      </w:r>
      <w:bookmarkStart w:id="321" w:name="_Toc377719918"/>
      <w:bookmarkStart w:id="322" w:name="_Toc532367898"/>
      <w:bookmarkStart w:id="323" w:name="_Toc38224868"/>
      <w:bookmarkStart w:id="324" w:name="_Toc30415"/>
      <w:bookmarkStart w:id="325" w:name="_Toc18296"/>
      <w:r>
        <w:rPr>
          <w:rFonts w:hint="eastAsia" w:ascii="宋体" w:hAnsi="宋体" w:cs="宋体"/>
          <w:b/>
          <w:bCs/>
          <w:sz w:val="32"/>
          <w:szCs w:val="32"/>
          <w:highlight w:val="none"/>
          <w:lang w:val="en-US" w:eastAsia="zh-CN"/>
        </w:rPr>
        <w:t>八</w:t>
      </w:r>
      <w:r>
        <w:rPr>
          <w:rFonts w:hint="eastAsia" w:ascii="宋体" w:hAnsi="宋体" w:cs="宋体"/>
          <w:b/>
          <w:bCs/>
          <w:sz w:val="32"/>
          <w:szCs w:val="32"/>
          <w:highlight w:val="none"/>
        </w:rPr>
        <w:t>、</w:t>
      </w:r>
      <w:bookmarkEnd w:id="315"/>
      <w:bookmarkEnd w:id="316"/>
      <w:bookmarkEnd w:id="317"/>
      <w:bookmarkEnd w:id="318"/>
      <w:bookmarkEnd w:id="319"/>
      <w:bookmarkEnd w:id="320"/>
      <w:bookmarkEnd w:id="321"/>
      <w:bookmarkEnd w:id="322"/>
      <w:r>
        <w:rPr>
          <w:rFonts w:hint="eastAsia" w:ascii="宋体" w:hAnsi="宋体" w:cs="宋体"/>
          <w:b/>
          <w:bCs/>
          <w:sz w:val="32"/>
          <w:szCs w:val="32"/>
          <w:highlight w:val="none"/>
        </w:rPr>
        <w:t>类似项目经验</w:t>
      </w:r>
      <w:bookmarkEnd w:id="323"/>
      <w:bookmarkEnd w:id="324"/>
      <w:bookmarkEnd w:id="325"/>
    </w:p>
    <w:p>
      <w:pPr>
        <w:pStyle w:val="5"/>
        <w:spacing w:line="240" w:lineRule="auto"/>
        <w:jc w:val="center"/>
        <w:rPr>
          <w:rFonts w:ascii="宋体" w:hAnsi="宋体" w:eastAsia="宋体" w:cs="宋体"/>
          <w:b w:val="0"/>
          <w:bCs w:val="0"/>
          <w:highlight w:val="none"/>
        </w:rPr>
      </w:pPr>
      <w:bookmarkStart w:id="326" w:name="_Toc332631149"/>
      <w:r>
        <w:rPr>
          <w:rFonts w:hint="eastAsia" w:ascii="宋体" w:hAnsi="宋体" w:eastAsia="宋体" w:cs="宋体"/>
          <w:highlight w:val="none"/>
        </w:rPr>
        <w:t>类似项目经验</w:t>
      </w:r>
      <w:bookmarkEnd w:id="326"/>
    </w:p>
    <w:tbl>
      <w:tblPr>
        <w:tblStyle w:val="45"/>
        <w:tblW w:w="1037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28"/>
        <w:gridCol w:w="1228"/>
        <w:gridCol w:w="3480"/>
        <w:gridCol w:w="1200"/>
        <w:gridCol w:w="997"/>
        <w:gridCol w:w="22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228" w:type="dxa"/>
            <w:tcBorders>
              <w:top w:val="single" w:color="auto" w:sz="12" w:space="0"/>
              <w:left w:val="single" w:color="auto" w:sz="12" w:space="0"/>
              <w:bottom w:val="single" w:color="auto" w:sz="6" w:space="0"/>
              <w:right w:val="single" w:color="auto" w:sz="6" w:space="0"/>
            </w:tcBorders>
          </w:tcPr>
          <w:p>
            <w:pPr>
              <w:spacing w:line="320" w:lineRule="atLeast"/>
              <w:jc w:val="center"/>
              <w:rPr>
                <w:rFonts w:ascii="宋体" w:hAnsi="宋体" w:cs="宋体"/>
                <w:sz w:val="22"/>
                <w:highlight w:val="none"/>
              </w:rPr>
            </w:pPr>
            <w:r>
              <w:rPr>
                <w:rFonts w:hint="eastAsia" w:ascii="宋体" w:hAnsi="宋体" w:cs="宋体"/>
                <w:sz w:val="22"/>
                <w:highlight w:val="none"/>
              </w:rPr>
              <w:t>序号</w:t>
            </w:r>
          </w:p>
        </w:tc>
        <w:tc>
          <w:tcPr>
            <w:tcW w:w="1228" w:type="dxa"/>
            <w:tcBorders>
              <w:top w:val="single" w:color="auto" w:sz="12" w:space="0"/>
              <w:left w:val="single" w:color="auto" w:sz="12" w:space="0"/>
              <w:bottom w:val="single" w:color="auto" w:sz="6" w:space="0"/>
              <w:right w:val="single" w:color="auto" w:sz="6" w:space="0"/>
            </w:tcBorders>
          </w:tcPr>
          <w:p>
            <w:pPr>
              <w:spacing w:line="320" w:lineRule="atLeast"/>
              <w:jc w:val="center"/>
              <w:rPr>
                <w:rFonts w:ascii="宋体" w:hAnsi="宋体" w:cs="宋体"/>
                <w:sz w:val="22"/>
                <w:highlight w:val="none"/>
              </w:rPr>
            </w:pPr>
            <w:r>
              <w:rPr>
                <w:rFonts w:hint="eastAsia" w:ascii="宋体" w:hAnsi="宋体" w:cs="宋体"/>
                <w:sz w:val="22"/>
                <w:highlight w:val="none"/>
              </w:rPr>
              <w:t>项目</w:t>
            </w:r>
          </w:p>
        </w:tc>
        <w:tc>
          <w:tcPr>
            <w:tcW w:w="3480" w:type="dxa"/>
            <w:tcBorders>
              <w:top w:val="single" w:color="auto" w:sz="12" w:space="0"/>
              <w:left w:val="single" w:color="auto" w:sz="6" w:space="0"/>
              <w:bottom w:val="single" w:color="auto" w:sz="6" w:space="0"/>
              <w:right w:val="single" w:color="auto" w:sz="6" w:space="0"/>
            </w:tcBorders>
          </w:tcPr>
          <w:p>
            <w:pPr>
              <w:spacing w:line="320" w:lineRule="atLeast"/>
              <w:jc w:val="center"/>
              <w:rPr>
                <w:rFonts w:ascii="宋体" w:hAnsi="宋体" w:cs="宋体"/>
                <w:sz w:val="22"/>
                <w:highlight w:val="none"/>
              </w:rPr>
            </w:pPr>
            <w:r>
              <w:rPr>
                <w:rFonts w:hint="eastAsia" w:ascii="宋体" w:hAnsi="宋体" w:cs="宋体"/>
                <w:sz w:val="22"/>
                <w:highlight w:val="none"/>
              </w:rPr>
              <w:t>规模</w:t>
            </w:r>
          </w:p>
        </w:tc>
        <w:tc>
          <w:tcPr>
            <w:tcW w:w="1200" w:type="dxa"/>
            <w:tcBorders>
              <w:top w:val="single" w:color="auto" w:sz="12" w:space="0"/>
              <w:left w:val="single" w:color="auto" w:sz="6" w:space="0"/>
              <w:bottom w:val="single" w:color="auto" w:sz="6" w:space="0"/>
              <w:right w:val="single" w:color="auto" w:sz="6" w:space="0"/>
            </w:tcBorders>
          </w:tcPr>
          <w:p>
            <w:pPr>
              <w:spacing w:line="320" w:lineRule="atLeast"/>
              <w:jc w:val="center"/>
              <w:rPr>
                <w:rFonts w:ascii="宋体" w:hAnsi="宋体" w:cs="宋体"/>
                <w:sz w:val="22"/>
                <w:highlight w:val="none"/>
              </w:rPr>
            </w:pPr>
            <w:r>
              <w:rPr>
                <w:rFonts w:hint="eastAsia" w:ascii="宋体" w:hAnsi="宋体" w:cs="宋体"/>
                <w:sz w:val="22"/>
                <w:highlight w:val="none"/>
              </w:rPr>
              <w:t>开工时间</w:t>
            </w:r>
          </w:p>
          <w:p>
            <w:pPr>
              <w:spacing w:line="320" w:lineRule="atLeast"/>
              <w:jc w:val="center"/>
              <w:rPr>
                <w:rFonts w:ascii="宋体" w:hAnsi="宋体" w:cs="宋体"/>
                <w:sz w:val="22"/>
                <w:highlight w:val="none"/>
              </w:rPr>
            </w:pPr>
            <w:r>
              <w:rPr>
                <w:rFonts w:hint="eastAsia" w:ascii="宋体" w:hAnsi="宋体" w:cs="宋体"/>
                <w:sz w:val="22"/>
                <w:highlight w:val="none"/>
              </w:rPr>
              <w:t>完工时间</w:t>
            </w:r>
          </w:p>
        </w:tc>
        <w:tc>
          <w:tcPr>
            <w:tcW w:w="997" w:type="dxa"/>
            <w:tcBorders>
              <w:top w:val="single" w:color="auto" w:sz="12" w:space="0"/>
              <w:left w:val="single" w:color="auto" w:sz="6" w:space="0"/>
              <w:bottom w:val="single" w:color="auto" w:sz="6" w:space="0"/>
              <w:right w:val="single" w:color="auto" w:sz="6" w:space="0"/>
            </w:tcBorders>
          </w:tcPr>
          <w:p>
            <w:pPr>
              <w:spacing w:line="320" w:lineRule="atLeast"/>
              <w:jc w:val="center"/>
              <w:rPr>
                <w:rFonts w:ascii="宋体" w:hAnsi="宋体" w:cs="宋体"/>
                <w:sz w:val="22"/>
                <w:highlight w:val="none"/>
              </w:rPr>
            </w:pPr>
            <w:r>
              <w:rPr>
                <w:rFonts w:hint="eastAsia" w:ascii="宋体" w:hAnsi="宋体" w:cs="宋体"/>
                <w:sz w:val="22"/>
                <w:highlight w:val="none"/>
              </w:rPr>
              <w:t>合同价（万元）</w:t>
            </w:r>
          </w:p>
        </w:tc>
        <w:tc>
          <w:tcPr>
            <w:tcW w:w="2243" w:type="dxa"/>
            <w:tcBorders>
              <w:top w:val="single" w:color="auto" w:sz="12" w:space="0"/>
              <w:left w:val="single" w:color="auto" w:sz="6" w:space="0"/>
              <w:bottom w:val="single" w:color="auto" w:sz="6" w:space="0"/>
              <w:right w:val="single" w:color="auto" w:sz="12" w:space="0"/>
            </w:tcBorders>
          </w:tcPr>
          <w:p>
            <w:pPr>
              <w:spacing w:line="320" w:lineRule="atLeast"/>
              <w:jc w:val="center"/>
              <w:rPr>
                <w:rFonts w:ascii="宋体" w:hAnsi="宋体" w:cs="宋体"/>
                <w:sz w:val="22"/>
                <w:highlight w:val="none"/>
              </w:rPr>
            </w:pPr>
            <w:r>
              <w:rPr>
                <w:rFonts w:hint="eastAsia" w:ascii="宋体" w:hAnsi="宋体" w:cs="宋体"/>
                <w:sz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1228" w:type="dxa"/>
            <w:tcBorders>
              <w:top w:val="single" w:color="auto" w:sz="6" w:space="0"/>
              <w:left w:val="single" w:color="auto" w:sz="12" w:space="0"/>
              <w:bottom w:val="single" w:color="auto" w:sz="6" w:space="0"/>
              <w:right w:val="single" w:color="auto" w:sz="6" w:space="0"/>
            </w:tcBorders>
          </w:tcPr>
          <w:p>
            <w:pPr>
              <w:spacing w:line="320" w:lineRule="atLeast"/>
              <w:rPr>
                <w:rFonts w:ascii="宋体" w:hAnsi="宋体" w:cs="宋体"/>
                <w:sz w:val="22"/>
                <w:highlight w:val="none"/>
              </w:rPr>
            </w:pPr>
          </w:p>
        </w:tc>
        <w:tc>
          <w:tcPr>
            <w:tcW w:w="1228" w:type="dxa"/>
            <w:tcBorders>
              <w:top w:val="single" w:color="auto" w:sz="6" w:space="0"/>
              <w:left w:val="single" w:color="auto" w:sz="12" w:space="0"/>
              <w:bottom w:val="single" w:color="auto" w:sz="6" w:space="0"/>
              <w:right w:val="single" w:color="auto" w:sz="6" w:space="0"/>
            </w:tcBorders>
          </w:tcPr>
          <w:p>
            <w:pPr>
              <w:spacing w:line="320" w:lineRule="atLeast"/>
              <w:rPr>
                <w:rFonts w:ascii="宋体" w:hAnsi="宋体" w:cs="宋体"/>
                <w:sz w:val="22"/>
                <w:highlight w:val="none"/>
              </w:rPr>
            </w:pPr>
          </w:p>
        </w:tc>
        <w:tc>
          <w:tcPr>
            <w:tcW w:w="3480" w:type="dxa"/>
            <w:tcBorders>
              <w:top w:val="single" w:color="auto" w:sz="6" w:space="0"/>
              <w:left w:val="single" w:color="auto" w:sz="6" w:space="0"/>
              <w:bottom w:val="single" w:color="auto" w:sz="6" w:space="0"/>
              <w:right w:val="single" w:color="auto" w:sz="6" w:space="0"/>
            </w:tcBorders>
          </w:tcPr>
          <w:p>
            <w:pPr>
              <w:spacing w:line="320" w:lineRule="atLeast"/>
              <w:rPr>
                <w:rFonts w:ascii="宋体" w:hAnsi="宋体" w:cs="宋体"/>
                <w:sz w:val="22"/>
                <w:highlight w:val="none"/>
              </w:rPr>
            </w:pPr>
          </w:p>
        </w:tc>
        <w:tc>
          <w:tcPr>
            <w:tcW w:w="1200" w:type="dxa"/>
            <w:tcBorders>
              <w:top w:val="single" w:color="auto" w:sz="6" w:space="0"/>
              <w:left w:val="single" w:color="auto" w:sz="6" w:space="0"/>
              <w:bottom w:val="single" w:color="auto" w:sz="6" w:space="0"/>
              <w:right w:val="single" w:color="auto" w:sz="6" w:space="0"/>
            </w:tcBorders>
          </w:tcPr>
          <w:p>
            <w:pPr>
              <w:spacing w:line="320" w:lineRule="atLeast"/>
              <w:rPr>
                <w:rFonts w:ascii="宋体" w:hAnsi="宋体" w:cs="宋体"/>
                <w:sz w:val="22"/>
                <w:highlight w:val="none"/>
              </w:rPr>
            </w:pPr>
          </w:p>
        </w:tc>
        <w:tc>
          <w:tcPr>
            <w:tcW w:w="997" w:type="dxa"/>
            <w:tcBorders>
              <w:top w:val="single" w:color="auto" w:sz="6" w:space="0"/>
              <w:left w:val="single" w:color="auto" w:sz="6" w:space="0"/>
              <w:bottom w:val="single" w:color="auto" w:sz="6" w:space="0"/>
              <w:right w:val="single" w:color="auto" w:sz="6" w:space="0"/>
            </w:tcBorders>
          </w:tcPr>
          <w:p>
            <w:pPr>
              <w:spacing w:line="320" w:lineRule="atLeast"/>
              <w:rPr>
                <w:rFonts w:ascii="宋体" w:hAnsi="宋体" w:cs="宋体"/>
                <w:sz w:val="22"/>
                <w:highlight w:val="none"/>
              </w:rPr>
            </w:pPr>
          </w:p>
        </w:tc>
        <w:tc>
          <w:tcPr>
            <w:tcW w:w="2243" w:type="dxa"/>
            <w:tcBorders>
              <w:top w:val="single" w:color="auto" w:sz="6" w:space="0"/>
              <w:left w:val="single" w:color="auto" w:sz="6" w:space="0"/>
              <w:bottom w:val="single" w:color="auto" w:sz="6" w:space="0"/>
              <w:right w:val="single" w:color="auto" w:sz="12" w:space="0"/>
            </w:tcBorders>
          </w:tcPr>
          <w:p>
            <w:pPr>
              <w:spacing w:line="320" w:lineRule="atLeast"/>
              <w:rPr>
                <w:rFonts w:ascii="宋体" w:hAnsi="宋体" w:cs="宋体"/>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1228" w:type="dxa"/>
            <w:tcBorders>
              <w:top w:val="single" w:color="auto" w:sz="6" w:space="0"/>
              <w:left w:val="single" w:color="auto" w:sz="12" w:space="0"/>
              <w:bottom w:val="single" w:color="auto" w:sz="6" w:space="0"/>
              <w:right w:val="single" w:color="auto" w:sz="6" w:space="0"/>
            </w:tcBorders>
          </w:tcPr>
          <w:p>
            <w:pPr>
              <w:spacing w:line="320" w:lineRule="atLeast"/>
              <w:rPr>
                <w:rFonts w:ascii="宋体" w:hAnsi="宋体" w:cs="宋体"/>
                <w:sz w:val="22"/>
                <w:highlight w:val="none"/>
              </w:rPr>
            </w:pPr>
          </w:p>
        </w:tc>
        <w:tc>
          <w:tcPr>
            <w:tcW w:w="1228" w:type="dxa"/>
            <w:tcBorders>
              <w:top w:val="single" w:color="auto" w:sz="6" w:space="0"/>
              <w:left w:val="single" w:color="auto" w:sz="12" w:space="0"/>
              <w:bottom w:val="single" w:color="auto" w:sz="6" w:space="0"/>
              <w:right w:val="single" w:color="auto" w:sz="6" w:space="0"/>
            </w:tcBorders>
          </w:tcPr>
          <w:p>
            <w:pPr>
              <w:spacing w:line="320" w:lineRule="atLeast"/>
              <w:rPr>
                <w:rFonts w:ascii="宋体" w:hAnsi="宋体" w:cs="宋体"/>
                <w:sz w:val="22"/>
                <w:highlight w:val="none"/>
              </w:rPr>
            </w:pPr>
          </w:p>
        </w:tc>
        <w:tc>
          <w:tcPr>
            <w:tcW w:w="3480" w:type="dxa"/>
            <w:tcBorders>
              <w:top w:val="single" w:color="auto" w:sz="6" w:space="0"/>
              <w:left w:val="single" w:color="auto" w:sz="6" w:space="0"/>
              <w:bottom w:val="single" w:color="auto" w:sz="6" w:space="0"/>
              <w:right w:val="single" w:color="auto" w:sz="6" w:space="0"/>
            </w:tcBorders>
          </w:tcPr>
          <w:p>
            <w:pPr>
              <w:spacing w:line="320" w:lineRule="atLeast"/>
              <w:rPr>
                <w:rFonts w:ascii="宋体" w:hAnsi="宋体" w:cs="宋体"/>
                <w:sz w:val="22"/>
                <w:highlight w:val="none"/>
              </w:rPr>
            </w:pPr>
          </w:p>
        </w:tc>
        <w:tc>
          <w:tcPr>
            <w:tcW w:w="1200" w:type="dxa"/>
            <w:tcBorders>
              <w:top w:val="single" w:color="auto" w:sz="6" w:space="0"/>
              <w:left w:val="single" w:color="auto" w:sz="6" w:space="0"/>
              <w:bottom w:val="single" w:color="auto" w:sz="6" w:space="0"/>
              <w:right w:val="single" w:color="auto" w:sz="6" w:space="0"/>
            </w:tcBorders>
          </w:tcPr>
          <w:p>
            <w:pPr>
              <w:spacing w:line="320" w:lineRule="atLeast"/>
              <w:rPr>
                <w:rFonts w:ascii="宋体" w:hAnsi="宋体" w:cs="宋体"/>
                <w:sz w:val="22"/>
                <w:highlight w:val="none"/>
              </w:rPr>
            </w:pPr>
          </w:p>
        </w:tc>
        <w:tc>
          <w:tcPr>
            <w:tcW w:w="997" w:type="dxa"/>
            <w:tcBorders>
              <w:top w:val="single" w:color="auto" w:sz="6" w:space="0"/>
              <w:left w:val="single" w:color="auto" w:sz="6" w:space="0"/>
              <w:bottom w:val="single" w:color="auto" w:sz="6" w:space="0"/>
              <w:right w:val="single" w:color="auto" w:sz="6" w:space="0"/>
            </w:tcBorders>
          </w:tcPr>
          <w:p>
            <w:pPr>
              <w:spacing w:line="320" w:lineRule="atLeast"/>
              <w:rPr>
                <w:rFonts w:ascii="宋体" w:hAnsi="宋体" w:cs="宋体"/>
                <w:sz w:val="22"/>
                <w:highlight w:val="none"/>
              </w:rPr>
            </w:pPr>
          </w:p>
        </w:tc>
        <w:tc>
          <w:tcPr>
            <w:tcW w:w="2243" w:type="dxa"/>
            <w:tcBorders>
              <w:top w:val="single" w:color="auto" w:sz="6" w:space="0"/>
              <w:left w:val="single" w:color="auto" w:sz="6" w:space="0"/>
              <w:bottom w:val="single" w:color="auto" w:sz="6" w:space="0"/>
              <w:right w:val="single" w:color="auto" w:sz="12" w:space="0"/>
            </w:tcBorders>
          </w:tcPr>
          <w:p>
            <w:pPr>
              <w:spacing w:line="320" w:lineRule="atLeast"/>
              <w:rPr>
                <w:rFonts w:ascii="宋体" w:hAnsi="宋体" w:cs="宋体"/>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1228" w:type="dxa"/>
            <w:tcBorders>
              <w:top w:val="single" w:color="auto" w:sz="6" w:space="0"/>
              <w:left w:val="single" w:color="auto" w:sz="12" w:space="0"/>
              <w:bottom w:val="single" w:color="auto" w:sz="6" w:space="0"/>
              <w:right w:val="single" w:color="auto" w:sz="6" w:space="0"/>
            </w:tcBorders>
          </w:tcPr>
          <w:p>
            <w:pPr>
              <w:spacing w:line="320" w:lineRule="atLeast"/>
              <w:rPr>
                <w:rFonts w:ascii="宋体" w:hAnsi="宋体" w:cs="宋体"/>
                <w:sz w:val="22"/>
                <w:highlight w:val="none"/>
              </w:rPr>
            </w:pPr>
          </w:p>
        </w:tc>
        <w:tc>
          <w:tcPr>
            <w:tcW w:w="1228" w:type="dxa"/>
            <w:tcBorders>
              <w:top w:val="single" w:color="auto" w:sz="6" w:space="0"/>
              <w:left w:val="single" w:color="auto" w:sz="12" w:space="0"/>
              <w:bottom w:val="single" w:color="auto" w:sz="6" w:space="0"/>
              <w:right w:val="single" w:color="auto" w:sz="6" w:space="0"/>
            </w:tcBorders>
          </w:tcPr>
          <w:p>
            <w:pPr>
              <w:spacing w:line="320" w:lineRule="atLeast"/>
              <w:rPr>
                <w:rFonts w:ascii="宋体" w:hAnsi="宋体" w:cs="宋体"/>
                <w:sz w:val="22"/>
                <w:highlight w:val="none"/>
              </w:rPr>
            </w:pPr>
          </w:p>
        </w:tc>
        <w:tc>
          <w:tcPr>
            <w:tcW w:w="3480" w:type="dxa"/>
            <w:tcBorders>
              <w:top w:val="single" w:color="auto" w:sz="6" w:space="0"/>
              <w:left w:val="single" w:color="auto" w:sz="6" w:space="0"/>
              <w:bottom w:val="single" w:color="auto" w:sz="6" w:space="0"/>
              <w:right w:val="single" w:color="auto" w:sz="6" w:space="0"/>
            </w:tcBorders>
          </w:tcPr>
          <w:p>
            <w:pPr>
              <w:spacing w:line="320" w:lineRule="atLeast"/>
              <w:rPr>
                <w:rFonts w:ascii="宋体" w:hAnsi="宋体" w:cs="宋体"/>
                <w:sz w:val="22"/>
                <w:highlight w:val="none"/>
              </w:rPr>
            </w:pPr>
          </w:p>
        </w:tc>
        <w:tc>
          <w:tcPr>
            <w:tcW w:w="1200" w:type="dxa"/>
            <w:tcBorders>
              <w:top w:val="single" w:color="auto" w:sz="6" w:space="0"/>
              <w:left w:val="single" w:color="auto" w:sz="6" w:space="0"/>
              <w:bottom w:val="single" w:color="auto" w:sz="6" w:space="0"/>
              <w:right w:val="single" w:color="auto" w:sz="6" w:space="0"/>
            </w:tcBorders>
          </w:tcPr>
          <w:p>
            <w:pPr>
              <w:spacing w:line="320" w:lineRule="atLeast"/>
              <w:rPr>
                <w:rFonts w:ascii="宋体" w:hAnsi="宋体" w:cs="宋体"/>
                <w:sz w:val="22"/>
                <w:highlight w:val="none"/>
              </w:rPr>
            </w:pPr>
          </w:p>
        </w:tc>
        <w:tc>
          <w:tcPr>
            <w:tcW w:w="997" w:type="dxa"/>
            <w:tcBorders>
              <w:top w:val="single" w:color="auto" w:sz="6" w:space="0"/>
              <w:left w:val="single" w:color="auto" w:sz="6" w:space="0"/>
              <w:bottom w:val="single" w:color="auto" w:sz="6" w:space="0"/>
              <w:right w:val="single" w:color="auto" w:sz="6" w:space="0"/>
            </w:tcBorders>
          </w:tcPr>
          <w:p>
            <w:pPr>
              <w:spacing w:line="320" w:lineRule="atLeast"/>
              <w:rPr>
                <w:rFonts w:ascii="宋体" w:hAnsi="宋体" w:cs="宋体"/>
                <w:sz w:val="22"/>
                <w:highlight w:val="none"/>
              </w:rPr>
            </w:pPr>
          </w:p>
        </w:tc>
        <w:tc>
          <w:tcPr>
            <w:tcW w:w="2243" w:type="dxa"/>
            <w:tcBorders>
              <w:top w:val="single" w:color="auto" w:sz="6" w:space="0"/>
              <w:left w:val="single" w:color="auto" w:sz="6" w:space="0"/>
              <w:bottom w:val="single" w:color="auto" w:sz="6" w:space="0"/>
              <w:right w:val="single" w:color="auto" w:sz="12" w:space="0"/>
            </w:tcBorders>
          </w:tcPr>
          <w:p>
            <w:pPr>
              <w:spacing w:line="320" w:lineRule="atLeast"/>
              <w:rPr>
                <w:rFonts w:ascii="宋体" w:hAnsi="宋体" w:cs="宋体"/>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1228" w:type="dxa"/>
            <w:tcBorders>
              <w:top w:val="single" w:color="auto" w:sz="6" w:space="0"/>
              <w:left w:val="single" w:color="auto" w:sz="12" w:space="0"/>
              <w:bottom w:val="single" w:color="auto" w:sz="6" w:space="0"/>
              <w:right w:val="single" w:color="auto" w:sz="6" w:space="0"/>
            </w:tcBorders>
          </w:tcPr>
          <w:p>
            <w:pPr>
              <w:spacing w:line="320" w:lineRule="atLeast"/>
              <w:rPr>
                <w:rFonts w:ascii="宋体" w:hAnsi="宋体" w:cs="宋体"/>
                <w:sz w:val="22"/>
                <w:highlight w:val="none"/>
              </w:rPr>
            </w:pPr>
          </w:p>
        </w:tc>
        <w:tc>
          <w:tcPr>
            <w:tcW w:w="1228" w:type="dxa"/>
            <w:tcBorders>
              <w:top w:val="single" w:color="auto" w:sz="6" w:space="0"/>
              <w:left w:val="single" w:color="auto" w:sz="12" w:space="0"/>
              <w:bottom w:val="single" w:color="auto" w:sz="6" w:space="0"/>
              <w:right w:val="single" w:color="auto" w:sz="6" w:space="0"/>
            </w:tcBorders>
          </w:tcPr>
          <w:p>
            <w:pPr>
              <w:spacing w:line="320" w:lineRule="atLeast"/>
              <w:rPr>
                <w:rFonts w:ascii="宋体" w:hAnsi="宋体" w:cs="宋体"/>
                <w:sz w:val="22"/>
                <w:highlight w:val="none"/>
              </w:rPr>
            </w:pPr>
          </w:p>
        </w:tc>
        <w:tc>
          <w:tcPr>
            <w:tcW w:w="3480" w:type="dxa"/>
            <w:tcBorders>
              <w:top w:val="single" w:color="auto" w:sz="6" w:space="0"/>
              <w:left w:val="single" w:color="auto" w:sz="6" w:space="0"/>
              <w:bottom w:val="single" w:color="auto" w:sz="6" w:space="0"/>
              <w:right w:val="single" w:color="auto" w:sz="6" w:space="0"/>
            </w:tcBorders>
          </w:tcPr>
          <w:p>
            <w:pPr>
              <w:spacing w:line="320" w:lineRule="atLeast"/>
              <w:rPr>
                <w:rFonts w:ascii="宋体" w:hAnsi="宋体" w:cs="宋体"/>
                <w:sz w:val="22"/>
                <w:highlight w:val="none"/>
              </w:rPr>
            </w:pPr>
          </w:p>
        </w:tc>
        <w:tc>
          <w:tcPr>
            <w:tcW w:w="1200" w:type="dxa"/>
            <w:tcBorders>
              <w:top w:val="single" w:color="auto" w:sz="6" w:space="0"/>
              <w:left w:val="single" w:color="auto" w:sz="6" w:space="0"/>
              <w:bottom w:val="single" w:color="auto" w:sz="6" w:space="0"/>
              <w:right w:val="single" w:color="auto" w:sz="6" w:space="0"/>
            </w:tcBorders>
          </w:tcPr>
          <w:p>
            <w:pPr>
              <w:spacing w:line="320" w:lineRule="atLeast"/>
              <w:rPr>
                <w:rFonts w:ascii="宋体" w:hAnsi="宋体" w:cs="宋体"/>
                <w:sz w:val="22"/>
                <w:highlight w:val="none"/>
              </w:rPr>
            </w:pPr>
          </w:p>
        </w:tc>
        <w:tc>
          <w:tcPr>
            <w:tcW w:w="997" w:type="dxa"/>
            <w:tcBorders>
              <w:top w:val="single" w:color="auto" w:sz="6" w:space="0"/>
              <w:left w:val="single" w:color="auto" w:sz="6" w:space="0"/>
              <w:bottom w:val="single" w:color="auto" w:sz="6" w:space="0"/>
              <w:right w:val="single" w:color="auto" w:sz="6" w:space="0"/>
            </w:tcBorders>
          </w:tcPr>
          <w:p>
            <w:pPr>
              <w:spacing w:line="320" w:lineRule="atLeast"/>
              <w:rPr>
                <w:rFonts w:ascii="宋体" w:hAnsi="宋体" w:cs="宋体"/>
                <w:sz w:val="22"/>
                <w:highlight w:val="none"/>
              </w:rPr>
            </w:pPr>
          </w:p>
        </w:tc>
        <w:tc>
          <w:tcPr>
            <w:tcW w:w="2243" w:type="dxa"/>
            <w:tcBorders>
              <w:top w:val="single" w:color="auto" w:sz="6" w:space="0"/>
              <w:left w:val="single" w:color="auto" w:sz="6" w:space="0"/>
              <w:bottom w:val="single" w:color="auto" w:sz="6" w:space="0"/>
              <w:right w:val="single" w:color="auto" w:sz="12" w:space="0"/>
            </w:tcBorders>
          </w:tcPr>
          <w:p>
            <w:pPr>
              <w:spacing w:line="320" w:lineRule="atLeast"/>
              <w:rPr>
                <w:rFonts w:ascii="宋体" w:hAnsi="宋体" w:cs="宋体"/>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1228" w:type="dxa"/>
            <w:tcBorders>
              <w:top w:val="single" w:color="auto" w:sz="6" w:space="0"/>
              <w:left w:val="single" w:color="auto" w:sz="12" w:space="0"/>
              <w:bottom w:val="single" w:color="auto" w:sz="12" w:space="0"/>
              <w:right w:val="single" w:color="auto" w:sz="6" w:space="0"/>
            </w:tcBorders>
          </w:tcPr>
          <w:p>
            <w:pPr>
              <w:spacing w:line="320" w:lineRule="atLeast"/>
              <w:rPr>
                <w:rFonts w:ascii="宋体" w:hAnsi="宋体" w:cs="宋体"/>
                <w:sz w:val="22"/>
                <w:highlight w:val="none"/>
              </w:rPr>
            </w:pPr>
          </w:p>
        </w:tc>
        <w:tc>
          <w:tcPr>
            <w:tcW w:w="1228" w:type="dxa"/>
            <w:tcBorders>
              <w:top w:val="single" w:color="auto" w:sz="6" w:space="0"/>
              <w:left w:val="single" w:color="auto" w:sz="12" w:space="0"/>
              <w:bottom w:val="single" w:color="auto" w:sz="12" w:space="0"/>
              <w:right w:val="single" w:color="auto" w:sz="6" w:space="0"/>
            </w:tcBorders>
          </w:tcPr>
          <w:p>
            <w:pPr>
              <w:spacing w:line="320" w:lineRule="atLeast"/>
              <w:rPr>
                <w:rFonts w:ascii="宋体" w:hAnsi="宋体" w:cs="宋体"/>
                <w:sz w:val="22"/>
                <w:highlight w:val="none"/>
              </w:rPr>
            </w:pPr>
          </w:p>
        </w:tc>
        <w:tc>
          <w:tcPr>
            <w:tcW w:w="3480" w:type="dxa"/>
            <w:tcBorders>
              <w:top w:val="single" w:color="auto" w:sz="6" w:space="0"/>
              <w:left w:val="single" w:color="auto" w:sz="6" w:space="0"/>
              <w:bottom w:val="single" w:color="auto" w:sz="12" w:space="0"/>
              <w:right w:val="single" w:color="auto" w:sz="6" w:space="0"/>
            </w:tcBorders>
          </w:tcPr>
          <w:p>
            <w:pPr>
              <w:spacing w:line="320" w:lineRule="atLeast"/>
              <w:rPr>
                <w:rFonts w:ascii="宋体" w:hAnsi="宋体" w:cs="宋体"/>
                <w:sz w:val="22"/>
                <w:highlight w:val="none"/>
              </w:rPr>
            </w:pPr>
          </w:p>
        </w:tc>
        <w:tc>
          <w:tcPr>
            <w:tcW w:w="1200" w:type="dxa"/>
            <w:tcBorders>
              <w:top w:val="single" w:color="auto" w:sz="6" w:space="0"/>
              <w:left w:val="single" w:color="auto" w:sz="6" w:space="0"/>
              <w:bottom w:val="single" w:color="auto" w:sz="12" w:space="0"/>
              <w:right w:val="single" w:color="auto" w:sz="6" w:space="0"/>
            </w:tcBorders>
          </w:tcPr>
          <w:p>
            <w:pPr>
              <w:spacing w:line="320" w:lineRule="atLeast"/>
              <w:rPr>
                <w:rFonts w:ascii="宋体" w:hAnsi="宋体" w:cs="宋体"/>
                <w:sz w:val="22"/>
                <w:highlight w:val="none"/>
              </w:rPr>
            </w:pPr>
          </w:p>
        </w:tc>
        <w:tc>
          <w:tcPr>
            <w:tcW w:w="997" w:type="dxa"/>
            <w:tcBorders>
              <w:top w:val="single" w:color="auto" w:sz="6" w:space="0"/>
              <w:left w:val="single" w:color="auto" w:sz="6" w:space="0"/>
              <w:bottom w:val="single" w:color="auto" w:sz="12" w:space="0"/>
              <w:right w:val="single" w:color="auto" w:sz="6" w:space="0"/>
            </w:tcBorders>
          </w:tcPr>
          <w:p>
            <w:pPr>
              <w:spacing w:line="320" w:lineRule="atLeast"/>
              <w:rPr>
                <w:rFonts w:ascii="宋体" w:hAnsi="宋体" w:cs="宋体"/>
                <w:sz w:val="22"/>
                <w:highlight w:val="none"/>
              </w:rPr>
            </w:pPr>
          </w:p>
        </w:tc>
        <w:tc>
          <w:tcPr>
            <w:tcW w:w="2243" w:type="dxa"/>
            <w:tcBorders>
              <w:top w:val="single" w:color="auto" w:sz="6" w:space="0"/>
              <w:left w:val="single" w:color="auto" w:sz="6" w:space="0"/>
              <w:bottom w:val="single" w:color="auto" w:sz="12" w:space="0"/>
              <w:right w:val="single" w:color="auto" w:sz="12" w:space="0"/>
            </w:tcBorders>
          </w:tcPr>
          <w:p>
            <w:pPr>
              <w:spacing w:line="320" w:lineRule="atLeast"/>
              <w:rPr>
                <w:rFonts w:ascii="宋体" w:hAnsi="宋体" w:cs="宋体"/>
                <w:sz w:val="22"/>
                <w:highlight w:val="none"/>
              </w:rPr>
            </w:pPr>
          </w:p>
        </w:tc>
      </w:tr>
    </w:tbl>
    <w:p>
      <w:pPr>
        <w:spacing w:line="360" w:lineRule="auto"/>
        <w:jc w:val="left"/>
        <w:rPr>
          <w:rFonts w:ascii="宋体" w:hAnsi="宋体" w:cs="宋体"/>
          <w:sz w:val="22"/>
          <w:highlight w:val="none"/>
        </w:rPr>
      </w:pPr>
      <w:r>
        <w:rPr>
          <w:rFonts w:hint="eastAsia" w:ascii="宋体" w:hAnsi="宋体" w:cs="宋体"/>
          <w:sz w:val="22"/>
          <w:highlight w:val="none"/>
        </w:rPr>
        <w:t>注：请根据《评标办法前附表》中的类似项目业绩评审标准，附上相关证明材料</w:t>
      </w:r>
    </w:p>
    <w:p>
      <w:pPr>
        <w:spacing w:line="360" w:lineRule="auto"/>
        <w:jc w:val="left"/>
        <w:rPr>
          <w:rFonts w:ascii="宋体" w:hAnsi="宋体" w:cs="宋体"/>
          <w:sz w:val="28"/>
          <w:szCs w:val="28"/>
          <w:highlight w:val="none"/>
        </w:rPr>
      </w:pPr>
      <w:r>
        <w:rPr>
          <w:rFonts w:hint="eastAsia" w:ascii="宋体" w:hAnsi="宋体" w:cs="宋体"/>
          <w:sz w:val="22"/>
          <w:highlight w:val="none"/>
        </w:rPr>
        <w:t>（本项不作为资格审查内容，但（如有）需提供，仅作为投标人的评标（综合评分）资料进行考察。表格格式可以根据实际情况调整。）</w:t>
      </w:r>
    </w:p>
    <w:p>
      <w:pPr>
        <w:spacing w:line="320" w:lineRule="atLeast"/>
        <w:ind w:firstLine="424"/>
        <w:rPr>
          <w:rFonts w:ascii="宋体" w:hAnsi="宋体" w:cs="宋体"/>
          <w:szCs w:val="24"/>
          <w:highlight w:val="none"/>
        </w:rPr>
      </w:pPr>
    </w:p>
    <w:p>
      <w:pPr>
        <w:spacing w:line="400" w:lineRule="exact"/>
        <w:ind w:firstLine="1120" w:firstLineChars="400"/>
        <w:jc w:val="left"/>
        <w:rPr>
          <w:rFonts w:ascii="宋体" w:hAnsi="宋体" w:cs="宋体"/>
          <w:sz w:val="28"/>
          <w:szCs w:val="28"/>
          <w:highlight w:val="none"/>
        </w:rPr>
      </w:pPr>
    </w:p>
    <w:p>
      <w:pPr>
        <w:spacing w:line="400" w:lineRule="exact"/>
        <w:jc w:val="left"/>
        <w:rPr>
          <w:rFonts w:ascii="宋体" w:hAnsi="宋体" w:cs="宋体"/>
          <w:sz w:val="28"/>
          <w:szCs w:val="28"/>
          <w:highlight w:val="none"/>
        </w:rPr>
      </w:pPr>
    </w:p>
    <w:p>
      <w:pPr>
        <w:pStyle w:val="5"/>
        <w:ind w:firstLine="118"/>
        <w:jc w:val="center"/>
        <w:rPr>
          <w:rFonts w:ascii="宋体" w:hAnsi="宋体" w:eastAsia="宋体" w:cs="宋体"/>
          <w:highlight w:val="none"/>
        </w:rPr>
      </w:pPr>
      <w:r>
        <w:rPr>
          <w:rFonts w:hint="eastAsia" w:ascii="宋体" w:hAnsi="宋体" w:eastAsia="宋体" w:cs="宋体"/>
          <w:b w:val="0"/>
          <w:bCs w:val="0"/>
          <w:sz w:val="40"/>
          <w:highlight w:val="none"/>
        </w:rPr>
        <w:br w:type="page"/>
      </w:r>
      <w:bookmarkStart w:id="327" w:name="_Toc31367"/>
      <w:bookmarkStart w:id="328" w:name="_Toc25992"/>
      <w:bookmarkStart w:id="329" w:name="_Toc76"/>
      <w:bookmarkStart w:id="330" w:name="_Toc30833"/>
      <w:bookmarkStart w:id="331" w:name="_Toc532367899"/>
      <w:bookmarkStart w:id="332" w:name="_Toc168"/>
      <w:bookmarkStart w:id="333" w:name="_Toc23148"/>
      <w:bookmarkStart w:id="334" w:name="_Toc377719919"/>
      <w:bookmarkStart w:id="335" w:name="_Toc12595"/>
      <w:bookmarkStart w:id="336" w:name="_Toc13512"/>
      <w:r>
        <w:rPr>
          <w:rFonts w:hint="eastAsia" w:ascii="宋体" w:hAnsi="宋体" w:eastAsia="宋体" w:cs="宋体"/>
          <w:b w:val="0"/>
          <w:bCs w:val="0"/>
          <w:sz w:val="40"/>
          <w:highlight w:val="none"/>
          <w:lang w:val="en-US" w:eastAsia="zh-CN"/>
        </w:rPr>
        <w:t>九</w:t>
      </w:r>
      <w:r>
        <w:rPr>
          <w:rFonts w:hint="eastAsia" w:ascii="宋体" w:hAnsi="宋体" w:eastAsia="宋体" w:cs="宋体"/>
          <w:kern w:val="2"/>
          <w:sz w:val="32"/>
          <w:highlight w:val="none"/>
        </w:rPr>
        <w:t>、</w:t>
      </w:r>
      <w:bookmarkEnd w:id="327"/>
      <w:bookmarkEnd w:id="328"/>
      <w:bookmarkEnd w:id="329"/>
      <w:bookmarkEnd w:id="330"/>
      <w:bookmarkEnd w:id="331"/>
      <w:bookmarkEnd w:id="332"/>
      <w:bookmarkEnd w:id="333"/>
      <w:bookmarkEnd w:id="334"/>
      <w:r>
        <w:rPr>
          <w:rFonts w:hint="eastAsia" w:ascii="宋体" w:hAnsi="宋体" w:eastAsia="宋体" w:cs="宋体"/>
          <w:kern w:val="2"/>
          <w:sz w:val="32"/>
          <w:highlight w:val="none"/>
        </w:rPr>
        <w:t>拟投入本项目的主要检验监测仪器设备一览表</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793"/>
        <w:gridCol w:w="900"/>
        <w:gridCol w:w="992"/>
        <w:gridCol w:w="1785"/>
        <w:gridCol w:w="1116"/>
        <w:gridCol w:w="1341"/>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636" w:type="dxa"/>
            <w:vMerge w:val="restart"/>
            <w:vAlign w:val="center"/>
          </w:tcPr>
          <w:p>
            <w:pPr>
              <w:jc w:val="center"/>
              <w:rPr>
                <w:rFonts w:ascii="宋体" w:hAnsi="宋体" w:cs="宋体"/>
                <w:sz w:val="22"/>
                <w:highlight w:val="none"/>
              </w:rPr>
            </w:pPr>
            <w:r>
              <w:rPr>
                <w:rFonts w:hint="eastAsia" w:ascii="宋体" w:hAnsi="宋体" w:cs="宋体"/>
                <w:sz w:val="22"/>
                <w:highlight w:val="none"/>
              </w:rPr>
              <w:t>序号</w:t>
            </w:r>
          </w:p>
        </w:tc>
        <w:tc>
          <w:tcPr>
            <w:tcW w:w="1793" w:type="dxa"/>
            <w:vMerge w:val="restart"/>
            <w:vAlign w:val="center"/>
          </w:tcPr>
          <w:p>
            <w:pPr>
              <w:jc w:val="center"/>
              <w:rPr>
                <w:rFonts w:ascii="宋体" w:hAnsi="宋体" w:cs="宋体"/>
                <w:sz w:val="22"/>
                <w:highlight w:val="none"/>
              </w:rPr>
            </w:pPr>
            <w:r>
              <w:rPr>
                <w:rFonts w:hint="eastAsia" w:ascii="宋体" w:hAnsi="宋体" w:cs="宋体"/>
                <w:sz w:val="22"/>
                <w:highlight w:val="none"/>
              </w:rPr>
              <w:t>设备名称</w:t>
            </w:r>
          </w:p>
        </w:tc>
        <w:tc>
          <w:tcPr>
            <w:tcW w:w="900" w:type="dxa"/>
            <w:vMerge w:val="restart"/>
            <w:vAlign w:val="center"/>
          </w:tcPr>
          <w:p>
            <w:pPr>
              <w:jc w:val="center"/>
              <w:rPr>
                <w:rFonts w:ascii="宋体" w:hAnsi="宋体" w:cs="宋体"/>
                <w:sz w:val="22"/>
                <w:highlight w:val="none"/>
              </w:rPr>
            </w:pPr>
            <w:r>
              <w:rPr>
                <w:rFonts w:hint="eastAsia" w:ascii="宋体" w:hAnsi="宋体" w:cs="宋体"/>
                <w:sz w:val="22"/>
                <w:highlight w:val="none"/>
              </w:rPr>
              <w:t>本项目</w:t>
            </w:r>
          </w:p>
          <w:p>
            <w:pPr>
              <w:jc w:val="center"/>
              <w:rPr>
                <w:rFonts w:ascii="宋体" w:hAnsi="宋体" w:cs="宋体"/>
                <w:sz w:val="22"/>
                <w:highlight w:val="none"/>
              </w:rPr>
            </w:pPr>
            <w:r>
              <w:rPr>
                <w:rFonts w:hint="eastAsia" w:ascii="宋体" w:hAnsi="宋体" w:cs="宋体"/>
                <w:sz w:val="22"/>
                <w:highlight w:val="none"/>
              </w:rPr>
              <w:t>数量基本要求</w:t>
            </w:r>
          </w:p>
        </w:tc>
        <w:tc>
          <w:tcPr>
            <w:tcW w:w="6314" w:type="dxa"/>
            <w:gridSpan w:val="5"/>
            <w:vAlign w:val="center"/>
          </w:tcPr>
          <w:p>
            <w:pPr>
              <w:jc w:val="center"/>
              <w:rPr>
                <w:rFonts w:ascii="宋体" w:hAnsi="宋体" w:cs="宋体"/>
                <w:sz w:val="22"/>
                <w:highlight w:val="none"/>
              </w:rPr>
            </w:pPr>
            <w:r>
              <w:rPr>
                <w:rFonts w:hint="eastAsia" w:ascii="宋体" w:hAnsi="宋体" w:cs="宋体"/>
                <w:sz w:val="22"/>
                <w:highlight w:val="none"/>
              </w:rPr>
              <w:t>投标人填写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636" w:type="dxa"/>
            <w:vMerge w:val="continue"/>
            <w:vAlign w:val="center"/>
          </w:tcPr>
          <w:p>
            <w:pPr>
              <w:jc w:val="center"/>
              <w:rPr>
                <w:rFonts w:ascii="宋体" w:hAnsi="宋体" w:cs="宋体"/>
                <w:sz w:val="22"/>
                <w:highlight w:val="none"/>
              </w:rPr>
            </w:pPr>
          </w:p>
        </w:tc>
        <w:tc>
          <w:tcPr>
            <w:tcW w:w="1793" w:type="dxa"/>
            <w:vMerge w:val="continue"/>
            <w:vAlign w:val="center"/>
          </w:tcPr>
          <w:p>
            <w:pPr>
              <w:jc w:val="center"/>
              <w:rPr>
                <w:rFonts w:ascii="宋体" w:hAnsi="宋体" w:cs="宋体"/>
                <w:sz w:val="22"/>
                <w:highlight w:val="none"/>
              </w:rPr>
            </w:pPr>
          </w:p>
        </w:tc>
        <w:tc>
          <w:tcPr>
            <w:tcW w:w="900" w:type="dxa"/>
            <w:vMerge w:val="continue"/>
            <w:vAlign w:val="center"/>
          </w:tcPr>
          <w:p>
            <w:pPr>
              <w:jc w:val="center"/>
              <w:rPr>
                <w:rFonts w:ascii="宋体" w:hAnsi="宋体" w:cs="宋体"/>
                <w:sz w:val="22"/>
                <w:highlight w:val="none"/>
              </w:rPr>
            </w:pPr>
          </w:p>
        </w:tc>
        <w:tc>
          <w:tcPr>
            <w:tcW w:w="992" w:type="dxa"/>
            <w:vAlign w:val="center"/>
          </w:tcPr>
          <w:p>
            <w:pPr>
              <w:jc w:val="center"/>
              <w:rPr>
                <w:rFonts w:ascii="宋体" w:hAnsi="宋体" w:cs="宋体"/>
                <w:sz w:val="22"/>
                <w:highlight w:val="none"/>
              </w:rPr>
            </w:pPr>
            <w:r>
              <w:rPr>
                <w:rFonts w:hint="eastAsia" w:ascii="宋体" w:hAnsi="宋体" w:cs="宋体"/>
                <w:sz w:val="22"/>
                <w:highlight w:val="none"/>
              </w:rPr>
              <w:t>数量</w:t>
            </w:r>
          </w:p>
        </w:tc>
        <w:tc>
          <w:tcPr>
            <w:tcW w:w="1785" w:type="dxa"/>
            <w:vAlign w:val="center"/>
          </w:tcPr>
          <w:p>
            <w:pPr>
              <w:jc w:val="center"/>
              <w:rPr>
                <w:rFonts w:ascii="宋体" w:hAnsi="宋体" w:cs="宋体"/>
                <w:sz w:val="22"/>
                <w:highlight w:val="none"/>
              </w:rPr>
            </w:pPr>
            <w:r>
              <w:rPr>
                <w:rFonts w:hint="eastAsia" w:ascii="宋体" w:hAnsi="宋体" w:cs="宋体"/>
                <w:sz w:val="22"/>
                <w:highlight w:val="none"/>
              </w:rPr>
              <w:t>检定/校准机构</w:t>
            </w:r>
          </w:p>
        </w:tc>
        <w:tc>
          <w:tcPr>
            <w:tcW w:w="1116" w:type="dxa"/>
            <w:vAlign w:val="center"/>
          </w:tcPr>
          <w:p>
            <w:pPr>
              <w:jc w:val="center"/>
              <w:rPr>
                <w:rFonts w:ascii="宋体" w:hAnsi="宋体" w:cs="宋体"/>
                <w:sz w:val="22"/>
                <w:highlight w:val="none"/>
              </w:rPr>
            </w:pPr>
            <w:r>
              <w:rPr>
                <w:rFonts w:hint="eastAsia" w:ascii="宋体" w:hAnsi="宋体" w:cs="宋体"/>
                <w:sz w:val="22"/>
                <w:highlight w:val="none"/>
              </w:rPr>
              <w:t>有效期</w:t>
            </w:r>
          </w:p>
        </w:tc>
        <w:tc>
          <w:tcPr>
            <w:tcW w:w="1341" w:type="dxa"/>
            <w:vAlign w:val="center"/>
          </w:tcPr>
          <w:p>
            <w:pPr>
              <w:jc w:val="center"/>
              <w:rPr>
                <w:rFonts w:ascii="宋体" w:hAnsi="宋体" w:cs="宋体"/>
                <w:sz w:val="22"/>
                <w:highlight w:val="none"/>
              </w:rPr>
            </w:pPr>
            <w:r>
              <w:rPr>
                <w:rFonts w:hint="eastAsia" w:ascii="宋体" w:hAnsi="宋体" w:cs="宋体"/>
                <w:sz w:val="22"/>
                <w:highlight w:val="none"/>
              </w:rPr>
              <w:t>检定/校准周期</w:t>
            </w:r>
          </w:p>
        </w:tc>
        <w:tc>
          <w:tcPr>
            <w:tcW w:w="1080" w:type="dxa"/>
            <w:vAlign w:val="center"/>
          </w:tcPr>
          <w:p>
            <w:pPr>
              <w:jc w:val="center"/>
              <w:rPr>
                <w:rFonts w:ascii="宋体" w:hAnsi="宋体" w:cs="宋体"/>
                <w:sz w:val="22"/>
                <w:highlight w:val="none"/>
              </w:rPr>
            </w:pPr>
            <w:r>
              <w:rPr>
                <w:rFonts w:hint="eastAsia" w:ascii="宋体" w:hAnsi="宋体" w:cs="宋体"/>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6" w:type="dxa"/>
            <w:vAlign w:val="center"/>
          </w:tcPr>
          <w:p>
            <w:pPr>
              <w:spacing w:line="240" w:lineRule="exact"/>
              <w:jc w:val="center"/>
              <w:rPr>
                <w:rFonts w:ascii="宋体" w:hAnsi="宋体" w:cs="宋体"/>
                <w:sz w:val="22"/>
                <w:highlight w:val="none"/>
              </w:rPr>
            </w:pPr>
            <w:r>
              <w:rPr>
                <w:rFonts w:hint="eastAsia" w:ascii="宋体" w:hAnsi="宋体" w:cs="宋体"/>
                <w:sz w:val="22"/>
                <w:highlight w:val="none"/>
              </w:rPr>
              <w:t>1</w:t>
            </w:r>
          </w:p>
        </w:tc>
        <w:tc>
          <w:tcPr>
            <w:tcW w:w="1793" w:type="dxa"/>
            <w:vAlign w:val="center"/>
          </w:tcPr>
          <w:p>
            <w:pPr>
              <w:spacing w:line="240" w:lineRule="exact"/>
              <w:jc w:val="center"/>
              <w:rPr>
                <w:rFonts w:ascii="宋体" w:hAnsi="宋体" w:cs="宋体"/>
                <w:sz w:val="22"/>
                <w:highlight w:val="none"/>
              </w:rPr>
            </w:pPr>
          </w:p>
        </w:tc>
        <w:tc>
          <w:tcPr>
            <w:tcW w:w="900" w:type="dxa"/>
            <w:vAlign w:val="center"/>
          </w:tcPr>
          <w:p>
            <w:pPr>
              <w:spacing w:line="240" w:lineRule="exact"/>
              <w:jc w:val="center"/>
              <w:rPr>
                <w:rFonts w:ascii="宋体" w:hAnsi="宋体" w:cs="宋体"/>
                <w:sz w:val="22"/>
                <w:highlight w:val="none"/>
              </w:rPr>
            </w:pPr>
          </w:p>
        </w:tc>
        <w:tc>
          <w:tcPr>
            <w:tcW w:w="992" w:type="dxa"/>
            <w:vAlign w:val="center"/>
          </w:tcPr>
          <w:p>
            <w:pPr>
              <w:spacing w:line="240" w:lineRule="exact"/>
              <w:jc w:val="center"/>
              <w:rPr>
                <w:rFonts w:ascii="宋体" w:hAnsi="宋体" w:cs="宋体"/>
                <w:sz w:val="22"/>
                <w:highlight w:val="none"/>
              </w:rPr>
            </w:pPr>
          </w:p>
        </w:tc>
        <w:tc>
          <w:tcPr>
            <w:tcW w:w="1785" w:type="dxa"/>
            <w:vAlign w:val="center"/>
          </w:tcPr>
          <w:p>
            <w:pPr>
              <w:spacing w:line="240" w:lineRule="exact"/>
              <w:jc w:val="center"/>
              <w:rPr>
                <w:rFonts w:ascii="宋体" w:hAnsi="宋体" w:cs="宋体"/>
                <w:sz w:val="22"/>
                <w:highlight w:val="none"/>
              </w:rPr>
            </w:pPr>
          </w:p>
        </w:tc>
        <w:tc>
          <w:tcPr>
            <w:tcW w:w="1116" w:type="dxa"/>
            <w:vAlign w:val="center"/>
          </w:tcPr>
          <w:p>
            <w:pPr>
              <w:spacing w:line="240" w:lineRule="exact"/>
              <w:jc w:val="center"/>
              <w:rPr>
                <w:rFonts w:ascii="宋体" w:hAnsi="宋体" w:cs="宋体"/>
                <w:sz w:val="22"/>
                <w:highlight w:val="none"/>
              </w:rPr>
            </w:pPr>
          </w:p>
        </w:tc>
        <w:tc>
          <w:tcPr>
            <w:tcW w:w="1341" w:type="dxa"/>
            <w:vAlign w:val="center"/>
          </w:tcPr>
          <w:p>
            <w:pPr>
              <w:spacing w:line="240" w:lineRule="exact"/>
              <w:jc w:val="center"/>
              <w:rPr>
                <w:rFonts w:ascii="宋体" w:hAnsi="宋体" w:cs="宋体"/>
                <w:sz w:val="22"/>
                <w:highlight w:val="none"/>
              </w:rPr>
            </w:pPr>
          </w:p>
        </w:tc>
        <w:tc>
          <w:tcPr>
            <w:tcW w:w="1080" w:type="dxa"/>
            <w:vAlign w:val="center"/>
          </w:tcPr>
          <w:p>
            <w:pPr>
              <w:spacing w:line="240" w:lineRule="exact"/>
              <w:jc w:val="cente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6" w:type="dxa"/>
            <w:vAlign w:val="center"/>
          </w:tcPr>
          <w:p>
            <w:pPr>
              <w:spacing w:line="240" w:lineRule="exact"/>
              <w:jc w:val="center"/>
              <w:rPr>
                <w:rFonts w:ascii="宋体" w:hAnsi="宋体" w:cs="宋体"/>
                <w:sz w:val="22"/>
                <w:highlight w:val="none"/>
              </w:rPr>
            </w:pPr>
            <w:r>
              <w:rPr>
                <w:rFonts w:hint="eastAsia" w:ascii="宋体" w:hAnsi="宋体" w:cs="宋体"/>
                <w:sz w:val="22"/>
                <w:highlight w:val="none"/>
              </w:rPr>
              <w:t>2</w:t>
            </w:r>
          </w:p>
        </w:tc>
        <w:tc>
          <w:tcPr>
            <w:tcW w:w="1793" w:type="dxa"/>
            <w:vAlign w:val="center"/>
          </w:tcPr>
          <w:p>
            <w:pPr>
              <w:spacing w:line="240" w:lineRule="exact"/>
              <w:jc w:val="center"/>
              <w:rPr>
                <w:rFonts w:ascii="宋体" w:hAnsi="宋体" w:cs="宋体"/>
                <w:sz w:val="22"/>
                <w:highlight w:val="none"/>
              </w:rPr>
            </w:pPr>
          </w:p>
        </w:tc>
        <w:tc>
          <w:tcPr>
            <w:tcW w:w="900" w:type="dxa"/>
            <w:vAlign w:val="center"/>
          </w:tcPr>
          <w:p>
            <w:pPr>
              <w:jc w:val="center"/>
              <w:rPr>
                <w:rFonts w:ascii="宋体" w:hAnsi="宋体" w:cs="宋体"/>
                <w:sz w:val="22"/>
                <w:highlight w:val="none"/>
              </w:rPr>
            </w:pPr>
          </w:p>
        </w:tc>
        <w:tc>
          <w:tcPr>
            <w:tcW w:w="992" w:type="dxa"/>
            <w:vAlign w:val="center"/>
          </w:tcPr>
          <w:p>
            <w:pPr>
              <w:spacing w:line="240" w:lineRule="exact"/>
              <w:jc w:val="center"/>
              <w:rPr>
                <w:rFonts w:ascii="宋体" w:hAnsi="宋体" w:cs="宋体"/>
                <w:sz w:val="22"/>
                <w:highlight w:val="none"/>
              </w:rPr>
            </w:pPr>
          </w:p>
        </w:tc>
        <w:tc>
          <w:tcPr>
            <w:tcW w:w="1785" w:type="dxa"/>
            <w:vAlign w:val="center"/>
          </w:tcPr>
          <w:p>
            <w:pPr>
              <w:spacing w:line="240" w:lineRule="exact"/>
              <w:jc w:val="center"/>
              <w:rPr>
                <w:rFonts w:ascii="宋体" w:hAnsi="宋体" w:cs="宋体"/>
                <w:sz w:val="22"/>
                <w:highlight w:val="none"/>
              </w:rPr>
            </w:pPr>
          </w:p>
        </w:tc>
        <w:tc>
          <w:tcPr>
            <w:tcW w:w="1116" w:type="dxa"/>
            <w:vAlign w:val="center"/>
          </w:tcPr>
          <w:p>
            <w:pPr>
              <w:spacing w:line="240" w:lineRule="exact"/>
              <w:jc w:val="center"/>
              <w:rPr>
                <w:rFonts w:ascii="宋体" w:hAnsi="宋体" w:cs="宋体"/>
                <w:sz w:val="22"/>
                <w:highlight w:val="none"/>
              </w:rPr>
            </w:pPr>
          </w:p>
        </w:tc>
        <w:tc>
          <w:tcPr>
            <w:tcW w:w="1341" w:type="dxa"/>
            <w:vAlign w:val="center"/>
          </w:tcPr>
          <w:p>
            <w:pPr>
              <w:spacing w:line="240" w:lineRule="exact"/>
              <w:jc w:val="center"/>
              <w:rPr>
                <w:rFonts w:ascii="宋体" w:hAnsi="宋体" w:cs="宋体"/>
                <w:sz w:val="22"/>
                <w:highlight w:val="none"/>
              </w:rPr>
            </w:pPr>
          </w:p>
        </w:tc>
        <w:tc>
          <w:tcPr>
            <w:tcW w:w="1080" w:type="dxa"/>
            <w:vAlign w:val="center"/>
          </w:tcPr>
          <w:p>
            <w:pPr>
              <w:spacing w:line="240" w:lineRule="exact"/>
              <w:jc w:val="center"/>
              <w:rPr>
                <w:rFonts w:ascii="宋体" w:hAnsi="宋体" w:cs="宋体"/>
                <w:i/>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6" w:type="dxa"/>
            <w:vAlign w:val="center"/>
          </w:tcPr>
          <w:p>
            <w:pPr>
              <w:spacing w:line="240" w:lineRule="exact"/>
              <w:jc w:val="center"/>
              <w:rPr>
                <w:rFonts w:ascii="宋体" w:hAnsi="宋体" w:cs="宋体"/>
                <w:sz w:val="22"/>
                <w:highlight w:val="none"/>
              </w:rPr>
            </w:pPr>
            <w:r>
              <w:rPr>
                <w:rFonts w:hint="eastAsia" w:ascii="宋体" w:hAnsi="宋体" w:cs="宋体"/>
                <w:sz w:val="22"/>
                <w:highlight w:val="none"/>
              </w:rPr>
              <w:t>3</w:t>
            </w:r>
          </w:p>
        </w:tc>
        <w:tc>
          <w:tcPr>
            <w:tcW w:w="1793" w:type="dxa"/>
            <w:vAlign w:val="center"/>
          </w:tcPr>
          <w:p>
            <w:pPr>
              <w:spacing w:line="240" w:lineRule="exact"/>
              <w:jc w:val="center"/>
              <w:rPr>
                <w:rFonts w:ascii="宋体" w:hAnsi="宋体" w:cs="宋体"/>
                <w:sz w:val="22"/>
                <w:highlight w:val="none"/>
              </w:rPr>
            </w:pPr>
          </w:p>
        </w:tc>
        <w:tc>
          <w:tcPr>
            <w:tcW w:w="900" w:type="dxa"/>
            <w:vAlign w:val="center"/>
          </w:tcPr>
          <w:p>
            <w:pPr>
              <w:jc w:val="center"/>
              <w:rPr>
                <w:rFonts w:ascii="宋体" w:hAnsi="宋体" w:cs="宋体"/>
                <w:sz w:val="22"/>
                <w:highlight w:val="none"/>
              </w:rPr>
            </w:pPr>
          </w:p>
        </w:tc>
        <w:tc>
          <w:tcPr>
            <w:tcW w:w="992" w:type="dxa"/>
            <w:vAlign w:val="center"/>
          </w:tcPr>
          <w:p>
            <w:pPr>
              <w:spacing w:line="240" w:lineRule="exact"/>
              <w:jc w:val="center"/>
              <w:rPr>
                <w:rFonts w:ascii="宋体" w:hAnsi="宋体" w:cs="宋体"/>
                <w:sz w:val="22"/>
                <w:highlight w:val="none"/>
              </w:rPr>
            </w:pPr>
          </w:p>
        </w:tc>
        <w:tc>
          <w:tcPr>
            <w:tcW w:w="1785" w:type="dxa"/>
            <w:vAlign w:val="center"/>
          </w:tcPr>
          <w:p>
            <w:pPr>
              <w:spacing w:line="240" w:lineRule="exact"/>
              <w:jc w:val="center"/>
              <w:rPr>
                <w:rFonts w:ascii="宋体" w:hAnsi="宋体" w:cs="宋体"/>
                <w:sz w:val="22"/>
                <w:highlight w:val="none"/>
              </w:rPr>
            </w:pPr>
          </w:p>
        </w:tc>
        <w:tc>
          <w:tcPr>
            <w:tcW w:w="1116" w:type="dxa"/>
            <w:vAlign w:val="center"/>
          </w:tcPr>
          <w:p>
            <w:pPr>
              <w:spacing w:line="240" w:lineRule="exact"/>
              <w:jc w:val="center"/>
              <w:rPr>
                <w:rFonts w:ascii="宋体" w:hAnsi="宋体" w:cs="宋体"/>
                <w:sz w:val="22"/>
                <w:highlight w:val="none"/>
              </w:rPr>
            </w:pPr>
          </w:p>
        </w:tc>
        <w:tc>
          <w:tcPr>
            <w:tcW w:w="1341" w:type="dxa"/>
            <w:vAlign w:val="center"/>
          </w:tcPr>
          <w:p>
            <w:pPr>
              <w:spacing w:line="240" w:lineRule="exact"/>
              <w:jc w:val="center"/>
              <w:rPr>
                <w:rFonts w:ascii="宋体" w:hAnsi="宋体" w:cs="宋体"/>
                <w:sz w:val="22"/>
                <w:highlight w:val="none"/>
              </w:rPr>
            </w:pPr>
          </w:p>
        </w:tc>
        <w:tc>
          <w:tcPr>
            <w:tcW w:w="1080" w:type="dxa"/>
            <w:vAlign w:val="center"/>
          </w:tcPr>
          <w:p>
            <w:pPr>
              <w:spacing w:line="240" w:lineRule="exact"/>
              <w:jc w:val="cente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6" w:type="dxa"/>
            <w:vAlign w:val="center"/>
          </w:tcPr>
          <w:p>
            <w:pPr>
              <w:spacing w:line="240" w:lineRule="exact"/>
              <w:jc w:val="center"/>
              <w:rPr>
                <w:rFonts w:ascii="宋体" w:hAnsi="宋体" w:cs="宋体"/>
                <w:sz w:val="22"/>
                <w:highlight w:val="none"/>
              </w:rPr>
            </w:pPr>
            <w:r>
              <w:rPr>
                <w:rFonts w:hint="eastAsia" w:ascii="宋体" w:hAnsi="宋体" w:cs="宋体"/>
                <w:sz w:val="22"/>
                <w:highlight w:val="none"/>
              </w:rPr>
              <w:t>4</w:t>
            </w:r>
          </w:p>
        </w:tc>
        <w:tc>
          <w:tcPr>
            <w:tcW w:w="1793" w:type="dxa"/>
            <w:vAlign w:val="center"/>
          </w:tcPr>
          <w:p>
            <w:pPr>
              <w:spacing w:line="240" w:lineRule="exact"/>
              <w:jc w:val="center"/>
              <w:rPr>
                <w:rFonts w:ascii="宋体" w:hAnsi="宋体" w:cs="宋体"/>
                <w:sz w:val="22"/>
                <w:highlight w:val="none"/>
              </w:rPr>
            </w:pPr>
          </w:p>
        </w:tc>
        <w:tc>
          <w:tcPr>
            <w:tcW w:w="900" w:type="dxa"/>
            <w:vAlign w:val="center"/>
          </w:tcPr>
          <w:p>
            <w:pPr>
              <w:jc w:val="center"/>
              <w:rPr>
                <w:rFonts w:ascii="宋体" w:hAnsi="宋体" w:cs="宋体"/>
                <w:sz w:val="22"/>
                <w:highlight w:val="none"/>
              </w:rPr>
            </w:pPr>
          </w:p>
        </w:tc>
        <w:tc>
          <w:tcPr>
            <w:tcW w:w="992" w:type="dxa"/>
            <w:vAlign w:val="center"/>
          </w:tcPr>
          <w:p>
            <w:pPr>
              <w:spacing w:line="240" w:lineRule="exact"/>
              <w:jc w:val="center"/>
              <w:rPr>
                <w:rFonts w:ascii="宋体" w:hAnsi="宋体" w:cs="宋体"/>
                <w:sz w:val="22"/>
                <w:highlight w:val="none"/>
              </w:rPr>
            </w:pPr>
          </w:p>
        </w:tc>
        <w:tc>
          <w:tcPr>
            <w:tcW w:w="1785" w:type="dxa"/>
            <w:vAlign w:val="center"/>
          </w:tcPr>
          <w:p>
            <w:pPr>
              <w:spacing w:line="240" w:lineRule="exact"/>
              <w:jc w:val="center"/>
              <w:rPr>
                <w:rFonts w:ascii="宋体" w:hAnsi="宋体" w:cs="宋体"/>
                <w:sz w:val="22"/>
                <w:highlight w:val="none"/>
              </w:rPr>
            </w:pPr>
          </w:p>
        </w:tc>
        <w:tc>
          <w:tcPr>
            <w:tcW w:w="1116" w:type="dxa"/>
            <w:vAlign w:val="center"/>
          </w:tcPr>
          <w:p>
            <w:pPr>
              <w:spacing w:line="240" w:lineRule="exact"/>
              <w:jc w:val="center"/>
              <w:rPr>
                <w:rFonts w:ascii="宋体" w:hAnsi="宋体" w:cs="宋体"/>
                <w:sz w:val="22"/>
                <w:highlight w:val="none"/>
              </w:rPr>
            </w:pPr>
          </w:p>
        </w:tc>
        <w:tc>
          <w:tcPr>
            <w:tcW w:w="1341" w:type="dxa"/>
            <w:vAlign w:val="center"/>
          </w:tcPr>
          <w:p>
            <w:pPr>
              <w:spacing w:line="240" w:lineRule="exact"/>
              <w:jc w:val="center"/>
              <w:rPr>
                <w:rFonts w:ascii="宋体" w:hAnsi="宋体" w:cs="宋体"/>
                <w:sz w:val="22"/>
                <w:highlight w:val="none"/>
              </w:rPr>
            </w:pPr>
          </w:p>
        </w:tc>
        <w:tc>
          <w:tcPr>
            <w:tcW w:w="1080" w:type="dxa"/>
            <w:vAlign w:val="center"/>
          </w:tcPr>
          <w:p>
            <w:pPr>
              <w:spacing w:line="240" w:lineRule="exact"/>
              <w:jc w:val="cente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6" w:type="dxa"/>
            <w:vAlign w:val="center"/>
          </w:tcPr>
          <w:p>
            <w:pPr>
              <w:spacing w:line="240" w:lineRule="exact"/>
              <w:jc w:val="center"/>
              <w:rPr>
                <w:rFonts w:ascii="宋体" w:hAnsi="宋体" w:cs="宋体"/>
                <w:sz w:val="22"/>
                <w:highlight w:val="none"/>
              </w:rPr>
            </w:pPr>
            <w:r>
              <w:rPr>
                <w:rFonts w:hint="eastAsia" w:ascii="宋体" w:hAnsi="宋体" w:cs="宋体"/>
                <w:sz w:val="22"/>
                <w:highlight w:val="none"/>
              </w:rPr>
              <w:t>5</w:t>
            </w:r>
          </w:p>
        </w:tc>
        <w:tc>
          <w:tcPr>
            <w:tcW w:w="1793" w:type="dxa"/>
            <w:vAlign w:val="center"/>
          </w:tcPr>
          <w:p>
            <w:pPr>
              <w:spacing w:line="240" w:lineRule="exact"/>
              <w:jc w:val="center"/>
              <w:rPr>
                <w:rFonts w:ascii="宋体" w:hAnsi="宋体" w:cs="宋体"/>
                <w:sz w:val="22"/>
                <w:highlight w:val="none"/>
              </w:rPr>
            </w:pPr>
          </w:p>
        </w:tc>
        <w:tc>
          <w:tcPr>
            <w:tcW w:w="900" w:type="dxa"/>
            <w:vAlign w:val="center"/>
          </w:tcPr>
          <w:p>
            <w:pPr>
              <w:jc w:val="center"/>
              <w:rPr>
                <w:rFonts w:ascii="宋体" w:hAnsi="宋体" w:cs="宋体"/>
                <w:sz w:val="22"/>
                <w:highlight w:val="none"/>
              </w:rPr>
            </w:pPr>
          </w:p>
        </w:tc>
        <w:tc>
          <w:tcPr>
            <w:tcW w:w="992" w:type="dxa"/>
            <w:vAlign w:val="center"/>
          </w:tcPr>
          <w:p>
            <w:pPr>
              <w:spacing w:line="240" w:lineRule="exact"/>
              <w:jc w:val="center"/>
              <w:rPr>
                <w:rFonts w:ascii="宋体" w:hAnsi="宋体" w:cs="宋体"/>
                <w:sz w:val="22"/>
                <w:highlight w:val="none"/>
              </w:rPr>
            </w:pPr>
          </w:p>
        </w:tc>
        <w:tc>
          <w:tcPr>
            <w:tcW w:w="1785" w:type="dxa"/>
            <w:vAlign w:val="center"/>
          </w:tcPr>
          <w:p>
            <w:pPr>
              <w:spacing w:line="240" w:lineRule="exact"/>
              <w:jc w:val="center"/>
              <w:rPr>
                <w:rFonts w:ascii="宋体" w:hAnsi="宋体" w:cs="宋体"/>
                <w:sz w:val="22"/>
                <w:highlight w:val="none"/>
              </w:rPr>
            </w:pPr>
          </w:p>
        </w:tc>
        <w:tc>
          <w:tcPr>
            <w:tcW w:w="1116" w:type="dxa"/>
            <w:vAlign w:val="center"/>
          </w:tcPr>
          <w:p>
            <w:pPr>
              <w:spacing w:line="240" w:lineRule="exact"/>
              <w:jc w:val="center"/>
              <w:rPr>
                <w:rFonts w:ascii="宋体" w:hAnsi="宋体" w:cs="宋体"/>
                <w:sz w:val="22"/>
                <w:highlight w:val="none"/>
              </w:rPr>
            </w:pPr>
          </w:p>
        </w:tc>
        <w:tc>
          <w:tcPr>
            <w:tcW w:w="1341" w:type="dxa"/>
            <w:vAlign w:val="center"/>
          </w:tcPr>
          <w:p>
            <w:pPr>
              <w:spacing w:line="240" w:lineRule="exact"/>
              <w:jc w:val="center"/>
              <w:rPr>
                <w:rFonts w:ascii="宋体" w:hAnsi="宋体" w:cs="宋体"/>
                <w:sz w:val="22"/>
                <w:highlight w:val="none"/>
              </w:rPr>
            </w:pPr>
          </w:p>
        </w:tc>
        <w:tc>
          <w:tcPr>
            <w:tcW w:w="1080" w:type="dxa"/>
            <w:vAlign w:val="center"/>
          </w:tcPr>
          <w:p>
            <w:pPr>
              <w:spacing w:line="240" w:lineRule="exact"/>
              <w:jc w:val="cente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6" w:type="dxa"/>
            <w:vAlign w:val="center"/>
          </w:tcPr>
          <w:p>
            <w:pPr>
              <w:spacing w:line="240" w:lineRule="exact"/>
              <w:jc w:val="center"/>
              <w:rPr>
                <w:rFonts w:ascii="宋体" w:hAnsi="宋体" w:cs="宋体"/>
                <w:sz w:val="22"/>
                <w:highlight w:val="none"/>
              </w:rPr>
            </w:pPr>
            <w:r>
              <w:rPr>
                <w:rFonts w:hint="eastAsia" w:ascii="宋体" w:hAnsi="宋体" w:cs="宋体"/>
                <w:sz w:val="22"/>
                <w:highlight w:val="none"/>
              </w:rPr>
              <w:t>6</w:t>
            </w:r>
          </w:p>
        </w:tc>
        <w:tc>
          <w:tcPr>
            <w:tcW w:w="1793" w:type="dxa"/>
            <w:vAlign w:val="center"/>
          </w:tcPr>
          <w:p>
            <w:pPr>
              <w:spacing w:line="240" w:lineRule="exact"/>
              <w:jc w:val="center"/>
              <w:rPr>
                <w:rFonts w:ascii="宋体" w:hAnsi="宋体" w:cs="宋体"/>
                <w:sz w:val="22"/>
                <w:highlight w:val="none"/>
              </w:rPr>
            </w:pPr>
          </w:p>
        </w:tc>
        <w:tc>
          <w:tcPr>
            <w:tcW w:w="900" w:type="dxa"/>
            <w:vAlign w:val="center"/>
          </w:tcPr>
          <w:p>
            <w:pPr>
              <w:jc w:val="center"/>
              <w:rPr>
                <w:rFonts w:ascii="宋体" w:hAnsi="宋体" w:cs="宋体"/>
                <w:sz w:val="22"/>
                <w:highlight w:val="none"/>
              </w:rPr>
            </w:pPr>
          </w:p>
        </w:tc>
        <w:tc>
          <w:tcPr>
            <w:tcW w:w="992" w:type="dxa"/>
            <w:vAlign w:val="center"/>
          </w:tcPr>
          <w:p>
            <w:pPr>
              <w:spacing w:line="240" w:lineRule="exact"/>
              <w:jc w:val="center"/>
              <w:rPr>
                <w:rFonts w:ascii="宋体" w:hAnsi="宋体" w:cs="宋体"/>
                <w:sz w:val="22"/>
                <w:highlight w:val="none"/>
              </w:rPr>
            </w:pPr>
          </w:p>
        </w:tc>
        <w:tc>
          <w:tcPr>
            <w:tcW w:w="1785" w:type="dxa"/>
            <w:vAlign w:val="center"/>
          </w:tcPr>
          <w:p>
            <w:pPr>
              <w:spacing w:line="240" w:lineRule="exact"/>
              <w:jc w:val="center"/>
              <w:rPr>
                <w:rFonts w:ascii="宋体" w:hAnsi="宋体" w:cs="宋体"/>
                <w:sz w:val="22"/>
                <w:highlight w:val="none"/>
              </w:rPr>
            </w:pPr>
          </w:p>
        </w:tc>
        <w:tc>
          <w:tcPr>
            <w:tcW w:w="1116" w:type="dxa"/>
            <w:vAlign w:val="center"/>
          </w:tcPr>
          <w:p>
            <w:pPr>
              <w:spacing w:line="240" w:lineRule="exact"/>
              <w:jc w:val="center"/>
              <w:rPr>
                <w:rFonts w:ascii="宋体" w:hAnsi="宋体" w:cs="宋体"/>
                <w:sz w:val="22"/>
                <w:highlight w:val="none"/>
              </w:rPr>
            </w:pPr>
          </w:p>
        </w:tc>
        <w:tc>
          <w:tcPr>
            <w:tcW w:w="1341" w:type="dxa"/>
            <w:vAlign w:val="center"/>
          </w:tcPr>
          <w:p>
            <w:pPr>
              <w:spacing w:line="240" w:lineRule="exact"/>
              <w:jc w:val="center"/>
              <w:rPr>
                <w:rFonts w:ascii="宋体" w:hAnsi="宋体" w:cs="宋体"/>
                <w:sz w:val="22"/>
                <w:highlight w:val="none"/>
              </w:rPr>
            </w:pPr>
          </w:p>
        </w:tc>
        <w:tc>
          <w:tcPr>
            <w:tcW w:w="1080" w:type="dxa"/>
            <w:vAlign w:val="center"/>
          </w:tcPr>
          <w:p>
            <w:pPr>
              <w:spacing w:line="240" w:lineRule="exact"/>
              <w:jc w:val="cente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6" w:type="dxa"/>
            <w:vAlign w:val="center"/>
          </w:tcPr>
          <w:p>
            <w:pPr>
              <w:spacing w:line="240" w:lineRule="exact"/>
              <w:jc w:val="center"/>
              <w:rPr>
                <w:rFonts w:ascii="宋体" w:hAnsi="宋体" w:cs="宋体"/>
                <w:sz w:val="22"/>
                <w:highlight w:val="none"/>
              </w:rPr>
            </w:pPr>
            <w:r>
              <w:rPr>
                <w:rFonts w:hint="eastAsia" w:ascii="宋体" w:hAnsi="宋体" w:cs="宋体"/>
                <w:sz w:val="22"/>
                <w:highlight w:val="none"/>
              </w:rPr>
              <w:t>7</w:t>
            </w:r>
          </w:p>
        </w:tc>
        <w:tc>
          <w:tcPr>
            <w:tcW w:w="1793" w:type="dxa"/>
            <w:vAlign w:val="center"/>
          </w:tcPr>
          <w:p>
            <w:pPr>
              <w:spacing w:line="240" w:lineRule="exact"/>
              <w:jc w:val="center"/>
              <w:rPr>
                <w:rFonts w:ascii="宋体" w:hAnsi="宋体" w:cs="宋体"/>
                <w:sz w:val="22"/>
                <w:highlight w:val="none"/>
              </w:rPr>
            </w:pPr>
          </w:p>
        </w:tc>
        <w:tc>
          <w:tcPr>
            <w:tcW w:w="900" w:type="dxa"/>
            <w:vAlign w:val="center"/>
          </w:tcPr>
          <w:p>
            <w:pPr>
              <w:jc w:val="center"/>
              <w:rPr>
                <w:rFonts w:ascii="宋体" w:hAnsi="宋体" w:cs="宋体"/>
                <w:sz w:val="22"/>
                <w:highlight w:val="none"/>
              </w:rPr>
            </w:pPr>
          </w:p>
        </w:tc>
        <w:tc>
          <w:tcPr>
            <w:tcW w:w="992" w:type="dxa"/>
            <w:vAlign w:val="center"/>
          </w:tcPr>
          <w:p>
            <w:pPr>
              <w:spacing w:line="240" w:lineRule="exact"/>
              <w:jc w:val="center"/>
              <w:rPr>
                <w:rFonts w:ascii="宋体" w:hAnsi="宋体" w:cs="宋体"/>
                <w:sz w:val="22"/>
                <w:highlight w:val="none"/>
              </w:rPr>
            </w:pPr>
          </w:p>
        </w:tc>
        <w:tc>
          <w:tcPr>
            <w:tcW w:w="1785" w:type="dxa"/>
            <w:vAlign w:val="center"/>
          </w:tcPr>
          <w:p>
            <w:pPr>
              <w:spacing w:line="240" w:lineRule="exact"/>
              <w:jc w:val="center"/>
              <w:rPr>
                <w:rFonts w:ascii="宋体" w:hAnsi="宋体" w:cs="宋体"/>
                <w:sz w:val="22"/>
                <w:highlight w:val="none"/>
              </w:rPr>
            </w:pPr>
          </w:p>
        </w:tc>
        <w:tc>
          <w:tcPr>
            <w:tcW w:w="1116" w:type="dxa"/>
            <w:vAlign w:val="center"/>
          </w:tcPr>
          <w:p>
            <w:pPr>
              <w:spacing w:line="240" w:lineRule="exact"/>
              <w:jc w:val="center"/>
              <w:rPr>
                <w:rFonts w:ascii="宋体" w:hAnsi="宋体" w:cs="宋体"/>
                <w:sz w:val="22"/>
                <w:highlight w:val="none"/>
              </w:rPr>
            </w:pPr>
          </w:p>
        </w:tc>
        <w:tc>
          <w:tcPr>
            <w:tcW w:w="1341" w:type="dxa"/>
            <w:vAlign w:val="center"/>
          </w:tcPr>
          <w:p>
            <w:pPr>
              <w:spacing w:line="240" w:lineRule="exact"/>
              <w:jc w:val="center"/>
              <w:rPr>
                <w:rFonts w:ascii="宋体" w:hAnsi="宋体" w:cs="宋体"/>
                <w:sz w:val="22"/>
                <w:highlight w:val="none"/>
              </w:rPr>
            </w:pPr>
          </w:p>
        </w:tc>
        <w:tc>
          <w:tcPr>
            <w:tcW w:w="1080" w:type="dxa"/>
            <w:vAlign w:val="center"/>
          </w:tcPr>
          <w:p>
            <w:pPr>
              <w:spacing w:line="240" w:lineRule="exact"/>
              <w:jc w:val="cente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6" w:type="dxa"/>
            <w:vAlign w:val="center"/>
          </w:tcPr>
          <w:p>
            <w:pPr>
              <w:spacing w:line="240" w:lineRule="exact"/>
              <w:jc w:val="center"/>
              <w:rPr>
                <w:rFonts w:ascii="宋体" w:hAnsi="宋体" w:cs="宋体"/>
                <w:sz w:val="22"/>
                <w:highlight w:val="none"/>
              </w:rPr>
            </w:pPr>
            <w:r>
              <w:rPr>
                <w:rFonts w:hint="eastAsia" w:ascii="宋体" w:hAnsi="宋体" w:cs="宋体"/>
                <w:sz w:val="22"/>
                <w:highlight w:val="none"/>
              </w:rPr>
              <w:t>8</w:t>
            </w:r>
          </w:p>
        </w:tc>
        <w:tc>
          <w:tcPr>
            <w:tcW w:w="1793" w:type="dxa"/>
            <w:vAlign w:val="center"/>
          </w:tcPr>
          <w:p>
            <w:pPr>
              <w:spacing w:line="240" w:lineRule="exact"/>
              <w:jc w:val="center"/>
              <w:rPr>
                <w:rFonts w:ascii="宋体" w:hAnsi="宋体" w:cs="宋体"/>
                <w:sz w:val="22"/>
                <w:highlight w:val="none"/>
              </w:rPr>
            </w:pPr>
          </w:p>
        </w:tc>
        <w:tc>
          <w:tcPr>
            <w:tcW w:w="900" w:type="dxa"/>
            <w:vAlign w:val="center"/>
          </w:tcPr>
          <w:p>
            <w:pPr>
              <w:jc w:val="center"/>
              <w:rPr>
                <w:rFonts w:ascii="宋体" w:hAnsi="宋体" w:cs="宋体"/>
                <w:sz w:val="22"/>
                <w:highlight w:val="none"/>
              </w:rPr>
            </w:pPr>
          </w:p>
        </w:tc>
        <w:tc>
          <w:tcPr>
            <w:tcW w:w="992" w:type="dxa"/>
            <w:vAlign w:val="center"/>
          </w:tcPr>
          <w:p>
            <w:pPr>
              <w:spacing w:line="240" w:lineRule="exact"/>
              <w:jc w:val="center"/>
              <w:rPr>
                <w:rFonts w:ascii="宋体" w:hAnsi="宋体" w:cs="宋体"/>
                <w:sz w:val="22"/>
                <w:highlight w:val="none"/>
              </w:rPr>
            </w:pPr>
          </w:p>
        </w:tc>
        <w:tc>
          <w:tcPr>
            <w:tcW w:w="1785" w:type="dxa"/>
            <w:vAlign w:val="center"/>
          </w:tcPr>
          <w:p>
            <w:pPr>
              <w:spacing w:line="240" w:lineRule="exact"/>
              <w:jc w:val="center"/>
              <w:rPr>
                <w:rFonts w:ascii="宋体" w:hAnsi="宋体" w:cs="宋体"/>
                <w:sz w:val="22"/>
                <w:highlight w:val="none"/>
              </w:rPr>
            </w:pPr>
          </w:p>
        </w:tc>
        <w:tc>
          <w:tcPr>
            <w:tcW w:w="1116" w:type="dxa"/>
            <w:vAlign w:val="center"/>
          </w:tcPr>
          <w:p>
            <w:pPr>
              <w:spacing w:line="240" w:lineRule="exact"/>
              <w:jc w:val="center"/>
              <w:rPr>
                <w:rFonts w:ascii="宋体" w:hAnsi="宋体" w:cs="宋体"/>
                <w:sz w:val="22"/>
                <w:highlight w:val="none"/>
              </w:rPr>
            </w:pPr>
          </w:p>
        </w:tc>
        <w:tc>
          <w:tcPr>
            <w:tcW w:w="1341" w:type="dxa"/>
            <w:vAlign w:val="center"/>
          </w:tcPr>
          <w:p>
            <w:pPr>
              <w:spacing w:line="240" w:lineRule="exact"/>
              <w:jc w:val="center"/>
              <w:rPr>
                <w:rFonts w:ascii="宋体" w:hAnsi="宋体" w:cs="宋体"/>
                <w:sz w:val="22"/>
                <w:highlight w:val="none"/>
              </w:rPr>
            </w:pPr>
          </w:p>
        </w:tc>
        <w:tc>
          <w:tcPr>
            <w:tcW w:w="1080" w:type="dxa"/>
            <w:vAlign w:val="center"/>
          </w:tcPr>
          <w:p>
            <w:pPr>
              <w:spacing w:line="240" w:lineRule="exact"/>
              <w:jc w:val="cente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6" w:type="dxa"/>
            <w:vAlign w:val="center"/>
          </w:tcPr>
          <w:p>
            <w:pPr>
              <w:spacing w:line="240" w:lineRule="exact"/>
              <w:jc w:val="center"/>
              <w:rPr>
                <w:rFonts w:ascii="宋体" w:hAnsi="宋体" w:cs="宋体"/>
                <w:sz w:val="22"/>
                <w:highlight w:val="none"/>
              </w:rPr>
            </w:pPr>
            <w:r>
              <w:rPr>
                <w:rFonts w:hint="eastAsia" w:ascii="宋体" w:hAnsi="宋体" w:cs="宋体"/>
                <w:sz w:val="22"/>
                <w:highlight w:val="none"/>
              </w:rPr>
              <w:t>9</w:t>
            </w:r>
          </w:p>
        </w:tc>
        <w:tc>
          <w:tcPr>
            <w:tcW w:w="1793" w:type="dxa"/>
            <w:vAlign w:val="center"/>
          </w:tcPr>
          <w:p>
            <w:pPr>
              <w:spacing w:line="240" w:lineRule="exact"/>
              <w:jc w:val="center"/>
              <w:rPr>
                <w:rFonts w:ascii="宋体" w:hAnsi="宋体" w:cs="宋体"/>
                <w:sz w:val="22"/>
                <w:highlight w:val="none"/>
              </w:rPr>
            </w:pPr>
          </w:p>
        </w:tc>
        <w:tc>
          <w:tcPr>
            <w:tcW w:w="900" w:type="dxa"/>
            <w:vAlign w:val="center"/>
          </w:tcPr>
          <w:p>
            <w:pPr>
              <w:jc w:val="center"/>
              <w:rPr>
                <w:rFonts w:ascii="宋体" w:hAnsi="宋体" w:cs="宋体"/>
                <w:sz w:val="22"/>
                <w:highlight w:val="none"/>
              </w:rPr>
            </w:pPr>
          </w:p>
        </w:tc>
        <w:tc>
          <w:tcPr>
            <w:tcW w:w="992" w:type="dxa"/>
            <w:vAlign w:val="center"/>
          </w:tcPr>
          <w:p>
            <w:pPr>
              <w:spacing w:line="240" w:lineRule="exact"/>
              <w:jc w:val="center"/>
              <w:rPr>
                <w:rFonts w:ascii="宋体" w:hAnsi="宋体" w:cs="宋体"/>
                <w:sz w:val="22"/>
                <w:highlight w:val="none"/>
              </w:rPr>
            </w:pPr>
          </w:p>
        </w:tc>
        <w:tc>
          <w:tcPr>
            <w:tcW w:w="1785" w:type="dxa"/>
            <w:vAlign w:val="center"/>
          </w:tcPr>
          <w:p>
            <w:pPr>
              <w:spacing w:line="240" w:lineRule="exact"/>
              <w:jc w:val="center"/>
              <w:rPr>
                <w:rFonts w:ascii="宋体" w:hAnsi="宋体" w:cs="宋体"/>
                <w:sz w:val="22"/>
                <w:highlight w:val="none"/>
              </w:rPr>
            </w:pPr>
          </w:p>
        </w:tc>
        <w:tc>
          <w:tcPr>
            <w:tcW w:w="1116" w:type="dxa"/>
            <w:vAlign w:val="center"/>
          </w:tcPr>
          <w:p>
            <w:pPr>
              <w:spacing w:line="240" w:lineRule="exact"/>
              <w:jc w:val="center"/>
              <w:rPr>
                <w:rFonts w:ascii="宋体" w:hAnsi="宋体" w:cs="宋体"/>
                <w:sz w:val="22"/>
                <w:highlight w:val="none"/>
              </w:rPr>
            </w:pPr>
          </w:p>
        </w:tc>
        <w:tc>
          <w:tcPr>
            <w:tcW w:w="1341" w:type="dxa"/>
            <w:vAlign w:val="center"/>
          </w:tcPr>
          <w:p>
            <w:pPr>
              <w:spacing w:line="240" w:lineRule="exact"/>
              <w:jc w:val="center"/>
              <w:rPr>
                <w:rFonts w:ascii="宋体" w:hAnsi="宋体" w:cs="宋体"/>
                <w:sz w:val="22"/>
                <w:highlight w:val="none"/>
              </w:rPr>
            </w:pPr>
          </w:p>
        </w:tc>
        <w:tc>
          <w:tcPr>
            <w:tcW w:w="1080" w:type="dxa"/>
            <w:vAlign w:val="center"/>
          </w:tcPr>
          <w:p>
            <w:pPr>
              <w:spacing w:line="240" w:lineRule="exact"/>
              <w:jc w:val="cente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6" w:type="dxa"/>
            <w:vAlign w:val="center"/>
          </w:tcPr>
          <w:p>
            <w:pPr>
              <w:spacing w:line="240" w:lineRule="exact"/>
              <w:jc w:val="center"/>
              <w:rPr>
                <w:rFonts w:ascii="宋体" w:hAnsi="宋体" w:cs="宋体"/>
                <w:sz w:val="22"/>
                <w:highlight w:val="none"/>
              </w:rPr>
            </w:pPr>
            <w:r>
              <w:rPr>
                <w:rFonts w:hint="eastAsia" w:ascii="宋体" w:hAnsi="宋体" w:cs="宋体"/>
                <w:sz w:val="22"/>
                <w:highlight w:val="none"/>
              </w:rPr>
              <w:t>10</w:t>
            </w:r>
          </w:p>
        </w:tc>
        <w:tc>
          <w:tcPr>
            <w:tcW w:w="1793" w:type="dxa"/>
            <w:vAlign w:val="center"/>
          </w:tcPr>
          <w:p>
            <w:pPr>
              <w:spacing w:line="240" w:lineRule="exact"/>
              <w:jc w:val="center"/>
              <w:rPr>
                <w:rFonts w:ascii="宋体" w:hAnsi="宋体" w:cs="宋体"/>
                <w:sz w:val="22"/>
                <w:highlight w:val="none"/>
              </w:rPr>
            </w:pPr>
          </w:p>
        </w:tc>
        <w:tc>
          <w:tcPr>
            <w:tcW w:w="900" w:type="dxa"/>
            <w:vAlign w:val="center"/>
          </w:tcPr>
          <w:p>
            <w:pPr>
              <w:jc w:val="center"/>
              <w:rPr>
                <w:rFonts w:ascii="宋体" w:hAnsi="宋体" w:cs="宋体"/>
                <w:sz w:val="22"/>
                <w:highlight w:val="none"/>
              </w:rPr>
            </w:pPr>
          </w:p>
        </w:tc>
        <w:tc>
          <w:tcPr>
            <w:tcW w:w="992" w:type="dxa"/>
            <w:vAlign w:val="center"/>
          </w:tcPr>
          <w:p>
            <w:pPr>
              <w:spacing w:line="240" w:lineRule="exact"/>
              <w:jc w:val="center"/>
              <w:rPr>
                <w:rFonts w:ascii="宋体" w:hAnsi="宋体" w:cs="宋体"/>
                <w:sz w:val="22"/>
                <w:highlight w:val="none"/>
              </w:rPr>
            </w:pPr>
          </w:p>
        </w:tc>
        <w:tc>
          <w:tcPr>
            <w:tcW w:w="1785" w:type="dxa"/>
            <w:vAlign w:val="center"/>
          </w:tcPr>
          <w:p>
            <w:pPr>
              <w:spacing w:line="240" w:lineRule="exact"/>
              <w:jc w:val="center"/>
              <w:rPr>
                <w:rFonts w:ascii="宋体" w:hAnsi="宋体" w:cs="宋体"/>
                <w:sz w:val="22"/>
                <w:highlight w:val="none"/>
              </w:rPr>
            </w:pPr>
          </w:p>
        </w:tc>
        <w:tc>
          <w:tcPr>
            <w:tcW w:w="1116" w:type="dxa"/>
            <w:vAlign w:val="center"/>
          </w:tcPr>
          <w:p>
            <w:pPr>
              <w:spacing w:line="240" w:lineRule="exact"/>
              <w:jc w:val="center"/>
              <w:rPr>
                <w:rFonts w:ascii="宋体" w:hAnsi="宋体" w:cs="宋体"/>
                <w:sz w:val="22"/>
                <w:highlight w:val="none"/>
              </w:rPr>
            </w:pPr>
          </w:p>
        </w:tc>
        <w:tc>
          <w:tcPr>
            <w:tcW w:w="1341" w:type="dxa"/>
            <w:vAlign w:val="center"/>
          </w:tcPr>
          <w:p>
            <w:pPr>
              <w:spacing w:line="240" w:lineRule="exact"/>
              <w:jc w:val="center"/>
              <w:rPr>
                <w:rFonts w:ascii="宋体" w:hAnsi="宋体" w:cs="宋体"/>
                <w:sz w:val="22"/>
                <w:highlight w:val="none"/>
              </w:rPr>
            </w:pPr>
          </w:p>
        </w:tc>
        <w:tc>
          <w:tcPr>
            <w:tcW w:w="1080" w:type="dxa"/>
            <w:vAlign w:val="center"/>
          </w:tcPr>
          <w:p>
            <w:pPr>
              <w:spacing w:line="240" w:lineRule="exact"/>
              <w:jc w:val="center"/>
              <w:rPr>
                <w:rFonts w:ascii="宋体" w:hAnsi="宋体" w:cs="宋体"/>
                <w:sz w:val="22"/>
                <w:highlight w:val="none"/>
              </w:rPr>
            </w:pPr>
          </w:p>
        </w:tc>
      </w:tr>
    </w:tbl>
    <w:p>
      <w:pPr>
        <w:keepNext/>
        <w:keepLines/>
        <w:spacing w:line="360" w:lineRule="auto"/>
        <w:jc w:val="left"/>
        <w:outlineLvl w:val="1"/>
        <w:rPr>
          <w:rFonts w:ascii="宋体" w:hAnsi="宋体" w:cs="宋体"/>
          <w:sz w:val="22"/>
          <w:highlight w:val="none"/>
        </w:rPr>
      </w:pPr>
      <w:bookmarkStart w:id="337" w:name="_Toc38224869"/>
      <w:r>
        <w:rPr>
          <w:rFonts w:hint="eastAsia" w:ascii="宋体" w:hAnsi="宋体" w:cs="宋体"/>
          <w:sz w:val="22"/>
          <w:highlight w:val="none"/>
        </w:rPr>
        <w:t>注：表格格式可以根据实际情况调整。</w:t>
      </w:r>
      <w:bookmarkEnd w:id="335"/>
      <w:bookmarkEnd w:id="336"/>
      <w:bookmarkEnd w:id="337"/>
    </w:p>
    <w:p>
      <w:pPr>
        <w:spacing w:line="400" w:lineRule="exact"/>
        <w:ind w:firstLine="565" w:firstLineChars="202"/>
        <w:jc w:val="left"/>
        <w:rPr>
          <w:rFonts w:ascii="宋体" w:hAnsi="宋体" w:cs="宋体"/>
          <w:sz w:val="28"/>
          <w:szCs w:val="28"/>
          <w:highlight w:val="none"/>
        </w:rPr>
      </w:pPr>
    </w:p>
    <w:p>
      <w:pPr>
        <w:spacing w:line="400" w:lineRule="exact"/>
        <w:ind w:firstLine="565" w:firstLineChars="202"/>
        <w:jc w:val="left"/>
        <w:rPr>
          <w:rFonts w:ascii="宋体" w:hAnsi="宋体" w:cs="宋体"/>
          <w:sz w:val="28"/>
          <w:szCs w:val="28"/>
          <w:highlight w:val="none"/>
        </w:rPr>
      </w:pPr>
    </w:p>
    <w:p>
      <w:pPr>
        <w:keepNext/>
        <w:keepLines/>
        <w:spacing w:before="240" w:after="240" w:line="416" w:lineRule="auto"/>
        <w:rPr>
          <w:rFonts w:ascii="宋体" w:hAnsi="宋体" w:cs="宋体"/>
          <w:b/>
          <w:bCs/>
          <w:sz w:val="32"/>
          <w:szCs w:val="32"/>
          <w:highlight w:val="none"/>
        </w:rPr>
        <w:sectPr>
          <w:pgSz w:w="11905" w:h="16838"/>
          <w:pgMar w:top="1418" w:right="1701" w:bottom="1418" w:left="1701" w:header="851" w:footer="794" w:gutter="0"/>
          <w:cols w:space="720" w:num="1"/>
          <w:docGrid w:type="lines" w:linePitch="312" w:charSpace="0"/>
        </w:sectPr>
      </w:pPr>
      <w:bookmarkStart w:id="338" w:name="_Toc29074"/>
      <w:bookmarkStart w:id="339" w:name="_Toc27550"/>
      <w:bookmarkStart w:id="340" w:name="_Toc377719920"/>
      <w:bookmarkStart w:id="341" w:name="_Toc17238"/>
      <w:bookmarkStart w:id="342" w:name="_Toc30849"/>
      <w:bookmarkStart w:id="343" w:name="_Toc6800"/>
      <w:bookmarkStart w:id="344" w:name="_Toc15391"/>
      <w:bookmarkStart w:id="345" w:name="_Toc532367900"/>
    </w:p>
    <w:bookmarkEnd w:id="338"/>
    <w:bookmarkEnd w:id="339"/>
    <w:bookmarkEnd w:id="340"/>
    <w:bookmarkEnd w:id="341"/>
    <w:bookmarkEnd w:id="342"/>
    <w:bookmarkEnd w:id="343"/>
    <w:bookmarkEnd w:id="344"/>
    <w:bookmarkEnd w:id="345"/>
    <w:p>
      <w:pPr>
        <w:keepNext/>
        <w:keepLines/>
        <w:spacing w:line="360" w:lineRule="auto"/>
        <w:jc w:val="center"/>
        <w:outlineLvl w:val="1"/>
        <w:rPr>
          <w:rFonts w:ascii="宋体" w:hAnsi="宋体" w:cs="宋体"/>
          <w:b/>
          <w:bCs/>
          <w:sz w:val="32"/>
          <w:szCs w:val="32"/>
          <w:highlight w:val="none"/>
        </w:rPr>
      </w:pPr>
      <w:bookmarkStart w:id="346" w:name="_Toc30188"/>
      <w:bookmarkStart w:id="347" w:name="_Toc31475"/>
      <w:bookmarkStart w:id="348" w:name="_Toc17273"/>
      <w:bookmarkStart w:id="349" w:name="_Toc25038"/>
      <w:bookmarkStart w:id="350" w:name="_Toc17194"/>
      <w:bookmarkStart w:id="351" w:name="_Toc377719921"/>
      <w:bookmarkStart w:id="352" w:name="_Toc532367901"/>
      <w:bookmarkStart w:id="353" w:name="_Toc21825"/>
      <w:bookmarkStart w:id="354" w:name="_Toc21079"/>
      <w:bookmarkStart w:id="355" w:name="_Toc38224870"/>
      <w:bookmarkStart w:id="356" w:name="_Toc2593"/>
      <w:r>
        <w:rPr>
          <w:rFonts w:hint="eastAsia" w:ascii="宋体" w:hAnsi="宋体" w:cs="宋体"/>
          <w:b/>
          <w:bCs/>
          <w:sz w:val="32"/>
          <w:szCs w:val="32"/>
          <w:highlight w:val="none"/>
          <w:lang w:val="en-US" w:eastAsia="zh-CN"/>
        </w:rPr>
        <w:t>十</w:t>
      </w:r>
      <w:r>
        <w:rPr>
          <w:rFonts w:hint="eastAsia" w:ascii="宋体" w:hAnsi="宋体" w:cs="宋体"/>
          <w:b/>
          <w:bCs/>
          <w:sz w:val="32"/>
          <w:szCs w:val="32"/>
          <w:highlight w:val="none"/>
        </w:rPr>
        <w:t>、</w:t>
      </w:r>
      <w:bookmarkEnd w:id="346"/>
      <w:bookmarkEnd w:id="347"/>
      <w:bookmarkEnd w:id="348"/>
      <w:bookmarkEnd w:id="349"/>
      <w:bookmarkEnd w:id="350"/>
      <w:bookmarkEnd w:id="351"/>
      <w:bookmarkEnd w:id="352"/>
      <w:bookmarkEnd w:id="353"/>
      <w:r>
        <w:rPr>
          <w:rFonts w:hint="eastAsia" w:ascii="宋体" w:hAnsi="宋体" w:cs="宋体"/>
          <w:b/>
          <w:bCs/>
          <w:sz w:val="32"/>
          <w:szCs w:val="32"/>
          <w:highlight w:val="none"/>
        </w:rPr>
        <w:t>技术方案</w:t>
      </w:r>
      <w:bookmarkEnd w:id="354"/>
      <w:bookmarkEnd w:id="355"/>
      <w:bookmarkEnd w:id="356"/>
    </w:p>
    <w:p>
      <w:pPr>
        <w:spacing w:line="360" w:lineRule="auto"/>
        <w:jc w:val="center"/>
        <w:rPr>
          <w:rFonts w:ascii="宋体" w:hAnsi="宋体" w:cs="宋体"/>
          <w:b/>
          <w:bCs/>
          <w:sz w:val="30"/>
          <w:szCs w:val="30"/>
          <w:highlight w:val="none"/>
        </w:rPr>
      </w:pPr>
      <w:r>
        <w:rPr>
          <w:rFonts w:hint="eastAsia" w:ascii="宋体" w:hAnsi="宋体" w:cs="宋体"/>
          <w:b/>
          <w:sz w:val="28"/>
          <w:szCs w:val="28"/>
          <w:highlight w:val="none"/>
        </w:rPr>
        <w:t>（格式自定）</w:t>
      </w:r>
      <w:r>
        <w:rPr>
          <w:rFonts w:hint="eastAsia" w:ascii="宋体" w:hAnsi="宋体" w:cs="宋体"/>
          <w:b/>
          <w:bCs/>
          <w:sz w:val="40"/>
          <w:szCs w:val="32"/>
          <w:highlight w:val="none"/>
        </w:rPr>
        <w:br w:type="page"/>
      </w:r>
      <w:bookmarkEnd w:id="39"/>
      <w:bookmarkEnd w:id="40"/>
      <w:bookmarkEnd w:id="41"/>
      <w:bookmarkEnd w:id="42"/>
      <w:bookmarkStart w:id="357" w:name="_Toc2154396"/>
      <w:r>
        <w:rPr>
          <w:rFonts w:hint="eastAsia" w:ascii="宋体" w:hAnsi="宋体" w:cs="宋体"/>
          <w:sz w:val="32"/>
          <w:szCs w:val="32"/>
          <w:highlight w:val="none"/>
        </w:rPr>
        <w:t xml:space="preserve"> </w:t>
      </w:r>
      <w:r>
        <w:rPr>
          <w:rFonts w:hint="eastAsia" w:ascii="宋体" w:hAnsi="宋体" w:cs="宋体"/>
          <w:b/>
          <w:bCs/>
          <w:sz w:val="32"/>
          <w:szCs w:val="32"/>
          <w:highlight w:val="none"/>
        </w:rPr>
        <w:t>十</w:t>
      </w:r>
      <w:r>
        <w:rPr>
          <w:rFonts w:hint="eastAsia" w:ascii="宋体" w:hAnsi="宋体" w:cs="宋体"/>
          <w:b/>
          <w:bCs/>
          <w:sz w:val="32"/>
          <w:szCs w:val="32"/>
          <w:highlight w:val="none"/>
          <w:lang w:val="en-US" w:eastAsia="zh-CN"/>
        </w:rPr>
        <w:t>一</w:t>
      </w:r>
      <w:r>
        <w:rPr>
          <w:rFonts w:hint="eastAsia" w:ascii="宋体" w:hAnsi="宋体" w:cs="宋体"/>
          <w:b/>
          <w:bCs/>
          <w:sz w:val="32"/>
          <w:szCs w:val="32"/>
          <w:highlight w:val="none"/>
        </w:rPr>
        <w:t>、工程量清单报价表</w:t>
      </w:r>
    </w:p>
    <w:p>
      <w:pPr>
        <w:pStyle w:val="43"/>
        <w:ind w:firstLine="0"/>
        <w:jc w:val="center"/>
        <w:rPr>
          <w:rFonts w:ascii="宋体" w:hAnsi="宋体" w:cs="宋体"/>
          <w:b/>
          <w:kern w:val="0"/>
          <w:sz w:val="28"/>
          <w:szCs w:val="28"/>
          <w:highlight w:val="none"/>
          <w:lang w:bidi="ar"/>
        </w:rPr>
        <w:sectPr>
          <w:footerReference r:id="rId9" w:type="default"/>
          <w:pgSz w:w="11906" w:h="16838"/>
          <w:pgMar w:top="1134" w:right="1134" w:bottom="1134" w:left="1134" w:header="851" w:footer="1020" w:gutter="0"/>
          <w:cols w:space="720" w:num="1"/>
          <w:docGrid w:type="lines" w:linePitch="321" w:charSpace="0"/>
        </w:sectPr>
      </w:pPr>
      <w:bookmarkStart w:id="358" w:name="_Toc374610687"/>
      <w:bookmarkStart w:id="359" w:name="_Toc390704770"/>
      <w:bookmarkStart w:id="360" w:name="_Toc266373531"/>
      <w:bookmarkStart w:id="361" w:name="_Toc333829923"/>
      <w:bookmarkStart w:id="362" w:name="_Toc31556"/>
      <w:bookmarkStart w:id="363" w:name="_Toc374536218"/>
      <w:r>
        <w:rPr>
          <w:rFonts w:hint="eastAsia" w:ascii="宋体" w:hAnsi="宋体" w:cs="宋体"/>
          <w:b/>
          <w:kern w:val="0"/>
          <w:sz w:val="28"/>
          <w:szCs w:val="28"/>
          <w:highlight w:val="none"/>
          <w:lang w:bidi="ar"/>
        </w:rPr>
        <w:t>（</w:t>
      </w:r>
      <w:r>
        <w:rPr>
          <w:rFonts w:hint="eastAsia" w:ascii="宋体" w:hAnsi="宋体" w:cs="宋体"/>
          <w:b/>
          <w:sz w:val="28"/>
          <w:szCs w:val="28"/>
          <w:highlight w:val="none"/>
          <w:lang w:bidi="ar"/>
        </w:rPr>
        <w:t>格式详见招标文件第七章工程量清单</w:t>
      </w:r>
      <w:r>
        <w:rPr>
          <w:rFonts w:hint="eastAsia" w:ascii="宋体" w:hAnsi="宋体" w:cs="宋体"/>
          <w:b/>
          <w:kern w:val="0"/>
          <w:sz w:val="28"/>
          <w:szCs w:val="28"/>
          <w:highlight w:val="none"/>
          <w:lang w:bidi="ar"/>
        </w:rPr>
        <w:t>）</w:t>
      </w:r>
    </w:p>
    <w:bookmarkEnd w:id="358"/>
    <w:bookmarkEnd w:id="359"/>
    <w:bookmarkEnd w:id="360"/>
    <w:bookmarkEnd w:id="361"/>
    <w:bookmarkEnd w:id="362"/>
    <w:bookmarkEnd w:id="363"/>
    <w:p>
      <w:pPr>
        <w:spacing w:line="360" w:lineRule="auto"/>
        <w:jc w:val="center"/>
        <w:rPr>
          <w:rFonts w:ascii="宋体" w:hAnsi="宋体" w:cs="宋体"/>
          <w:b/>
          <w:bCs/>
          <w:sz w:val="32"/>
          <w:szCs w:val="32"/>
          <w:highlight w:val="none"/>
        </w:rPr>
      </w:pPr>
      <w:r>
        <w:rPr>
          <w:rFonts w:hint="eastAsia" w:ascii="宋体" w:hAnsi="宋体" w:cs="宋体"/>
          <w:b/>
          <w:bCs/>
          <w:sz w:val="32"/>
          <w:szCs w:val="32"/>
          <w:highlight w:val="none"/>
        </w:rPr>
        <w:t>十</w:t>
      </w:r>
      <w:r>
        <w:rPr>
          <w:rFonts w:hint="eastAsia" w:ascii="宋体" w:hAnsi="宋体" w:cs="宋体"/>
          <w:b/>
          <w:bCs/>
          <w:sz w:val="32"/>
          <w:szCs w:val="32"/>
          <w:highlight w:val="none"/>
          <w:lang w:val="en-US" w:eastAsia="zh-CN"/>
        </w:rPr>
        <w:t>二</w:t>
      </w:r>
      <w:r>
        <w:rPr>
          <w:rFonts w:hint="eastAsia" w:ascii="宋体" w:hAnsi="宋体" w:cs="宋体"/>
          <w:b/>
          <w:bCs/>
          <w:sz w:val="32"/>
          <w:szCs w:val="32"/>
          <w:highlight w:val="none"/>
        </w:rPr>
        <w:t>、其他资料</w:t>
      </w:r>
      <w:bookmarkEnd w:id="357"/>
    </w:p>
    <w:p>
      <w:pPr>
        <w:spacing w:line="360" w:lineRule="auto"/>
        <w:ind w:firstLine="480" w:firstLineChars="200"/>
        <w:jc w:val="center"/>
        <w:rPr>
          <w:rFonts w:ascii="宋体" w:hAnsi="宋体" w:cs="宋体"/>
          <w:sz w:val="24"/>
          <w:szCs w:val="24"/>
          <w:highlight w:val="none"/>
        </w:rPr>
      </w:pPr>
      <w:r>
        <w:rPr>
          <w:rFonts w:hint="eastAsia" w:ascii="宋体" w:hAnsi="宋体" w:cs="宋体"/>
          <w:sz w:val="24"/>
          <w:szCs w:val="24"/>
          <w:highlight w:val="none"/>
        </w:rPr>
        <w:t>投标人认为有必要提交的其他资料，格式自定。</w:t>
      </w:r>
    </w:p>
    <w:p>
      <w:pPr>
        <w:pStyle w:val="3"/>
        <w:keepNext w:val="0"/>
        <w:keepLines w:val="0"/>
        <w:spacing w:line="240" w:lineRule="auto"/>
        <w:jc w:val="center"/>
        <w:rPr>
          <w:rFonts w:ascii="宋体" w:hAnsi="宋体" w:eastAsia="宋体" w:cs="宋体"/>
          <w:highlight w:val="none"/>
        </w:rPr>
      </w:pPr>
      <w:r>
        <w:rPr>
          <w:rFonts w:hint="eastAsia" w:ascii="宋体" w:hAnsi="宋体" w:cs="宋体"/>
          <w:sz w:val="22"/>
          <w:highlight w:val="none"/>
        </w:rPr>
        <w:br w:type="page"/>
      </w:r>
      <w:bookmarkStart w:id="364" w:name="_Toc27232"/>
      <w:r>
        <w:rPr>
          <w:rFonts w:hint="eastAsia" w:ascii="宋体" w:hAnsi="宋体" w:eastAsia="宋体" w:cs="宋体"/>
          <w:kern w:val="2"/>
          <w:highlight w:val="none"/>
        </w:rPr>
        <w:t>第七章 工程量清单</w:t>
      </w:r>
      <w:bookmarkEnd w:id="364"/>
    </w:p>
    <w:p>
      <w:pPr>
        <w:spacing w:line="360" w:lineRule="auto"/>
        <w:ind w:firstLine="640" w:firstLineChars="200"/>
        <w:jc w:val="center"/>
        <w:rPr>
          <w:rFonts w:ascii="宋体" w:hAnsi="宋体" w:cs="宋体"/>
          <w:sz w:val="32"/>
          <w:szCs w:val="32"/>
          <w:highlight w:val="none"/>
        </w:rPr>
      </w:pPr>
      <w:r>
        <w:rPr>
          <w:rFonts w:hint="eastAsia" w:ascii="宋体" w:hAnsi="宋体" w:cs="宋体"/>
          <w:sz w:val="32"/>
          <w:szCs w:val="32"/>
          <w:highlight w:val="none"/>
        </w:rPr>
        <w:t>（另册）</w:t>
      </w:r>
    </w:p>
    <w:p>
      <w:pPr>
        <w:rPr>
          <w:rFonts w:ascii="宋体" w:hAnsi="宋体" w:cs="宋体"/>
          <w:sz w:val="36"/>
          <w:szCs w:val="36"/>
          <w:highlight w:val="none"/>
        </w:rPr>
      </w:pPr>
    </w:p>
    <w:sectPr>
      <w:pgSz w:w="11905" w:h="16838"/>
      <w:pgMar w:top="1418" w:right="1701" w:bottom="1418" w:left="1701" w:header="851" w:footer="79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方正书宋简体">
    <w:altName w:val="宋体"/>
    <w:panose1 w:val="00000000000000000000"/>
    <w:charset w:val="00"/>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ˎ̥">
    <w:altName w:val="宋体"/>
    <w:panose1 w:val="00000000000000000000"/>
    <w:charset w:val="00"/>
    <w:family w:val="roman"/>
    <w:pitch w:val="default"/>
    <w:sig w:usb0="00000000" w:usb1="00000000" w:usb2="00000000" w:usb3="00000000" w:csb0="00040001" w:csb1="00000000"/>
  </w:font>
  <w:font w:name="Calisto MT">
    <w:altName w:val="Segoe Print"/>
    <w:panose1 w:val="02040603050505030304"/>
    <w:charset w:val="00"/>
    <w:family w:val="roman"/>
    <w:pitch w:val="default"/>
    <w:sig w:usb0="00000000"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隶书">
    <w:altName w:val="微软雅黑"/>
    <w:panose1 w:val="0201050906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enter" w:pos="4251"/>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enter" w:pos="4251"/>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PAGE   \* MERGEFORMAT</w:instrText>
    </w:r>
    <w:r>
      <w:fldChar w:fldCharType="separate"/>
    </w:r>
    <w:r>
      <w:rPr>
        <w:lang w:val="zh-CN"/>
      </w:rPr>
      <w:t>37</w:t>
    </w:r>
    <w:r>
      <w:fldChar w:fldCharType="end"/>
    </w:r>
  </w:p>
  <w:p>
    <w:pPr>
      <w:pStyle w:val="2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sz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8"/>
                            <w:jc w:val="center"/>
                          </w:pPr>
                          <w:r>
                            <w:rPr>
                              <w:sz w:val="21"/>
                            </w:rPr>
                            <w:fldChar w:fldCharType="begin"/>
                          </w:r>
                          <w:r>
                            <w:rPr>
                              <w:sz w:val="21"/>
                            </w:rPr>
                            <w:instrText xml:space="preserve">PAGE   \* MERGEFORMAT</w:instrText>
                          </w:r>
                          <w:r>
                            <w:rPr>
                              <w:sz w:val="21"/>
                            </w:rPr>
                            <w:fldChar w:fldCharType="separate"/>
                          </w:r>
                          <w:r>
                            <w:rPr>
                              <w:sz w:val="21"/>
                              <w:lang w:val="zh-CN"/>
                            </w:rPr>
                            <w:t>69</w:t>
                          </w:r>
                          <w:r>
                            <w:rPr>
                              <w:sz w:val="21"/>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GX9WQDXAQAAsAMAAA4AAAAAAAAAAQAgAAAA&#10;HgEAAGRycy9lMm9Eb2MueG1sUEsFBgAAAAAGAAYAWQEAAGcFAAAAAA==&#10;">
              <v:fill on="f" focussize="0,0"/>
              <v:stroke on="f"/>
              <v:imagedata o:title=""/>
              <o:lock v:ext="edit" aspectratio="f"/>
              <v:textbox inset="0mm,0mm,0mm,0mm" style="mso-fit-shape-to-text:t;">
                <w:txbxContent>
                  <w:p>
                    <w:pPr>
                      <w:pStyle w:val="28"/>
                      <w:jc w:val="center"/>
                    </w:pPr>
                    <w:r>
                      <w:rPr>
                        <w:sz w:val="21"/>
                      </w:rPr>
                      <w:fldChar w:fldCharType="begin"/>
                    </w:r>
                    <w:r>
                      <w:rPr>
                        <w:sz w:val="21"/>
                      </w:rPr>
                      <w:instrText xml:space="preserve">PAGE   \* MERGEFORMAT</w:instrText>
                    </w:r>
                    <w:r>
                      <w:rPr>
                        <w:sz w:val="21"/>
                      </w:rPr>
                      <w:fldChar w:fldCharType="separate"/>
                    </w:r>
                    <w:r>
                      <w:rPr>
                        <w:sz w:val="21"/>
                        <w:lang w:val="zh-CN"/>
                      </w:rPr>
                      <w:t>69</w:t>
                    </w:r>
                    <w:r>
                      <w:rPr>
                        <w:sz w:val="21"/>
                      </w:rPr>
                      <w:fldChar w:fldCharType="end"/>
                    </w:r>
                  </w:p>
                </w:txbxContent>
              </v:textbox>
            </v:shape>
          </w:pict>
        </mc:Fallback>
      </mc:AlternateContent>
    </w:r>
  </w:p>
  <w:p>
    <w:pPr>
      <w:pStyle w:val="2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PAGE   \* MERGEFORMAT</w:instrText>
    </w:r>
    <w:r>
      <w:fldChar w:fldCharType="separate"/>
    </w:r>
    <w:r>
      <w:rPr>
        <w:lang w:val="zh-CN"/>
      </w:rPr>
      <w:t>73</w:t>
    </w:r>
    <w: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439609"/>
    <w:multiLevelType w:val="singleLevel"/>
    <w:tmpl w:val="B8439609"/>
    <w:lvl w:ilvl="0" w:tentative="0">
      <w:start w:val="5"/>
      <w:numFmt w:val="chineseCounting"/>
      <w:suff w:val="space"/>
      <w:lvlText w:val="第%1章"/>
      <w:lvlJc w:val="left"/>
      <w:rPr>
        <w:rFonts w:hint="eastAsia"/>
      </w:rPr>
    </w:lvl>
  </w:abstractNum>
  <w:abstractNum w:abstractNumId="1">
    <w:nsid w:val="DA26BB87"/>
    <w:multiLevelType w:val="singleLevel"/>
    <w:tmpl w:val="DA26BB87"/>
    <w:lvl w:ilvl="0" w:tentative="0">
      <w:start w:val="1"/>
      <w:numFmt w:val="decimal"/>
      <w:suff w:val="nothing"/>
      <w:lvlText w:val="%1、"/>
      <w:lvlJc w:val="left"/>
    </w:lvl>
  </w:abstractNum>
  <w:abstractNum w:abstractNumId="2">
    <w:nsid w:val="DA5E4367"/>
    <w:multiLevelType w:val="singleLevel"/>
    <w:tmpl w:val="DA5E4367"/>
    <w:lvl w:ilvl="0" w:tentative="0">
      <w:start w:val="2"/>
      <w:numFmt w:val="decimal"/>
      <w:suff w:val="nothing"/>
      <w:lvlText w:val="（%1）"/>
      <w:lvlJc w:val="left"/>
    </w:lvl>
  </w:abstractNum>
  <w:abstractNum w:abstractNumId="3">
    <w:nsid w:val="FC6ADD51"/>
    <w:multiLevelType w:val="singleLevel"/>
    <w:tmpl w:val="FC6ADD51"/>
    <w:lvl w:ilvl="0" w:tentative="0">
      <w:start w:val="5"/>
      <w:numFmt w:val="chineseCounting"/>
      <w:suff w:val="nothing"/>
      <w:lvlText w:val="%1、"/>
      <w:lvlJc w:val="left"/>
      <w:rPr>
        <w:rFonts w:hint="eastAsia"/>
      </w:rPr>
    </w:lvl>
  </w:abstractNum>
  <w:abstractNum w:abstractNumId="4">
    <w:nsid w:val="74FB0463"/>
    <w:multiLevelType w:val="multilevel"/>
    <w:tmpl w:val="74FB0463"/>
    <w:lvl w:ilvl="0" w:tentative="0">
      <w:start w:val="1"/>
      <w:numFmt w:val="decimal"/>
      <w:suff w:val="nothing"/>
      <w:lvlText w:val="第%1篇"/>
      <w:lvlJc w:val="left"/>
      <w:pPr>
        <w:ind w:left="0" w:firstLine="0"/>
      </w:pPr>
      <w:rPr>
        <w:rFonts w:hint="eastAsia"/>
        <w:spacing w:val="60"/>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center"/>
      <w:pPr>
        <w:ind w:left="0" w:firstLine="288"/>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5">
    <w:nsid w:val="7AB24E61"/>
    <w:multiLevelType w:val="singleLevel"/>
    <w:tmpl w:val="7AB24E61"/>
    <w:lvl w:ilvl="0" w:tentative="0">
      <w:start w:val="1"/>
      <w:numFmt w:val="decimal"/>
      <w:suff w:val="nothing"/>
      <w:lvlText w:val="%1、"/>
      <w:lvlJc w:val="left"/>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drawingGridHorizontalSpacing w:val="105"/>
  <w:drawingGridVerticalSpacing w:val="160"/>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3NTZmMjQ3NjI2ZTExYTc3ODNkOTkzMTAzYzZiZWUifQ=="/>
  </w:docVars>
  <w:rsids>
    <w:rsidRoot w:val="00172A27"/>
    <w:rsid w:val="000018C9"/>
    <w:rsid w:val="00002A0A"/>
    <w:rsid w:val="00003E55"/>
    <w:rsid w:val="00004815"/>
    <w:rsid w:val="000055CF"/>
    <w:rsid w:val="00005848"/>
    <w:rsid w:val="0000627E"/>
    <w:rsid w:val="00007452"/>
    <w:rsid w:val="00011002"/>
    <w:rsid w:val="000148E7"/>
    <w:rsid w:val="00015C4B"/>
    <w:rsid w:val="00015D4E"/>
    <w:rsid w:val="00017AF5"/>
    <w:rsid w:val="000203F6"/>
    <w:rsid w:val="00022B56"/>
    <w:rsid w:val="000231B6"/>
    <w:rsid w:val="0002633B"/>
    <w:rsid w:val="000268D1"/>
    <w:rsid w:val="000278E3"/>
    <w:rsid w:val="00030BFF"/>
    <w:rsid w:val="0003123D"/>
    <w:rsid w:val="00031283"/>
    <w:rsid w:val="00031D75"/>
    <w:rsid w:val="00033F93"/>
    <w:rsid w:val="00041163"/>
    <w:rsid w:val="000452C6"/>
    <w:rsid w:val="00045739"/>
    <w:rsid w:val="000458F4"/>
    <w:rsid w:val="00046053"/>
    <w:rsid w:val="00051715"/>
    <w:rsid w:val="00053856"/>
    <w:rsid w:val="000541FD"/>
    <w:rsid w:val="00054E03"/>
    <w:rsid w:val="00055E6F"/>
    <w:rsid w:val="00060352"/>
    <w:rsid w:val="000603D1"/>
    <w:rsid w:val="00060C36"/>
    <w:rsid w:val="00060E70"/>
    <w:rsid w:val="00062F44"/>
    <w:rsid w:val="00062F50"/>
    <w:rsid w:val="0006622A"/>
    <w:rsid w:val="00066F86"/>
    <w:rsid w:val="00070F67"/>
    <w:rsid w:val="00071CC1"/>
    <w:rsid w:val="00071FE6"/>
    <w:rsid w:val="000762C6"/>
    <w:rsid w:val="00077CB2"/>
    <w:rsid w:val="00080A64"/>
    <w:rsid w:val="00082656"/>
    <w:rsid w:val="00083644"/>
    <w:rsid w:val="00085566"/>
    <w:rsid w:val="00095637"/>
    <w:rsid w:val="0009596A"/>
    <w:rsid w:val="00095C44"/>
    <w:rsid w:val="00097403"/>
    <w:rsid w:val="00097DD8"/>
    <w:rsid w:val="000A0AF7"/>
    <w:rsid w:val="000A3C33"/>
    <w:rsid w:val="000A53EB"/>
    <w:rsid w:val="000A632F"/>
    <w:rsid w:val="000A74F6"/>
    <w:rsid w:val="000A7A56"/>
    <w:rsid w:val="000B6C3B"/>
    <w:rsid w:val="000C1C9D"/>
    <w:rsid w:val="000C289D"/>
    <w:rsid w:val="000C4744"/>
    <w:rsid w:val="000C535B"/>
    <w:rsid w:val="000D255F"/>
    <w:rsid w:val="000D36CD"/>
    <w:rsid w:val="000D47A3"/>
    <w:rsid w:val="000D64A4"/>
    <w:rsid w:val="000F36DC"/>
    <w:rsid w:val="000F3D1F"/>
    <w:rsid w:val="000F5BD6"/>
    <w:rsid w:val="000F63F9"/>
    <w:rsid w:val="00103224"/>
    <w:rsid w:val="00103B60"/>
    <w:rsid w:val="00103C89"/>
    <w:rsid w:val="0010568E"/>
    <w:rsid w:val="001056DE"/>
    <w:rsid w:val="00107EB4"/>
    <w:rsid w:val="00110F20"/>
    <w:rsid w:val="0011362F"/>
    <w:rsid w:val="0011509B"/>
    <w:rsid w:val="001160F7"/>
    <w:rsid w:val="00124BA8"/>
    <w:rsid w:val="00124E0D"/>
    <w:rsid w:val="00124EE6"/>
    <w:rsid w:val="0012759C"/>
    <w:rsid w:val="0013006D"/>
    <w:rsid w:val="001343DF"/>
    <w:rsid w:val="00134C11"/>
    <w:rsid w:val="00137D17"/>
    <w:rsid w:val="00140C3B"/>
    <w:rsid w:val="001414EF"/>
    <w:rsid w:val="00142664"/>
    <w:rsid w:val="0014408A"/>
    <w:rsid w:val="00144DF5"/>
    <w:rsid w:val="001457A3"/>
    <w:rsid w:val="0015199B"/>
    <w:rsid w:val="00153F09"/>
    <w:rsid w:val="00163B36"/>
    <w:rsid w:val="001655AD"/>
    <w:rsid w:val="00165A35"/>
    <w:rsid w:val="00166052"/>
    <w:rsid w:val="00166C2A"/>
    <w:rsid w:val="001671BE"/>
    <w:rsid w:val="00167935"/>
    <w:rsid w:val="00171BB5"/>
    <w:rsid w:val="00172A27"/>
    <w:rsid w:val="001734FF"/>
    <w:rsid w:val="00175861"/>
    <w:rsid w:val="00177C89"/>
    <w:rsid w:val="00177F3D"/>
    <w:rsid w:val="00182A03"/>
    <w:rsid w:val="00184812"/>
    <w:rsid w:val="00194A4F"/>
    <w:rsid w:val="00194E73"/>
    <w:rsid w:val="00197174"/>
    <w:rsid w:val="001A3F29"/>
    <w:rsid w:val="001A56E9"/>
    <w:rsid w:val="001A5A88"/>
    <w:rsid w:val="001A60BF"/>
    <w:rsid w:val="001A7C06"/>
    <w:rsid w:val="001B7D22"/>
    <w:rsid w:val="001C5E7E"/>
    <w:rsid w:val="001C67C6"/>
    <w:rsid w:val="001C69E5"/>
    <w:rsid w:val="001C6BFD"/>
    <w:rsid w:val="001C6E7E"/>
    <w:rsid w:val="001D1DDF"/>
    <w:rsid w:val="001D2CBD"/>
    <w:rsid w:val="001D4810"/>
    <w:rsid w:val="001D4EAE"/>
    <w:rsid w:val="001E0B66"/>
    <w:rsid w:val="001E156F"/>
    <w:rsid w:val="001E2BE8"/>
    <w:rsid w:val="001E67FE"/>
    <w:rsid w:val="001F045B"/>
    <w:rsid w:val="001F1366"/>
    <w:rsid w:val="001F257B"/>
    <w:rsid w:val="001F304C"/>
    <w:rsid w:val="001F3BC2"/>
    <w:rsid w:val="001F6CEC"/>
    <w:rsid w:val="001F7016"/>
    <w:rsid w:val="00201557"/>
    <w:rsid w:val="0020437E"/>
    <w:rsid w:val="002058BA"/>
    <w:rsid w:val="00211EAD"/>
    <w:rsid w:val="002122AF"/>
    <w:rsid w:val="0021283D"/>
    <w:rsid w:val="00214BAF"/>
    <w:rsid w:val="00215C05"/>
    <w:rsid w:val="00215E2C"/>
    <w:rsid w:val="002222AC"/>
    <w:rsid w:val="002237DA"/>
    <w:rsid w:val="00224208"/>
    <w:rsid w:val="00227709"/>
    <w:rsid w:val="002300E0"/>
    <w:rsid w:val="002301EA"/>
    <w:rsid w:val="00231AA1"/>
    <w:rsid w:val="00231DB7"/>
    <w:rsid w:val="00232131"/>
    <w:rsid w:val="00236508"/>
    <w:rsid w:val="00244ACB"/>
    <w:rsid w:val="0025006A"/>
    <w:rsid w:val="002506CE"/>
    <w:rsid w:val="00251182"/>
    <w:rsid w:val="00257803"/>
    <w:rsid w:val="00257B75"/>
    <w:rsid w:val="00267680"/>
    <w:rsid w:val="002727C1"/>
    <w:rsid w:val="00272A64"/>
    <w:rsid w:val="00277AAD"/>
    <w:rsid w:val="0028214E"/>
    <w:rsid w:val="00283340"/>
    <w:rsid w:val="00293CAD"/>
    <w:rsid w:val="002946D6"/>
    <w:rsid w:val="00295CCC"/>
    <w:rsid w:val="00295D2F"/>
    <w:rsid w:val="00297BF0"/>
    <w:rsid w:val="002A2727"/>
    <w:rsid w:val="002B3FF0"/>
    <w:rsid w:val="002B4788"/>
    <w:rsid w:val="002C6416"/>
    <w:rsid w:val="002C7354"/>
    <w:rsid w:val="002D2BC6"/>
    <w:rsid w:val="002D5EC3"/>
    <w:rsid w:val="002D5F40"/>
    <w:rsid w:val="002E00AB"/>
    <w:rsid w:val="002E1F6C"/>
    <w:rsid w:val="002E202F"/>
    <w:rsid w:val="002E4B16"/>
    <w:rsid w:val="002E59EC"/>
    <w:rsid w:val="002F0ECF"/>
    <w:rsid w:val="002F1AEC"/>
    <w:rsid w:val="002F57AE"/>
    <w:rsid w:val="002F71DD"/>
    <w:rsid w:val="002F75A4"/>
    <w:rsid w:val="003025C3"/>
    <w:rsid w:val="00302C49"/>
    <w:rsid w:val="003055D5"/>
    <w:rsid w:val="003071D1"/>
    <w:rsid w:val="00310596"/>
    <w:rsid w:val="003124D9"/>
    <w:rsid w:val="00312A68"/>
    <w:rsid w:val="00314456"/>
    <w:rsid w:val="00316600"/>
    <w:rsid w:val="003171C2"/>
    <w:rsid w:val="00317598"/>
    <w:rsid w:val="00322541"/>
    <w:rsid w:val="0032337F"/>
    <w:rsid w:val="00325423"/>
    <w:rsid w:val="00327384"/>
    <w:rsid w:val="0033100A"/>
    <w:rsid w:val="0033113E"/>
    <w:rsid w:val="003326D7"/>
    <w:rsid w:val="0033529E"/>
    <w:rsid w:val="003364DD"/>
    <w:rsid w:val="003368B5"/>
    <w:rsid w:val="00337AA8"/>
    <w:rsid w:val="00343130"/>
    <w:rsid w:val="0034534E"/>
    <w:rsid w:val="003456AC"/>
    <w:rsid w:val="00350335"/>
    <w:rsid w:val="003503C4"/>
    <w:rsid w:val="00351488"/>
    <w:rsid w:val="003533E9"/>
    <w:rsid w:val="0035431C"/>
    <w:rsid w:val="003574E2"/>
    <w:rsid w:val="00363462"/>
    <w:rsid w:val="0036352D"/>
    <w:rsid w:val="0036645C"/>
    <w:rsid w:val="00367001"/>
    <w:rsid w:val="00375FB4"/>
    <w:rsid w:val="0038085D"/>
    <w:rsid w:val="00382E82"/>
    <w:rsid w:val="00383C8D"/>
    <w:rsid w:val="0038493B"/>
    <w:rsid w:val="00387200"/>
    <w:rsid w:val="003873F3"/>
    <w:rsid w:val="003926E8"/>
    <w:rsid w:val="00393AE5"/>
    <w:rsid w:val="003963FB"/>
    <w:rsid w:val="003A2694"/>
    <w:rsid w:val="003A5BA7"/>
    <w:rsid w:val="003A618C"/>
    <w:rsid w:val="003A7013"/>
    <w:rsid w:val="003B079C"/>
    <w:rsid w:val="003B18C7"/>
    <w:rsid w:val="003B4C22"/>
    <w:rsid w:val="003C22F0"/>
    <w:rsid w:val="003C2E49"/>
    <w:rsid w:val="003C38F5"/>
    <w:rsid w:val="003C61B3"/>
    <w:rsid w:val="003C7F59"/>
    <w:rsid w:val="003D358E"/>
    <w:rsid w:val="003D6D70"/>
    <w:rsid w:val="003D6E56"/>
    <w:rsid w:val="003E0584"/>
    <w:rsid w:val="003E1BEB"/>
    <w:rsid w:val="003E1FD8"/>
    <w:rsid w:val="003E2037"/>
    <w:rsid w:val="003E405E"/>
    <w:rsid w:val="003E709A"/>
    <w:rsid w:val="003E71F4"/>
    <w:rsid w:val="003F7197"/>
    <w:rsid w:val="003F7CA5"/>
    <w:rsid w:val="00401C80"/>
    <w:rsid w:val="004047E9"/>
    <w:rsid w:val="0040664E"/>
    <w:rsid w:val="004118E6"/>
    <w:rsid w:val="00412C57"/>
    <w:rsid w:val="004146AD"/>
    <w:rsid w:val="0041518A"/>
    <w:rsid w:val="00415B5F"/>
    <w:rsid w:val="00415D00"/>
    <w:rsid w:val="00420265"/>
    <w:rsid w:val="00420A2B"/>
    <w:rsid w:val="004211FC"/>
    <w:rsid w:val="0042143F"/>
    <w:rsid w:val="00423E2E"/>
    <w:rsid w:val="00427202"/>
    <w:rsid w:val="00432B7B"/>
    <w:rsid w:val="00441859"/>
    <w:rsid w:val="00444447"/>
    <w:rsid w:val="00447719"/>
    <w:rsid w:val="004506ED"/>
    <w:rsid w:val="00452497"/>
    <w:rsid w:val="00452786"/>
    <w:rsid w:val="004566DD"/>
    <w:rsid w:val="00456CB8"/>
    <w:rsid w:val="00462322"/>
    <w:rsid w:val="00464E9B"/>
    <w:rsid w:val="00464F09"/>
    <w:rsid w:val="004700A6"/>
    <w:rsid w:val="00470F6D"/>
    <w:rsid w:val="00471152"/>
    <w:rsid w:val="00471350"/>
    <w:rsid w:val="00472F1E"/>
    <w:rsid w:val="004744FA"/>
    <w:rsid w:val="00474A3F"/>
    <w:rsid w:val="0047521D"/>
    <w:rsid w:val="00475F92"/>
    <w:rsid w:val="00476D40"/>
    <w:rsid w:val="004770AB"/>
    <w:rsid w:val="004812B4"/>
    <w:rsid w:val="00483A88"/>
    <w:rsid w:val="004843DD"/>
    <w:rsid w:val="00486AA9"/>
    <w:rsid w:val="00487537"/>
    <w:rsid w:val="00491BAA"/>
    <w:rsid w:val="00492CE1"/>
    <w:rsid w:val="00494C21"/>
    <w:rsid w:val="004A39D0"/>
    <w:rsid w:val="004A3A59"/>
    <w:rsid w:val="004B092D"/>
    <w:rsid w:val="004B4688"/>
    <w:rsid w:val="004B4795"/>
    <w:rsid w:val="004B542F"/>
    <w:rsid w:val="004B7196"/>
    <w:rsid w:val="004C0C8D"/>
    <w:rsid w:val="004C1535"/>
    <w:rsid w:val="004C1568"/>
    <w:rsid w:val="004C1A3A"/>
    <w:rsid w:val="004C43B8"/>
    <w:rsid w:val="004D46EB"/>
    <w:rsid w:val="004D7423"/>
    <w:rsid w:val="004D7A05"/>
    <w:rsid w:val="004E2A16"/>
    <w:rsid w:val="004E33EA"/>
    <w:rsid w:val="004E74F8"/>
    <w:rsid w:val="004F0C1E"/>
    <w:rsid w:val="004F3DD8"/>
    <w:rsid w:val="004F6DEE"/>
    <w:rsid w:val="00502CDA"/>
    <w:rsid w:val="00505D4A"/>
    <w:rsid w:val="00506296"/>
    <w:rsid w:val="005068E7"/>
    <w:rsid w:val="00510022"/>
    <w:rsid w:val="00514CAD"/>
    <w:rsid w:val="005216BB"/>
    <w:rsid w:val="005224BE"/>
    <w:rsid w:val="005263B5"/>
    <w:rsid w:val="00527DB9"/>
    <w:rsid w:val="0053080A"/>
    <w:rsid w:val="00540D18"/>
    <w:rsid w:val="00541E6A"/>
    <w:rsid w:val="005477FF"/>
    <w:rsid w:val="005560F6"/>
    <w:rsid w:val="00563E0A"/>
    <w:rsid w:val="00566FB2"/>
    <w:rsid w:val="00574091"/>
    <w:rsid w:val="00576622"/>
    <w:rsid w:val="00576656"/>
    <w:rsid w:val="00580720"/>
    <w:rsid w:val="00580C4D"/>
    <w:rsid w:val="00591D52"/>
    <w:rsid w:val="005936A2"/>
    <w:rsid w:val="00596296"/>
    <w:rsid w:val="00596B6B"/>
    <w:rsid w:val="005A0F1C"/>
    <w:rsid w:val="005A3835"/>
    <w:rsid w:val="005B0A27"/>
    <w:rsid w:val="005B0C8B"/>
    <w:rsid w:val="005B2D77"/>
    <w:rsid w:val="005B4078"/>
    <w:rsid w:val="005B47D0"/>
    <w:rsid w:val="005B7816"/>
    <w:rsid w:val="005B7D81"/>
    <w:rsid w:val="005C02AD"/>
    <w:rsid w:val="005C177A"/>
    <w:rsid w:val="005C3038"/>
    <w:rsid w:val="005C4835"/>
    <w:rsid w:val="005C54FA"/>
    <w:rsid w:val="005C72F4"/>
    <w:rsid w:val="005C73D9"/>
    <w:rsid w:val="005C7481"/>
    <w:rsid w:val="005C7ABB"/>
    <w:rsid w:val="005C7BB4"/>
    <w:rsid w:val="005D54AD"/>
    <w:rsid w:val="005E09A7"/>
    <w:rsid w:val="005E3B7E"/>
    <w:rsid w:val="005E7450"/>
    <w:rsid w:val="006031BE"/>
    <w:rsid w:val="0060456E"/>
    <w:rsid w:val="0060475F"/>
    <w:rsid w:val="00604E4A"/>
    <w:rsid w:val="00606A99"/>
    <w:rsid w:val="00615AD3"/>
    <w:rsid w:val="00621848"/>
    <w:rsid w:val="0062373E"/>
    <w:rsid w:val="00623ADC"/>
    <w:rsid w:val="00623B05"/>
    <w:rsid w:val="00623F58"/>
    <w:rsid w:val="006275DF"/>
    <w:rsid w:val="0063039F"/>
    <w:rsid w:val="00635489"/>
    <w:rsid w:val="00636B27"/>
    <w:rsid w:val="00640CAA"/>
    <w:rsid w:val="00641E64"/>
    <w:rsid w:val="00646EAA"/>
    <w:rsid w:val="00651FE6"/>
    <w:rsid w:val="0065406D"/>
    <w:rsid w:val="00656833"/>
    <w:rsid w:val="00657D1F"/>
    <w:rsid w:val="006623A1"/>
    <w:rsid w:val="006645CB"/>
    <w:rsid w:val="0066488E"/>
    <w:rsid w:val="00664E9A"/>
    <w:rsid w:val="00667387"/>
    <w:rsid w:val="006678F4"/>
    <w:rsid w:val="00670A97"/>
    <w:rsid w:val="00673967"/>
    <w:rsid w:val="00673D56"/>
    <w:rsid w:val="00682DB9"/>
    <w:rsid w:val="00683D5B"/>
    <w:rsid w:val="00684F45"/>
    <w:rsid w:val="00686D78"/>
    <w:rsid w:val="0069087B"/>
    <w:rsid w:val="00692AE9"/>
    <w:rsid w:val="00694B6D"/>
    <w:rsid w:val="006952B2"/>
    <w:rsid w:val="00696930"/>
    <w:rsid w:val="006A1717"/>
    <w:rsid w:val="006A54A9"/>
    <w:rsid w:val="006A5BFC"/>
    <w:rsid w:val="006B13AD"/>
    <w:rsid w:val="006B290D"/>
    <w:rsid w:val="006C046F"/>
    <w:rsid w:val="006C20C0"/>
    <w:rsid w:val="006C4D9A"/>
    <w:rsid w:val="006C5577"/>
    <w:rsid w:val="006D0C63"/>
    <w:rsid w:val="006D1266"/>
    <w:rsid w:val="006D13FF"/>
    <w:rsid w:val="006D4B62"/>
    <w:rsid w:val="006D5330"/>
    <w:rsid w:val="006D7E87"/>
    <w:rsid w:val="006E0E9C"/>
    <w:rsid w:val="006E359A"/>
    <w:rsid w:val="006E5891"/>
    <w:rsid w:val="006E6667"/>
    <w:rsid w:val="006F7FE8"/>
    <w:rsid w:val="007005D5"/>
    <w:rsid w:val="00700FE9"/>
    <w:rsid w:val="00701F8D"/>
    <w:rsid w:val="00702C7C"/>
    <w:rsid w:val="007036F8"/>
    <w:rsid w:val="00707316"/>
    <w:rsid w:val="007073F9"/>
    <w:rsid w:val="00707487"/>
    <w:rsid w:val="0071135A"/>
    <w:rsid w:val="007143F4"/>
    <w:rsid w:val="007151E7"/>
    <w:rsid w:val="00715C1F"/>
    <w:rsid w:val="00716C23"/>
    <w:rsid w:val="00721853"/>
    <w:rsid w:val="007275E7"/>
    <w:rsid w:val="007308FC"/>
    <w:rsid w:val="00730FED"/>
    <w:rsid w:val="00735BF0"/>
    <w:rsid w:val="007366CB"/>
    <w:rsid w:val="00742589"/>
    <w:rsid w:val="007431A7"/>
    <w:rsid w:val="0074470B"/>
    <w:rsid w:val="00746866"/>
    <w:rsid w:val="007502A4"/>
    <w:rsid w:val="0075040C"/>
    <w:rsid w:val="00750B23"/>
    <w:rsid w:val="00751DFA"/>
    <w:rsid w:val="00753CB7"/>
    <w:rsid w:val="00757445"/>
    <w:rsid w:val="00761F7A"/>
    <w:rsid w:val="00762E2F"/>
    <w:rsid w:val="00763C2D"/>
    <w:rsid w:val="00764FC0"/>
    <w:rsid w:val="007677DB"/>
    <w:rsid w:val="00767A51"/>
    <w:rsid w:val="007713D9"/>
    <w:rsid w:val="00774927"/>
    <w:rsid w:val="007808CB"/>
    <w:rsid w:val="00780B70"/>
    <w:rsid w:val="00781292"/>
    <w:rsid w:val="007858EF"/>
    <w:rsid w:val="00786FBC"/>
    <w:rsid w:val="00792D10"/>
    <w:rsid w:val="0079474C"/>
    <w:rsid w:val="00795CE8"/>
    <w:rsid w:val="007A0E4C"/>
    <w:rsid w:val="007A3AA0"/>
    <w:rsid w:val="007A423F"/>
    <w:rsid w:val="007A6AD8"/>
    <w:rsid w:val="007A6C72"/>
    <w:rsid w:val="007A6DD7"/>
    <w:rsid w:val="007A7B42"/>
    <w:rsid w:val="007B11B8"/>
    <w:rsid w:val="007B20F9"/>
    <w:rsid w:val="007B5834"/>
    <w:rsid w:val="007B5E44"/>
    <w:rsid w:val="007B6CD5"/>
    <w:rsid w:val="007C3B55"/>
    <w:rsid w:val="007D2B6D"/>
    <w:rsid w:val="007D363C"/>
    <w:rsid w:val="007E08E8"/>
    <w:rsid w:val="007E39D1"/>
    <w:rsid w:val="007E4861"/>
    <w:rsid w:val="007F1751"/>
    <w:rsid w:val="007F1EAC"/>
    <w:rsid w:val="007F317D"/>
    <w:rsid w:val="007F455F"/>
    <w:rsid w:val="007F60C0"/>
    <w:rsid w:val="00801842"/>
    <w:rsid w:val="0080226D"/>
    <w:rsid w:val="008058EC"/>
    <w:rsid w:val="008065FF"/>
    <w:rsid w:val="00806842"/>
    <w:rsid w:val="0080693E"/>
    <w:rsid w:val="0080717E"/>
    <w:rsid w:val="008122DB"/>
    <w:rsid w:val="008145E7"/>
    <w:rsid w:val="00814E5E"/>
    <w:rsid w:val="00815EAE"/>
    <w:rsid w:val="008207DE"/>
    <w:rsid w:val="0082253E"/>
    <w:rsid w:val="008229FA"/>
    <w:rsid w:val="008245D8"/>
    <w:rsid w:val="00824C39"/>
    <w:rsid w:val="00826811"/>
    <w:rsid w:val="008301FE"/>
    <w:rsid w:val="00831638"/>
    <w:rsid w:val="008316A7"/>
    <w:rsid w:val="00832A8E"/>
    <w:rsid w:val="00832B00"/>
    <w:rsid w:val="0083403A"/>
    <w:rsid w:val="00836706"/>
    <w:rsid w:val="00842D12"/>
    <w:rsid w:val="008459B5"/>
    <w:rsid w:val="00845CBC"/>
    <w:rsid w:val="00847E1E"/>
    <w:rsid w:val="00850A62"/>
    <w:rsid w:val="0085215E"/>
    <w:rsid w:val="00853AF0"/>
    <w:rsid w:val="0085441E"/>
    <w:rsid w:val="008568B5"/>
    <w:rsid w:val="00861BD7"/>
    <w:rsid w:val="00862D96"/>
    <w:rsid w:val="008635EF"/>
    <w:rsid w:val="008659EA"/>
    <w:rsid w:val="00870966"/>
    <w:rsid w:val="00870BE2"/>
    <w:rsid w:val="00872D2D"/>
    <w:rsid w:val="00872F85"/>
    <w:rsid w:val="00873073"/>
    <w:rsid w:val="00874082"/>
    <w:rsid w:val="008810EA"/>
    <w:rsid w:val="00881A9D"/>
    <w:rsid w:val="00883858"/>
    <w:rsid w:val="008855D2"/>
    <w:rsid w:val="00886996"/>
    <w:rsid w:val="00886C48"/>
    <w:rsid w:val="00887EA7"/>
    <w:rsid w:val="00890A03"/>
    <w:rsid w:val="00892B3E"/>
    <w:rsid w:val="00896522"/>
    <w:rsid w:val="008A11D7"/>
    <w:rsid w:val="008A3BAE"/>
    <w:rsid w:val="008A3DE0"/>
    <w:rsid w:val="008A4063"/>
    <w:rsid w:val="008A4BAE"/>
    <w:rsid w:val="008A5751"/>
    <w:rsid w:val="008A6A43"/>
    <w:rsid w:val="008A7EF2"/>
    <w:rsid w:val="008B1AFF"/>
    <w:rsid w:val="008B2F53"/>
    <w:rsid w:val="008B542B"/>
    <w:rsid w:val="008B5BF5"/>
    <w:rsid w:val="008B6360"/>
    <w:rsid w:val="008C0245"/>
    <w:rsid w:val="008C3392"/>
    <w:rsid w:val="008C78B6"/>
    <w:rsid w:val="008D3CDD"/>
    <w:rsid w:val="008D4748"/>
    <w:rsid w:val="008D49E1"/>
    <w:rsid w:val="008D5915"/>
    <w:rsid w:val="008D6189"/>
    <w:rsid w:val="008E1411"/>
    <w:rsid w:val="008E1894"/>
    <w:rsid w:val="008E2DE4"/>
    <w:rsid w:val="008E2EB1"/>
    <w:rsid w:val="008E57B7"/>
    <w:rsid w:val="008F5D43"/>
    <w:rsid w:val="008F5D82"/>
    <w:rsid w:val="008F6404"/>
    <w:rsid w:val="008F6805"/>
    <w:rsid w:val="009017F5"/>
    <w:rsid w:val="0090217F"/>
    <w:rsid w:val="00907445"/>
    <w:rsid w:val="00910A57"/>
    <w:rsid w:val="00911134"/>
    <w:rsid w:val="00912F00"/>
    <w:rsid w:val="009137D3"/>
    <w:rsid w:val="00923103"/>
    <w:rsid w:val="009237A9"/>
    <w:rsid w:val="009246A6"/>
    <w:rsid w:val="0092595A"/>
    <w:rsid w:val="009263C1"/>
    <w:rsid w:val="00927233"/>
    <w:rsid w:val="00935A6B"/>
    <w:rsid w:val="009376B8"/>
    <w:rsid w:val="00940EB3"/>
    <w:rsid w:val="00943020"/>
    <w:rsid w:val="00943A17"/>
    <w:rsid w:val="00947DF3"/>
    <w:rsid w:val="009508BB"/>
    <w:rsid w:val="00950AC5"/>
    <w:rsid w:val="00951D42"/>
    <w:rsid w:val="0095246F"/>
    <w:rsid w:val="00955532"/>
    <w:rsid w:val="0095767F"/>
    <w:rsid w:val="00957835"/>
    <w:rsid w:val="00957FC3"/>
    <w:rsid w:val="00964928"/>
    <w:rsid w:val="009650AF"/>
    <w:rsid w:val="009673DD"/>
    <w:rsid w:val="009700B0"/>
    <w:rsid w:val="00970CA5"/>
    <w:rsid w:val="00971685"/>
    <w:rsid w:val="009723ED"/>
    <w:rsid w:val="00972AED"/>
    <w:rsid w:val="009738D1"/>
    <w:rsid w:val="00974C57"/>
    <w:rsid w:val="00976B74"/>
    <w:rsid w:val="00980E01"/>
    <w:rsid w:val="0098277B"/>
    <w:rsid w:val="00991DA1"/>
    <w:rsid w:val="00992128"/>
    <w:rsid w:val="00993E72"/>
    <w:rsid w:val="00995AFD"/>
    <w:rsid w:val="009A03FC"/>
    <w:rsid w:val="009A186A"/>
    <w:rsid w:val="009A1B54"/>
    <w:rsid w:val="009A210A"/>
    <w:rsid w:val="009A30FD"/>
    <w:rsid w:val="009A4B34"/>
    <w:rsid w:val="009A71C7"/>
    <w:rsid w:val="009B0539"/>
    <w:rsid w:val="009B0CB2"/>
    <w:rsid w:val="009B142B"/>
    <w:rsid w:val="009B2209"/>
    <w:rsid w:val="009B2EF9"/>
    <w:rsid w:val="009B4585"/>
    <w:rsid w:val="009B5670"/>
    <w:rsid w:val="009B5A74"/>
    <w:rsid w:val="009C122E"/>
    <w:rsid w:val="009C6CEE"/>
    <w:rsid w:val="009C77A4"/>
    <w:rsid w:val="009D2069"/>
    <w:rsid w:val="009D45C6"/>
    <w:rsid w:val="009D4D2C"/>
    <w:rsid w:val="009E21A8"/>
    <w:rsid w:val="009E4255"/>
    <w:rsid w:val="009F3EA3"/>
    <w:rsid w:val="009F5ECB"/>
    <w:rsid w:val="00A009DD"/>
    <w:rsid w:val="00A01565"/>
    <w:rsid w:val="00A10740"/>
    <w:rsid w:val="00A10C89"/>
    <w:rsid w:val="00A11A1F"/>
    <w:rsid w:val="00A1230A"/>
    <w:rsid w:val="00A12DDB"/>
    <w:rsid w:val="00A14CEA"/>
    <w:rsid w:val="00A15773"/>
    <w:rsid w:val="00A15FE8"/>
    <w:rsid w:val="00A22A82"/>
    <w:rsid w:val="00A25108"/>
    <w:rsid w:val="00A254B3"/>
    <w:rsid w:val="00A324B0"/>
    <w:rsid w:val="00A42937"/>
    <w:rsid w:val="00A42C40"/>
    <w:rsid w:val="00A470BB"/>
    <w:rsid w:val="00A5111A"/>
    <w:rsid w:val="00A54D8D"/>
    <w:rsid w:val="00A56C82"/>
    <w:rsid w:val="00A572E4"/>
    <w:rsid w:val="00A6025B"/>
    <w:rsid w:val="00A651CC"/>
    <w:rsid w:val="00A658A3"/>
    <w:rsid w:val="00A70103"/>
    <w:rsid w:val="00A75DF3"/>
    <w:rsid w:val="00A76890"/>
    <w:rsid w:val="00A800B2"/>
    <w:rsid w:val="00A8058A"/>
    <w:rsid w:val="00A84BC5"/>
    <w:rsid w:val="00A84E5F"/>
    <w:rsid w:val="00A936FF"/>
    <w:rsid w:val="00A94C4E"/>
    <w:rsid w:val="00A96EB6"/>
    <w:rsid w:val="00AA1F4F"/>
    <w:rsid w:val="00AA3347"/>
    <w:rsid w:val="00AB0D58"/>
    <w:rsid w:val="00AB2BA9"/>
    <w:rsid w:val="00AB2C5B"/>
    <w:rsid w:val="00AB2D76"/>
    <w:rsid w:val="00AB6CC4"/>
    <w:rsid w:val="00AB7C73"/>
    <w:rsid w:val="00AC600D"/>
    <w:rsid w:val="00AC67CA"/>
    <w:rsid w:val="00AC7043"/>
    <w:rsid w:val="00AD0A2B"/>
    <w:rsid w:val="00AD7251"/>
    <w:rsid w:val="00AD7324"/>
    <w:rsid w:val="00AD7A64"/>
    <w:rsid w:val="00AE3869"/>
    <w:rsid w:val="00AE798C"/>
    <w:rsid w:val="00AF2F54"/>
    <w:rsid w:val="00AF7294"/>
    <w:rsid w:val="00AF77AD"/>
    <w:rsid w:val="00B01883"/>
    <w:rsid w:val="00B0366D"/>
    <w:rsid w:val="00B03D62"/>
    <w:rsid w:val="00B06EFF"/>
    <w:rsid w:val="00B0783C"/>
    <w:rsid w:val="00B0799E"/>
    <w:rsid w:val="00B121D5"/>
    <w:rsid w:val="00B147BF"/>
    <w:rsid w:val="00B1776A"/>
    <w:rsid w:val="00B201A0"/>
    <w:rsid w:val="00B20774"/>
    <w:rsid w:val="00B207AF"/>
    <w:rsid w:val="00B24A52"/>
    <w:rsid w:val="00B3011B"/>
    <w:rsid w:val="00B302C5"/>
    <w:rsid w:val="00B313C5"/>
    <w:rsid w:val="00B3147F"/>
    <w:rsid w:val="00B33686"/>
    <w:rsid w:val="00B34321"/>
    <w:rsid w:val="00B35543"/>
    <w:rsid w:val="00B36CAF"/>
    <w:rsid w:val="00B400E1"/>
    <w:rsid w:val="00B40AC1"/>
    <w:rsid w:val="00B40D7F"/>
    <w:rsid w:val="00B4101C"/>
    <w:rsid w:val="00B44376"/>
    <w:rsid w:val="00B4539F"/>
    <w:rsid w:val="00B47BA9"/>
    <w:rsid w:val="00B514D0"/>
    <w:rsid w:val="00B52E8C"/>
    <w:rsid w:val="00B53726"/>
    <w:rsid w:val="00B54338"/>
    <w:rsid w:val="00B63E8C"/>
    <w:rsid w:val="00B647EE"/>
    <w:rsid w:val="00B723C0"/>
    <w:rsid w:val="00B77D68"/>
    <w:rsid w:val="00B80D55"/>
    <w:rsid w:val="00B846B0"/>
    <w:rsid w:val="00B8651D"/>
    <w:rsid w:val="00B875F4"/>
    <w:rsid w:val="00B920ED"/>
    <w:rsid w:val="00B92120"/>
    <w:rsid w:val="00B93DC4"/>
    <w:rsid w:val="00BA6D51"/>
    <w:rsid w:val="00BA76D2"/>
    <w:rsid w:val="00BC0564"/>
    <w:rsid w:val="00BC0B3F"/>
    <w:rsid w:val="00BC6B39"/>
    <w:rsid w:val="00BD1B43"/>
    <w:rsid w:val="00BE0BA6"/>
    <w:rsid w:val="00BE19B6"/>
    <w:rsid w:val="00BE7E01"/>
    <w:rsid w:val="00BF0364"/>
    <w:rsid w:val="00BF0BE2"/>
    <w:rsid w:val="00BF2230"/>
    <w:rsid w:val="00BF2B47"/>
    <w:rsid w:val="00BF3844"/>
    <w:rsid w:val="00BF47B5"/>
    <w:rsid w:val="00BF59EE"/>
    <w:rsid w:val="00BF7B56"/>
    <w:rsid w:val="00C054E6"/>
    <w:rsid w:val="00C059C0"/>
    <w:rsid w:val="00C05EE5"/>
    <w:rsid w:val="00C06B6F"/>
    <w:rsid w:val="00C13765"/>
    <w:rsid w:val="00C216E5"/>
    <w:rsid w:val="00C2202D"/>
    <w:rsid w:val="00C223F1"/>
    <w:rsid w:val="00C24BB4"/>
    <w:rsid w:val="00C257A0"/>
    <w:rsid w:val="00C260CD"/>
    <w:rsid w:val="00C2643C"/>
    <w:rsid w:val="00C3191C"/>
    <w:rsid w:val="00C34348"/>
    <w:rsid w:val="00C368C4"/>
    <w:rsid w:val="00C40326"/>
    <w:rsid w:val="00C40832"/>
    <w:rsid w:val="00C44843"/>
    <w:rsid w:val="00C464F1"/>
    <w:rsid w:val="00C47122"/>
    <w:rsid w:val="00C50340"/>
    <w:rsid w:val="00C519B7"/>
    <w:rsid w:val="00C52CB2"/>
    <w:rsid w:val="00C57117"/>
    <w:rsid w:val="00C63B35"/>
    <w:rsid w:val="00C64EE7"/>
    <w:rsid w:val="00C658FB"/>
    <w:rsid w:val="00C661C9"/>
    <w:rsid w:val="00C6660F"/>
    <w:rsid w:val="00C670C2"/>
    <w:rsid w:val="00C67BD0"/>
    <w:rsid w:val="00C70471"/>
    <w:rsid w:val="00C70C38"/>
    <w:rsid w:val="00C70D4B"/>
    <w:rsid w:val="00C71E92"/>
    <w:rsid w:val="00C7365D"/>
    <w:rsid w:val="00C76794"/>
    <w:rsid w:val="00C76FC9"/>
    <w:rsid w:val="00C812EE"/>
    <w:rsid w:val="00C82A00"/>
    <w:rsid w:val="00C8689A"/>
    <w:rsid w:val="00C90320"/>
    <w:rsid w:val="00C90488"/>
    <w:rsid w:val="00C9091E"/>
    <w:rsid w:val="00C91493"/>
    <w:rsid w:val="00CA0267"/>
    <w:rsid w:val="00CA18B8"/>
    <w:rsid w:val="00CA559A"/>
    <w:rsid w:val="00CA7E4B"/>
    <w:rsid w:val="00CB15A9"/>
    <w:rsid w:val="00CB1889"/>
    <w:rsid w:val="00CB1E90"/>
    <w:rsid w:val="00CB4B24"/>
    <w:rsid w:val="00CB67BA"/>
    <w:rsid w:val="00CC137C"/>
    <w:rsid w:val="00CC2389"/>
    <w:rsid w:val="00CC44F8"/>
    <w:rsid w:val="00CC65F6"/>
    <w:rsid w:val="00CC79F9"/>
    <w:rsid w:val="00CD08FA"/>
    <w:rsid w:val="00CD26D9"/>
    <w:rsid w:val="00CD4F37"/>
    <w:rsid w:val="00CD6B3E"/>
    <w:rsid w:val="00CD6D50"/>
    <w:rsid w:val="00CD75FD"/>
    <w:rsid w:val="00CD76EE"/>
    <w:rsid w:val="00CE49CE"/>
    <w:rsid w:val="00CE4C50"/>
    <w:rsid w:val="00CE75F3"/>
    <w:rsid w:val="00CF034C"/>
    <w:rsid w:val="00CF382D"/>
    <w:rsid w:val="00CF4655"/>
    <w:rsid w:val="00CF6AD0"/>
    <w:rsid w:val="00D0000F"/>
    <w:rsid w:val="00D0252F"/>
    <w:rsid w:val="00D02E98"/>
    <w:rsid w:val="00D04782"/>
    <w:rsid w:val="00D07695"/>
    <w:rsid w:val="00D13964"/>
    <w:rsid w:val="00D162DF"/>
    <w:rsid w:val="00D20105"/>
    <w:rsid w:val="00D204AD"/>
    <w:rsid w:val="00D2057A"/>
    <w:rsid w:val="00D30754"/>
    <w:rsid w:val="00D31578"/>
    <w:rsid w:val="00D3171C"/>
    <w:rsid w:val="00D31BEE"/>
    <w:rsid w:val="00D31C55"/>
    <w:rsid w:val="00D329D8"/>
    <w:rsid w:val="00D32A02"/>
    <w:rsid w:val="00D33909"/>
    <w:rsid w:val="00D35527"/>
    <w:rsid w:val="00D37857"/>
    <w:rsid w:val="00D40544"/>
    <w:rsid w:val="00D446A7"/>
    <w:rsid w:val="00D55E03"/>
    <w:rsid w:val="00D56123"/>
    <w:rsid w:val="00D56354"/>
    <w:rsid w:val="00D56A34"/>
    <w:rsid w:val="00D57391"/>
    <w:rsid w:val="00D724C5"/>
    <w:rsid w:val="00D72F6B"/>
    <w:rsid w:val="00D73846"/>
    <w:rsid w:val="00D74622"/>
    <w:rsid w:val="00D747A2"/>
    <w:rsid w:val="00D77A2B"/>
    <w:rsid w:val="00D8040C"/>
    <w:rsid w:val="00D8191A"/>
    <w:rsid w:val="00D81BA4"/>
    <w:rsid w:val="00D860F2"/>
    <w:rsid w:val="00D875B7"/>
    <w:rsid w:val="00D902AC"/>
    <w:rsid w:val="00D91715"/>
    <w:rsid w:val="00D9498B"/>
    <w:rsid w:val="00D95C1F"/>
    <w:rsid w:val="00D960F2"/>
    <w:rsid w:val="00D96BEF"/>
    <w:rsid w:val="00DA082C"/>
    <w:rsid w:val="00DA0CCA"/>
    <w:rsid w:val="00DA23DB"/>
    <w:rsid w:val="00DB0EA3"/>
    <w:rsid w:val="00DB70CF"/>
    <w:rsid w:val="00DC12CC"/>
    <w:rsid w:val="00DC4358"/>
    <w:rsid w:val="00DD3159"/>
    <w:rsid w:val="00DD3758"/>
    <w:rsid w:val="00DD627B"/>
    <w:rsid w:val="00DD627E"/>
    <w:rsid w:val="00DE06F5"/>
    <w:rsid w:val="00DE2587"/>
    <w:rsid w:val="00DE26EA"/>
    <w:rsid w:val="00DE35C1"/>
    <w:rsid w:val="00DE3869"/>
    <w:rsid w:val="00DE7D85"/>
    <w:rsid w:val="00DF25F4"/>
    <w:rsid w:val="00DF35AB"/>
    <w:rsid w:val="00DF3B74"/>
    <w:rsid w:val="00DF5407"/>
    <w:rsid w:val="00E058DD"/>
    <w:rsid w:val="00E07AF0"/>
    <w:rsid w:val="00E1003A"/>
    <w:rsid w:val="00E12442"/>
    <w:rsid w:val="00E1364A"/>
    <w:rsid w:val="00E14FE0"/>
    <w:rsid w:val="00E16F44"/>
    <w:rsid w:val="00E217C8"/>
    <w:rsid w:val="00E25053"/>
    <w:rsid w:val="00E31E65"/>
    <w:rsid w:val="00E341C4"/>
    <w:rsid w:val="00E34AE4"/>
    <w:rsid w:val="00E37552"/>
    <w:rsid w:val="00E4195A"/>
    <w:rsid w:val="00E44F85"/>
    <w:rsid w:val="00E4575C"/>
    <w:rsid w:val="00E45A6B"/>
    <w:rsid w:val="00E46CAB"/>
    <w:rsid w:val="00E479D8"/>
    <w:rsid w:val="00E50AEA"/>
    <w:rsid w:val="00E52DA1"/>
    <w:rsid w:val="00E572F5"/>
    <w:rsid w:val="00E57A55"/>
    <w:rsid w:val="00E612A7"/>
    <w:rsid w:val="00E639F1"/>
    <w:rsid w:val="00E64E35"/>
    <w:rsid w:val="00E652C3"/>
    <w:rsid w:val="00E71820"/>
    <w:rsid w:val="00E73EC2"/>
    <w:rsid w:val="00E809A7"/>
    <w:rsid w:val="00E83D8D"/>
    <w:rsid w:val="00E854BA"/>
    <w:rsid w:val="00E90072"/>
    <w:rsid w:val="00E91E8E"/>
    <w:rsid w:val="00E931C7"/>
    <w:rsid w:val="00E97761"/>
    <w:rsid w:val="00EA374E"/>
    <w:rsid w:val="00EA4C0E"/>
    <w:rsid w:val="00EA7CA6"/>
    <w:rsid w:val="00EB1932"/>
    <w:rsid w:val="00EB28FE"/>
    <w:rsid w:val="00EB46D5"/>
    <w:rsid w:val="00EB47AD"/>
    <w:rsid w:val="00EB48D6"/>
    <w:rsid w:val="00EB68FE"/>
    <w:rsid w:val="00EC3076"/>
    <w:rsid w:val="00EC5089"/>
    <w:rsid w:val="00EC7BBD"/>
    <w:rsid w:val="00ED24D5"/>
    <w:rsid w:val="00ED3D77"/>
    <w:rsid w:val="00ED4E60"/>
    <w:rsid w:val="00ED7701"/>
    <w:rsid w:val="00EE0359"/>
    <w:rsid w:val="00EE3CD3"/>
    <w:rsid w:val="00EE7A44"/>
    <w:rsid w:val="00EE7DC7"/>
    <w:rsid w:val="00EF0021"/>
    <w:rsid w:val="00EF0885"/>
    <w:rsid w:val="00EF0A91"/>
    <w:rsid w:val="00EF0F53"/>
    <w:rsid w:val="00EF1B9B"/>
    <w:rsid w:val="00EF44FF"/>
    <w:rsid w:val="00EF671E"/>
    <w:rsid w:val="00F0258C"/>
    <w:rsid w:val="00F03223"/>
    <w:rsid w:val="00F052C5"/>
    <w:rsid w:val="00F1315D"/>
    <w:rsid w:val="00F14031"/>
    <w:rsid w:val="00F14E46"/>
    <w:rsid w:val="00F15606"/>
    <w:rsid w:val="00F1717D"/>
    <w:rsid w:val="00F21168"/>
    <w:rsid w:val="00F228B1"/>
    <w:rsid w:val="00F24B7E"/>
    <w:rsid w:val="00F3065A"/>
    <w:rsid w:val="00F3080E"/>
    <w:rsid w:val="00F31E53"/>
    <w:rsid w:val="00F333BD"/>
    <w:rsid w:val="00F354F7"/>
    <w:rsid w:val="00F35B51"/>
    <w:rsid w:val="00F366ED"/>
    <w:rsid w:val="00F37ECC"/>
    <w:rsid w:val="00F40754"/>
    <w:rsid w:val="00F42A4A"/>
    <w:rsid w:val="00F443A2"/>
    <w:rsid w:val="00F52F2B"/>
    <w:rsid w:val="00F53448"/>
    <w:rsid w:val="00F560F4"/>
    <w:rsid w:val="00F6147E"/>
    <w:rsid w:val="00F63516"/>
    <w:rsid w:val="00F656A4"/>
    <w:rsid w:val="00F657BD"/>
    <w:rsid w:val="00F71C60"/>
    <w:rsid w:val="00F725A6"/>
    <w:rsid w:val="00F73677"/>
    <w:rsid w:val="00F73BDE"/>
    <w:rsid w:val="00F76566"/>
    <w:rsid w:val="00F76608"/>
    <w:rsid w:val="00F82419"/>
    <w:rsid w:val="00F85CF3"/>
    <w:rsid w:val="00F864C8"/>
    <w:rsid w:val="00F90D05"/>
    <w:rsid w:val="00F91063"/>
    <w:rsid w:val="00F92941"/>
    <w:rsid w:val="00F9420C"/>
    <w:rsid w:val="00F9639B"/>
    <w:rsid w:val="00F97C3A"/>
    <w:rsid w:val="00FA03AD"/>
    <w:rsid w:val="00FA18EC"/>
    <w:rsid w:val="00FA1FBA"/>
    <w:rsid w:val="00FA48B1"/>
    <w:rsid w:val="00FA5620"/>
    <w:rsid w:val="00FA5807"/>
    <w:rsid w:val="00FA77CD"/>
    <w:rsid w:val="00FB277D"/>
    <w:rsid w:val="00FB2FB7"/>
    <w:rsid w:val="00FB5B81"/>
    <w:rsid w:val="00FB65B9"/>
    <w:rsid w:val="00FB6920"/>
    <w:rsid w:val="00FB6DB7"/>
    <w:rsid w:val="00FC2463"/>
    <w:rsid w:val="00FC328C"/>
    <w:rsid w:val="00FC3359"/>
    <w:rsid w:val="00FC351C"/>
    <w:rsid w:val="00FC48DC"/>
    <w:rsid w:val="00FD1185"/>
    <w:rsid w:val="00FD2B36"/>
    <w:rsid w:val="00FD437B"/>
    <w:rsid w:val="00FD440D"/>
    <w:rsid w:val="00FD5CB5"/>
    <w:rsid w:val="00FD6EAC"/>
    <w:rsid w:val="00FE090D"/>
    <w:rsid w:val="00FE1633"/>
    <w:rsid w:val="00FE1C90"/>
    <w:rsid w:val="00FE1DC4"/>
    <w:rsid w:val="00FE29C8"/>
    <w:rsid w:val="00FE2F1C"/>
    <w:rsid w:val="00FE3134"/>
    <w:rsid w:val="00FE3A0D"/>
    <w:rsid w:val="00FE4258"/>
    <w:rsid w:val="00FE4265"/>
    <w:rsid w:val="00FE5BFB"/>
    <w:rsid w:val="00FE60BD"/>
    <w:rsid w:val="00FE6109"/>
    <w:rsid w:val="00FE7CAB"/>
    <w:rsid w:val="00FF365E"/>
    <w:rsid w:val="00FF71BC"/>
    <w:rsid w:val="00FF73BA"/>
    <w:rsid w:val="00FF76B1"/>
    <w:rsid w:val="019D17D6"/>
    <w:rsid w:val="01AC51B5"/>
    <w:rsid w:val="01B464F1"/>
    <w:rsid w:val="01BA539F"/>
    <w:rsid w:val="025B2ED3"/>
    <w:rsid w:val="025C450C"/>
    <w:rsid w:val="027F7878"/>
    <w:rsid w:val="02AD6DDB"/>
    <w:rsid w:val="02F54EA7"/>
    <w:rsid w:val="02F71731"/>
    <w:rsid w:val="03050665"/>
    <w:rsid w:val="03080F4B"/>
    <w:rsid w:val="03401742"/>
    <w:rsid w:val="038C3302"/>
    <w:rsid w:val="038E5384"/>
    <w:rsid w:val="03C47CB5"/>
    <w:rsid w:val="0407258B"/>
    <w:rsid w:val="041A6267"/>
    <w:rsid w:val="04301B77"/>
    <w:rsid w:val="043F0BEF"/>
    <w:rsid w:val="046624DD"/>
    <w:rsid w:val="04760562"/>
    <w:rsid w:val="04B62086"/>
    <w:rsid w:val="04C813A7"/>
    <w:rsid w:val="04F057B0"/>
    <w:rsid w:val="05515C1A"/>
    <w:rsid w:val="057F00F9"/>
    <w:rsid w:val="0591036E"/>
    <w:rsid w:val="05D42D06"/>
    <w:rsid w:val="06292EF6"/>
    <w:rsid w:val="062F0FBB"/>
    <w:rsid w:val="063025CE"/>
    <w:rsid w:val="06524086"/>
    <w:rsid w:val="066D2F74"/>
    <w:rsid w:val="06E60BEB"/>
    <w:rsid w:val="06F83B77"/>
    <w:rsid w:val="06FB4545"/>
    <w:rsid w:val="07041C7C"/>
    <w:rsid w:val="072135C9"/>
    <w:rsid w:val="07260431"/>
    <w:rsid w:val="07633F44"/>
    <w:rsid w:val="07893F2F"/>
    <w:rsid w:val="07967704"/>
    <w:rsid w:val="07A80A75"/>
    <w:rsid w:val="07C31EEA"/>
    <w:rsid w:val="07CA0741"/>
    <w:rsid w:val="07D62989"/>
    <w:rsid w:val="07DE36B1"/>
    <w:rsid w:val="07E3799C"/>
    <w:rsid w:val="08117048"/>
    <w:rsid w:val="08142824"/>
    <w:rsid w:val="08386081"/>
    <w:rsid w:val="0871659C"/>
    <w:rsid w:val="08BF0805"/>
    <w:rsid w:val="090A25EF"/>
    <w:rsid w:val="090D1120"/>
    <w:rsid w:val="091A2527"/>
    <w:rsid w:val="09270AC2"/>
    <w:rsid w:val="092A1E51"/>
    <w:rsid w:val="094C2629"/>
    <w:rsid w:val="095D24B6"/>
    <w:rsid w:val="09684627"/>
    <w:rsid w:val="09CC179F"/>
    <w:rsid w:val="0ACC0FFC"/>
    <w:rsid w:val="0AE97553"/>
    <w:rsid w:val="0B035989"/>
    <w:rsid w:val="0B117E24"/>
    <w:rsid w:val="0B181ECC"/>
    <w:rsid w:val="0B2D0F2D"/>
    <w:rsid w:val="0B64183E"/>
    <w:rsid w:val="0BA20236"/>
    <w:rsid w:val="0BCF08C9"/>
    <w:rsid w:val="0C1F4225"/>
    <w:rsid w:val="0C2250D2"/>
    <w:rsid w:val="0C3D2350"/>
    <w:rsid w:val="0C4A5411"/>
    <w:rsid w:val="0CB0216B"/>
    <w:rsid w:val="0CF06602"/>
    <w:rsid w:val="0CF36FCF"/>
    <w:rsid w:val="0DA872E9"/>
    <w:rsid w:val="0DB84A71"/>
    <w:rsid w:val="0DF773BB"/>
    <w:rsid w:val="0DFC465D"/>
    <w:rsid w:val="0E043519"/>
    <w:rsid w:val="0E632A96"/>
    <w:rsid w:val="0E79042E"/>
    <w:rsid w:val="0E935DC5"/>
    <w:rsid w:val="0E9F02AB"/>
    <w:rsid w:val="0F385D0A"/>
    <w:rsid w:val="0F64775C"/>
    <w:rsid w:val="0F8E28A0"/>
    <w:rsid w:val="0FA537AF"/>
    <w:rsid w:val="0FB16876"/>
    <w:rsid w:val="0FE439C6"/>
    <w:rsid w:val="100E123C"/>
    <w:rsid w:val="104E5CD2"/>
    <w:rsid w:val="106A2EFF"/>
    <w:rsid w:val="108D426F"/>
    <w:rsid w:val="10A05B5F"/>
    <w:rsid w:val="11602CCB"/>
    <w:rsid w:val="1166553F"/>
    <w:rsid w:val="11FD776E"/>
    <w:rsid w:val="121B3D5A"/>
    <w:rsid w:val="12245CB4"/>
    <w:rsid w:val="12361BBD"/>
    <w:rsid w:val="12754DEC"/>
    <w:rsid w:val="12A97598"/>
    <w:rsid w:val="13692CE2"/>
    <w:rsid w:val="139A199E"/>
    <w:rsid w:val="13D275DB"/>
    <w:rsid w:val="13ED1131"/>
    <w:rsid w:val="141A5139"/>
    <w:rsid w:val="14355A50"/>
    <w:rsid w:val="146D2970"/>
    <w:rsid w:val="1498403D"/>
    <w:rsid w:val="14AE454D"/>
    <w:rsid w:val="14C3609B"/>
    <w:rsid w:val="14DC2960"/>
    <w:rsid w:val="153E73AC"/>
    <w:rsid w:val="157730F5"/>
    <w:rsid w:val="157E598A"/>
    <w:rsid w:val="15E47FC0"/>
    <w:rsid w:val="161D303A"/>
    <w:rsid w:val="167D7F25"/>
    <w:rsid w:val="1683247B"/>
    <w:rsid w:val="168B6EE8"/>
    <w:rsid w:val="16C75898"/>
    <w:rsid w:val="16E17832"/>
    <w:rsid w:val="16E57CD0"/>
    <w:rsid w:val="16FF55FF"/>
    <w:rsid w:val="171278B9"/>
    <w:rsid w:val="17134131"/>
    <w:rsid w:val="178506A4"/>
    <w:rsid w:val="17A4188C"/>
    <w:rsid w:val="17D26B92"/>
    <w:rsid w:val="17DC0CD3"/>
    <w:rsid w:val="18182D29"/>
    <w:rsid w:val="185E517A"/>
    <w:rsid w:val="18794BF8"/>
    <w:rsid w:val="187D3760"/>
    <w:rsid w:val="192D6391"/>
    <w:rsid w:val="19B37B85"/>
    <w:rsid w:val="19E15B44"/>
    <w:rsid w:val="19EE0504"/>
    <w:rsid w:val="1A5319DA"/>
    <w:rsid w:val="1A711D8B"/>
    <w:rsid w:val="1AE16104"/>
    <w:rsid w:val="1AF17F31"/>
    <w:rsid w:val="1B3C4564"/>
    <w:rsid w:val="1B4858C1"/>
    <w:rsid w:val="1BA73E95"/>
    <w:rsid w:val="1BE55780"/>
    <w:rsid w:val="1C034921"/>
    <w:rsid w:val="1C1C1D4D"/>
    <w:rsid w:val="1C4F3E28"/>
    <w:rsid w:val="1C7E0938"/>
    <w:rsid w:val="1C807DFC"/>
    <w:rsid w:val="1CB92566"/>
    <w:rsid w:val="1CD93628"/>
    <w:rsid w:val="1CEE4B08"/>
    <w:rsid w:val="1D1F356D"/>
    <w:rsid w:val="1D5A58D4"/>
    <w:rsid w:val="1D82204B"/>
    <w:rsid w:val="1DE72757"/>
    <w:rsid w:val="1DEB3366"/>
    <w:rsid w:val="1E34235C"/>
    <w:rsid w:val="1E8B1FCC"/>
    <w:rsid w:val="1EAF30E4"/>
    <w:rsid w:val="1ECE2E43"/>
    <w:rsid w:val="1ED66365"/>
    <w:rsid w:val="1EEE7E3C"/>
    <w:rsid w:val="1FEA2142"/>
    <w:rsid w:val="20170FA3"/>
    <w:rsid w:val="208A6F64"/>
    <w:rsid w:val="20977993"/>
    <w:rsid w:val="20A3683F"/>
    <w:rsid w:val="20D47939"/>
    <w:rsid w:val="20DF7A11"/>
    <w:rsid w:val="20EB098B"/>
    <w:rsid w:val="211572E5"/>
    <w:rsid w:val="219F7602"/>
    <w:rsid w:val="21A32866"/>
    <w:rsid w:val="21AC2E58"/>
    <w:rsid w:val="21CB1F2A"/>
    <w:rsid w:val="21D612B4"/>
    <w:rsid w:val="21F03DB5"/>
    <w:rsid w:val="22332075"/>
    <w:rsid w:val="22A66845"/>
    <w:rsid w:val="22AE1C1B"/>
    <w:rsid w:val="22C91495"/>
    <w:rsid w:val="232113D4"/>
    <w:rsid w:val="232D067E"/>
    <w:rsid w:val="2341589C"/>
    <w:rsid w:val="234A05BF"/>
    <w:rsid w:val="23756D90"/>
    <w:rsid w:val="23DF60E5"/>
    <w:rsid w:val="2414793C"/>
    <w:rsid w:val="2421287A"/>
    <w:rsid w:val="246133AF"/>
    <w:rsid w:val="24683AC9"/>
    <w:rsid w:val="24864B60"/>
    <w:rsid w:val="24931FF2"/>
    <w:rsid w:val="24957EF1"/>
    <w:rsid w:val="24B70CB3"/>
    <w:rsid w:val="24CE02A0"/>
    <w:rsid w:val="251C201C"/>
    <w:rsid w:val="253629FC"/>
    <w:rsid w:val="255E485B"/>
    <w:rsid w:val="25800399"/>
    <w:rsid w:val="25C246F9"/>
    <w:rsid w:val="25D67823"/>
    <w:rsid w:val="262C7350"/>
    <w:rsid w:val="26747800"/>
    <w:rsid w:val="26795443"/>
    <w:rsid w:val="26DA1D57"/>
    <w:rsid w:val="27070458"/>
    <w:rsid w:val="275460A8"/>
    <w:rsid w:val="27AF0A4F"/>
    <w:rsid w:val="28477883"/>
    <w:rsid w:val="28480D9A"/>
    <w:rsid w:val="285F2DF5"/>
    <w:rsid w:val="28717005"/>
    <w:rsid w:val="28847036"/>
    <w:rsid w:val="28D35FA8"/>
    <w:rsid w:val="29534485"/>
    <w:rsid w:val="29825CBA"/>
    <w:rsid w:val="29872FF1"/>
    <w:rsid w:val="29C102F5"/>
    <w:rsid w:val="29CF178B"/>
    <w:rsid w:val="2A060F5D"/>
    <w:rsid w:val="2A957C8D"/>
    <w:rsid w:val="2AAD4803"/>
    <w:rsid w:val="2AB82257"/>
    <w:rsid w:val="2AF63CE3"/>
    <w:rsid w:val="2B2B5E42"/>
    <w:rsid w:val="2B622A81"/>
    <w:rsid w:val="2B6C7C6C"/>
    <w:rsid w:val="2B725C07"/>
    <w:rsid w:val="2B976368"/>
    <w:rsid w:val="2BCC7CE8"/>
    <w:rsid w:val="2C1040D5"/>
    <w:rsid w:val="2C2F584A"/>
    <w:rsid w:val="2C3342E6"/>
    <w:rsid w:val="2C3755DD"/>
    <w:rsid w:val="2C455293"/>
    <w:rsid w:val="2C4C0BBC"/>
    <w:rsid w:val="2C8F68B4"/>
    <w:rsid w:val="2CBA495E"/>
    <w:rsid w:val="2CD73F65"/>
    <w:rsid w:val="2D480A0E"/>
    <w:rsid w:val="2D7B6048"/>
    <w:rsid w:val="2DFB34BF"/>
    <w:rsid w:val="2E021F56"/>
    <w:rsid w:val="2E047E4F"/>
    <w:rsid w:val="2E2915FC"/>
    <w:rsid w:val="2EA24BC5"/>
    <w:rsid w:val="2EBE19B9"/>
    <w:rsid w:val="2F233D32"/>
    <w:rsid w:val="2F593BD1"/>
    <w:rsid w:val="2F6243A8"/>
    <w:rsid w:val="2FBF443D"/>
    <w:rsid w:val="300768F4"/>
    <w:rsid w:val="301F2137"/>
    <w:rsid w:val="30207A3D"/>
    <w:rsid w:val="310C5845"/>
    <w:rsid w:val="31134D08"/>
    <w:rsid w:val="311D4A3C"/>
    <w:rsid w:val="313A3E94"/>
    <w:rsid w:val="316A1FBC"/>
    <w:rsid w:val="31943FD3"/>
    <w:rsid w:val="319C3904"/>
    <w:rsid w:val="31BF2411"/>
    <w:rsid w:val="3264422D"/>
    <w:rsid w:val="327D5113"/>
    <w:rsid w:val="32FE10F0"/>
    <w:rsid w:val="333850CD"/>
    <w:rsid w:val="333D6A89"/>
    <w:rsid w:val="339B7340"/>
    <w:rsid w:val="34214390"/>
    <w:rsid w:val="34A732ED"/>
    <w:rsid w:val="34BB24E5"/>
    <w:rsid w:val="34C319E9"/>
    <w:rsid w:val="34D00773"/>
    <w:rsid w:val="35245CC7"/>
    <w:rsid w:val="35822AF2"/>
    <w:rsid w:val="35B51CDA"/>
    <w:rsid w:val="35EC4B4B"/>
    <w:rsid w:val="35F32A0B"/>
    <w:rsid w:val="362C7D9D"/>
    <w:rsid w:val="36373507"/>
    <w:rsid w:val="366279C0"/>
    <w:rsid w:val="366C2B7A"/>
    <w:rsid w:val="36BB301C"/>
    <w:rsid w:val="36EA5304"/>
    <w:rsid w:val="370A3AE7"/>
    <w:rsid w:val="3724626A"/>
    <w:rsid w:val="376E5B09"/>
    <w:rsid w:val="38802235"/>
    <w:rsid w:val="388319AD"/>
    <w:rsid w:val="38B81A40"/>
    <w:rsid w:val="39067339"/>
    <w:rsid w:val="39343F1A"/>
    <w:rsid w:val="394F3FFD"/>
    <w:rsid w:val="3976326A"/>
    <w:rsid w:val="39996AFE"/>
    <w:rsid w:val="39B530DD"/>
    <w:rsid w:val="39F5448C"/>
    <w:rsid w:val="3A571C42"/>
    <w:rsid w:val="3AFF0FF4"/>
    <w:rsid w:val="3B111CE4"/>
    <w:rsid w:val="3B2631F6"/>
    <w:rsid w:val="3B2D10CB"/>
    <w:rsid w:val="3C531A60"/>
    <w:rsid w:val="3C5A4090"/>
    <w:rsid w:val="3C5C6DA6"/>
    <w:rsid w:val="3C6944AC"/>
    <w:rsid w:val="3C73300D"/>
    <w:rsid w:val="3C7477C5"/>
    <w:rsid w:val="3CD47ED8"/>
    <w:rsid w:val="3D132B81"/>
    <w:rsid w:val="3D872B79"/>
    <w:rsid w:val="3DC22D90"/>
    <w:rsid w:val="3DD96C38"/>
    <w:rsid w:val="3DEC77A2"/>
    <w:rsid w:val="3E15386E"/>
    <w:rsid w:val="3E4245B8"/>
    <w:rsid w:val="3EC7528A"/>
    <w:rsid w:val="3EE31FC0"/>
    <w:rsid w:val="3F0607D0"/>
    <w:rsid w:val="3F1358A8"/>
    <w:rsid w:val="3F23262A"/>
    <w:rsid w:val="3F3979C4"/>
    <w:rsid w:val="3F626061"/>
    <w:rsid w:val="3F6C1291"/>
    <w:rsid w:val="3F891D54"/>
    <w:rsid w:val="406E492C"/>
    <w:rsid w:val="409209AC"/>
    <w:rsid w:val="40A2492D"/>
    <w:rsid w:val="40AA465F"/>
    <w:rsid w:val="40CD71ED"/>
    <w:rsid w:val="40D50D0B"/>
    <w:rsid w:val="40DE77CB"/>
    <w:rsid w:val="410F47D3"/>
    <w:rsid w:val="41796A4F"/>
    <w:rsid w:val="418C02C8"/>
    <w:rsid w:val="418C3977"/>
    <w:rsid w:val="41AA3317"/>
    <w:rsid w:val="41AC44C7"/>
    <w:rsid w:val="4231115E"/>
    <w:rsid w:val="42383769"/>
    <w:rsid w:val="427A37E5"/>
    <w:rsid w:val="42CE782F"/>
    <w:rsid w:val="42E23D0F"/>
    <w:rsid w:val="43D8311B"/>
    <w:rsid w:val="43F263DD"/>
    <w:rsid w:val="44224F14"/>
    <w:rsid w:val="445C386B"/>
    <w:rsid w:val="44BF1605"/>
    <w:rsid w:val="44C657E0"/>
    <w:rsid w:val="44E94014"/>
    <w:rsid w:val="44EB351C"/>
    <w:rsid w:val="451B1918"/>
    <w:rsid w:val="45593B37"/>
    <w:rsid w:val="458A4DD6"/>
    <w:rsid w:val="45937CDD"/>
    <w:rsid w:val="45DD1A09"/>
    <w:rsid w:val="46550CCB"/>
    <w:rsid w:val="465D406B"/>
    <w:rsid w:val="467A1037"/>
    <w:rsid w:val="46972BD9"/>
    <w:rsid w:val="46C57481"/>
    <w:rsid w:val="471967E6"/>
    <w:rsid w:val="47280DB6"/>
    <w:rsid w:val="473D6649"/>
    <w:rsid w:val="474634F4"/>
    <w:rsid w:val="47582CFC"/>
    <w:rsid w:val="47671321"/>
    <w:rsid w:val="47716A67"/>
    <w:rsid w:val="479310D8"/>
    <w:rsid w:val="47973128"/>
    <w:rsid w:val="47B32504"/>
    <w:rsid w:val="47F5010D"/>
    <w:rsid w:val="48312BBB"/>
    <w:rsid w:val="485C2F4D"/>
    <w:rsid w:val="485D479A"/>
    <w:rsid w:val="486E6FDC"/>
    <w:rsid w:val="48883C0E"/>
    <w:rsid w:val="488C5052"/>
    <w:rsid w:val="48B573AB"/>
    <w:rsid w:val="48D2616D"/>
    <w:rsid w:val="48F549A5"/>
    <w:rsid w:val="491A2A7D"/>
    <w:rsid w:val="498A3957"/>
    <w:rsid w:val="49C9456F"/>
    <w:rsid w:val="4A144146"/>
    <w:rsid w:val="4A173149"/>
    <w:rsid w:val="4A4B07F6"/>
    <w:rsid w:val="4A964084"/>
    <w:rsid w:val="4A9C6FCD"/>
    <w:rsid w:val="4AEE3DA2"/>
    <w:rsid w:val="4AF16824"/>
    <w:rsid w:val="4B3D285E"/>
    <w:rsid w:val="4BE445C6"/>
    <w:rsid w:val="4BF93774"/>
    <w:rsid w:val="4C11482A"/>
    <w:rsid w:val="4C1A1ABE"/>
    <w:rsid w:val="4C637228"/>
    <w:rsid w:val="4CAD6B7A"/>
    <w:rsid w:val="4CCA3860"/>
    <w:rsid w:val="4CF27221"/>
    <w:rsid w:val="4CFA556C"/>
    <w:rsid w:val="4D5D2FCA"/>
    <w:rsid w:val="4DA14CBF"/>
    <w:rsid w:val="4DB24AD6"/>
    <w:rsid w:val="4DB55557"/>
    <w:rsid w:val="4DD21EA1"/>
    <w:rsid w:val="4DDC48C8"/>
    <w:rsid w:val="4E366287"/>
    <w:rsid w:val="4E3A598D"/>
    <w:rsid w:val="4E62718B"/>
    <w:rsid w:val="4E8239E8"/>
    <w:rsid w:val="4EC458BF"/>
    <w:rsid w:val="4EE9459F"/>
    <w:rsid w:val="4F15369E"/>
    <w:rsid w:val="4F1D07B2"/>
    <w:rsid w:val="4F556549"/>
    <w:rsid w:val="4FAB66DC"/>
    <w:rsid w:val="4FC1510A"/>
    <w:rsid w:val="4FE53500"/>
    <w:rsid w:val="500607F8"/>
    <w:rsid w:val="50586823"/>
    <w:rsid w:val="50E84C0C"/>
    <w:rsid w:val="50F75301"/>
    <w:rsid w:val="514B6B3D"/>
    <w:rsid w:val="518E41EE"/>
    <w:rsid w:val="519B3B0D"/>
    <w:rsid w:val="52011A1A"/>
    <w:rsid w:val="52476931"/>
    <w:rsid w:val="525B4784"/>
    <w:rsid w:val="5265760A"/>
    <w:rsid w:val="5273103E"/>
    <w:rsid w:val="527F3225"/>
    <w:rsid w:val="52892EF5"/>
    <w:rsid w:val="52AD6C6B"/>
    <w:rsid w:val="538D33F4"/>
    <w:rsid w:val="53E374D4"/>
    <w:rsid w:val="54010DBF"/>
    <w:rsid w:val="543A0B31"/>
    <w:rsid w:val="544B0D04"/>
    <w:rsid w:val="54A16449"/>
    <w:rsid w:val="54EA08F0"/>
    <w:rsid w:val="550F3875"/>
    <w:rsid w:val="55360137"/>
    <w:rsid w:val="55CB6E14"/>
    <w:rsid w:val="55F41E1D"/>
    <w:rsid w:val="56451778"/>
    <w:rsid w:val="56473DE4"/>
    <w:rsid w:val="565C2507"/>
    <w:rsid w:val="56751614"/>
    <w:rsid w:val="56BE631B"/>
    <w:rsid w:val="56F3614D"/>
    <w:rsid w:val="56F97992"/>
    <w:rsid w:val="57072A91"/>
    <w:rsid w:val="57141EEA"/>
    <w:rsid w:val="57861389"/>
    <w:rsid w:val="57DA7CEB"/>
    <w:rsid w:val="57DC2EB9"/>
    <w:rsid w:val="57F03E39"/>
    <w:rsid w:val="58275AE2"/>
    <w:rsid w:val="584F34F1"/>
    <w:rsid w:val="58665281"/>
    <w:rsid w:val="58DF4E03"/>
    <w:rsid w:val="592D24E3"/>
    <w:rsid w:val="598C6F79"/>
    <w:rsid w:val="59D86BB7"/>
    <w:rsid w:val="59EA2525"/>
    <w:rsid w:val="5A175F7C"/>
    <w:rsid w:val="5A334BD4"/>
    <w:rsid w:val="5A3D48E6"/>
    <w:rsid w:val="5A7032BD"/>
    <w:rsid w:val="5ACE7C7C"/>
    <w:rsid w:val="5AE0527E"/>
    <w:rsid w:val="5B1038C0"/>
    <w:rsid w:val="5B1C6367"/>
    <w:rsid w:val="5B652D07"/>
    <w:rsid w:val="5B8334D2"/>
    <w:rsid w:val="5B83559A"/>
    <w:rsid w:val="5B8D7960"/>
    <w:rsid w:val="5C000D40"/>
    <w:rsid w:val="5C090C37"/>
    <w:rsid w:val="5C256B6F"/>
    <w:rsid w:val="5C4D2B14"/>
    <w:rsid w:val="5C517B42"/>
    <w:rsid w:val="5C6E4517"/>
    <w:rsid w:val="5CC454FD"/>
    <w:rsid w:val="5CC45C82"/>
    <w:rsid w:val="5D3C7C10"/>
    <w:rsid w:val="5D706898"/>
    <w:rsid w:val="5D850596"/>
    <w:rsid w:val="5DA83BCD"/>
    <w:rsid w:val="5DEA443D"/>
    <w:rsid w:val="5E745F14"/>
    <w:rsid w:val="5EE724C0"/>
    <w:rsid w:val="5F094D18"/>
    <w:rsid w:val="5FE11CB2"/>
    <w:rsid w:val="5FF23595"/>
    <w:rsid w:val="5FF9554F"/>
    <w:rsid w:val="5FFC7540"/>
    <w:rsid w:val="600C716B"/>
    <w:rsid w:val="602E75CE"/>
    <w:rsid w:val="6034323F"/>
    <w:rsid w:val="605D305F"/>
    <w:rsid w:val="606145A6"/>
    <w:rsid w:val="606C644F"/>
    <w:rsid w:val="607A1C40"/>
    <w:rsid w:val="60901D4A"/>
    <w:rsid w:val="60B239C5"/>
    <w:rsid w:val="60B96F5D"/>
    <w:rsid w:val="60C055B0"/>
    <w:rsid w:val="60D17B38"/>
    <w:rsid w:val="60F82ECC"/>
    <w:rsid w:val="61117089"/>
    <w:rsid w:val="6189647C"/>
    <w:rsid w:val="61A05A41"/>
    <w:rsid w:val="61FF0C4A"/>
    <w:rsid w:val="623A145B"/>
    <w:rsid w:val="627E08B5"/>
    <w:rsid w:val="627E7186"/>
    <w:rsid w:val="62B07911"/>
    <w:rsid w:val="62D55C23"/>
    <w:rsid w:val="632E4D73"/>
    <w:rsid w:val="63685BA1"/>
    <w:rsid w:val="63936B99"/>
    <w:rsid w:val="63950FCA"/>
    <w:rsid w:val="63AB5885"/>
    <w:rsid w:val="64333129"/>
    <w:rsid w:val="644840CB"/>
    <w:rsid w:val="64655D4C"/>
    <w:rsid w:val="647C2387"/>
    <w:rsid w:val="64A05732"/>
    <w:rsid w:val="64C154D2"/>
    <w:rsid w:val="64CF40D7"/>
    <w:rsid w:val="65790044"/>
    <w:rsid w:val="65AE64A2"/>
    <w:rsid w:val="65DE661B"/>
    <w:rsid w:val="660161F3"/>
    <w:rsid w:val="660179E4"/>
    <w:rsid w:val="66414387"/>
    <w:rsid w:val="667258CB"/>
    <w:rsid w:val="66812A2C"/>
    <w:rsid w:val="66D96EAF"/>
    <w:rsid w:val="66E42209"/>
    <w:rsid w:val="6734799C"/>
    <w:rsid w:val="674258D0"/>
    <w:rsid w:val="67446117"/>
    <w:rsid w:val="67CD7AFD"/>
    <w:rsid w:val="67DF4243"/>
    <w:rsid w:val="67F82583"/>
    <w:rsid w:val="681A3FD0"/>
    <w:rsid w:val="683E0BFF"/>
    <w:rsid w:val="68833F83"/>
    <w:rsid w:val="68920BBE"/>
    <w:rsid w:val="68B93261"/>
    <w:rsid w:val="68F122EE"/>
    <w:rsid w:val="69033090"/>
    <w:rsid w:val="696C0D71"/>
    <w:rsid w:val="69A57744"/>
    <w:rsid w:val="6A375863"/>
    <w:rsid w:val="6A5B4235"/>
    <w:rsid w:val="6A5B4FBC"/>
    <w:rsid w:val="6A820C3F"/>
    <w:rsid w:val="6A835695"/>
    <w:rsid w:val="6AA61634"/>
    <w:rsid w:val="6AF4301C"/>
    <w:rsid w:val="6B034E87"/>
    <w:rsid w:val="6B0971C2"/>
    <w:rsid w:val="6B57205B"/>
    <w:rsid w:val="6B5F0DA0"/>
    <w:rsid w:val="6B8D2AE4"/>
    <w:rsid w:val="6BC03F73"/>
    <w:rsid w:val="6BC14774"/>
    <w:rsid w:val="6BCE46DB"/>
    <w:rsid w:val="6BFB0E1D"/>
    <w:rsid w:val="6C3761DB"/>
    <w:rsid w:val="6C714BA2"/>
    <w:rsid w:val="6CEA7FFB"/>
    <w:rsid w:val="6CEF52D2"/>
    <w:rsid w:val="6CFC7656"/>
    <w:rsid w:val="6D2B2D6E"/>
    <w:rsid w:val="6D3016F5"/>
    <w:rsid w:val="6D9C177A"/>
    <w:rsid w:val="6DC059DA"/>
    <w:rsid w:val="6DE83CF6"/>
    <w:rsid w:val="6DEC3D19"/>
    <w:rsid w:val="6E1A11D7"/>
    <w:rsid w:val="6E4C616A"/>
    <w:rsid w:val="6EB61284"/>
    <w:rsid w:val="6ECB74DC"/>
    <w:rsid w:val="6ECD6611"/>
    <w:rsid w:val="6EEE74FC"/>
    <w:rsid w:val="6F1734E8"/>
    <w:rsid w:val="6F3107EE"/>
    <w:rsid w:val="6F761F04"/>
    <w:rsid w:val="6FFFBD65"/>
    <w:rsid w:val="709039AC"/>
    <w:rsid w:val="70BC492E"/>
    <w:rsid w:val="710619CC"/>
    <w:rsid w:val="7119619A"/>
    <w:rsid w:val="71426740"/>
    <w:rsid w:val="71CA32C3"/>
    <w:rsid w:val="71F554F0"/>
    <w:rsid w:val="721701FA"/>
    <w:rsid w:val="723F660A"/>
    <w:rsid w:val="725A4828"/>
    <w:rsid w:val="72A84520"/>
    <w:rsid w:val="72F55B9E"/>
    <w:rsid w:val="733D69E7"/>
    <w:rsid w:val="734E562C"/>
    <w:rsid w:val="7356403A"/>
    <w:rsid w:val="73572841"/>
    <w:rsid w:val="735B1608"/>
    <w:rsid w:val="73C03A33"/>
    <w:rsid w:val="73DD45A9"/>
    <w:rsid w:val="740F0381"/>
    <w:rsid w:val="743024F9"/>
    <w:rsid w:val="745A214D"/>
    <w:rsid w:val="748E76D0"/>
    <w:rsid w:val="74CE22BF"/>
    <w:rsid w:val="74D16A03"/>
    <w:rsid w:val="75046CC1"/>
    <w:rsid w:val="750D470F"/>
    <w:rsid w:val="75467198"/>
    <w:rsid w:val="759253B1"/>
    <w:rsid w:val="75B043AB"/>
    <w:rsid w:val="75B15653"/>
    <w:rsid w:val="760D1E42"/>
    <w:rsid w:val="761A42FD"/>
    <w:rsid w:val="76363810"/>
    <w:rsid w:val="763728B6"/>
    <w:rsid w:val="767307F9"/>
    <w:rsid w:val="7693567A"/>
    <w:rsid w:val="76F4731D"/>
    <w:rsid w:val="77062EE9"/>
    <w:rsid w:val="772760D6"/>
    <w:rsid w:val="773921B4"/>
    <w:rsid w:val="77803E69"/>
    <w:rsid w:val="778C54BE"/>
    <w:rsid w:val="77DFC48D"/>
    <w:rsid w:val="77E842D7"/>
    <w:rsid w:val="783F3F47"/>
    <w:rsid w:val="78C4176A"/>
    <w:rsid w:val="78CF4963"/>
    <w:rsid w:val="790F7F73"/>
    <w:rsid w:val="79147494"/>
    <w:rsid w:val="793968B7"/>
    <w:rsid w:val="7952458A"/>
    <w:rsid w:val="79846D97"/>
    <w:rsid w:val="798727F8"/>
    <w:rsid w:val="79E636CB"/>
    <w:rsid w:val="7A49342B"/>
    <w:rsid w:val="7A717AEC"/>
    <w:rsid w:val="7A726CAE"/>
    <w:rsid w:val="7A810A29"/>
    <w:rsid w:val="7A85509E"/>
    <w:rsid w:val="7AE85FB6"/>
    <w:rsid w:val="7B09796A"/>
    <w:rsid w:val="7B0D172D"/>
    <w:rsid w:val="7B1F2154"/>
    <w:rsid w:val="7B2E1F18"/>
    <w:rsid w:val="7B560156"/>
    <w:rsid w:val="7B595F76"/>
    <w:rsid w:val="7B5DBCF8"/>
    <w:rsid w:val="7B8F1EDC"/>
    <w:rsid w:val="7C3D3C6D"/>
    <w:rsid w:val="7C493EE0"/>
    <w:rsid w:val="7C902F36"/>
    <w:rsid w:val="7CAC42AB"/>
    <w:rsid w:val="7CF14806"/>
    <w:rsid w:val="7CFE1387"/>
    <w:rsid w:val="7D870605"/>
    <w:rsid w:val="7DC0388A"/>
    <w:rsid w:val="7DFF759B"/>
    <w:rsid w:val="7E00049B"/>
    <w:rsid w:val="7E262137"/>
    <w:rsid w:val="7E27702C"/>
    <w:rsid w:val="7E470421"/>
    <w:rsid w:val="7E6D79FF"/>
    <w:rsid w:val="7EA61CC2"/>
    <w:rsid w:val="7EB63CC6"/>
    <w:rsid w:val="7EBD5445"/>
    <w:rsid w:val="7EBE6AAC"/>
    <w:rsid w:val="7EC05BF7"/>
    <w:rsid w:val="7ECB6E3D"/>
    <w:rsid w:val="7FA10933"/>
    <w:rsid w:val="7FB0104A"/>
    <w:rsid w:val="7FCA7D15"/>
    <w:rsid w:val="7FCB8F65"/>
    <w:rsid w:val="7FD24E2D"/>
    <w:rsid w:val="7FD92ABF"/>
    <w:rsid w:val="7FDA2703"/>
    <w:rsid w:val="BFEBE5A1"/>
    <w:rsid w:val="DF7F9A65"/>
    <w:rsid w:val="F6FEECAE"/>
    <w:rsid w:val="FE77829F"/>
    <w:rsid w:val="FEBA0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99" w:semiHidden="0" w:name="index heading"/>
    <w:lsdException w:qFormat="1" w:uiPriority="35" w:name="caption"/>
    <w:lsdException w:uiPriority="99" w:name="table of figures"/>
    <w:lsdException w:uiPriority="99" w:name="envelope address"/>
    <w:lsdException w:qFormat="1" w:unhideWhenUsed="0" w:uiPriority="0" w:semiHidden="0" w:name="envelope return"/>
    <w:lsdException w:qFormat="1" w:unhideWhenUsed="0" w:uiPriority="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iPriority="0" w:semiHidden="0" w:name="Body Text Indent 3"/>
    <w:lsdException w:qFormat="1"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57"/>
    <w:autoRedefine/>
    <w:qFormat/>
    <w:uiPriority w:val="0"/>
    <w:pPr>
      <w:keepNext/>
      <w:keepLines/>
      <w:spacing w:line="578" w:lineRule="auto"/>
      <w:outlineLvl w:val="0"/>
    </w:pPr>
    <w:rPr>
      <w:rFonts w:ascii="Calibri" w:hAnsi="Calibri" w:eastAsia="黑体"/>
      <w:b/>
      <w:bCs/>
      <w:kern w:val="44"/>
      <w:sz w:val="44"/>
      <w:szCs w:val="44"/>
    </w:rPr>
  </w:style>
  <w:style w:type="paragraph" w:styleId="4">
    <w:name w:val="heading 2"/>
    <w:basedOn w:val="1"/>
    <w:next w:val="1"/>
    <w:link w:val="58"/>
    <w:autoRedefine/>
    <w:qFormat/>
    <w:uiPriority w:val="0"/>
    <w:pPr>
      <w:keepNext/>
      <w:keepLines/>
      <w:spacing w:before="240" w:after="240" w:line="416" w:lineRule="auto"/>
      <w:outlineLvl w:val="1"/>
    </w:pPr>
    <w:rPr>
      <w:rFonts w:ascii="Cambria" w:hAnsi="Cambria" w:eastAsia="仿宋"/>
      <w:b/>
      <w:bCs/>
      <w:kern w:val="0"/>
      <w:sz w:val="40"/>
      <w:szCs w:val="32"/>
    </w:rPr>
  </w:style>
  <w:style w:type="paragraph" w:styleId="5">
    <w:name w:val="heading 3"/>
    <w:basedOn w:val="1"/>
    <w:next w:val="1"/>
    <w:link w:val="59"/>
    <w:autoRedefine/>
    <w:qFormat/>
    <w:uiPriority w:val="0"/>
    <w:pPr>
      <w:keepNext/>
      <w:keepLines/>
      <w:spacing w:before="120" w:after="120" w:line="416" w:lineRule="auto"/>
      <w:outlineLvl w:val="2"/>
    </w:pPr>
    <w:rPr>
      <w:rFonts w:ascii="Calibri" w:hAnsi="Calibri" w:eastAsia="仿宋"/>
      <w:b/>
      <w:bCs/>
      <w:kern w:val="0"/>
      <w:sz w:val="28"/>
      <w:szCs w:val="32"/>
    </w:rPr>
  </w:style>
  <w:style w:type="paragraph" w:styleId="6">
    <w:name w:val="heading 4"/>
    <w:basedOn w:val="1"/>
    <w:next w:val="1"/>
    <w:link w:val="60"/>
    <w:autoRedefine/>
    <w:qFormat/>
    <w:uiPriority w:val="0"/>
    <w:pPr>
      <w:keepNext/>
      <w:keepLines/>
      <w:spacing w:before="280" w:after="290" w:line="372" w:lineRule="auto"/>
      <w:outlineLvl w:val="3"/>
    </w:pPr>
    <w:rPr>
      <w:rFonts w:ascii="Arial" w:hAnsi="Arial"/>
      <w:b/>
      <w:kern w:val="0"/>
      <w:sz w:val="24"/>
      <w:szCs w:val="24"/>
    </w:rPr>
  </w:style>
  <w:style w:type="paragraph" w:styleId="7">
    <w:name w:val="heading 5"/>
    <w:basedOn w:val="1"/>
    <w:next w:val="1"/>
    <w:link w:val="61"/>
    <w:autoRedefine/>
    <w:qFormat/>
    <w:uiPriority w:val="0"/>
    <w:pPr>
      <w:keepNext/>
      <w:keepLines/>
      <w:spacing w:before="280" w:after="290" w:line="372" w:lineRule="auto"/>
      <w:outlineLvl w:val="4"/>
    </w:pPr>
    <w:rPr>
      <w:rFonts w:ascii="Arial" w:hAnsi="Arial"/>
      <w:b/>
      <w:kern w:val="0"/>
      <w:sz w:val="24"/>
      <w:szCs w:val="24"/>
    </w:rPr>
  </w:style>
  <w:style w:type="paragraph" w:styleId="8">
    <w:name w:val="heading 6"/>
    <w:basedOn w:val="1"/>
    <w:next w:val="1"/>
    <w:link w:val="62"/>
    <w:autoRedefine/>
    <w:qFormat/>
    <w:uiPriority w:val="0"/>
    <w:pPr>
      <w:keepNext/>
      <w:keepLines/>
      <w:numPr>
        <w:ilvl w:val="5"/>
        <w:numId w:val="1"/>
      </w:numPr>
      <w:spacing w:before="240" w:after="64" w:line="320" w:lineRule="auto"/>
      <w:outlineLvl w:val="5"/>
    </w:pPr>
    <w:rPr>
      <w:rFonts w:ascii="Arial" w:hAnsi="Arial" w:eastAsia="黑体"/>
      <w:b/>
      <w:bCs/>
      <w:sz w:val="24"/>
      <w:szCs w:val="24"/>
    </w:rPr>
  </w:style>
  <w:style w:type="paragraph" w:styleId="9">
    <w:name w:val="heading 7"/>
    <w:basedOn w:val="1"/>
    <w:next w:val="1"/>
    <w:link w:val="63"/>
    <w:autoRedefine/>
    <w:qFormat/>
    <w:uiPriority w:val="0"/>
    <w:pPr>
      <w:keepNext/>
      <w:keepLines/>
      <w:spacing w:before="240" w:after="64" w:line="317" w:lineRule="auto"/>
      <w:outlineLvl w:val="6"/>
    </w:pPr>
    <w:rPr>
      <w:b/>
      <w:kern w:val="0"/>
      <w:sz w:val="24"/>
      <w:szCs w:val="20"/>
    </w:rPr>
  </w:style>
  <w:style w:type="paragraph" w:styleId="10">
    <w:name w:val="heading 8"/>
    <w:basedOn w:val="1"/>
    <w:next w:val="1"/>
    <w:link w:val="64"/>
    <w:autoRedefine/>
    <w:qFormat/>
    <w:uiPriority w:val="0"/>
    <w:pPr>
      <w:keepNext/>
      <w:keepLines/>
      <w:spacing w:before="240" w:after="64" w:line="317" w:lineRule="auto"/>
      <w:outlineLvl w:val="7"/>
    </w:pPr>
    <w:rPr>
      <w:rFonts w:ascii="Arial" w:hAnsi="Arial" w:eastAsia="黑体"/>
      <w:kern w:val="0"/>
      <w:sz w:val="24"/>
      <w:szCs w:val="20"/>
    </w:rPr>
  </w:style>
  <w:style w:type="paragraph" w:styleId="11">
    <w:name w:val="heading 9"/>
    <w:basedOn w:val="1"/>
    <w:next w:val="1"/>
    <w:link w:val="65"/>
    <w:autoRedefine/>
    <w:qFormat/>
    <w:uiPriority w:val="0"/>
    <w:pPr>
      <w:keepNext/>
      <w:keepLines/>
      <w:spacing w:before="240" w:after="64" w:line="317" w:lineRule="auto"/>
      <w:outlineLvl w:val="8"/>
    </w:pPr>
    <w:rPr>
      <w:rFonts w:ascii="Arial" w:hAnsi="Arial" w:eastAsia="黑体"/>
      <w:kern w:val="0"/>
      <w:sz w:val="20"/>
      <w:szCs w:val="20"/>
    </w:rPr>
  </w:style>
  <w:style w:type="character" w:default="1" w:styleId="47">
    <w:name w:val="Default Paragraph Font"/>
    <w:autoRedefine/>
    <w:semiHidden/>
    <w:unhideWhenUsed/>
    <w:qFormat/>
    <w:uiPriority w:val="1"/>
  </w:style>
  <w:style w:type="table" w:default="1" w:styleId="45">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qFormat/>
    <w:uiPriority w:val="0"/>
    <w:pPr>
      <w:ind w:firstLine="420"/>
    </w:pPr>
    <w:rPr>
      <w:szCs w:val="20"/>
    </w:rPr>
  </w:style>
  <w:style w:type="paragraph" w:styleId="12">
    <w:name w:val="toc 7"/>
    <w:basedOn w:val="1"/>
    <w:next w:val="1"/>
    <w:autoRedefine/>
    <w:unhideWhenUsed/>
    <w:qFormat/>
    <w:uiPriority w:val="39"/>
    <w:pPr>
      <w:ind w:left="1260"/>
      <w:jc w:val="left"/>
    </w:pPr>
    <w:rPr>
      <w:sz w:val="18"/>
      <w:szCs w:val="18"/>
    </w:rPr>
  </w:style>
  <w:style w:type="paragraph" w:styleId="13">
    <w:name w:val="Document Map"/>
    <w:basedOn w:val="1"/>
    <w:link w:val="66"/>
    <w:autoRedefine/>
    <w:qFormat/>
    <w:uiPriority w:val="0"/>
    <w:pPr>
      <w:shd w:val="clear" w:color="auto" w:fill="000080"/>
    </w:pPr>
    <w:rPr>
      <w:rFonts w:ascii="宋体" w:hAnsi="宋体"/>
      <w:kern w:val="0"/>
      <w:sz w:val="18"/>
      <w:szCs w:val="18"/>
    </w:rPr>
  </w:style>
  <w:style w:type="paragraph" w:styleId="14">
    <w:name w:val="annotation text"/>
    <w:basedOn w:val="1"/>
    <w:link w:val="67"/>
    <w:autoRedefine/>
    <w:qFormat/>
    <w:uiPriority w:val="0"/>
    <w:pPr>
      <w:jc w:val="left"/>
    </w:pPr>
    <w:rPr>
      <w:szCs w:val="24"/>
    </w:rPr>
  </w:style>
  <w:style w:type="paragraph" w:styleId="15">
    <w:name w:val="Body Text 3"/>
    <w:basedOn w:val="1"/>
    <w:autoRedefine/>
    <w:qFormat/>
    <w:uiPriority w:val="0"/>
    <w:rPr>
      <w:rFonts w:ascii="宋体"/>
      <w:sz w:val="24"/>
      <w:szCs w:val="20"/>
    </w:rPr>
  </w:style>
  <w:style w:type="paragraph" w:styleId="16">
    <w:name w:val="Body Text"/>
    <w:basedOn w:val="1"/>
    <w:next w:val="1"/>
    <w:link w:val="68"/>
    <w:autoRedefine/>
    <w:qFormat/>
    <w:uiPriority w:val="0"/>
    <w:pPr>
      <w:spacing w:after="120"/>
    </w:pPr>
    <w:rPr>
      <w:szCs w:val="24"/>
    </w:rPr>
  </w:style>
  <w:style w:type="paragraph" w:styleId="17">
    <w:name w:val="Body Text Indent"/>
    <w:basedOn w:val="1"/>
    <w:next w:val="18"/>
    <w:link w:val="69"/>
    <w:autoRedefine/>
    <w:unhideWhenUsed/>
    <w:qFormat/>
    <w:uiPriority w:val="0"/>
    <w:pPr>
      <w:spacing w:after="120"/>
      <w:ind w:left="420" w:leftChars="200"/>
    </w:pPr>
    <w:rPr>
      <w:rFonts w:ascii="Calibri" w:hAnsi="Calibri"/>
      <w:kern w:val="0"/>
      <w:sz w:val="20"/>
      <w:szCs w:val="20"/>
    </w:rPr>
  </w:style>
  <w:style w:type="paragraph" w:styleId="18">
    <w:name w:val="envelope return"/>
    <w:basedOn w:val="1"/>
    <w:autoRedefine/>
    <w:qFormat/>
    <w:uiPriority w:val="0"/>
    <w:pPr>
      <w:snapToGrid w:val="0"/>
    </w:pPr>
    <w:rPr>
      <w:rFonts w:ascii="Arial" w:hAnsi="Arial"/>
      <w:szCs w:val="24"/>
    </w:rPr>
  </w:style>
  <w:style w:type="paragraph" w:styleId="19">
    <w:name w:val="Block Text"/>
    <w:basedOn w:val="1"/>
    <w:autoRedefine/>
    <w:qFormat/>
    <w:uiPriority w:val="0"/>
    <w:pPr>
      <w:spacing w:line="440" w:lineRule="exact"/>
      <w:ind w:left="-540" w:leftChars="-257" w:right="-334" w:rightChars="-159" w:firstLine="1140"/>
    </w:pPr>
    <w:rPr>
      <w:sz w:val="24"/>
      <w:szCs w:val="20"/>
    </w:rPr>
  </w:style>
  <w:style w:type="paragraph" w:styleId="20">
    <w:name w:val="toc 5"/>
    <w:basedOn w:val="1"/>
    <w:next w:val="1"/>
    <w:autoRedefine/>
    <w:unhideWhenUsed/>
    <w:qFormat/>
    <w:uiPriority w:val="39"/>
    <w:pPr>
      <w:ind w:left="840"/>
      <w:jc w:val="left"/>
    </w:pPr>
    <w:rPr>
      <w:sz w:val="18"/>
      <w:szCs w:val="18"/>
    </w:rPr>
  </w:style>
  <w:style w:type="paragraph" w:styleId="21">
    <w:name w:val="toc 3"/>
    <w:basedOn w:val="1"/>
    <w:next w:val="1"/>
    <w:autoRedefine/>
    <w:unhideWhenUsed/>
    <w:qFormat/>
    <w:uiPriority w:val="0"/>
    <w:pPr>
      <w:ind w:left="420"/>
      <w:jc w:val="left"/>
    </w:pPr>
    <w:rPr>
      <w:i/>
      <w:iCs/>
      <w:sz w:val="20"/>
      <w:szCs w:val="20"/>
    </w:rPr>
  </w:style>
  <w:style w:type="paragraph" w:styleId="22">
    <w:name w:val="Plain Text"/>
    <w:basedOn w:val="1"/>
    <w:next w:val="1"/>
    <w:link w:val="56"/>
    <w:autoRedefine/>
    <w:qFormat/>
    <w:uiPriority w:val="0"/>
    <w:rPr>
      <w:rFonts w:ascii="宋体" w:hAnsi="Courier New"/>
      <w:kern w:val="0"/>
      <w:sz w:val="20"/>
      <w:szCs w:val="21"/>
    </w:rPr>
  </w:style>
  <w:style w:type="paragraph" w:styleId="23">
    <w:name w:val="toc 8"/>
    <w:basedOn w:val="1"/>
    <w:next w:val="1"/>
    <w:autoRedefine/>
    <w:unhideWhenUsed/>
    <w:qFormat/>
    <w:uiPriority w:val="39"/>
    <w:pPr>
      <w:ind w:left="1470"/>
      <w:jc w:val="left"/>
    </w:pPr>
    <w:rPr>
      <w:sz w:val="18"/>
      <w:szCs w:val="18"/>
    </w:rPr>
  </w:style>
  <w:style w:type="paragraph" w:styleId="24">
    <w:name w:val="Date"/>
    <w:basedOn w:val="1"/>
    <w:next w:val="1"/>
    <w:link w:val="70"/>
    <w:autoRedefine/>
    <w:qFormat/>
    <w:uiPriority w:val="0"/>
    <w:pPr>
      <w:ind w:left="100" w:leftChars="2500"/>
    </w:pPr>
    <w:rPr>
      <w:kern w:val="0"/>
      <w:sz w:val="20"/>
      <w:szCs w:val="24"/>
    </w:rPr>
  </w:style>
  <w:style w:type="paragraph" w:styleId="25">
    <w:name w:val="Body Text Indent 2"/>
    <w:basedOn w:val="1"/>
    <w:link w:val="71"/>
    <w:autoRedefine/>
    <w:qFormat/>
    <w:uiPriority w:val="0"/>
    <w:pPr>
      <w:spacing w:after="120" w:line="480" w:lineRule="auto"/>
      <w:ind w:left="420" w:leftChars="200"/>
    </w:pPr>
    <w:rPr>
      <w:kern w:val="0"/>
      <w:sz w:val="20"/>
      <w:szCs w:val="24"/>
    </w:rPr>
  </w:style>
  <w:style w:type="paragraph" w:styleId="26">
    <w:name w:val="endnote text"/>
    <w:basedOn w:val="1"/>
    <w:link w:val="72"/>
    <w:autoRedefine/>
    <w:semiHidden/>
    <w:qFormat/>
    <w:uiPriority w:val="0"/>
    <w:pPr>
      <w:snapToGrid w:val="0"/>
      <w:jc w:val="left"/>
    </w:pPr>
    <w:rPr>
      <w:kern w:val="0"/>
      <w:sz w:val="20"/>
      <w:szCs w:val="20"/>
    </w:rPr>
  </w:style>
  <w:style w:type="paragraph" w:styleId="27">
    <w:name w:val="Balloon Text"/>
    <w:basedOn w:val="1"/>
    <w:link w:val="73"/>
    <w:autoRedefine/>
    <w:unhideWhenUsed/>
    <w:qFormat/>
    <w:uiPriority w:val="0"/>
    <w:rPr>
      <w:sz w:val="18"/>
      <w:szCs w:val="18"/>
    </w:rPr>
  </w:style>
  <w:style w:type="paragraph" w:styleId="28">
    <w:name w:val="footer"/>
    <w:basedOn w:val="1"/>
    <w:link w:val="74"/>
    <w:autoRedefine/>
    <w:unhideWhenUsed/>
    <w:qFormat/>
    <w:uiPriority w:val="99"/>
    <w:pPr>
      <w:tabs>
        <w:tab w:val="center" w:pos="4153"/>
        <w:tab w:val="right" w:pos="8306"/>
      </w:tabs>
      <w:snapToGrid w:val="0"/>
      <w:jc w:val="left"/>
    </w:pPr>
    <w:rPr>
      <w:rFonts w:ascii="Calibri" w:hAnsi="Calibri"/>
      <w:kern w:val="0"/>
      <w:sz w:val="18"/>
      <w:szCs w:val="18"/>
    </w:rPr>
  </w:style>
  <w:style w:type="paragraph" w:styleId="29">
    <w:name w:val="header"/>
    <w:basedOn w:val="1"/>
    <w:link w:val="75"/>
    <w:autoRedefine/>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30">
    <w:name w:val="toc 1"/>
    <w:basedOn w:val="1"/>
    <w:next w:val="1"/>
    <w:autoRedefine/>
    <w:unhideWhenUsed/>
    <w:qFormat/>
    <w:uiPriority w:val="39"/>
    <w:pPr>
      <w:spacing w:before="120" w:after="120"/>
      <w:jc w:val="left"/>
    </w:pPr>
    <w:rPr>
      <w:b/>
      <w:bCs/>
      <w:caps/>
      <w:sz w:val="20"/>
      <w:szCs w:val="20"/>
    </w:rPr>
  </w:style>
  <w:style w:type="paragraph" w:styleId="31">
    <w:name w:val="toc 4"/>
    <w:basedOn w:val="1"/>
    <w:next w:val="1"/>
    <w:autoRedefine/>
    <w:unhideWhenUsed/>
    <w:qFormat/>
    <w:uiPriority w:val="39"/>
    <w:pPr>
      <w:ind w:left="630"/>
      <w:jc w:val="left"/>
    </w:pPr>
    <w:rPr>
      <w:sz w:val="18"/>
      <w:szCs w:val="18"/>
    </w:rPr>
  </w:style>
  <w:style w:type="paragraph" w:styleId="32">
    <w:name w:val="index heading"/>
    <w:basedOn w:val="1"/>
    <w:next w:val="33"/>
    <w:autoRedefine/>
    <w:qFormat/>
    <w:uiPriority w:val="99"/>
    <w:rPr>
      <w:szCs w:val="20"/>
    </w:rPr>
  </w:style>
  <w:style w:type="paragraph" w:styleId="33">
    <w:name w:val="index 1"/>
    <w:basedOn w:val="1"/>
    <w:next w:val="1"/>
    <w:autoRedefine/>
    <w:qFormat/>
    <w:uiPriority w:val="0"/>
    <w:pPr>
      <w:spacing w:line="220" w:lineRule="exact"/>
      <w:jc w:val="center"/>
    </w:pPr>
    <w:rPr>
      <w:rFonts w:ascii="仿宋_GB2312" w:eastAsia="仿宋_GB2312"/>
      <w:szCs w:val="21"/>
    </w:rPr>
  </w:style>
  <w:style w:type="paragraph" w:styleId="34">
    <w:name w:val="footnote text"/>
    <w:basedOn w:val="1"/>
    <w:link w:val="76"/>
    <w:autoRedefine/>
    <w:semiHidden/>
    <w:qFormat/>
    <w:uiPriority w:val="0"/>
    <w:pPr>
      <w:snapToGrid w:val="0"/>
      <w:jc w:val="left"/>
    </w:pPr>
    <w:rPr>
      <w:kern w:val="0"/>
      <w:sz w:val="18"/>
      <w:szCs w:val="20"/>
    </w:rPr>
  </w:style>
  <w:style w:type="paragraph" w:styleId="35">
    <w:name w:val="toc 6"/>
    <w:basedOn w:val="1"/>
    <w:next w:val="1"/>
    <w:autoRedefine/>
    <w:unhideWhenUsed/>
    <w:qFormat/>
    <w:uiPriority w:val="39"/>
    <w:pPr>
      <w:ind w:left="1050"/>
      <w:jc w:val="left"/>
    </w:pPr>
    <w:rPr>
      <w:sz w:val="18"/>
      <w:szCs w:val="18"/>
    </w:rPr>
  </w:style>
  <w:style w:type="paragraph" w:styleId="36">
    <w:name w:val="Body Text Indent 3"/>
    <w:basedOn w:val="1"/>
    <w:link w:val="77"/>
    <w:autoRedefine/>
    <w:unhideWhenUsed/>
    <w:qFormat/>
    <w:uiPriority w:val="0"/>
    <w:pPr>
      <w:spacing w:after="120"/>
      <w:ind w:left="420" w:leftChars="200"/>
    </w:pPr>
    <w:rPr>
      <w:rFonts w:ascii="Calibri" w:hAnsi="Calibri"/>
      <w:kern w:val="0"/>
      <w:sz w:val="16"/>
      <w:szCs w:val="16"/>
    </w:rPr>
  </w:style>
  <w:style w:type="paragraph" w:styleId="37">
    <w:name w:val="toc 2"/>
    <w:basedOn w:val="1"/>
    <w:next w:val="1"/>
    <w:autoRedefine/>
    <w:unhideWhenUsed/>
    <w:qFormat/>
    <w:uiPriority w:val="39"/>
    <w:pPr>
      <w:ind w:left="210"/>
      <w:jc w:val="left"/>
    </w:pPr>
    <w:rPr>
      <w:smallCaps/>
      <w:sz w:val="20"/>
      <w:szCs w:val="20"/>
    </w:rPr>
  </w:style>
  <w:style w:type="paragraph" w:styleId="38">
    <w:name w:val="toc 9"/>
    <w:basedOn w:val="1"/>
    <w:next w:val="1"/>
    <w:autoRedefine/>
    <w:unhideWhenUsed/>
    <w:qFormat/>
    <w:uiPriority w:val="39"/>
    <w:pPr>
      <w:ind w:left="1680"/>
      <w:jc w:val="left"/>
    </w:pPr>
    <w:rPr>
      <w:sz w:val="18"/>
      <w:szCs w:val="18"/>
    </w:rPr>
  </w:style>
  <w:style w:type="paragraph" w:styleId="39">
    <w:name w:val="Body Text 2"/>
    <w:basedOn w:val="1"/>
    <w:link w:val="78"/>
    <w:autoRedefine/>
    <w:qFormat/>
    <w:uiPriority w:val="0"/>
    <w:rPr>
      <w:rFonts w:ascii="宋体" w:hAnsi="宋体"/>
      <w:kern w:val="0"/>
      <w:sz w:val="20"/>
      <w:szCs w:val="24"/>
      <w:u w:val="single"/>
    </w:rPr>
  </w:style>
  <w:style w:type="paragraph" w:styleId="40">
    <w:name w:val="Normal (Web)"/>
    <w:basedOn w:val="1"/>
    <w:autoRedefine/>
    <w:qFormat/>
    <w:uiPriority w:val="0"/>
    <w:pPr>
      <w:widowControl/>
      <w:spacing w:before="100" w:beforeAutospacing="1" w:after="100" w:afterAutospacing="1"/>
      <w:jc w:val="left"/>
    </w:pPr>
    <w:rPr>
      <w:rFonts w:ascii="Arial Unicode MS" w:hAnsi="Arial Unicode MS" w:eastAsia="Arial Unicode MS"/>
      <w:kern w:val="0"/>
      <w:sz w:val="24"/>
      <w:szCs w:val="24"/>
    </w:rPr>
  </w:style>
  <w:style w:type="paragraph" w:styleId="41">
    <w:name w:val="Title"/>
    <w:basedOn w:val="1"/>
    <w:link w:val="79"/>
    <w:autoRedefine/>
    <w:qFormat/>
    <w:uiPriority w:val="0"/>
    <w:pPr>
      <w:spacing w:before="240" w:after="60"/>
      <w:jc w:val="center"/>
      <w:outlineLvl w:val="0"/>
    </w:pPr>
    <w:rPr>
      <w:rFonts w:ascii="Cambria" w:hAnsi="Cambria" w:eastAsia="Cambria"/>
      <w:b/>
      <w:kern w:val="0"/>
      <w:sz w:val="32"/>
      <w:szCs w:val="32"/>
    </w:rPr>
  </w:style>
  <w:style w:type="paragraph" w:styleId="42">
    <w:name w:val="annotation subject"/>
    <w:basedOn w:val="14"/>
    <w:next w:val="14"/>
    <w:link w:val="80"/>
    <w:autoRedefine/>
    <w:qFormat/>
    <w:uiPriority w:val="0"/>
    <w:rPr>
      <w:b/>
      <w:bCs/>
      <w:szCs w:val="22"/>
    </w:rPr>
  </w:style>
  <w:style w:type="paragraph" w:styleId="43">
    <w:name w:val="Body Text First Indent"/>
    <w:basedOn w:val="16"/>
    <w:link w:val="81"/>
    <w:autoRedefine/>
    <w:qFormat/>
    <w:uiPriority w:val="0"/>
    <w:pPr>
      <w:spacing w:line="312" w:lineRule="auto"/>
      <w:ind w:firstLine="420"/>
    </w:pPr>
  </w:style>
  <w:style w:type="paragraph" w:styleId="44">
    <w:name w:val="Body Text First Indent 2"/>
    <w:basedOn w:val="17"/>
    <w:autoRedefine/>
    <w:qFormat/>
    <w:uiPriority w:val="0"/>
    <w:pPr>
      <w:ind w:left="200" w:firstLine="200" w:firstLineChars="200"/>
    </w:pPr>
    <w:rPr>
      <w:color w:val="0D0D0D"/>
      <w:sz w:val="21"/>
      <w:szCs w:val="24"/>
      <w:lang w:eastAsia="en-US"/>
    </w:rPr>
  </w:style>
  <w:style w:type="table" w:styleId="46">
    <w:name w:val="Table Grid"/>
    <w:basedOn w:val="4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autoRedefine/>
    <w:qFormat/>
    <w:uiPriority w:val="0"/>
    <w:rPr>
      <w:b/>
      <w:bCs/>
    </w:rPr>
  </w:style>
  <w:style w:type="character" w:styleId="49">
    <w:name w:val="endnote reference"/>
    <w:autoRedefine/>
    <w:semiHidden/>
    <w:qFormat/>
    <w:uiPriority w:val="0"/>
    <w:rPr>
      <w:vertAlign w:val="superscript"/>
    </w:rPr>
  </w:style>
  <w:style w:type="character" w:styleId="50">
    <w:name w:val="page number"/>
    <w:autoRedefine/>
    <w:qFormat/>
    <w:uiPriority w:val="0"/>
    <w:rPr>
      <w:rFonts w:eastAsia="楷体_GB2312"/>
      <w:kern w:val="2"/>
      <w:sz w:val="24"/>
      <w:szCs w:val="24"/>
      <w:lang w:val="en-US" w:eastAsia="zh-CN" w:bidi="ar-SA"/>
    </w:rPr>
  </w:style>
  <w:style w:type="character" w:styleId="51">
    <w:name w:val="FollowedHyperlink"/>
    <w:autoRedefine/>
    <w:unhideWhenUsed/>
    <w:qFormat/>
    <w:uiPriority w:val="99"/>
    <w:rPr>
      <w:color w:val="954F72"/>
      <w:u w:val="single"/>
    </w:rPr>
  </w:style>
  <w:style w:type="character" w:styleId="52">
    <w:name w:val="Hyperlink"/>
    <w:autoRedefine/>
    <w:unhideWhenUsed/>
    <w:qFormat/>
    <w:uiPriority w:val="99"/>
    <w:rPr>
      <w:color w:val="000000"/>
      <w:u w:val="none"/>
    </w:rPr>
  </w:style>
  <w:style w:type="character" w:styleId="53">
    <w:name w:val="annotation reference"/>
    <w:autoRedefine/>
    <w:qFormat/>
    <w:uiPriority w:val="0"/>
    <w:rPr>
      <w:sz w:val="21"/>
      <w:szCs w:val="21"/>
    </w:rPr>
  </w:style>
  <w:style w:type="character" w:styleId="54">
    <w:name w:val="footnote reference"/>
    <w:autoRedefine/>
    <w:semiHidden/>
    <w:qFormat/>
    <w:uiPriority w:val="0"/>
    <w:rPr>
      <w:vertAlign w:val="superscript"/>
    </w:rPr>
  </w:style>
  <w:style w:type="paragraph" w:customStyle="1" w:styleId="55">
    <w:name w:val="_Style 3"/>
    <w:autoRedefine/>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56">
    <w:name w:val="纯文本 字符2"/>
    <w:link w:val="22"/>
    <w:autoRedefine/>
    <w:qFormat/>
    <w:uiPriority w:val="0"/>
    <w:rPr>
      <w:rFonts w:ascii="宋体" w:hAnsi="Courier New" w:cs="Courier New"/>
      <w:szCs w:val="21"/>
    </w:rPr>
  </w:style>
  <w:style w:type="character" w:customStyle="1" w:styleId="57">
    <w:name w:val="标题 1 字符2"/>
    <w:link w:val="3"/>
    <w:autoRedefine/>
    <w:qFormat/>
    <w:uiPriority w:val="0"/>
    <w:rPr>
      <w:rFonts w:ascii="Calibri" w:hAnsi="Calibri" w:eastAsia="黑体" w:cs="Times New Roman"/>
      <w:b/>
      <w:bCs/>
      <w:kern w:val="44"/>
      <w:sz w:val="44"/>
      <w:szCs w:val="44"/>
    </w:rPr>
  </w:style>
  <w:style w:type="character" w:customStyle="1" w:styleId="58">
    <w:name w:val="标题 2 字符1"/>
    <w:link w:val="4"/>
    <w:autoRedefine/>
    <w:qFormat/>
    <w:uiPriority w:val="0"/>
    <w:rPr>
      <w:rFonts w:ascii="Cambria" w:hAnsi="Cambria" w:eastAsia="仿宋" w:cs="Times New Roman"/>
      <w:b/>
      <w:bCs/>
      <w:sz w:val="40"/>
      <w:szCs w:val="32"/>
    </w:rPr>
  </w:style>
  <w:style w:type="character" w:customStyle="1" w:styleId="59">
    <w:name w:val="标题 3 字符1"/>
    <w:link w:val="5"/>
    <w:autoRedefine/>
    <w:qFormat/>
    <w:uiPriority w:val="0"/>
    <w:rPr>
      <w:rFonts w:ascii="Calibri" w:hAnsi="Calibri" w:eastAsia="仿宋" w:cs="Times New Roman"/>
      <w:b/>
      <w:bCs/>
      <w:sz w:val="28"/>
      <w:szCs w:val="32"/>
    </w:rPr>
  </w:style>
  <w:style w:type="character" w:customStyle="1" w:styleId="60">
    <w:name w:val="标题 4 字符1"/>
    <w:link w:val="6"/>
    <w:autoRedefine/>
    <w:qFormat/>
    <w:uiPriority w:val="0"/>
    <w:rPr>
      <w:rFonts w:ascii="Arial" w:hAnsi="Arial"/>
      <w:b/>
      <w:sz w:val="24"/>
      <w:szCs w:val="24"/>
    </w:rPr>
  </w:style>
  <w:style w:type="character" w:customStyle="1" w:styleId="61">
    <w:name w:val="标题 5 字符1"/>
    <w:link w:val="7"/>
    <w:autoRedefine/>
    <w:qFormat/>
    <w:uiPriority w:val="0"/>
    <w:rPr>
      <w:rFonts w:ascii="Arial" w:hAnsi="Arial"/>
      <w:b/>
      <w:sz w:val="24"/>
      <w:szCs w:val="24"/>
    </w:rPr>
  </w:style>
  <w:style w:type="character" w:customStyle="1" w:styleId="62">
    <w:name w:val="标题 6 字符"/>
    <w:link w:val="8"/>
    <w:autoRedefine/>
    <w:qFormat/>
    <w:uiPriority w:val="0"/>
    <w:rPr>
      <w:rFonts w:ascii="Arial" w:hAnsi="Arial" w:eastAsia="黑体"/>
      <w:b/>
      <w:bCs/>
      <w:kern w:val="2"/>
      <w:sz w:val="24"/>
      <w:szCs w:val="24"/>
    </w:rPr>
  </w:style>
  <w:style w:type="character" w:customStyle="1" w:styleId="63">
    <w:name w:val="标题 7 字符1"/>
    <w:link w:val="9"/>
    <w:autoRedefine/>
    <w:qFormat/>
    <w:uiPriority w:val="0"/>
    <w:rPr>
      <w:rFonts w:ascii="Times New Roman" w:hAnsi="Times New Roman"/>
      <w:b/>
      <w:sz w:val="24"/>
    </w:rPr>
  </w:style>
  <w:style w:type="character" w:customStyle="1" w:styleId="64">
    <w:name w:val="标题 8 字符1"/>
    <w:link w:val="10"/>
    <w:autoRedefine/>
    <w:qFormat/>
    <w:uiPriority w:val="0"/>
    <w:rPr>
      <w:rFonts w:ascii="Arial" w:hAnsi="Arial" w:eastAsia="黑体"/>
      <w:sz w:val="24"/>
    </w:rPr>
  </w:style>
  <w:style w:type="character" w:customStyle="1" w:styleId="65">
    <w:name w:val="标题 9 字符1"/>
    <w:link w:val="11"/>
    <w:autoRedefine/>
    <w:qFormat/>
    <w:uiPriority w:val="0"/>
    <w:rPr>
      <w:rFonts w:ascii="Arial" w:hAnsi="Arial" w:eastAsia="黑体"/>
    </w:rPr>
  </w:style>
  <w:style w:type="character" w:customStyle="1" w:styleId="66">
    <w:name w:val="文档结构图 字符1"/>
    <w:link w:val="13"/>
    <w:autoRedefine/>
    <w:qFormat/>
    <w:uiPriority w:val="0"/>
    <w:rPr>
      <w:rFonts w:ascii="宋体" w:hAnsi="宋体" w:cs="宋体"/>
      <w:sz w:val="18"/>
      <w:szCs w:val="18"/>
      <w:shd w:val="clear" w:color="auto" w:fill="000080"/>
    </w:rPr>
  </w:style>
  <w:style w:type="character" w:customStyle="1" w:styleId="67">
    <w:name w:val="批注文字 字符1"/>
    <w:link w:val="14"/>
    <w:autoRedefine/>
    <w:qFormat/>
    <w:uiPriority w:val="0"/>
    <w:rPr>
      <w:rFonts w:ascii="Times New Roman" w:hAnsi="Times New Roman"/>
      <w:kern w:val="2"/>
      <w:sz w:val="21"/>
      <w:szCs w:val="24"/>
    </w:rPr>
  </w:style>
  <w:style w:type="character" w:customStyle="1" w:styleId="68">
    <w:name w:val="正文文本 字符1"/>
    <w:link w:val="16"/>
    <w:autoRedefine/>
    <w:qFormat/>
    <w:uiPriority w:val="0"/>
    <w:rPr>
      <w:rFonts w:ascii="Times New Roman" w:hAnsi="Times New Roman"/>
      <w:kern w:val="2"/>
      <w:sz w:val="21"/>
      <w:szCs w:val="24"/>
    </w:rPr>
  </w:style>
  <w:style w:type="character" w:customStyle="1" w:styleId="69">
    <w:name w:val="正文文本缩进 字符1"/>
    <w:link w:val="17"/>
    <w:autoRedefine/>
    <w:qFormat/>
    <w:uiPriority w:val="0"/>
    <w:rPr>
      <w:rFonts w:ascii="Calibri" w:hAnsi="Calibri" w:eastAsia="宋体" w:cs="Times New Roman"/>
    </w:rPr>
  </w:style>
  <w:style w:type="character" w:customStyle="1" w:styleId="70">
    <w:name w:val="日期 字符1"/>
    <w:link w:val="24"/>
    <w:autoRedefine/>
    <w:qFormat/>
    <w:uiPriority w:val="0"/>
    <w:rPr>
      <w:szCs w:val="24"/>
    </w:rPr>
  </w:style>
  <w:style w:type="character" w:customStyle="1" w:styleId="71">
    <w:name w:val="正文文本缩进 2 字符1"/>
    <w:link w:val="25"/>
    <w:autoRedefine/>
    <w:qFormat/>
    <w:uiPriority w:val="0"/>
    <w:rPr>
      <w:szCs w:val="24"/>
    </w:rPr>
  </w:style>
  <w:style w:type="character" w:customStyle="1" w:styleId="72">
    <w:name w:val="尾注文本 字符"/>
    <w:link w:val="26"/>
    <w:autoRedefine/>
    <w:semiHidden/>
    <w:qFormat/>
    <w:uiPriority w:val="0"/>
    <w:rPr>
      <w:rFonts w:ascii="Times New Roman" w:hAnsi="Times New Roman"/>
    </w:rPr>
  </w:style>
  <w:style w:type="character" w:customStyle="1" w:styleId="73">
    <w:name w:val="批注框文本 字符1"/>
    <w:link w:val="27"/>
    <w:autoRedefine/>
    <w:qFormat/>
    <w:uiPriority w:val="0"/>
    <w:rPr>
      <w:kern w:val="2"/>
      <w:sz w:val="18"/>
      <w:szCs w:val="18"/>
    </w:rPr>
  </w:style>
  <w:style w:type="character" w:customStyle="1" w:styleId="74">
    <w:name w:val="页脚 字符2"/>
    <w:link w:val="28"/>
    <w:autoRedefine/>
    <w:qFormat/>
    <w:uiPriority w:val="99"/>
    <w:rPr>
      <w:rFonts w:ascii="Calibri" w:hAnsi="Calibri" w:eastAsia="宋体" w:cs="Times New Roman"/>
      <w:sz w:val="18"/>
      <w:szCs w:val="18"/>
    </w:rPr>
  </w:style>
  <w:style w:type="character" w:customStyle="1" w:styleId="75">
    <w:name w:val="页眉 字符2"/>
    <w:link w:val="29"/>
    <w:autoRedefine/>
    <w:qFormat/>
    <w:uiPriority w:val="99"/>
    <w:rPr>
      <w:rFonts w:ascii="Calibri" w:hAnsi="Calibri" w:eastAsia="宋体" w:cs="Times New Roman"/>
      <w:sz w:val="18"/>
      <w:szCs w:val="18"/>
    </w:rPr>
  </w:style>
  <w:style w:type="character" w:customStyle="1" w:styleId="76">
    <w:name w:val="脚注文本 字符"/>
    <w:link w:val="34"/>
    <w:autoRedefine/>
    <w:semiHidden/>
    <w:qFormat/>
    <w:uiPriority w:val="0"/>
    <w:rPr>
      <w:rFonts w:ascii="Times New Roman" w:hAnsi="Times New Roman"/>
      <w:sz w:val="18"/>
    </w:rPr>
  </w:style>
  <w:style w:type="character" w:customStyle="1" w:styleId="77">
    <w:name w:val="正文文本缩进 3 字符1"/>
    <w:link w:val="36"/>
    <w:autoRedefine/>
    <w:qFormat/>
    <w:uiPriority w:val="0"/>
    <w:rPr>
      <w:rFonts w:ascii="Calibri" w:hAnsi="Calibri" w:eastAsia="宋体" w:cs="Times New Roman"/>
      <w:sz w:val="16"/>
      <w:szCs w:val="16"/>
    </w:rPr>
  </w:style>
  <w:style w:type="character" w:customStyle="1" w:styleId="78">
    <w:name w:val="正文文本 2 字符1"/>
    <w:link w:val="39"/>
    <w:autoRedefine/>
    <w:qFormat/>
    <w:uiPriority w:val="0"/>
    <w:rPr>
      <w:rFonts w:ascii="宋体" w:hAnsi="宋体" w:eastAsia="宋体" w:cs="Times New Roman"/>
      <w:szCs w:val="24"/>
      <w:u w:val="single"/>
    </w:rPr>
  </w:style>
  <w:style w:type="character" w:customStyle="1" w:styleId="79">
    <w:name w:val="标题 字符1"/>
    <w:link w:val="41"/>
    <w:autoRedefine/>
    <w:qFormat/>
    <w:uiPriority w:val="0"/>
    <w:rPr>
      <w:rFonts w:ascii="Cambria" w:hAnsi="Cambria" w:eastAsia="Cambria"/>
      <w:b/>
      <w:sz w:val="32"/>
      <w:szCs w:val="32"/>
    </w:rPr>
  </w:style>
  <w:style w:type="character" w:customStyle="1" w:styleId="80">
    <w:name w:val="批注主题 字符1"/>
    <w:link w:val="42"/>
    <w:autoRedefine/>
    <w:qFormat/>
    <w:uiPriority w:val="0"/>
    <w:rPr>
      <w:b/>
      <w:bCs/>
      <w:kern w:val="2"/>
      <w:sz w:val="21"/>
      <w:szCs w:val="22"/>
    </w:rPr>
  </w:style>
  <w:style w:type="character" w:customStyle="1" w:styleId="81">
    <w:name w:val="正文文本首行缩进 字符2"/>
    <w:link w:val="43"/>
    <w:autoRedefine/>
    <w:qFormat/>
    <w:uiPriority w:val="0"/>
    <w:rPr>
      <w:rFonts w:ascii="Times New Roman" w:hAnsi="Times New Roman"/>
      <w:kern w:val="2"/>
      <w:sz w:val="21"/>
      <w:szCs w:val="24"/>
    </w:rPr>
  </w:style>
  <w:style w:type="paragraph" w:customStyle="1" w:styleId="82">
    <w:name w:val="首行缩进"/>
    <w:basedOn w:val="1"/>
    <w:autoRedefine/>
    <w:qFormat/>
    <w:uiPriority w:val="0"/>
    <w:pPr>
      <w:spacing w:line="300" w:lineRule="auto"/>
      <w:ind w:firstLine="420" w:firstLineChars="200"/>
    </w:pPr>
    <w:rPr>
      <w:rFonts w:eastAsia="方正书宋简体"/>
      <w:szCs w:val="20"/>
    </w:rPr>
  </w:style>
  <w:style w:type="character" w:customStyle="1" w:styleId="83">
    <w:name w:val="Plain Text Char"/>
    <w:autoRedefine/>
    <w:qFormat/>
    <w:uiPriority w:val="0"/>
    <w:rPr>
      <w:rFonts w:hint="eastAsia" w:ascii="宋体" w:hAnsi="Courier New" w:eastAsia="宋体" w:cs="宋体"/>
      <w:sz w:val="21"/>
      <w:szCs w:val="21"/>
    </w:rPr>
  </w:style>
  <w:style w:type="character" w:customStyle="1" w:styleId="84">
    <w:name w:val="正文文本 2 Char1"/>
    <w:autoRedefine/>
    <w:qFormat/>
    <w:uiPriority w:val="0"/>
    <w:rPr>
      <w:kern w:val="2"/>
      <w:sz w:val="21"/>
      <w:szCs w:val="24"/>
    </w:rPr>
  </w:style>
  <w:style w:type="character" w:customStyle="1" w:styleId="85">
    <w:name w:val="标题 9 字符"/>
    <w:autoRedefine/>
    <w:qFormat/>
    <w:uiPriority w:val="0"/>
    <w:rPr>
      <w:rFonts w:ascii="Cambria" w:hAnsi="Cambria" w:eastAsia="宋体" w:cs="Times New Roman"/>
      <w:szCs w:val="21"/>
    </w:rPr>
  </w:style>
  <w:style w:type="character" w:customStyle="1" w:styleId="86">
    <w:name w:val="页脚 Char3"/>
    <w:autoRedefine/>
    <w:qFormat/>
    <w:uiPriority w:val="0"/>
    <w:rPr>
      <w:sz w:val="18"/>
      <w:szCs w:val="18"/>
    </w:rPr>
  </w:style>
  <w:style w:type="character" w:customStyle="1" w:styleId="87">
    <w:name w:val="标题 1 字符1"/>
    <w:autoRedefine/>
    <w:qFormat/>
    <w:uiPriority w:val="0"/>
    <w:rPr>
      <w:rFonts w:ascii="宋体" w:hAnsi="宋体" w:eastAsia="宋体" w:cs="Times New Roman"/>
      <w:b/>
      <w:kern w:val="44"/>
      <w:sz w:val="36"/>
      <w:szCs w:val="21"/>
    </w:rPr>
  </w:style>
  <w:style w:type="character" w:customStyle="1" w:styleId="88">
    <w:name w:val="times1"/>
    <w:autoRedefine/>
    <w:qFormat/>
    <w:uiPriority w:val="0"/>
    <w:rPr>
      <w:color w:val="3399FF"/>
      <w:bdr w:val="single" w:color="D1EDF8" w:sz="6" w:space="0"/>
      <w:shd w:val="clear" w:color="auto" w:fill="EAF9FF"/>
    </w:rPr>
  </w:style>
  <w:style w:type="character" w:customStyle="1" w:styleId="89">
    <w:name w:val="标题 Char3"/>
    <w:autoRedefine/>
    <w:qFormat/>
    <w:uiPriority w:val="10"/>
    <w:rPr>
      <w:rFonts w:ascii="Cambria" w:hAnsi="Cambria" w:cs="Times New Roman"/>
      <w:b/>
      <w:bCs/>
      <w:kern w:val="2"/>
      <w:sz w:val="32"/>
      <w:szCs w:val="32"/>
    </w:rPr>
  </w:style>
  <w:style w:type="character" w:customStyle="1" w:styleId="90">
    <w:name w:val="样式 宋体 五号 黑色"/>
    <w:autoRedefine/>
    <w:qFormat/>
    <w:uiPriority w:val="0"/>
    <w:rPr>
      <w:rFonts w:ascii="Times New Roman" w:hAnsi="Times New Roman" w:eastAsia="仿宋_GB2312"/>
      <w:color w:val="000000"/>
      <w:sz w:val="21"/>
      <w:szCs w:val="21"/>
    </w:rPr>
  </w:style>
  <w:style w:type="character" w:customStyle="1" w:styleId="91">
    <w:name w:val="font71"/>
    <w:autoRedefine/>
    <w:qFormat/>
    <w:uiPriority w:val="0"/>
    <w:rPr>
      <w:rFonts w:hint="eastAsia" w:ascii="宋体" w:hAnsi="宋体" w:eastAsia="宋体" w:cs="宋体"/>
      <w:color w:val="000000"/>
      <w:sz w:val="20"/>
      <w:szCs w:val="20"/>
      <w:u w:val="none"/>
    </w:rPr>
  </w:style>
  <w:style w:type="character" w:customStyle="1" w:styleId="92">
    <w:name w:val="12black1"/>
    <w:autoRedefine/>
    <w:qFormat/>
    <w:uiPriority w:val="0"/>
    <w:rPr>
      <w:color w:val="000000"/>
      <w:sz w:val="24"/>
      <w:szCs w:val="24"/>
      <w:u w:val="none"/>
    </w:rPr>
  </w:style>
  <w:style w:type="character" w:customStyle="1" w:styleId="93">
    <w:name w:val="页脚 字符"/>
    <w:autoRedefine/>
    <w:qFormat/>
    <w:uiPriority w:val="99"/>
    <w:rPr>
      <w:sz w:val="18"/>
      <w:szCs w:val="18"/>
    </w:rPr>
  </w:style>
  <w:style w:type="character" w:customStyle="1" w:styleId="94">
    <w:name w:val="批注文字 字符2"/>
    <w:autoRedefine/>
    <w:semiHidden/>
    <w:qFormat/>
    <w:uiPriority w:val="99"/>
  </w:style>
  <w:style w:type="character" w:customStyle="1" w:styleId="95">
    <w:name w:val="批注主题 Char1"/>
    <w:autoRedefine/>
    <w:qFormat/>
    <w:uiPriority w:val="0"/>
    <w:rPr>
      <w:b/>
      <w:kern w:val="2"/>
      <w:sz w:val="21"/>
      <w:szCs w:val="24"/>
    </w:rPr>
  </w:style>
  <w:style w:type="character" w:customStyle="1" w:styleId="96">
    <w:name w:val="引用 Char1"/>
    <w:autoRedefine/>
    <w:qFormat/>
    <w:uiPriority w:val="0"/>
    <w:rPr>
      <w:rFonts w:hint="default" w:ascii="Times New Roman" w:hAnsi="Times New Roman" w:cs="Times New Roman"/>
      <w:i/>
      <w:color w:val="000000"/>
      <w:kern w:val="2"/>
      <w:sz w:val="21"/>
      <w:szCs w:val="24"/>
    </w:rPr>
  </w:style>
  <w:style w:type="character" w:customStyle="1" w:styleId="97">
    <w:name w:val="批注主题 字符"/>
    <w:autoRedefine/>
    <w:semiHidden/>
    <w:qFormat/>
    <w:uiPriority w:val="0"/>
    <w:rPr>
      <w:rFonts w:ascii="Times New Roman" w:hAnsi="Times New Roman" w:eastAsia="宋体" w:cs="Times New Roman"/>
      <w:b/>
      <w:bCs/>
      <w:szCs w:val="24"/>
    </w:rPr>
  </w:style>
  <w:style w:type="character" w:customStyle="1" w:styleId="98">
    <w:name w:val="批注文字 字符"/>
    <w:autoRedefine/>
    <w:semiHidden/>
    <w:qFormat/>
    <w:uiPriority w:val="0"/>
    <w:rPr>
      <w:rFonts w:ascii="Times New Roman" w:hAnsi="Times New Roman" w:eastAsia="宋体" w:cs="Times New Roman"/>
      <w:szCs w:val="24"/>
    </w:rPr>
  </w:style>
  <w:style w:type="character" w:customStyle="1" w:styleId="99">
    <w:name w:val="页眉 Char2"/>
    <w:autoRedefine/>
    <w:qFormat/>
    <w:uiPriority w:val="0"/>
    <w:rPr>
      <w:kern w:val="2"/>
      <w:sz w:val="18"/>
      <w:szCs w:val="18"/>
    </w:rPr>
  </w:style>
  <w:style w:type="character" w:customStyle="1" w:styleId="100">
    <w:name w:val="纯文本 Char3"/>
    <w:autoRedefine/>
    <w:semiHidden/>
    <w:qFormat/>
    <w:uiPriority w:val="99"/>
    <w:rPr>
      <w:rFonts w:ascii="宋体" w:hAnsi="Courier New" w:cs="Courier New"/>
      <w:kern w:val="2"/>
      <w:sz w:val="21"/>
      <w:szCs w:val="21"/>
    </w:rPr>
  </w:style>
  <w:style w:type="character" w:customStyle="1" w:styleId="101">
    <w:name w:val="页脚 Char1"/>
    <w:autoRedefine/>
    <w:qFormat/>
    <w:uiPriority w:val="0"/>
    <w:rPr>
      <w:rFonts w:hint="default" w:ascii="Times New Roman" w:hAnsi="Times New Roman" w:cs="Times New Roman"/>
      <w:kern w:val="2"/>
      <w:sz w:val="18"/>
      <w:szCs w:val="18"/>
    </w:rPr>
  </w:style>
  <w:style w:type="character" w:customStyle="1" w:styleId="102">
    <w:name w:val="正文文本 字符2"/>
    <w:autoRedefine/>
    <w:semiHidden/>
    <w:qFormat/>
    <w:uiPriority w:val="99"/>
  </w:style>
  <w:style w:type="character" w:customStyle="1" w:styleId="103">
    <w:name w:val="正文文本缩进 2 字符2"/>
    <w:autoRedefine/>
    <w:semiHidden/>
    <w:qFormat/>
    <w:uiPriority w:val="99"/>
  </w:style>
  <w:style w:type="character" w:customStyle="1" w:styleId="104">
    <w:name w:val="标题 3 字符"/>
    <w:autoRedefine/>
    <w:qFormat/>
    <w:uiPriority w:val="9"/>
    <w:rPr>
      <w:b/>
      <w:bCs/>
      <w:sz w:val="32"/>
      <w:szCs w:val="32"/>
    </w:rPr>
  </w:style>
  <w:style w:type="character" w:customStyle="1" w:styleId="105">
    <w:name w:val="纯文本 字符"/>
    <w:autoRedefine/>
    <w:qFormat/>
    <w:uiPriority w:val="0"/>
    <w:rPr>
      <w:rFonts w:ascii="等线" w:hAnsi="Courier New" w:cs="Courier New"/>
      <w:szCs w:val="24"/>
    </w:rPr>
  </w:style>
  <w:style w:type="character" w:customStyle="1" w:styleId="106">
    <w:name w:val="font51"/>
    <w:autoRedefine/>
    <w:qFormat/>
    <w:uiPriority w:val="0"/>
    <w:rPr>
      <w:rFonts w:hint="default" w:ascii="Times New Roman" w:hAnsi="Times New Roman" w:cs="Times New Roman"/>
      <w:color w:val="000000"/>
      <w:sz w:val="22"/>
      <w:szCs w:val="22"/>
      <w:u w:val="none"/>
    </w:rPr>
  </w:style>
  <w:style w:type="character" w:customStyle="1" w:styleId="107">
    <w:name w:val="Body Text First Indent Char"/>
    <w:autoRedefine/>
    <w:qFormat/>
    <w:uiPriority w:val="0"/>
    <w:rPr>
      <w:sz w:val="21"/>
      <w:szCs w:val="21"/>
    </w:rPr>
  </w:style>
  <w:style w:type="character" w:customStyle="1" w:styleId="108">
    <w:name w:val="普通文字 Char"/>
    <w:autoRedefine/>
    <w:qFormat/>
    <w:uiPriority w:val="0"/>
    <w:rPr>
      <w:rFonts w:ascii="宋体" w:hAnsi="Courier New" w:eastAsia="宋体"/>
      <w:color w:val="000000"/>
      <w:kern w:val="2"/>
      <w:sz w:val="21"/>
      <w:szCs w:val="28"/>
      <w:lang w:val="en-US" w:eastAsia="zh-CN" w:bidi="ar-SA"/>
    </w:rPr>
  </w:style>
  <w:style w:type="character" w:customStyle="1" w:styleId="109">
    <w:name w:val="标题 Char1"/>
    <w:autoRedefine/>
    <w:qFormat/>
    <w:uiPriority w:val="0"/>
    <w:rPr>
      <w:rFonts w:hint="default" w:ascii="Cambria" w:hAnsi="Cambria" w:eastAsia="Cambria" w:cs="Cambria"/>
      <w:b/>
      <w:kern w:val="2"/>
      <w:sz w:val="32"/>
      <w:szCs w:val="32"/>
    </w:rPr>
  </w:style>
  <w:style w:type="character" w:customStyle="1" w:styleId="110">
    <w:name w:val="批注主题 字符2"/>
    <w:autoRedefine/>
    <w:semiHidden/>
    <w:qFormat/>
    <w:uiPriority w:val="99"/>
    <w:rPr>
      <w:b/>
      <w:bCs/>
    </w:rPr>
  </w:style>
  <w:style w:type="character" w:customStyle="1" w:styleId="111">
    <w:name w:val="批注文字 Char2"/>
    <w:autoRedefine/>
    <w:qFormat/>
    <w:uiPriority w:val="0"/>
    <w:rPr>
      <w:kern w:val="2"/>
      <w:sz w:val="21"/>
      <w:szCs w:val="24"/>
    </w:rPr>
  </w:style>
  <w:style w:type="character" w:customStyle="1" w:styleId="112">
    <w:name w:val="正文首行缩进 Char"/>
    <w:autoRedefine/>
    <w:qFormat/>
    <w:uiPriority w:val="0"/>
    <w:rPr>
      <w:rFonts w:hint="default" w:ascii="Times New Roman" w:hAnsi="Times New Roman" w:cs="Times New Roman"/>
      <w:szCs w:val="24"/>
    </w:rPr>
  </w:style>
  <w:style w:type="character" w:customStyle="1" w:styleId="113">
    <w:name w:val="Body Text Indent 2 Char"/>
    <w:autoRedefine/>
    <w:qFormat/>
    <w:uiPriority w:val="0"/>
    <w:rPr>
      <w:sz w:val="21"/>
      <w:szCs w:val="21"/>
    </w:rPr>
  </w:style>
  <w:style w:type="character" w:customStyle="1" w:styleId="114">
    <w:name w:val="Char Char21"/>
    <w:autoRedefine/>
    <w:qFormat/>
    <w:uiPriority w:val="0"/>
    <w:rPr>
      <w:rFonts w:hint="eastAsia" w:ascii="宋体" w:hAnsi="宋体" w:eastAsia="宋体" w:cs="宋体"/>
      <w:b/>
      <w:kern w:val="44"/>
      <w:sz w:val="36"/>
      <w:szCs w:val="36"/>
    </w:rPr>
  </w:style>
  <w:style w:type="character" w:customStyle="1" w:styleId="115">
    <w:name w:val="font31"/>
    <w:autoRedefine/>
    <w:qFormat/>
    <w:uiPriority w:val="0"/>
    <w:rPr>
      <w:rFonts w:hint="eastAsia" w:ascii="宋体" w:hAnsi="宋体" w:eastAsia="宋体" w:cs="宋体"/>
      <w:color w:val="000000"/>
      <w:sz w:val="20"/>
      <w:szCs w:val="20"/>
      <w:u w:val="none"/>
    </w:rPr>
  </w:style>
  <w:style w:type="character" w:customStyle="1" w:styleId="116">
    <w:name w:val="批注框文本 字符"/>
    <w:autoRedefine/>
    <w:qFormat/>
    <w:uiPriority w:val="0"/>
    <w:rPr>
      <w:rFonts w:ascii="Times New Roman" w:hAnsi="Times New Roman" w:eastAsia="宋体" w:cs="Times New Roman"/>
      <w:sz w:val="18"/>
      <w:szCs w:val="18"/>
    </w:rPr>
  </w:style>
  <w:style w:type="character" w:customStyle="1" w:styleId="117">
    <w:name w:val="文档结构图 字符2"/>
    <w:autoRedefine/>
    <w:semiHidden/>
    <w:qFormat/>
    <w:uiPriority w:val="99"/>
    <w:rPr>
      <w:rFonts w:ascii="Microsoft YaHei UI" w:eastAsia="Microsoft YaHei UI"/>
      <w:sz w:val="18"/>
      <w:szCs w:val="18"/>
    </w:rPr>
  </w:style>
  <w:style w:type="character" w:customStyle="1" w:styleId="118">
    <w:name w:val="Title Char"/>
    <w:autoRedefine/>
    <w:qFormat/>
    <w:uiPriority w:val="0"/>
    <w:rPr>
      <w:rFonts w:hint="default" w:ascii="Cambria" w:hAnsi="Cambria" w:eastAsia="Cambria" w:cs="Cambria"/>
      <w:b/>
      <w:sz w:val="32"/>
      <w:szCs w:val="32"/>
    </w:rPr>
  </w:style>
  <w:style w:type="character" w:customStyle="1" w:styleId="119">
    <w:name w:val="正文文本缩进 Char1"/>
    <w:autoRedefine/>
    <w:qFormat/>
    <w:uiPriority w:val="0"/>
    <w:rPr>
      <w:kern w:val="2"/>
      <w:sz w:val="21"/>
      <w:szCs w:val="24"/>
    </w:rPr>
  </w:style>
  <w:style w:type="character" w:customStyle="1" w:styleId="120">
    <w:name w:val="页眉 Char3"/>
    <w:autoRedefine/>
    <w:qFormat/>
    <w:uiPriority w:val="0"/>
    <w:rPr>
      <w:sz w:val="18"/>
      <w:szCs w:val="18"/>
    </w:rPr>
  </w:style>
  <w:style w:type="character" w:customStyle="1" w:styleId="121">
    <w:name w:val="hover42"/>
    <w:autoRedefine/>
    <w:qFormat/>
    <w:uiPriority w:val="0"/>
  </w:style>
  <w:style w:type="character" w:customStyle="1" w:styleId="122">
    <w:name w:val="页眉 Char Char"/>
    <w:autoRedefine/>
    <w:qFormat/>
    <w:uiPriority w:val="0"/>
    <w:rPr>
      <w:kern w:val="2"/>
      <w:sz w:val="18"/>
      <w:szCs w:val="18"/>
    </w:rPr>
  </w:style>
  <w:style w:type="character" w:customStyle="1" w:styleId="123">
    <w:name w:val="批注主题 Char"/>
    <w:autoRedefine/>
    <w:qFormat/>
    <w:uiPriority w:val="0"/>
    <w:rPr>
      <w:rFonts w:hint="default" w:ascii="Times New Roman" w:hAnsi="Times New Roman" w:cs="Times New Roman"/>
      <w:b/>
      <w:szCs w:val="24"/>
    </w:rPr>
  </w:style>
  <w:style w:type="character" w:customStyle="1" w:styleId="124">
    <w:name w:val="正文文本缩进 2 字符"/>
    <w:autoRedefine/>
    <w:qFormat/>
    <w:uiPriority w:val="0"/>
    <w:rPr>
      <w:rFonts w:ascii="Times New Roman" w:hAnsi="Times New Roman" w:eastAsia="宋体" w:cs="Times New Roman"/>
      <w:szCs w:val="24"/>
    </w:rPr>
  </w:style>
  <w:style w:type="character" w:customStyle="1" w:styleId="125">
    <w:name w:val="纯文本 字符3"/>
    <w:autoRedefine/>
    <w:semiHidden/>
    <w:qFormat/>
    <w:uiPriority w:val="99"/>
    <w:rPr>
      <w:rFonts w:ascii="宋体" w:hAnsi="Courier New" w:cs="Courier New"/>
    </w:rPr>
  </w:style>
  <w:style w:type="character" w:customStyle="1" w:styleId="126">
    <w:name w:val="标题 7 字符"/>
    <w:autoRedefine/>
    <w:qFormat/>
    <w:uiPriority w:val="0"/>
    <w:rPr>
      <w:b/>
      <w:bCs/>
      <w:sz w:val="24"/>
      <w:szCs w:val="24"/>
    </w:rPr>
  </w:style>
  <w:style w:type="character" w:customStyle="1" w:styleId="127">
    <w:name w:val="times"/>
    <w:autoRedefine/>
    <w:qFormat/>
    <w:uiPriority w:val="0"/>
    <w:rPr>
      <w:color w:val="CDCDCD"/>
      <w:bdr w:val="single" w:color="CDCDCD" w:sz="6" w:space="0"/>
      <w:shd w:val="clear" w:color="auto" w:fill="EFEFEF"/>
    </w:rPr>
  </w:style>
  <w:style w:type="character" w:customStyle="1" w:styleId="128">
    <w:name w:val="标题 4 字符"/>
    <w:autoRedefine/>
    <w:qFormat/>
    <w:uiPriority w:val="0"/>
    <w:rPr>
      <w:rFonts w:ascii="Cambria" w:hAnsi="Cambria" w:eastAsia="宋体" w:cs="Times New Roman"/>
      <w:b/>
      <w:bCs/>
      <w:sz w:val="28"/>
      <w:szCs w:val="28"/>
    </w:rPr>
  </w:style>
  <w:style w:type="character" w:customStyle="1" w:styleId="129">
    <w:name w:val="font41"/>
    <w:autoRedefine/>
    <w:qFormat/>
    <w:uiPriority w:val="0"/>
    <w:rPr>
      <w:rFonts w:hint="eastAsia" w:ascii="宋体" w:hAnsi="宋体" w:eastAsia="宋体" w:cs="宋体"/>
      <w:b/>
      <w:color w:val="000000"/>
      <w:sz w:val="22"/>
      <w:szCs w:val="22"/>
      <w:u w:val="none"/>
    </w:rPr>
  </w:style>
  <w:style w:type="character" w:customStyle="1" w:styleId="130">
    <w:name w:val="正文首行缩进 Char1"/>
    <w:autoRedefine/>
    <w:qFormat/>
    <w:uiPriority w:val="0"/>
    <w:rPr>
      <w:kern w:val="2"/>
      <w:sz w:val="21"/>
      <w:szCs w:val="24"/>
    </w:rPr>
  </w:style>
  <w:style w:type="character" w:customStyle="1" w:styleId="131">
    <w:name w:val="正文文本 2 字符2"/>
    <w:autoRedefine/>
    <w:semiHidden/>
    <w:qFormat/>
    <w:uiPriority w:val="99"/>
  </w:style>
  <w:style w:type="character" w:customStyle="1" w:styleId="132">
    <w:name w:val="标题 8 字符"/>
    <w:autoRedefine/>
    <w:qFormat/>
    <w:uiPriority w:val="0"/>
    <w:rPr>
      <w:rFonts w:ascii="Cambria" w:hAnsi="Cambria" w:eastAsia="宋体" w:cs="Times New Roman"/>
      <w:sz w:val="24"/>
      <w:szCs w:val="24"/>
    </w:rPr>
  </w:style>
  <w:style w:type="character" w:customStyle="1" w:styleId="133">
    <w:name w:val="尾注文本 字符1"/>
    <w:autoRedefine/>
    <w:semiHidden/>
    <w:qFormat/>
    <w:uiPriority w:val="99"/>
  </w:style>
  <w:style w:type="character" w:customStyle="1" w:styleId="134">
    <w:name w:val="正文文本 Char2"/>
    <w:autoRedefine/>
    <w:qFormat/>
    <w:uiPriority w:val="0"/>
    <w:rPr>
      <w:szCs w:val="24"/>
    </w:rPr>
  </w:style>
  <w:style w:type="character" w:customStyle="1" w:styleId="135">
    <w:name w:val="日期 Char"/>
    <w:autoRedefine/>
    <w:qFormat/>
    <w:uiPriority w:val="0"/>
    <w:rPr>
      <w:kern w:val="2"/>
      <w:sz w:val="24"/>
      <w:szCs w:val="24"/>
    </w:rPr>
  </w:style>
  <w:style w:type="character" w:customStyle="1" w:styleId="136">
    <w:name w:val="日期 字符"/>
    <w:autoRedefine/>
    <w:qFormat/>
    <w:uiPriority w:val="0"/>
    <w:rPr>
      <w:rFonts w:ascii="Times New Roman" w:hAnsi="Times New Roman" w:eastAsia="宋体" w:cs="Times New Roman"/>
      <w:szCs w:val="24"/>
    </w:rPr>
  </w:style>
  <w:style w:type="character" w:customStyle="1" w:styleId="137">
    <w:name w:val="Char Char Char"/>
    <w:autoRedefine/>
    <w:qFormat/>
    <w:uiPriority w:val="0"/>
    <w:rPr>
      <w:rFonts w:ascii="Arial" w:hAnsi="Arial" w:eastAsia="宋体" w:cs="Arial"/>
      <w:b/>
      <w:bCs/>
      <w:kern w:val="2"/>
      <w:sz w:val="32"/>
      <w:szCs w:val="32"/>
      <w:lang w:val="en-US" w:eastAsia="zh-CN" w:bidi="ar-SA"/>
    </w:rPr>
  </w:style>
  <w:style w:type="character" w:customStyle="1" w:styleId="138">
    <w:name w:val="日期 Char2"/>
    <w:autoRedefine/>
    <w:semiHidden/>
    <w:qFormat/>
    <w:uiPriority w:val="99"/>
    <w:rPr>
      <w:kern w:val="2"/>
      <w:sz w:val="21"/>
      <w:szCs w:val="22"/>
    </w:rPr>
  </w:style>
  <w:style w:type="character" w:customStyle="1" w:styleId="139">
    <w:name w:val="Title Char1"/>
    <w:autoRedefine/>
    <w:qFormat/>
    <w:uiPriority w:val="0"/>
    <w:rPr>
      <w:rFonts w:hint="default" w:ascii="Cambria" w:hAnsi="Cambria" w:eastAsia="Cambria" w:cs="Cambria"/>
      <w:b/>
      <w:sz w:val="32"/>
      <w:szCs w:val="32"/>
    </w:rPr>
  </w:style>
  <w:style w:type="character" w:customStyle="1" w:styleId="140">
    <w:name w:val="文档结构图 字符"/>
    <w:autoRedefine/>
    <w:semiHidden/>
    <w:qFormat/>
    <w:uiPriority w:val="0"/>
    <w:rPr>
      <w:rFonts w:ascii="Microsoft YaHei UI" w:hAnsi="Times New Roman" w:eastAsia="Microsoft YaHei UI" w:cs="Times New Roman"/>
      <w:sz w:val="18"/>
      <w:szCs w:val="18"/>
    </w:rPr>
  </w:style>
  <w:style w:type="character" w:customStyle="1" w:styleId="141">
    <w:name w:val="正文文本 2 Char2"/>
    <w:autoRedefine/>
    <w:qFormat/>
    <w:uiPriority w:val="0"/>
    <w:rPr>
      <w:szCs w:val="24"/>
    </w:rPr>
  </w:style>
  <w:style w:type="character" w:customStyle="1" w:styleId="142">
    <w:name w:val="页眉 字符"/>
    <w:autoRedefine/>
    <w:qFormat/>
    <w:uiPriority w:val="0"/>
    <w:rPr>
      <w:sz w:val="18"/>
      <w:szCs w:val="18"/>
    </w:rPr>
  </w:style>
  <w:style w:type="character" w:customStyle="1" w:styleId="143">
    <w:name w:val="Body Text Indent Char"/>
    <w:autoRedefine/>
    <w:qFormat/>
    <w:uiPriority w:val="0"/>
    <w:rPr>
      <w:sz w:val="21"/>
      <w:szCs w:val="21"/>
    </w:rPr>
  </w:style>
  <w:style w:type="character" w:customStyle="1" w:styleId="144">
    <w:name w:val="正文文本 Char1"/>
    <w:autoRedefine/>
    <w:qFormat/>
    <w:uiPriority w:val="0"/>
    <w:rPr>
      <w:rFonts w:hint="default" w:ascii="Times New Roman" w:hAnsi="Times New Roman" w:cs="Times New Roman"/>
      <w:kern w:val="2"/>
      <w:sz w:val="21"/>
      <w:szCs w:val="24"/>
    </w:rPr>
  </w:style>
  <w:style w:type="character" w:customStyle="1" w:styleId="145">
    <w:name w:val="Body Text Indent 3 Char"/>
    <w:autoRedefine/>
    <w:qFormat/>
    <w:uiPriority w:val="0"/>
    <w:rPr>
      <w:sz w:val="16"/>
      <w:szCs w:val="16"/>
    </w:rPr>
  </w:style>
  <w:style w:type="character" w:customStyle="1" w:styleId="146">
    <w:name w:val="纯文本 Char1"/>
    <w:autoRedefine/>
    <w:qFormat/>
    <w:uiPriority w:val="0"/>
    <w:rPr>
      <w:rFonts w:hint="eastAsia" w:ascii="宋体" w:hAnsi="Courier New" w:eastAsia="宋体" w:cs="Courier New"/>
      <w:kern w:val="2"/>
      <w:sz w:val="21"/>
      <w:szCs w:val="21"/>
    </w:rPr>
  </w:style>
  <w:style w:type="character" w:customStyle="1" w:styleId="147">
    <w:name w:val="标题 字符2"/>
    <w:autoRedefine/>
    <w:qFormat/>
    <w:uiPriority w:val="10"/>
    <w:rPr>
      <w:rFonts w:ascii="Cambria" w:hAnsi="Cambria" w:eastAsia="宋体" w:cs="Times New Roman"/>
      <w:b/>
      <w:bCs/>
      <w:sz w:val="32"/>
      <w:szCs w:val="32"/>
    </w:rPr>
  </w:style>
  <w:style w:type="character" w:customStyle="1" w:styleId="148">
    <w:name w:val="正文文本缩进 2 Char"/>
    <w:autoRedefine/>
    <w:qFormat/>
    <w:uiPriority w:val="0"/>
    <w:rPr>
      <w:rFonts w:hint="eastAsia" w:ascii="宋体" w:hAnsi="Times New Roman" w:eastAsia="宋体" w:cs="宋体"/>
    </w:rPr>
  </w:style>
  <w:style w:type="character" w:customStyle="1" w:styleId="149">
    <w:name w:val="纯文本 Char"/>
    <w:autoRedefine/>
    <w:qFormat/>
    <w:uiPriority w:val="0"/>
    <w:rPr>
      <w:rFonts w:hint="eastAsia" w:ascii="宋体" w:hAnsi="Courier New" w:eastAsia="宋体" w:cs="宋体"/>
    </w:rPr>
  </w:style>
  <w:style w:type="character" w:customStyle="1" w:styleId="150">
    <w:name w:val="引用 Char"/>
    <w:autoRedefine/>
    <w:qFormat/>
    <w:uiPriority w:val="0"/>
    <w:rPr>
      <w:i/>
      <w:color w:val="000000"/>
      <w:kern w:val="2"/>
      <w:sz w:val="24"/>
      <w:szCs w:val="24"/>
    </w:rPr>
  </w:style>
  <w:style w:type="character" w:customStyle="1" w:styleId="151">
    <w:name w:val="Body Text 2 Char"/>
    <w:autoRedefine/>
    <w:qFormat/>
    <w:uiPriority w:val="0"/>
    <w:rPr>
      <w:sz w:val="21"/>
      <w:szCs w:val="21"/>
    </w:rPr>
  </w:style>
  <w:style w:type="character" w:customStyle="1" w:styleId="152">
    <w:name w:val="正文文本 2 字符"/>
    <w:autoRedefine/>
    <w:qFormat/>
    <w:uiPriority w:val="0"/>
    <w:rPr>
      <w:rFonts w:ascii="Times New Roman" w:hAnsi="Times New Roman" w:eastAsia="宋体" w:cs="Times New Roman"/>
      <w:szCs w:val="24"/>
    </w:rPr>
  </w:style>
  <w:style w:type="character" w:customStyle="1" w:styleId="153">
    <w:name w:val="Body Text Char"/>
    <w:autoRedefine/>
    <w:qFormat/>
    <w:uiPriority w:val="0"/>
    <w:rPr>
      <w:sz w:val="21"/>
      <w:szCs w:val="21"/>
    </w:rPr>
  </w:style>
  <w:style w:type="character" w:customStyle="1" w:styleId="154">
    <w:name w:val="文档结构图 Char"/>
    <w:autoRedefine/>
    <w:qFormat/>
    <w:uiPriority w:val="0"/>
    <w:rPr>
      <w:rFonts w:hint="eastAsia" w:ascii="宋体" w:hAnsi="宋体" w:eastAsia="宋体" w:cs="宋体"/>
      <w:sz w:val="18"/>
      <w:szCs w:val="18"/>
    </w:rPr>
  </w:style>
  <w:style w:type="character" w:customStyle="1" w:styleId="155">
    <w:name w:val="font01"/>
    <w:autoRedefine/>
    <w:qFormat/>
    <w:uiPriority w:val="0"/>
    <w:rPr>
      <w:rFonts w:hint="eastAsia" w:ascii="宋体" w:hAnsi="宋体" w:eastAsia="宋体" w:cs="宋体"/>
      <w:color w:val="000000"/>
      <w:sz w:val="20"/>
      <w:szCs w:val="20"/>
      <w:u w:val="none"/>
      <w:vertAlign w:val="superscript"/>
    </w:rPr>
  </w:style>
  <w:style w:type="character" w:customStyle="1" w:styleId="156">
    <w:name w:val="apple-style-span"/>
    <w:autoRedefine/>
    <w:qFormat/>
    <w:uiPriority w:val="0"/>
  </w:style>
  <w:style w:type="character" w:customStyle="1" w:styleId="157">
    <w:name w:val="页眉 Char1"/>
    <w:autoRedefine/>
    <w:qFormat/>
    <w:uiPriority w:val="0"/>
    <w:rPr>
      <w:kern w:val="2"/>
      <w:sz w:val="18"/>
      <w:szCs w:val="18"/>
    </w:rPr>
  </w:style>
  <w:style w:type="character" w:customStyle="1" w:styleId="158">
    <w:name w:val="标题 1 字符"/>
    <w:autoRedefine/>
    <w:qFormat/>
    <w:uiPriority w:val="0"/>
    <w:rPr>
      <w:b/>
      <w:bCs/>
      <w:kern w:val="44"/>
      <w:sz w:val="44"/>
      <w:szCs w:val="44"/>
    </w:rPr>
  </w:style>
  <w:style w:type="character" w:customStyle="1" w:styleId="159">
    <w:name w:val="正文文本首行缩进 字符1"/>
    <w:autoRedefine/>
    <w:qFormat/>
    <w:uiPriority w:val="0"/>
    <w:rPr>
      <w:kern w:val="2"/>
      <w:sz w:val="21"/>
      <w:szCs w:val="24"/>
    </w:rPr>
  </w:style>
  <w:style w:type="character" w:customStyle="1" w:styleId="160">
    <w:name w:val="font11"/>
    <w:autoRedefine/>
    <w:qFormat/>
    <w:uiPriority w:val="0"/>
    <w:rPr>
      <w:rFonts w:hint="eastAsia" w:ascii="宋体" w:hAnsi="宋体" w:eastAsia="宋体" w:cs="宋体"/>
      <w:color w:val="000000"/>
      <w:sz w:val="20"/>
      <w:szCs w:val="20"/>
      <w:u w:val="none"/>
    </w:rPr>
  </w:style>
  <w:style w:type="character" w:customStyle="1" w:styleId="161">
    <w:name w:val="文档结构图 Char3"/>
    <w:autoRedefine/>
    <w:semiHidden/>
    <w:qFormat/>
    <w:uiPriority w:val="99"/>
    <w:rPr>
      <w:rFonts w:ascii="宋体"/>
      <w:kern w:val="2"/>
      <w:sz w:val="18"/>
      <w:szCs w:val="18"/>
    </w:rPr>
  </w:style>
  <w:style w:type="character" w:customStyle="1" w:styleId="162">
    <w:name w:val="正文文本 字符"/>
    <w:autoRedefine/>
    <w:semiHidden/>
    <w:qFormat/>
    <w:uiPriority w:val="99"/>
    <w:rPr>
      <w:rFonts w:ascii="Times New Roman" w:hAnsi="Times New Roman" w:eastAsia="宋体" w:cs="Times New Roman"/>
      <w:szCs w:val="24"/>
    </w:rPr>
  </w:style>
  <w:style w:type="character" w:customStyle="1" w:styleId="163">
    <w:name w:val="样式 标题 2 + (西文) 宋体 黑色 下划线 Char"/>
    <w:link w:val="164"/>
    <w:autoRedefine/>
    <w:qFormat/>
    <w:uiPriority w:val="0"/>
    <w:rPr>
      <w:rFonts w:ascii="宋体" w:hAnsi="宋体"/>
      <w:b/>
      <w:color w:val="000000"/>
      <w:sz w:val="24"/>
      <w:szCs w:val="24"/>
      <w:u w:val="single"/>
    </w:rPr>
  </w:style>
  <w:style w:type="paragraph" w:customStyle="1" w:styleId="164">
    <w:name w:val="样式 标题 2 + (西文) 宋体 黑色 下划线"/>
    <w:basedOn w:val="4"/>
    <w:link w:val="163"/>
    <w:autoRedefine/>
    <w:qFormat/>
    <w:uiPriority w:val="0"/>
    <w:pPr>
      <w:spacing w:before="260" w:after="260"/>
      <w:ind w:left="454" w:hanging="454"/>
    </w:pPr>
    <w:rPr>
      <w:rFonts w:ascii="宋体" w:hAnsi="宋体" w:eastAsia="宋体"/>
      <w:bCs w:val="0"/>
      <w:color w:val="000000"/>
      <w:sz w:val="24"/>
      <w:szCs w:val="24"/>
      <w:u w:val="single"/>
    </w:rPr>
  </w:style>
  <w:style w:type="character" w:customStyle="1" w:styleId="165">
    <w:name w:val="页脚 字符1"/>
    <w:autoRedefine/>
    <w:semiHidden/>
    <w:qFormat/>
    <w:uiPriority w:val="99"/>
    <w:rPr>
      <w:sz w:val="18"/>
      <w:szCs w:val="18"/>
    </w:rPr>
  </w:style>
  <w:style w:type="character" w:customStyle="1" w:styleId="166">
    <w:name w:val="纯文本 字符1"/>
    <w:autoRedefine/>
    <w:qFormat/>
    <w:uiPriority w:val="0"/>
    <w:rPr>
      <w:rFonts w:ascii="宋体" w:hAnsi="Courier New" w:eastAsia="宋体" w:cs="Courier New"/>
      <w:szCs w:val="21"/>
    </w:rPr>
  </w:style>
  <w:style w:type="character" w:customStyle="1" w:styleId="167">
    <w:name w:val="正文文本缩进 字符2"/>
    <w:autoRedefine/>
    <w:semiHidden/>
    <w:qFormat/>
    <w:uiPriority w:val="99"/>
  </w:style>
  <w:style w:type="character" w:customStyle="1" w:styleId="168">
    <w:name w:val="正文文本缩进 3 Char2"/>
    <w:autoRedefine/>
    <w:qFormat/>
    <w:uiPriority w:val="0"/>
    <w:rPr>
      <w:sz w:val="16"/>
      <w:szCs w:val="16"/>
    </w:rPr>
  </w:style>
  <w:style w:type="character" w:customStyle="1" w:styleId="169">
    <w:name w:val="正文文本缩进 3 字符2"/>
    <w:autoRedefine/>
    <w:semiHidden/>
    <w:qFormat/>
    <w:uiPriority w:val="99"/>
    <w:rPr>
      <w:sz w:val="16"/>
      <w:szCs w:val="16"/>
    </w:rPr>
  </w:style>
  <w:style w:type="character" w:customStyle="1" w:styleId="170">
    <w:name w:val="脚注文本 Char1"/>
    <w:autoRedefine/>
    <w:semiHidden/>
    <w:qFormat/>
    <w:uiPriority w:val="99"/>
    <w:rPr>
      <w:kern w:val="2"/>
      <w:sz w:val="18"/>
      <w:szCs w:val="18"/>
    </w:rPr>
  </w:style>
  <w:style w:type="character" w:customStyle="1" w:styleId="171">
    <w:name w:val="日期 字符2"/>
    <w:autoRedefine/>
    <w:semiHidden/>
    <w:qFormat/>
    <w:uiPriority w:val="99"/>
  </w:style>
  <w:style w:type="character" w:customStyle="1" w:styleId="172">
    <w:name w:val="正文文本缩进 3 Char1"/>
    <w:autoRedefine/>
    <w:qFormat/>
    <w:uiPriority w:val="0"/>
    <w:rPr>
      <w:kern w:val="2"/>
      <w:sz w:val="16"/>
      <w:szCs w:val="16"/>
    </w:rPr>
  </w:style>
  <w:style w:type="character" w:customStyle="1" w:styleId="173">
    <w:name w:val="2级标题 Char Char"/>
    <w:link w:val="174"/>
    <w:autoRedefine/>
    <w:qFormat/>
    <w:uiPriority w:val="0"/>
    <w:rPr>
      <w:rFonts w:ascii="宋体" w:hAnsi="宋体"/>
      <w:b/>
      <w:sz w:val="32"/>
      <w:szCs w:val="32"/>
    </w:rPr>
  </w:style>
  <w:style w:type="paragraph" w:customStyle="1" w:styleId="174">
    <w:name w:val="2级标题 Char"/>
    <w:basedOn w:val="1"/>
    <w:link w:val="173"/>
    <w:autoRedefine/>
    <w:qFormat/>
    <w:uiPriority w:val="0"/>
    <w:rPr>
      <w:rFonts w:ascii="宋体" w:hAnsi="宋体"/>
      <w:b/>
      <w:kern w:val="0"/>
      <w:sz w:val="32"/>
      <w:szCs w:val="32"/>
    </w:rPr>
  </w:style>
  <w:style w:type="character" w:customStyle="1" w:styleId="175">
    <w:name w:val="font61"/>
    <w:autoRedefine/>
    <w:qFormat/>
    <w:uiPriority w:val="0"/>
    <w:rPr>
      <w:rFonts w:hint="eastAsia" w:ascii="宋体" w:hAnsi="宋体" w:eastAsia="宋体" w:cs="宋体"/>
      <w:color w:val="000000"/>
      <w:sz w:val="18"/>
      <w:szCs w:val="18"/>
      <w:u w:val="none"/>
    </w:rPr>
  </w:style>
  <w:style w:type="character" w:customStyle="1" w:styleId="176">
    <w:name w:val="正文文本缩进 2 Char1"/>
    <w:autoRedefine/>
    <w:qFormat/>
    <w:uiPriority w:val="0"/>
    <w:rPr>
      <w:kern w:val="2"/>
      <w:sz w:val="21"/>
      <w:szCs w:val="24"/>
    </w:rPr>
  </w:style>
  <w:style w:type="character" w:customStyle="1" w:styleId="177">
    <w:name w:val="Document Map Char"/>
    <w:autoRedefine/>
    <w:qFormat/>
    <w:uiPriority w:val="0"/>
    <w:rPr>
      <w:rFonts w:hint="eastAsia" w:ascii="宋体" w:hAnsi="宋体" w:eastAsia="宋体" w:cs="宋体"/>
      <w:sz w:val="18"/>
      <w:szCs w:val="18"/>
    </w:rPr>
  </w:style>
  <w:style w:type="character" w:customStyle="1" w:styleId="178">
    <w:name w:val="font21"/>
    <w:autoRedefine/>
    <w:qFormat/>
    <w:uiPriority w:val="0"/>
    <w:rPr>
      <w:rFonts w:hint="eastAsia" w:ascii="宋体" w:hAnsi="宋体" w:eastAsia="宋体" w:cs="宋体"/>
      <w:color w:val="000000"/>
      <w:sz w:val="20"/>
      <w:szCs w:val="20"/>
      <w:u w:val="none"/>
    </w:rPr>
  </w:style>
  <w:style w:type="character" w:customStyle="1" w:styleId="179">
    <w:name w:val="正文文本首行缩进 字符"/>
    <w:autoRedefine/>
    <w:qFormat/>
    <w:uiPriority w:val="0"/>
    <w:rPr>
      <w:rFonts w:ascii="Times New Roman" w:hAnsi="Times New Roman" w:eastAsia="宋体" w:cs="Times New Roman"/>
      <w:szCs w:val="24"/>
    </w:rPr>
  </w:style>
  <w:style w:type="character" w:customStyle="1" w:styleId="180">
    <w:name w:val="无间隔 Char"/>
    <w:link w:val="181"/>
    <w:autoRedefine/>
    <w:qFormat/>
    <w:uiPriority w:val="1"/>
    <w:rPr>
      <w:rFonts w:ascii="等线" w:hAnsi="等线" w:eastAsia="等线"/>
      <w:sz w:val="22"/>
      <w:lang w:val="en-US" w:eastAsia="zh-CN" w:bidi="ar-SA"/>
    </w:rPr>
  </w:style>
  <w:style w:type="paragraph" w:customStyle="1" w:styleId="181">
    <w:name w:val="无间隔1"/>
    <w:link w:val="180"/>
    <w:autoRedefine/>
    <w:qFormat/>
    <w:uiPriority w:val="1"/>
    <w:rPr>
      <w:rFonts w:ascii="等线" w:hAnsi="等线" w:eastAsia="等线" w:cs="Times New Roman"/>
      <w:sz w:val="22"/>
      <w:lang w:val="en-US" w:eastAsia="zh-CN" w:bidi="ar-SA"/>
    </w:rPr>
  </w:style>
  <w:style w:type="character" w:customStyle="1" w:styleId="182">
    <w:name w:val="批注框文本 Char2"/>
    <w:autoRedefine/>
    <w:qFormat/>
    <w:uiPriority w:val="0"/>
    <w:rPr>
      <w:sz w:val="18"/>
      <w:szCs w:val="18"/>
    </w:rPr>
  </w:style>
  <w:style w:type="character" w:customStyle="1" w:styleId="183">
    <w:name w:val="标题 字符"/>
    <w:autoRedefine/>
    <w:qFormat/>
    <w:uiPriority w:val="0"/>
    <w:rPr>
      <w:rFonts w:ascii="等线 Light" w:hAnsi="等线 Light" w:eastAsia="等线 Light" w:cs="Times New Roman"/>
      <w:b/>
      <w:bCs/>
      <w:sz w:val="32"/>
      <w:szCs w:val="32"/>
    </w:rPr>
  </w:style>
  <w:style w:type="character" w:customStyle="1" w:styleId="184">
    <w:name w:val="批注框文本 字符2"/>
    <w:autoRedefine/>
    <w:semiHidden/>
    <w:qFormat/>
    <w:uiPriority w:val="99"/>
    <w:rPr>
      <w:sz w:val="18"/>
      <w:szCs w:val="18"/>
    </w:rPr>
  </w:style>
  <w:style w:type="character" w:customStyle="1" w:styleId="185">
    <w:name w:val="文档结构图 Char1"/>
    <w:autoRedefine/>
    <w:qFormat/>
    <w:uiPriority w:val="0"/>
    <w:rPr>
      <w:rFonts w:hint="eastAsia" w:ascii="宋体" w:hAnsi="宋体" w:eastAsia="宋体" w:cs="宋体"/>
      <w:kern w:val="2"/>
      <w:sz w:val="18"/>
      <w:szCs w:val="18"/>
      <w:shd w:val="clear" w:color="auto" w:fill="000080"/>
    </w:rPr>
  </w:style>
  <w:style w:type="character" w:customStyle="1" w:styleId="186">
    <w:name w:val="隔页 Char"/>
    <w:link w:val="187"/>
    <w:autoRedefine/>
    <w:qFormat/>
    <w:uiPriority w:val="0"/>
    <w:rPr>
      <w:rFonts w:ascii="黑体" w:eastAsia="黑体"/>
      <w:color w:val="000000"/>
      <w:sz w:val="52"/>
      <w:szCs w:val="84"/>
    </w:rPr>
  </w:style>
  <w:style w:type="paragraph" w:customStyle="1" w:styleId="187">
    <w:name w:val="隔页"/>
    <w:basedOn w:val="1"/>
    <w:link w:val="186"/>
    <w:autoRedefine/>
    <w:qFormat/>
    <w:uiPriority w:val="0"/>
    <w:pPr>
      <w:jc w:val="center"/>
    </w:pPr>
    <w:rPr>
      <w:rFonts w:ascii="黑体" w:eastAsia="黑体"/>
      <w:color w:val="000000"/>
      <w:kern w:val="0"/>
      <w:sz w:val="52"/>
      <w:szCs w:val="84"/>
    </w:rPr>
  </w:style>
  <w:style w:type="character" w:customStyle="1" w:styleId="188">
    <w:name w:val="批注框文本 Char1"/>
    <w:autoRedefine/>
    <w:qFormat/>
    <w:uiPriority w:val="0"/>
    <w:rPr>
      <w:rFonts w:hint="default" w:ascii="Times New Roman" w:hAnsi="Times New Roman" w:cs="Times New Roman"/>
      <w:kern w:val="2"/>
      <w:sz w:val="18"/>
      <w:szCs w:val="18"/>
    </w:rPr>
  </w:style>
  <w:style w:type="character" w:customStyle="1" w:styleId="189">
    <w:name w:val="节 Char"/>
    <w:link w:val="190"/>
    <w:autoRedefine/>
    <w:qFormat/>
    <w:uiPriority w:val="0"/>
    <w:rPr>
      <w:rFonts w:ascii="宋体" w:hAnsi="宋体" w:eastAsia="黑体"/>
      <w:sz w:val="36"/>
      <w:szCs w:val="32"/>
    </w:rPr>
  </w:style>
  <w:style w:type="paragraph" w:customStyle="1" w:styleId="190">
    <w:name w:val="节"/>
    <w:basedOn w:val="1"/>
    <w:link w:val="189"/>
    <w:autoRedefine/>
    <w:qFormat/>
    <w:uiPriority w:val="0"/>
    <w:pPr>
      <w:pageBreakBefore/>
    </w:pPr>
    <w:rPr>
      <w:rFonts w:ascii="宋体" w:hAnsi="宋体" w:eastAsia="黑体"/>
      <w:kern w:val="0"/>
      <w:sz w:val="36"/>
      <w:szCs w:val="32"/>
    </w:rPr>
  </w:style>
  <w:style w:type="character" w:customStyle="1" w:styleId="191">
    <w:name w:val="批注文字 Char1"/>
    <w:autoRedefine/>
    <w:qFormat/>
    <w:uiPriority w:val="0"/>
    <w:rPr>
      <w:rFonts w:hint="default" w:ascii="Times New Roman" w:hAnsi="Times New Roman" w:cs="Times New Roman"/>
      <w:szCs w:val="24"/>
    </w:rPr>
  </w:style>
  <w:style w:type="character" w:customStyle="1" w:styleId="192">
    <w:name w:val="标题 Char"/>
    <w:autoRedefine/>
    <w:qFormat/>
    <w:uiPriority w:val="0"/>
    <w:rPr>
      <w:rFonts w:hint="default" w:ascii="Arial" w:hAnsi="Arial" w:cs="Arial"/>
      <w:b/>
      <w:sz w:val="32"/>
      <w:szCs w:val="32"/>
    </w:rPr>
  </w:style>
  <w:style w:type="character" w:customStyle="1" w:styleId="193">
    <w:name w:val="正文文本缩进 字符"/>
    <w:autoRedefine/>
    <w:qFormat/>
    <w:uiPriority w:val="0"/>
    <w:rPr>
      <w:rFonts w:ascii="Times New Roman" w:hAnsi="Times New Roman" w:eastAsia="宋体" w:cs="Times New Roman"/>
      <w:szCs w:val="24"/>
    </w:rPr>
  </w:style>
  <w:style w:type="character" w:customStyle="1" w:styleId="194">
    <w:name w:val="标题 5 字符"/>
    <w:autoRedefine/>
    <w:qFormat/>
    <w:uiPriority w:val="0"/>
    <w:rPr>
      <w:b/>
      <w:bCs/>
      <w:sz w:val="28"/>
      <w:szCs w:val="28"/>
    </w:rPr>
  </w:style>
  <w:style w:type="character" w:customStyle="1" w:styleId="195">
    <w:name w:val="尾注文本 Char1"/>
    <w:autoRedefine/>
    <w:semiHidden/>
    <w:qFormat/>
    <w:uiPriority w:val="99"/>
    <w:rPr>
      <w:kern w:val="2"/>
      <w:sz w:val="21"/>
      <w:szCs w:val="22"/>
    </w:rPr>
  </w:style>
  <w:style w:type="character" w:customStyle="1" w:styleId="196">
    <w:name w:val="标题 2 字符"/>
    <w:autoRedefine/>
    <w:qFormat/>
    <w:uiPriority w:val="0"/>
    <w:rPr>
      <w:rFonts w:ascii="Cambria" w:hAnsi="Cambria" w:eastAsia="宋体" w:cs="Times New Roman"/>
      <w:b/>
      <w:bCs/>
      <w:sz w:val="32"/>
      <w:szCs w:val="32"/>
    </w:rPr>
  </w:style>
  <w:style w:type="character" w:customStyle="1" w:styleId="197">
    <w:name w:val="标题 1 Char Char"/>
    <w:autoRedefine/>
    <w:qFormat/>
    <w:uiPriority w:val="0"/>
    <w:rPr>
      <w:rFonts w:hint="eastAsia" w:ascii="宋体" w:hAnsi="宋体" w:eastAsia="宋体" w:cs="宋体"/>
      <w:b/>
      <w:kern w:val="44"/>
      <w:sz w:val="21"/>
      <w:szCs w:val="21"/>
      <w:lang w:val="en-US" w:eastAsia="zh-CN"/>
    </w:rPr>
  </w:style>
  <w:style w:type="character" w:customStyle="1" w:styleId="198">
    <w:name w:val="正文文本缩进 Char2"/>
    <w:autoRedefine/>
    <w:qFormat/>
    <w:uiPriority w:val="0"/>
    <w:rPr>
      <w:szCs w:val="24"/>
    </w:rPr>
  </w:style>
  <w:style w:type="character" w:customStyle="1" w:styleId="199">
    <w:name w:val="正文文本缩进 2 Char3"/>
    <w:autoRedefine/>
    <w:semiHidden/>
    <w:qFormat/>
    <w:uiPriority w:val="99"/>
    <w:rPr>
      <w:kern w:val="2"/>
      <w:sz w:val="21"/>
      <w:szCs w:val="22"/>
    </w:rPr>
  </w:style>
  <w:style w:type="character" w:customStyle="1" w:styleId="200">
    <w:name w:val="页脚 Char2"/>
    <w:autoRedefine/>
    <w:qFormat/>
    <w:uiPriority w:val="0"/>
    <w:rPr>
      <w:kern w:val="2"/>
      <w:sz w:val="18"/>
      <w:szCs w:val="18"/>
    </w:rPr>
  </w:style>
  <w:style w:type="character" w:customStyle="1" w:styleId="201">
    <w:name w:val="页眉 字符1"/>
    <w:autoRedefine/>
    <w:semiHidden/>
    <w:qFormat/>
    <w:uiPriority w:val="99"/>
    <w:rPr>
      <w:sz w:val="18"/>
      <w:szCs w:val="18"/>
    </w:rPr>
  </w:style>
  <w:style w:type="character" w:customStyle="1" w:styleId="202">
    <w:name w:val="正文文本缩进 3 字符"/>
    <w:autoRedefine/>
    <w:qFormat/>
    <w:uiPriority w:val="0"/>
    <w:rPr>
      <w:rFonts w:ascii="Times New Roman" w:hAnsi="Times New Roman" w:eastAsia="宋体" w:cs="Times New Roman"/>
      <w:sz w:val="16"/>
      <w:szCs w:val="16"/>
    </w:rPr>
  </w:style>
  <w:style w:type="character" w:customStyle="1" w:styleId="203">
    <w:name w:val="脚注文本 字符1"/>
    <w:autoRedefine/>
    <w:semiHidden/>
    <w:qFormat/>
    <w:uiPriority w:val="99"/>
    <w:rPr>
      <w:sz w:val="18"/>
      <w:szCs w:val="18"/>
    </w:rPr>
  </w:style>
  <w:style w:type="paragraph" w:customStyle="1" w:styleId="204">
    <w:name w:val="xl88"/>
    <w:basedOn w:val="1"/>
    <w:autoRedefine/>
    <w:qFormat/>
    <w:uiPriority w:val="0"/>
    <w:pPr>
      <w:widowControl/>
      <w:pBdr>
        <w:top w:val="single" w:color="auto" w:sz="8" w:space="0"/>
        <w:left w:val="single" w:color="auto" w:sz="8" w:space="0"/>
        <w:right w:val="single" w:color="auto" w:sz="8" w:space="0"/>
      </w:pBdr>
      <w:spacing w:before="100" w:beforeAutospacing="1" w:after="100" w:afterAutospacing="1"/>
      <w:jc w:val="left"/>
    </w:pPr>
    <w:rPr>
      <w:rFonts w:ascii="宋体" w:hAnsi="宋体" w:cs="宋体"/>
      <w:kern w:val="0"/>
      <w:szCs w:val="21"/>
    </w:rPr>
  </w:style>
  <w:style w:type="paragraph" w:customStyle="1" w:styleId="205">
    <w:name w:val="xl103"/>
    <w:basedOn w:val="1"/>
    <w:autoRedefine/>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Cs w:val="21"/>
    </w:rPr>
  </w:style>
  <w:style w:type="paragraph" w:customStyle="1" w:styleId="206">
    <w:name w:val="xl87"/>
    <w:basedOn w:val="1"/>
    <w:autoRedefine/>
    <w:qFormat/>
    <w:uiPriority w:val="0"/>
    <w:pPr>
      <w:widowControl/>
      <w:pBdr>
        <w:left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07">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08">
    <w:name w:val="xl82"/>
    <w:basedOn w:val="1"/>
    <w:autoRedefine/>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09">
    <w:name w:val="Char"/>
    <w:basedOn w:val="1"/>
    <w:autoRedefine/>
    <w:qFormat/>
    <w:uiPriority w:val="0"/>
    <w:pPr>
      <w:ind w:left="567" w:hanging="279"/>
    </w:pPr>
    <w:rPr>
      <w:sz w:val="24"/>
      <w:szCs w:val="24"/>
    </w:rPr>
  </w:style>
  <w:style w:type="paragraph" w:customStyle="1" w:styleId="210">
    <w:name w:val="默认段落字体 Para Char"/>
    <w:basedOn w:val="1"/>
    <w:autoRedefine/>
    <w:qFormat/>
    <w:uiPriority w:val="0"/>
    <w:rPr>
      <w:sz w:val="30"/>
      <w:szCs w:val="24"/>
    </w:rPr>
  </w:style>
  <w:style w:type="paragraph" w:customStyle="1" w:styleId="211">
    <w:name w:val="修订2"/>
    <w:autoRedefine/>
    <w:semiHidden/>
    <w:qFormat/>
    <w:uiPriority w:val="99"/>
    <w:rPr>
      <w:rFonts w:ascii="Times New Roman" w:hAnsi="Times New Roman" w:eastAsia="宋体" w:cs="Times New Roman"/>
      <w:kern w:val="2"/>
      <w:sz w:val="21"/>
      <w:szCs w:val="22"/>
      <w:lang w:val="en-US" w:eastAsia="zh-CN" w:bidi="ar-SA"/>
    </w:rPr>
  </w:style>
  <w:style w:type="paragraph" w:customStyle="1" w:styleId="212">
    <w:name w:val="标题2"/>
    <w:basedOn w:val="5"/>
    <w:autoRedefine/>
    <w:qFormat/>
    <w:uiPriority w:val="0"/>
    <w:pPr>
      <w:widowControl/>
      <w:tabs>
        <w:tab w:val="left" w:pos="720"/>
      </w:tabs>
      <w:spacing w:before="0" w:after="0" w:line="360" w:lineRule="auto"/>
      <w:ind w:left="720" w:hanging="720"/>
      <w:jc w:val="center"/>
    </w:pPr>
    <w:rPr>
      <w:rFonts w:ascii="Times New Roman" w:hAnsi="Times New Roman" w:eastAsia="宋体"/>
      <w:bCs w:val="0"/>
      <w:sz w:val="32"/>
      <w:szCs w:val="20"/>
    </w:rPr>
  </w:style>
  <w:style w:type="paragraph" w:customStyle="1" w:styleId="213">
    <w:name w:val="xl109"/>
    <w:basedOn w:val="1"/>
    <w:autoRedefine/>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4">
    <w:name w:val="修订1"/>
    <w:autoRedefine/>
    <w:semiHidden/>
    <w:qFormat/>
    <w:uiPriority w:val="99"/>
    <w:rPr>
      <w:rFonts w:ascii="Times New Roman" w:hAnsi="Times New Roman" w:eastAsia="宋体" w:cs="Times New Roman"/>
      <w:kern w:val="2"/>
      <w:sz w:val="21"/>
      <w:szCs w:val="22"/>
      <w:lang w:val="en-US" w:eastAsia="zh-CN" w:bidi="ar-SA"/>
    </w:rPr>
  </w:style>
  <w:style w:type="paragraph" w:customStyle="1" w:styleId="215">
    <w:name w:val="xl131"/>
    <w:basedOn w:val="1"/>
    <w:autoRedefine/>
    <w:qFormat/>
    <w:uiPriority w:val="0"/>
    <w:pPr>
      <w:widowControl/>
      <w:pBdr>
        <w:top w:val="single" w:color="auto" w:sz="8" w:space="0"/>
        <w:bottom w:val="single" w:color="auto" w:sz="8" w:space="0"/>
        <w:right w:val="single" w:color="auto" w:sz="8" w:space="0"/>
      </w:pBdr>
      <w:spacing w:before="100" w:beforeAutospacing="1" w:after="100" w:afterAutospacing="1"/>
    </w:pPr>
    <w:rPr>
      <w:rFonts w:ascii="宋体" w:hAnsi="宋体" w:cs="宋体"/>
      <w:kern w:val="0"/>
      <w:szCs w:val="21"/>
    </w:rPr>
  </w:style>
  <w:style w:type="paragraph" w:customStyle="1" w:styleId="216">
    <w:name w:val="xl121"/>
    <w:basedOn w:val="1"/>
    <w:autoRedefine/>
    <w:qFormat/>
    <w:uiPriority w:val="0"/>
    <w:pPr>
      <w:widowControl/>
      <w:pBdr>
        <w:top w:val="single" w:color="auto" w:sz="8" w:space="0"/>
        <w:left w:val="single" w:color="auto" w:sz="8" w:space="0"/>
        <w:right w:val="single" w:color="auto" w:sz="8" w:space="0"/>
      </w:pBdr>
      <w:spacing w:before="100" w:beforeAutospacing="1" w:after="100" w:afterAutospacing="1"/>
    </w:pPr>
    <w:rPr>
      <w:rFonts w:ascii="宋体" w:hAnsi="宋体" w:cs="宋体"/>
      <w:kern w:val="0"/>
      <w:szCs w:val="21"/>
    </w:rPr>
  </w:style>
  <w:style w:type="paragraph" w:customStyle="1" w:styleId="217">
    <w:name w:val="样式 宋体 居中 首行缩进:  2 字符1"/>
    <w:basedOn w:val="1"/>
    <w:autoRedefine/>
    <w:qFormat/>
    <w:uiPriority w:val="0"/>
    <w:pPr>
      <w:spacing w:line="240" w:lineRule="atLeast"/>
      <w:jc w:val="center"/>
    </w:pPr>
    <w:rPr>
      <w:rFonts w:ascii="宋体" w:hAnsi="宋体" w:cs="宋体"/>
      <w:sz w:val="24"/>
      <w:szCs w:val="20"/>
    </w:rPr>
  </w:style>
  <w:style w:type="paragraph" w:customStyle="1" w:styleId="218">
    <w:name w:val="xl107"/>
    <w:basedOn w:val="1"/>
    <w:autoRedefine/>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宋体" w:hAnsi="宋体" w:cs="宋体"/>
      <w:kern w:val="0"/>
      <w:szCs w:val="21"/>
    </w:rPr>
  </w:style>
  <w:style w:type="paragraph" w:customStyle="1" w:styleId="219">
    <w:name w:val="xl116"/>
    <w:basedOn w:val="1"/>
    <w:autoRedefine/>
    <w:qFormat/>
    <w:uiPriority w:val="0"/>
    <w:pPr>
      <w:widowControl/>
      <w:pBdr>
        <w:left w:val="single" w:color="auto" w:sz="8" w:space="0"/>
      </w:pBdr>
      <w:spacing w:before="100" w:beforeAutospacing="1" w:after="100" w:afterAutospacing="1"/>
      <w:jc w:val="left"/>
    </w:pPr>
    <w:rPr>
      <w:rFonts w:ascii="宋体" w:hAnsi="宋体" w:cs="宋体"/>
      <w:kern w:val="0"/>
      <w:sz w:val="24"/>
      <w:szCs w:val="24"/>
    </w:rPr>
  </w:style>
  <w:style w:type="paragraph" w:customStyle="1" w:styleId="220">
    <w:name w:val="xl80"/>
    <w:basedOn w:val="1"/>
    <w:autoRedefine/>
    <w:qFormat/>
    <w:uiPriority w:val="0"/>
    <w:pPr>
      <w:widowControl/>
      <w:pBdr>
        <w:top w:val="single" w:color="auto" w:sz="8" w:space="0"/>
        <w:right w:val="single" w:color="auto" w:sz="8" w:space="0"/>
      </w:pBdr>
      <w:spacing w:before="100" w:beforeAutospacing="1" w:after="100" w:afterAutospacing="1"/>
      <w:jc w:val="center"/>
    </w:pPr>
    <w:rPr>
      <w:rFonts w:ascii="宋体" w:hAnsi="宋体" w:cs="宋体"/>
      <w:b/>
      <w:bCs/>
      <w:kern w:val="0"/>
      <w:szCs w:val="21"/>
    </w:rPr>
  </w:style>
  <w:style w:type="paragraph" w:customStyle="1" w:styleId="221">
    <w:name w:val="font5"/>
    <w:basedOn w:val="1"/>
    <w:autoRedefine/>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222">
    <w:name w:val="正文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3">
    <w:name w:val="xl118"/>
    <w:basedOn w:val="1"/>
    <w:autoRedefine/>
    <w:qFormat/>
    <w:uiPriority w:val="0"/>
    <w:pPr>
      <w:widowControl/>
      <w:pBdr>
        <w:left w:val="single" w:color="auto" w:sz="8" w:space="0"/>
        <w:bottom w:val="single" w:color="auto" w:sz="8" w:space="0"/>
      </w:pBdr>
      <w:spacing w:before="100" w:beforeAutospacing="1" w:after="100" w:afterAutospacing="1"/>
      <w:jc w:val="left"/>
    </w:pPr>
    <w:rPr>
      <w:rFonts w:ascii="宋体" w:hAnsi="宋体" w:cs="宋体"/>
      <w:kern w:val="0"/>
      <w:sz w:val="24"/>
      <w:szCs w:val="24"/>
    </w:rPr>
  </w:style>
  <w:style w:type="paragraph" w:customStyle="1" w:styleId="224">
    <w:name w:val="xl112"/>
    <w:basedOn w:val="1"/>
    <w:autoRedefine/>
    <w:qFormat/>
    <w:uiPriority w:val="0"/>
    <w:pPr>
      <w:widowControl/>
      <w:pBdr>
        <w:top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5">
    <w:name w:val="xl84"/>
    <w:basedOn w:val="1"/>
    <w:autoRedefine/>
    <w:qFormat/>
    <w:uiPriority w:val="0"/>
    <w:pPr>
      <w:widowControl/>
      <w:pBdr>
        <w:bottom w:val="single" w:color="auto" w:sz="8" w:space="0"/>
        <w:right w:val="single" w:color="auto" w:sz="8" w:space="0"/>
      </w:pBdr>
      <w:spacing w:before="100" w:beforeAutospacing="1" w:after="100" w:afterAutospacing="1"/>
    </w:pPr>
    <w:rPr>
      <w:rFonts w:ascii="宋体" w:hAnsi="宋体" w:cs="宋体"/>
      <w:kern w:val="0"/>
      <w:szCs w:val="21"/>
    </w:rPr>
  </w:style>
  <w:style w:type="paragraph" w:customStyle="1" w:styleId="226">
    <w:name w:val="xl135"/>
    <w:basedOn w:val="1"/>
    <w:autoRedefine/>
    <w:qFormat/>
    <w:uiPriority w:val="0"/>
    <w:pPr>
      <w:widowControl/>
      <w:pBdr>
        <w:top w:val="single" w:color="auto" w:sz="8" w:space="0"/>
      </w:pBdr>
      <w:spacing w:before="100" w:beforeAutospacing="1" w:after="100" w:afterAutospacing="1"/>
      <w:jc w:val="center"/>
    </w:pPr>
    <w:rPr>
      <w:rFonts w:ascii="宋体" w:hAnsi="宋体" w:cs="宋体"/>
      <w:b/>
      <w:bCs/>
      <w:kern w:val="0"/>
      <w:szCs w:val="21"/>
    </w:rPr>
  </w:style>
  <w:style w:type="paragraph" w:customStyle="1" w:styleId="227">
    <w:name w:val="xl106"/>
    <w:basedOn w:val="1"/>
    <w:autoRedefine/>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228">
    <w:name w:val="xl134"/>
    <w:basedOn w:val="1"/>
    <w:autoRedefine/>
    <w:qFormat/>
    <w:uiPriority w:val="0"/>
    <w:pPr>
      <w:widowControl/>
      <w:pBdr>
        <w:top w:val="single" w:color="auto" w:sz="8" w:space="0"/>
        <w:left w:val="single" w:color="auto" w:sz="8" w:space="0"/>
      </w:pBdr>
      <w:spacing w:before="100" w:beforeAutospacing="1" w:after="100" w:afterAutospacing="1"/>
      <w:jc w:val="center"/>
    </w:pPr>
    <w:rPr>
      <w:rFonts w:ascii="宋体" w:hAnsi="宋体" w:cs="宋体"/>
      <w:b/>
      <w:bCs/>
      <w:kern w:val="0"/>
      <w:szCs w:val="21"/>
    </w:rPr>
  </w:style>
  <w:style w:type="paragraph" w:customStyle="1" w:styleId="229">
    <w:name w:val="样式 标题 3 + 两端对齐 左侧:  0 厘米 首行缩进:  0 厘米"/>
    <w:basedOn w:val="5"/>
    <w:autoRedefine/>
    <w:qFormat/>
    <w:uiPriority w:val="0"/>
    <w:pPr>
      <w:widowControl/>
      <w:tabs>
        <w:tab w:val="left" w:pos="720"/>
      </w:tabs>
      <w:spacing w:before="0" w:after="0" w:line="360" w:lineRule="auto"/>
      <w:ind w:left="720" w:hanging="720"/>
    </w:pPr>
    <w:rPr>
      <w:rFonts w:ascii="Times New Roman" w:hAnsi="Times New Roman" w:eastAsia="宋体" w:cs="宋体"/>
      <w:szCs w:val="20"/>
    </w:rPr>
  </w:style>
  <w:style w:type="paragraph" w:customStyle="1" w:styleId="230">
    <w:name w:val="xl138"/>
    <w:basedOn w:val="1"/>
    <w:autoRedefine/>
    <w:qFormat/>
    <w:uiPriority w:val="0"/>
    <w:pPr>
      <w:widowControl/>
      <w:pBdr>
        <w:top w:val="single" w:color="auto" w:sz="8"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231">
    <w:name w:val="Char Char"/>
    <w:basedOn w:val="1"/>
    <w:autoRedefine/>
    <w:qFormat/>
    <w:uiPriority w:val="0"/>
    <w:pPr>
      <w:widowControl/>
      <w:spacing w:before="100" w:beforeAutospacing="1" w:after="100" w:afterAutospacing="1" w:line="330" w:lineRule="atLeast"/>
      <w:ind w:left="360"/>
      <w:jc w:val="left"/>
    </w:pPr>
    <w:rPr>
      <w:rFonts w:ascii="ˎ̥" w:hAnsi="ˎ̥" w:cs="宋体"/>
      <w:color w:val="51585D"/>
      <w:kern w:val="0"/>
      <w:sz w:val="24"/>
      <w:szCs w:val="18"/>
    </w:rPr>
  </w:style>
  <w:style w:type="paragraph" w:customStyle="1" w:styleId="232">
    <w:name w:val="font6"/>
    <w:basedOn w:val="1"/>
    <w:autoRedefine/>
    <w:qFormat/>
    <w:uiPriority w:val="0"/>
    <w:pPr>
      <w:widowControl/>
      <w:spacing w:before="100" w:beforeAutospacing="1" w:after="100" w:afterAutospacing="1"/>
      <w:jc w:val="left"/>
    </w:pPr>
    <w:rPr>
      <w:color w:val="000000"/>
      <w:kern w:val="0"/>
      <w:sz w:val="14"/>
      <w:szCs w:val="14"/>
    </w:rPr>
  </w:style>
  <w:style w:type="paragraph" w:customStyle="1" w:styleId="233">
    <w:name w:val="xl124"/>
    <w:basedOn w:val="1"/>
    <w:autoRedefine/>
    <w:qFormat/>
    <w:uiPriority w:val="0"/>
    <w:pPr>
      <w:widowControl/>
      <w:pBdr>
        <w:bottom w:val="single" w:color="auto" w:sz="8" w:space="0"/>
      </w:pBdr>
      <w:spacing w:before="100" w:beforeAutospacing="1" w:after="100" w:afterAutospacing="1"/>
      <w:jc w:val="center"/>
    </w:pPr>
    <w:rPr>
      <w:rFonts w:ascii="宋体" w:hAnsi="宋体" w:cs="宋体"/>
      <w:kern w:val="0"/>
      <w:szCs w:val="21"/>
    </w:rPr>
  </w:style>
  <w:style w:type="paragraph" w:customStyle="1" w:styleId="234">
    <w:name w:val="修订11"/>
    <w:autoRedefine/>
    <w:unhideWhenUsed/>
    <w:qFormat/>
    <w:uiPriority w:val="99"/>
    <w:rPr>
      <w:rFonts w:ascii="Times New Roman" w:hAnsi="Times New Roman" w:eastAsia="宋体" w:cs="Times New Roman"/>
      <w:kern w:val="2"/>
      <w:sz w:val="21"/>
      <w:szCs w:val="22"/>
      <w:lang w:val="en-US" w:eastAsia="zh-CN" w:bidi="ar-SA"/>
    </w:rPr>
  </w:style>
  <w:style w:type="paragraph" w:customStyle="1" w:styleId="235">
    <w:name w:val="xl92"/>
    <w:basedOn w:val="1"/>
    <w:autoRedefine/>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36">
    <w:name w:val="_Style 234"/>
    <w:autoRedefine/>
    <w:unhideWhenUsed/>
    <w:qFormat/>
    <w:uiPriority w:val="99"/>
    <w:rPr>
      <w:rFonts w:ascii="Times New Roman" w:hAnsi="Times New Roman" w:eastAsia="宋体" w:cs="Times New Roman"/>
      <w:kern w:val="2"/>
      <w:sz w:val="21"/>
      <w:szCs w:val="22"/>
      <w:lang w:val="en-US" w:eastAsia="zh-CN" w:bidi="ar-SA"/>
    </w:rPr>
  </w:style>
  <w:style w:type="paragraph" w:customStyle="1" w:styleId="237">
    <w:name w:val="xl132"/>
    <w:basedOn w:val="1"/>
    <w:autoRedefine/>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b/>
      <w:bCs/>
      <w:kern w:val="0"/>
      <w:szCs w:val="21"/>
    </w:rPr>
  </w:style>
  <w:style w:type="paragraph" w:customStyle="1" w:styleId="238">
    <w:name w:val="xl113"/>
    <w:basedOn w:val="1"/>
    <w:autoRedefine/>
    <w:qFormat/>
    <w:uiPriority w:val="0"/>
    <w:pPr>
      <w:widowControl/>
      <w:pBdr>
        <w:left w:val="single" w:color="auto" w:sz="8" w:space="0"/>
      </w:pBdr>
      <w:spacing w:before="100" w:beforeAutospacing="1" w:after="100" w:afterAutospacing="1"/>
      <w:jc w:val="center"/>
    </w:pPr>
    <w:rPr>
      <w:rFonts w:ascii="宋体" w:hAnsi="宋体" w:cs="宋体"/>
      <w:kern w:val="0"/>
      <w:szCs w:val="21"/>
    </w:rPr>
  </w:style>
  <w:style w:type="paragraph" w:customStyle="1" w:styleId="239">
    <w:name w:val="font13"/>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240">
    <w:name w:val="xl102"/>
    <w:basedOn w:val="1"/>
    <w:autoRedefine/>
    <w:qFormat/>
    <w:uiPriority w:val="0"/>
    <w:pPr>
      <w:widowControl/>
      <w:pBdr>
        <w:top w:val="single" w:color="auto" w:sz="8" w:space="0"/>
        <w:left w:val="single" w:color="auto" w:sz="8" w:space="0"/>
        <w:right w:val="single" w:color="auto" w:sz="8" w:space="0"/>
      </w:pBdr>
      <w:spacing w:before="100" w:beforeAutospacing="1" w:after="100" w:afterAutospacing="1"/>
      <w:jc w:val="center"/>
    </w:pPr>
    <w:rPr>
      <w:kern w:val="0"/>
      <w:szCs w:val="21"/>
    </w:rPr>
  </w:style>
  <w:style w:type="paragraph" w:customStyle="1" w:styleId="241">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42">
    <w:name w:val="xl95"/>
    <w:basedOn w:val="1"/>
    <w:autoRedefine/>
    <w:qFormat/>
    <w:uiPriority w:val="0"/>
    <w:pPr>
      <w:widowControl/>
      <w:pBdr>
        <w:right w:val="single" w:color="auto" w:sz="8" w:space="0"/>
      </w:pBdr>
      <w:spacing w:before="100" w:beforeAutospacing="1" w:after="100" w:afterAutospacing="1"/>
      <w:jc w:val="left"/>
    </w:pPr>
    <w:rPr>
      <w:rFonts w:ascii="宋体" w:hAnsi="宋体" w:cs="宋体"/>
      <w:kern w:val="0"/>
      <w:szCs w:val="21"/>
    </w:rPr>
  </w:style>
  <w:style w:type="paragraph" w:customStyle="1" w:styleId="243">
    <w:name w:val="发文落款"/>
    <w:basedOn w:val="244"/>
    <w:autoRedefine/>
    <w:qFormat/>
    <w:uiPriority w:val="0"/>
    <w:pPr>
      <w:ind w:left="4094" w:right="607" w:firstLine="0"/>
      <w:jc w:val="center"/>
    </w:pPr>
  </w:style>
  <w:style w:type="paragraph" w:customStyle="1" w:styleId="244">
    <w:name w:val="公文正文"/>
    <w:autoRedefine/>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245">
    <w:name w:val="修订3"/>
    <w:autoRedefine/>
    <w:semiHidden/>
    <w:qFormat/>
    <w:uiPriority w:val="99"/>
    <w:rPr>
      <w:rFonts w:ascii="Times New Roman" w:hAnsi="Times New Roman" w:eastAsia="宋体" w:cs="Times New Roman"/>
      <w:kern w:val="2"/>
      <w:sz w:val="21"/>
      <w:szCs w:val="22"/>
      <w:lang w:val="en-US" w:eastAsia="zh-CN" w:bidi="ar-SA"/>
    </w:rPr>
  </w:style>
  <w:style w:type="paragraph" w:customStyle="1" w:styleId="246">
    <w:name w:val="xl9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47">
    <w:name w:val="xl86"/>
    <w:basedOn w:val="1"/>
    <w:autoRedefine/>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b/>
      <w:bCs/>
      <w:kern w:val="0"/>
      <w:sz w:val="24"/>
      <w:szCs w:val="24"/>
    </w:rPr>
  </w:style>
  <w:style w:type="paragraph" w:customStyle="1" w:styleId="248">
    <w:name w:val="xl108"/>
    <w:basedOn w:val="1"/>
    <w:autoRedefine/>
    <w:qFormat/>
    <w:uiPriority w:val="0"/>
    <w:pPr>
      <w:widowControl/>
      <w:pBdr>
        <w:top w:val="single" w:color="auto" w:sz="8" w:space="0"/>
        <w:bottom w:val="single" w:color="auto" w:sz="8" w:space="0"/>
      </w:pBdr>
      <w:spacing w:before="100" w:beforeAutospacing="1" w:after="100" w:afterAutospacing="1"/>
      <w:jc w:val="center"/>
    </w:pPr>
    <w:rPr>
      <w:rFonts w:ascii="宋体" w:hAnsi="宋体" w:cs="宋体"/>
      <w:kern w:val="0"/>
      <w:szCs w:val="21"/>
    </w:rPr>
  </w:style>
  <w:style w:type="paragraph" w:customStyle="1" w:styleId="249">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50">
    <w:name w:val="xl126"/>
    <w:basedOn w:val="1"/>
    <w:autoRedefine/>
    <w:qFormat/>
    <w:uiPriority w:val="0"/>
    <w:pPr>
      <w:widowControl/>
      <w:pBdr>
        <w:top w:val="single" w:color="auto" w:sz="8" w:space="0"/>
        <w:right w:val="single" w:color="auto" w:sz="8" w:space="0"/>
      </w:pBdr>
      <w:spacing w:before="100" w:beforeAutospacing="1" w:after="100" w:afterAutospacing="1"/>
    </w:pPr>
    <w:rPr>
      <w:rFonts w:ascii="宋体" w:hAnsi="宋体" w:cs="宋体"/>
      <w:kern w:val="0"/>
      <w:szCs w:val="21"/>
    </w:rPr>
  </w:style>
  <w:style w:type="paragraph" w:customStyle="1" w:styleId="251">
    <w:name w:val="1"/>
    <w:basedOn w:val="1"/>
    <w:next w:val="1"/>
    <w:autoRedefine/>
    <w:qFormat/>
    <w:uiPriority w:val="0"/>
    <w:pPr>
      <w:ind w:left="420" w:leftChars="200"/>
    </w:pPr>
    <w:rPr>
      <w:szCs w:val="24"/>
    </w:rPr>
  </w:style>
  <w:style w:type="paragraph" w:customStyle="1" w:styleId="252">
    <w:name w:val="xl122"/>
    <w:basedOn w:val="1"/>
    <w:autoRedefine/>
    <w:qFormat/>
    <w:uiPriority w:val="0"/>
    <w:pPr>
      <w:widowControl/>
      <w:pBdr>
        <w:left w:val="single" w:color="auto" w:sz="8" w:space="0"/>
        <w:right w:val="single" w:color="auto" w:sz="8" w:space="0"/>
      </w:pBdr>
      <w:spacing w:before="100" w:beforeAutospacing="1" w:after="100" w:afterAutospacing="1"/>
    </w:pPr>
    <w:rPr>
      <w:rFonts w:ascii="宋体" w:hAnsi="宋体" w:cs="宋体"/>
      <w:kern w:val="0"/>
      <w:szCs w:val="21"/>
    </w:rPr>
  </w:style>
  <w:style w:type="paragraph" w:customStyle="1" w:styleId="253">
    <w:name w:val="xl117"/>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54">
    <w:name w:val="xl114"/>
    <w:basedOn w:val="1"/>
    <w:autoRedefine/>
    <w:qFormat/>
    <w:uiPriority w:val="0"/>
    <w:pPr>
      <w:widowControl/>
      <w:spacing w:before="100" w:beforeAutospacing="1" w:after="100" w:afterAutospacing="1"/>
      <w:jc w:val="center"/>
    </w:pPr>
    <w:rPr>
      <w:rFonts w:ascii="宋体" w:hAnsi="宋体" w:cs="宋体"/>
      <w:kern w:val="0"/>
      <w:szCs w:val="21"/>
    </w:rPr>
  </w:style>
  <w:style w:type="paragraph" w:customStyle="1" w:styleId="255">
    <w:name w:val="图"/>
    <w:basedOn w:val="1"/>
    <w:autoRedefine/>
    <w:qFormat/>
    <w:uiPriority w:val="0"/>
    <w:pPr>
      <w:keepNext/>
      <w:adjustRightInd w:val="0"/>
      <w:spacing w:before="60" w:after="60" w:line="300" w:lineRule="auto"/>
      <w:jc w:val="center"/>
      <w:textAlignment w:val="center"/>
    </w:pPr>
    <w:rPr>
      <w:spacing w:val="20"/>
      <w:kern w:val="0"/>
      <w:sz w:val="24"/>
      <w:szCs w:val="20"/>
    </w:rPr>
  </w:style>
  <w:style w:type="paragraph" w:customStyle="1" w:styleId="256">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257">
    <w:name w:val="xl94"/>
    <w:basedOn w:val="1"/>
    <w:autoRedefine/>
    <w:qFormat/>
    <w:uiPriority w:val="0"/>
    <w:pPr>
      <w:widowControl/>
      <w:pBdr>
        <w:bottom w:val="single" w:color="auto" w:sz="8" w:space="0"/>
        <w:right w:val="single" w:color="auto" w:sz="8" w:space="0"/>
      </w:pBdr>
      <w:spacing w:before="100" w:beforeAutospacing="1" w:after="100" w:afterAutospacing="1"/>
      <w:jc w:val="left"/>
    </w:pPr>
    <w:rPr>
      <w:rFonts w:ascii="宋体" w:hAnsi="宋体" w:cs="宋体"/>
      <w:kern w:val="0"/>
      <w:szCs w:val="21"/>
    </w:rPr>
  </w:style>
  <w:style w:type="paragraph" w:styleId="258">
    <w:name w:val="No Spacing"/>
    <w:autoRedefine/>
    <w:qFormat/>
    <w:uiPriority w:val="1"/>
    <w:pPr>
      <w:widowControl w:val="0"/>
      <w:jc w:val="both"/>
    </w:pPr>
    <w:rPr>
      <w:rFonts w:ascii="Times New Roman" w:hAnsi="Times New Roman" w:eastAsia="宋体" w:cs="Times New Roman"/>
      <w:kern w:val="2"/>
      <w:sz w:val="21"/>
      <w:szCs w:val="22"/>
      <w:lang w:val="en-US" w:eastAsia="zh-CN" w:bidi="ar-SA"/>
    </w:rPr>
  </w:style>
  <w:style w:type="paragraph" w:styleId="259">
    <w:name w:val="List Paragraph"/>
    <w:basedOn w:val="1"/>
    <w:autoRedefine/>
    <w:qFormat/>
    <w:uiPriority w:val="34"/>
    <w:pPr>
      <w:ind w:firstLine="420" w:firstLineChars="200"/>
    </w:pPr>
    <w:rPr>
      <w:szCs w:val="24"/>
    </w:rPr>
  </w:style>
  <w:style w:type="paragraph" w:customStyle="1" w:styleId="260">
    <w:name w:val="项目列表"/>
    <w:basedOn w:val="1"/>
    <w:autoRedefine/>
    <w:qFormat/>
    <w:uiPriority w:val="0"/>
    <w:pPr>
      <w:jc w:val="center"/>
    </w:pPr>
    <w:rPr>
      <w:rFonts w:ascii="宋体" w:hAnsi="宋体"/>
      <w:szCs w:val="21"/>
    </w:rPr>
  </w:style>
  <w:style w:type="paragraph" w:customStyle="1" w:styleId="261">
    <w:name w:val="xl120"/>
    <w:basedOn w:val="1"/>
    <w:autoRedefine/>
    <w:qFormat/>
    <w:uiPriority w:val="0"/>
    <w:pPr>
      <w:widowControl/>
      <w:pBdr>
        <w:left w:val="single" w:color="auto" w:sz="8" w:space="0"/>
        <w:bottom w:val="single" w:color="auto" w:sz="8" w:space="0"/>
      </w:pBdr>
      <w:spacing w:before="100" w:beforeAutospacing="1" w:after="100" w:afterAutospacing="1"/>
      <w:jc w:val="center"/>
    </w:pPr>
    <w:rPr>
      <w:rFonts w:ascii="宋体" w:hAnsi="宋体" w:cs="宋体"/>
      <w:kern w:val="0"/>
      <w:szCs w:val="21"/>
    </w:rPr>
  </w:style>
  <w:style w:type="paragraph" w:customStyle="1" w:styleId="262">
    <w:name w:val="Char Char Char Char Char"/>
    <w:basedOn w:val="1"/>
    <w:autoRedefine/>
    <w:qFormat/>
    <w:uiPriority w:val="0"/>
    <w:rPr>
      <w:rFonts w:ascii="Tahoma" w:hAnsi="Tahoma"/>
      <w:sz w:val="24"/>
      <w:szCs w:val="20"/>
    </w:rPr>
  </w:style>
  <w:style w:type="paragraph" w:customStyle="1" w:styleId="263">
    <w:name w:val="Char Char2"/>
    <w:basedOn w:val="1"/>
    <w:autoRedefine/>
    <w:qFormat/>
    <w:uiPriority w:val="0"/>
    <w:rPr>
      <w:sz w:val="30"/>
      <w:szCs w:val="24"/>
    </w:rPr>
  </w:style>
  <w:style w:type="paragraph" w:customStyle="1" w:styleId="264">
    <w:name w:val="样式 正文文本 + 五号 加粗"/>
    <w:basedOn w:val="16"/>
    <w:autoRedefine/>
    <w:qFormat/>
    <w:uiPriority w:val="0"/>
    <w:pPr>
      <w:spacing w:after="0"/>
      <w:jc w:val="center"/>
    </w:pPr>
    <w:rPr>
      <w:rFonts w:ascii="宋体" w:hAnsi="宋体"/>
    </w:rPr>
  </w:style>
  <w:style w:type="paragraph" w:customStyle="1" w:styleId="265">
    <w:name w:val="xl137"/>
    <w:basedOn w:val="1"/>
    <w:autoRedefine/>
    <w:qFormat/>
    <w:uiPriority w:val="0"/>
    <w:pPr>
      <w:widowControl/>
      <w:pBdr>
        <w:bottom w:val="single" w:color="auto" w:sz="8" w:space="0"/>
      </w:pBdr>
      <w:spacing w:before="100" w:beforeAutospacing="1" w:after="100" w:afterAutospacing="1"/>
      <w:jc w:val="center"/>
    </w:pPr>
    <w:rPr>
      <w:rFonts w:ascii="宋体" w:hAnsi="宋体" w:cs="宋体"/>
      <w:b/>
      <w:bCs/>
      <w:kern w:val="0"/>
      <w:szCs w:val="21"/>
    </w:rPr>
  </w:style>
  <w:style w:type="paragraph" w:customStyle="1" w:styleId="266">
    <w:name w:val="xl83"/>
    <w:basedOn w:val="1"/>
    <w:autoRedefine/>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67">
    <w:name w:val="xl96"/>
    <w:basedOn w:val="1"/>
    <w:autoRedefine/>
    <w:qFormat/>
    <w:uiPriority w:val="0"/>
    <w:pPr>
      <w:widowControl/>
      <w:pBdr>
        <w:right w:val="single" w:color="auto" w:sz="8" w:space="0"/>
      </w:pBdr>
      <w:spacing w:before="100" w:beforeAutospacing="1" w:after="100" w:afterAutospacing="1"/>
      <w:jc w:val="left"/>
    </w:pPr>
    <w:rPr>
      <w:rFonts w:ascii="宋体" w:hAnsi="宋体" w:cs="宋体"/>
      <w:kern w:val="0"/>
      <w:sz w:val="24"/>
      <w:szCs w:val="24"/>
    </w:rPr>
  </w:style>
  <w:style w:type="paragraph" w:customStyle="1" w:styleId="268">
    <w:name w:val="xl111"/>
    <w:basedOn w:val="1"/>
    <w:autoRedefine/>
    <w:qFormat/>
    <w:uiPriority w:val="0"/>
    <w:pPr>
      <w:widowControl/>
      <w:pBdr>
        <w:top w:val="single" w:color="auto" w:sz="8" w:space="0"/>
      </w:pBdr>
      <w:spacing w:before="100" w:beforeAutospacing="1" w:after="100" w:afterAutospacing="1"/>
      <w:jc w:val="center"/>
    </w:pPr>
    <w:rPr>
      <w:rFonts w:ascii="宋体" w:hAnsi="宋体" w:cs="宋体"/>
      <w:kern w:val="0"/>
      <w:szCs w:val="21"/>
    </w:rPr>
  </w:style>
  <w:style w:type="paragraph" w:customStyle="1" w:styleId="269">
    <w:name w:val="xl101"/>
    <w:basedOn w:val="1"/>
    <w:autoRedefine/>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70">
    <w:name w:val="font8"/>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271">
    <w:name w:val="xl133"/>
    <w:basedOn w:val="1"/>
    <w:autoRedefine/>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b/>
      <w:bCs/>
      <w:kern w:val="0"/>
      <w:szCs w:val="21"/>
    </w:rPr>
  </w:style>
  <w:style w:type="paragraph" w:customStyle="1" w:styleId="272">
    <w:name w:val="默认段落字体 Char"/>
    <w:basedOn w:val="1"/>
    <w:autoRedefine/>
    <w:qFormat/>
    <w:uiPriority w:val="0"/>
    <w:rPr>
      <w:szCs w:val="24"/>
    </w:rPr>
  </w:style>
  <w:style w:type="paragraph" w:customStyle="1" w:styleId="273">
    <w:name w:val="font9"/>
    <w:basedOn w:val="1"/>
    <w:autoRedefine/>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274">
    <w:name w:val="xl123"/>
    <w:basedOn w:val="1"/>
    <w:autoRedefine/>
    <w:qFormat/>
    <w:uiPriority w:val="0"/>
    <w:pPr>
      <w:widowControl/>
      <w:pBdr>
        <w:left w:val="single" w:color="auto" w:sz="8" w:space="0"/>
        <w:bottom w:val="single" w:color="auto" w:sz="8" w:space="0"/>
        <w:right w:val="single" w:color="auto" w:sz="8" w:space="0"/>
      </w:pBdr>
      <w:spacing w:before="100" w:beforeAutospacing="1" w:after="100" w:afterAutospacing="1"/>
    </w:pPr>
    <w:rPr>
      <w:rFonts w:ascii="宋体" w:hAnsi="宋体" w:cs="宋体"/>
      <w:kern w:val="0"/>
      <w:szCs w:val="21"/>
    </w:rPr>
  </w:style>
  <w:style w:type="paragraph" w:customStyle="1" w:styleId="275">
    <w:name w:val="xl90"/>
    <w:basedOn w:val="1"/>
    <w:autoRedefine/>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276">
    <w:name w:val="xl89"/>
    <w:basedOn w:val="1"/>
    <w:autoRedefine/>
    <w:qFormat/>
    <w:uiPriority w:val="0"/>
    <w:pPr>
      <w:widowControl/>
      <w:pBdr>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Cs w:val="21"/>
    </w:rPr>
  </w:style>
  <w:style w:type="paragraph" w:customStyle="1" w:styleId="277">
    <w:name w:val="font7"/>
    <w:basedOn w:val="1"/>
    <w:autoRedefine/>
    <w:qFormat/>
    <w:uiPriority w:val="0"/>
    <w:pPr>
      <w:widowControl/>
      <w:spacing w:before="100" w:beforeAutospacing="1" w:after="100" w:afterAutospacing="1"/>
      <w:jc w:val="left"/>
    </w:pPr>
    <w:rPr>
      <w:color w:val="000000"/>
      <w:kern w:val="0"/>
      <w:szCs w:val="21"/>
    </w:rPr>
  </w:style>
  <w:style w:type="paragraph" w:customStyle="1" w:styleId="278">
    <w:name w:val="xl85"/>
    <w:basedOn w:val="1"/>
    <w:autoRedefine/>
    <w:qFormat/>
    <w:uiPriority w:val="0"/>
    <w:pPr>
      <w:widowControl/>
      <w:pBdr>
        <w:bottom w:val="single" w:color="auto" w:sz="8" w:space="0"/>
        <w:right w:val="single" w:color="auto" w:sz="8" w:space="0"/>
      </w:pBdr>
      <w:spacing w:before="100" w:beforeAutospacing="1" w:after="100" w:afterAutospacing="1"/>
      <w:jc w:val="center"/>
    </w:pPr>
    <w:rPr>
      <w:kern w:val="0"/>
      <w:szCs w:val="21"/>
    </w:rPr>
  </w:style>
  <w:style w:type="paragraph" w:customStyle="1" w:styleId="279">
    <w:name w:val="xl119"/>
    <w:basedOn w:val="1"/>
    <w:autoRedefine/>
    <w:qFormat/>
    <w:uiPriority w:val="0"/>
    <w:pPr>
      <w:widowControl/>
      <w:pBdr>
        <w:bottom w:val="single" w:color="auto" w:sz="8" w:space="0"/>
      </w:pBdr>
      <w:spacing w:before="100" w:beforeAutospacing="1" w:after="100" w:afterAutospacing="1"/>
      <w:jc w:val="left"/>
    </w:pPr>
    <w:rPr>
      <w:rFonts w:ascii="宋体" w:hAnsi="宋体" w:cs="宋体"/>
      <w:kern w:val="0"/>
      <w:sz w:val="24"/>
      <w:szCs w:val="24"/>
    </w:rPr>
  </w:style>
  <w:style w:type="paragraph" w:customStyle="1" w:styleId="280">
    <w:name w:val="表头"/>
    <w:basedOn w:val="1"/>
    <w:autoRedefine/>
    <w:qFormat/>
    <w:uiPriority w:val="0"/>
    <w:pPr>
      <w:spacing w:line="360" w:lineRule="auto"/>
      <w:jc w:val="center"/>
    </w:pPr>
    <w:rPr>
      <w:rFonts w:ascii="黑体" w:eastAsia="黑体"/>
      <w:kern w:val="0"/>
      <w:sz w:val="24"/>
      <w:szCs w:val="20"/>
    </w:rPr>
  </w:style>
  <w:style w:type="paragraph" w:customStyle="1" w:styleId="281">
    <w:name w:val="xl125"/>
    <w:basedOn w:val="1"/>
    <w:autoRedefine/>
    <w:qFormat/>
    <w:uiPriority w:val="0"/>
    <w:pPr>
      <w:widowControl/>
      <w:pBdr>
        <w:top w:val="single" w:color="auto" w:sz="8" w:space="0"/>
        <w:left w:val="single" w:color="auto" w:sz="8" w:space="0"/>
      </w:pBdr>
      <w:spacing w:before="100" w:beforeAutospacing="1" w:after="100" w:afterAutospacing="1"/>
    </w:pPr>
    <w:rPr>
      <w:rFonts w:ascii="宋体" w:hAnsi="宋体" w:cs="宋体"/>
      <w:kern w:val="0"/>
      <w:szCs w:val="21"/>
    </w:rPr>
  </w:style>
  <w:style w:type="paragraph" w:customStyle="1" w:styleId="282">
    <w:name w:val="xl105"/>
    <w:basedOn w:val="1"/>
    <w:autoRedefine/>
    <w:qFormat/>
    <w:uiPriority w:val="0"/>
    <w:pPr>
      <w:widowControl/>
      <w:pBdr>
        <w:top w:val="single" w:color="auto" w:sz="8" w:space="0"/>
        <w:bottom w:val="single" w:color="auto" w:sz="8" w:space="0"/>
      </w:pBdr>
      <w:spacing w:before="100" w:beforeAutospacing="1" w:after="100" w:afterAutospacing="1"/>
      <w:jc w:val="center"/>
    </w:pPr>
    <w:rPr>
      <w:rFonts w:ascii="宋体" w:hAnsi="宋体" w:cs="宋体"/>
      <w:kern w:val="0"/>
      <w:sz w:val="24"/>
      <w:szCs w:val="24"/>
    </w:rPr>
  </w:style>
  <w:style w:type="paragraph" w:customStyle="1" w:styleId="283">
    <w:name w:val="xl97"/>
    <w:basedOn w:val="1"/>
    <w:autoRedefine/>
    <w:qFormat/>
    <w:uiPriority w:val="0"/>
    <w:pPr>
      <w:widowControl/>
      <w:pBdr>
        <w:bottom w:val="single" w:color="auto" w:sz="8" w:space="0"/>
        <w:right w:val="single" w:color="auto" w:sz="8" w:space="0"/>
      </w:pBdr>
      <w:spacing w:before="100" w:beforeAutospacing="1" w:after="100" w:afterAutospacing="1"/>
      <w:jc w:val="left"/>
    </w:pPr>
    <w:rPr>
      <w:rFonts w:ascii="宋体" w:hAnsi="宋体" w:cs="宋体"/>
      <w:kern w:val="0"/>
      <w:sz w:val="24"/>
      <w:szCs w:val="24"/>
    </w:rPr>
  </w:style>
  <w:style w:type="paragraph" w:customStyle="1" w:styleId="284">
    <w:name w:val="xl128"/>
    <w:basedOn w:val="1"/>
    <w:autoRedefine/>
    <w:qFormat/>
    <w:uiPriority w:val="0"/>
    <w:pPr>
      <w:widowControl/>
      <w:pBdr>
        <w:left w:val="single" w:color="auto" w:sz="8" w:space="0"/>
      </w:pBdr>
      <w:spacing w:before="100" w:beforeAutospacing="1" w:after="100" w:afterAutospacing="1"/>
    </w:pPr>
    <w:rPr>
      <w:rFonts w:ascii="宋体" w:hAnsi="宋体" w:cs="宋体"/>
      <w:kern w:val="0"/>
      <w:szCs w:val="21"/>
    </w:rPr>
  </w:style>
  <w:style w:type="paragraph" w:customStyle="1" w:styleId="285">
    <w:name w:val="xl81"/>
    <w:basedOn w:val="1"/>
    <w:autoRedefine/>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b/>
      <w:bCs/>
      <w:kern w:val="0"/>
      <w:szCs w:val="21"/>
    </w:rPr>
  </w:style>
  <w:style w:type="paragraph" w:customStyle="1" w:styleId="286">
    <w:name w:val="xl130"/>
    <w:basedOn w:val="1"/>
    <w:autoRedefine/>
    <w:qFormat/>
    <w:uiPriority w:val="0"/>
    <w:pPr>
      <w:widowControl/>
      <w:pBdr>
        <w:top w:val="single" w:color="auto" w:sz="8" w:space="0"/>
        <w:left w:val="single" w:color="auto" w:sz="8" w:space="0"/>
        <w:bottom w:val="single" w:color="auto" w:sz="8" w:space="0"/>
      </w:pBdr>
      <w:spacing w:before="100" w:beforeAutospacing="1" w:after="100" w:afterAutospacing="1"/>
    </w:pPr>
    <w:rPr>
      <w:rFonts w:ascii="宋体" w:hAnsi="宋体" w:cs="宋体"/>
      <w:kern w:val="0"/>
      <w:szCs w:val="21"/>
    </w:rPr>
  </w:style>
  <w:style w:type="paragraph" w:customStyle="1" w:styleId="287">
    <w:name w:val="font12"/>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288">
    <w:name w:val="xl100"/>
    <w:basedOn w:val="1"/>
    <w:autoRedefine/>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Cs w:val="21"/>
    </w:rPr>
  </w:style>
  <w:style w:type="paragraph" w:customStyle="1" w:styleId="289">
    <w:name w:val="xl129"/>
    <w:basedOn w:val="1"/>
    <w:autoRedefine/>
    <w:qFormat/>
    <w:uiPriority w:val="0"/>
    <w:pPr>
      <w:widowControl/>
      <w:pBdr>
        <w:right w:val="single" w:color="auto" w:sz="8" w:space="0"/>
      </w:pBdr>
      <w:spacing w:before="100" w:beforeAutospacing="1" w:after="100" w:afterAutospacing="1"/>
    </w:pPr>
    <w:rPr>
      <w:rFonts w:ascii="宋体" w:hAnsi="宋体" w:cs="宋体"/>
      <w:kern w:val="0"/>
      <w:szCs w:val="21"/>
    </w:rPr>
  </w:style>
  <w:style w:type="paragraph" w:customStyle="1" w:styleId="290">
    <w:name w:val="公文标题"/>
    <w:basedOn w:val="5"/>
    <w:autoRedefine/>
    <w:qFormat/>
    <w:uiPriority w:val="0"/>
    <w:pPr>
      <w:spacing w:before="0" w:after="0" w:line="240" w:lineRule="auto"/>
      <w:ind w:left="1469" w:right="1542"/>
      <w:jc w:val="center"/>
    </w:pPr>
    <w:rPr>
      <w:rFonts w:ascii="Times New Roman" w:hAnsi="Times New Roman" w:eastAsia="宋体"/>
      <w:bCs w:val="0"/>
      <w:sz w:val="44"/>
      <w:szCs w:val="24"/>
    </w:rPr>
  </w:style>
  <w:style w:type="paragraph" w:customStyle="1" w:styleId="291">
    <w:name w:val="Char Char Char Char Char Char Char"/>
    <w:basedOn w:val="1"/>
    <w:autoRedefine/>
    <w:qFormat/>
    <w:uiPriority w:val="0"/>
    <w:pPr>
      <w:widowControl/>
      <w:spacing w:after="160" w:line="240" w:lineRule="exact"/>
      <w:jc w:val="left"/>
    </w:pPr>
    <w:rPr>
      <w:sz w:val="24"/>
      <w:szCs w:val="24"/>
    </w:rPr>
  </w:style>
  <w:style w:type="paragraph" w:customStyle="1" w:styleId="292">
    <w:name w:val="b"/>
    <w:basedOn w:val="1"/>
    <w:autoRedefine/>
    <w:qFormat/>
    <w:uiPriority w:val="0"/>
    <w:pPr>
      <w:jc w:val="center"/>
    </w:pPr>
    <w:rPr>
      <w:bCs/>
      <w:szCs w:val="21"/>
    </w:rPr>
  </w:style>
  <w:style w:type="paragraph" w:customStyle="1" w:styleId="293">
    <w:name w:val="xl136"/>
    <w:basedOn w:val="1"/>
    <w:autoRedefine/>
    <w:qFormat/>
    <w:uiPriority w:val="0"/>
    <w:pPr>
      <w:widowControl/>
      <w:pBdr>
        <w:left w:val="single" w:color="auto" w:sz="8" w:space="0"/>
        <w:bottom w:val="single" w:color="auto" w:sz="8" w:space="0"/>
      </w:pBdr>
      <w:spacing w:before="100" w:beforeAutospacing="1" w:after="100" w:afterAutospacing="1"/>
      <w:jc w:val="center"/>
    </w:pPr>
    <w:rPr>
      <w:rFonts w:ascii="宋体" w:hAnsi="宋体" w:cs="宋体"/>
      <w:b/>
      <w:bCs/>
      <w:kern w:val="0"/>
      <w:szCs w:val="21"/>
    </w:rPr>
  </w:style>
  <w:style w:type="paragraph" w:customStyle="1" w:styleId="294">
    <w:name w:val="Char Char Char Char"/>
    <w:basedOn w:val="1"/>
    <w:autoRedefine/>
    <w:qFormat/>
    <w:uiPriority w:val="0"/>
    <w:pPr>
      <w:tabs>
        <w:tab w:val="left" w:pos="360"/>
      </w:tabs>
    </w:pPr>
    <w:rPr>
      <w:szCs w:val="24"/>
    </w:rPr>
  </w:style>
  <w:style w:type="paragraph" w:customStyle="1" w:styleId="295">
    <w:name w:val="font10"/>
    <w:basedOn w:val="1"/>
    <w:autoRedefine/>
    <w:qFormat/>
    <w:uiPriority w:val="0"/>
    <w:pPr>
      <w:widowControl/>
      <w:spacing w:before="100" w:beforeAutospacing="1" w:after="100" w:afterAutospacing="1"/>
      <w:jc w:val="left"/>
    </w:pPr>
    <w:rPr>
      <w:color w:val="000000"/>
      <w:kern w:val="0"/>
      <w:szCs w:val="21"/>
    </w:rPr>
  </w:style>
  <w:style w:type="paragraph" w:customStyle="1" w:styleId="296">
    <w:name w:val="xl127"/>
    <w:basedOn w:val="1"/>
    <w:autoRedefine/>
    <w:qFormat/>
    <w:uiPriority w:val="0"/>
    <w:pPr>
      <w:widowControl/>
      <w:pBdr>
        <w:left w:val="single" w:color="auto" w:sz="8" w:space="0"/>
        <w:bottom w:val="single" w:color="auto" w:sz="8" w:space="0"/>
      </w:pBdr>
      <w:spacing w:before="100" w:beforeAutospacing="1" w:after="100" w:afterAutospacing="1"/>
    </w:pPr>
    <w:rPr>
      <w:rFonts w:ascii="宋体" w:hAnsi="宋体" w:cs="宋体"/>
      <w:kern w:val="0"/>
      <w:szCs w:val="21"/>
    </w:rPr>
  </w:style>
  <w:style w:type="paragraph" w:customStyle="1" w:styleId="297">
    <w:name w:val="xl99"/>
    <w:basedOn w:val="1"/>
    <w:autoRedefine/>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left"/>
    </w:pPr>
    <w:rPr>
      <w:rFonts w:ascii="宋体" w:hAnsi="宋体" w:cs="宋体"/>
      <w:kern w:val="0"/>
      <w:szCs w:val="21"/>
    </w:rPr>
  </w:style>
  <w:style w:type="paragraph" w:customStyle="1" w:styleId="298">
    <w:name w:val="xl110"/>
    <w:basedOn w:val="1"/>
    <w:autoRedefine/>
    <w:qFormat/>
    <w:uiPriority w:val="0"/>
    <w:pPr>
      <w:widowControl/>
      <w:pBdr>
        <w:top w:val="single" w:color="auto" w:sz="8" w:space="0"/>
        <w:left w:val="single" w:color="auto" w:sz="8" w:space="0"/>
      </w:pBdr>
      <w:spacing w:before="100" w:beforeAutospacing="1" w:after="100" w:afterAutospacing="1"/>
      <w:jc w:val="center"/>
    </w:pPr>
    <w:rPr>
      <w:rFonts w:ascii="宋体" w:hAnsi="宋体" w:cs="宋体"/>
      <w:kern w:val="0"/>
      <w:szCs w:val="21"/>
    </w:rPr>
  </w:style>
  <w:style w:type="paragraph" w:customStyle="1" w:styleId="299">
    <w:name w:val="样式 标题 3 + 两端对齐"/>
    <w:basedOn w:val="5"/>
    <w:autoRedefine/>
    <w:qFormat/>
    <w:uiPriority w:val="0"/>
    <w:pPr>
      <w:widowControl/>
      <w:tabs>
        <w:tab w:val="left" w:pos="720"/>
      </w:tabs>
      <w:spacing w:before="0" w:after="0" w:line="360" w:lineRule="auto"/>
      <w:ind w:left="720" w:hanging="720"/>
    </w:pPr>
    <w:rPr>
      <w:rFonts w:ascii="Times New Roman" w:hAnsi="Times New Roman" w:eastAsia="宋体" w:cs="宋体"/>
      <w:szCs w:val="20"/>
    </w:rPr>
  </w:style>
  <w:style w:type="paragraph" w:customStyle="1" w:styleId="300">
    <w:name w:val="xl98"/>
    <w:basedOn w:val="1"/>
    <w:autoRedefine/>
    <w:qFormat/>
    <w:uiPriority w:val="0"/>
    <w:pPr>
      <w:widowControl/>
      <w:pBdr>
        <w:bottom w:val="single" w:color="auto" w:sz="8" w:space="0"/>
        <w:right w:val="single" w:color="auto" w:sz="8" w:space="0"/>
      </w:pBdr>
      <w:spacing w:before="100" w:beforeAutospacing="1" w:after="100" w:afterAutospacing="1"/>
      <w:jc w:val="left"/>
      <w:textAlignment w:val="top"/>
    </w:pPr>
    <w:rPr>
      <w:rFonts w:ascii="宋体" w:hAnsi="宋体" w:cs="宋体"/>
      <w:kern w:val="0"/>
      <w:sz w:val="24"/>
      <w:szCs w:val="24"/>
    </w:rPr>
  </w:style>
  <w:style w:type="paragraph" w:customStyle="1" w:styleId="301">
    <w:name w:val="xl104"/>
    <w:basedOn w:val="1"/>
    <w:autoRedefine/>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宋体" w:hAnsi="宋体" w:cs="宋体"/>
      <w:kern w:val="0"/>
      <w:sz w:val="24"/>
      <w:szCs w:val="24"/>
    </w:rPr>
  </w:style>
  <w:style w:type="paragraph" w:customStyle="1" w:styleId="302">
    <w:name w:val="xl115"/>
    <w:basedOn w:val="1"/>
    <w:autoRedefine/>
    <w:qFormat/>
    <w:uiPriority w:val="0"/>
    <w:pPr>
      <w:widowControl/>
      <w:pBdr>
        <w:right w:val="single" w:color="auto" w:sz="8" w:space="0"/>
      </w:pBdr>
      <w:spacing w:before="100" w:beforeAutospacing="1" w:after="100" w:afterAutospacing="1"/>
      <w:jc w:val="center"/>
    </w:pPr>
    <w:rPr>
      <w:rFonts w:ascii="宋体" w:hAnsi="宋体" w:cs="宋体"/>
      <w:kern w:val="0"/>
      <w:szCs w:val="21"/>
    </w:rPr>
  </w:style>
  <w:style w:type="character" w:customStyle="1" w:styleId="303">
    <w:name w:val="font81"/>
    <w:autoRedefine/>
    <w:qFormat/>
    <w:uiPriority w:val="0"/>
    <w:rPr>
      <w:rFonts w:hint="default" w:ascii="Times New Roman" w:hAnsi="Times New Roman" w:cs="Times New Roman"/>
      <w:color w:val="000000"/>
      <w:sz w:val="20"/>
      <w:szCs w:val="20"/>
      <w:u w:val="none"/>
    </w:rPr>
  </w:style>
  <w:style w:type="paragraph" w:customStyle="1" w:styleId="304">
    <w:name w:val="WPSOffice手动目录 1"/>
    <w:autoRedefine/>
    <w:qFormat/>
    <w:uiPriority w:val="0"/>
    <w:rPr>
      <w:rFonts w:ascii="Times New Roman" w:hAnsi="Times New Roman" w:eastAsia="宋体" w:cs="Times New Roman"/>
      <w:lang w:val="en-US" w:eastAsia="zh-CN" w:bidi="ar-SA"/>
    </w:rPr>
  </w:style>
  <w:style w:type="paragraph" w:customStyle="1" w:styleId="305">
    <w:name w:val="CM6"/>
    <w:basedOn w:val="1"/>
    <w:next w:val="1"/>
    <w:autoRedefine/>
    <w:qFormat/>
    <w:uiPriority w:val="99"/>
    <w:pPr>
      <w:autoSpaceDE w:val="0"/>
      <w:autoSpaceDN w:val="0"/>
      <w:adjustRightInd w:val="0"/>
      <w:spacing w:line="626" w:lineRule="atLeast"/>
      <w:jc w:val="left"/>
    </w:pPr>
    <w:rPr>
      <w:rFonts w:ascii="隶书" w:eastAsia="隶书"/>
      <w:kern w:val="0"/>
      <w:sz w:val="24"/>
      <w:szCs w:val="24"/>
    </w:rPr>
  </w:style>
  <w:style w:type="paragraph" w:customStyle="1" w:styleId="306">
    <w:name w:val="Revision"/>
    <w:autoRedefine/>
    <w:hidden/>
    <w:unhideWhenUsed/>
    <w:qFormat/>
    <w:uiPriority w:val="99"/>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22884</Words>
  <Characters>24328</Characters>
  <Lines>214</Lines>
  <Paragraphs>60</Paragraphs>
  <TotalTime>42</TotalTime>
  <ScaleCrop>false</ScaleCrop>
  <LinksUpToDate>false</LinksUpToDate>
  <CharactersWithSpaces>25013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2021-09-09T08:44:00Z</dcterms:created>
  <dc:creator>Administrator.DESKTOP-8VSP0O4</dc:creator>
  <cp:lastModifiedBy>Kenny</cp:lastModifiedBy>
  <cp:lastPrinted>2024-04-02T06:21:48Z</cp:lastPrinted>
  <dcterms:modified xsi:type="dcterms:W3CDTF">2024-04-02T07:04:36Z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BD8F2D63239640BA83119A0FE26B9AAE_13</vt:lpwstr>
  </property>
</Properties>
</file>