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000000" w:themeColor="text1"/>
          <w:sz w:val="44"/>
          <w:szCs w:val="44"/>
          <w:highlight w:val="none"/>
          <w14:textFill>
            <w14:solidFill>
              <w14:schemeClr w14:val="tx1"/>
            </w14:solidFill>
          </w14:textFill>
        </w:rPr>
      </w:pPr>
      <w:bookmarkStart w:id="127" w:name="_GoBack"/>
    </w:p>
    <w:p>
      <w:pPr>
        <w:spacing w:line="360" w:lineRule="auto"/>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b/>
          <w:bCs/>
          <w:color w:val="000000" w:themeColor="text1"/>
          <w:sz w:val="44"/>
          <w:szCs w:val="44"/>
          <w:highlight w:val="none"/>
          <w:lang w:eastAsia="zh-CN"/>
          <w14:textFill>
            <w14:solidFill>
              <w14:schemeClr w14:val="tx1"/>
            </w14:solidFill>
          </w14:textFill>
        </w:rPr>
        <w:t>南沙全民文化体育综合体生态堤建设工程（21涌以南）等3个项目BIM技术应用服务</w:t>
      </w:r>
    </w:p>
    <w:p>
      <w:pPr>
        <w:spacing w:line="400" w:lineRule="exact"/>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 w:val="28"/>
          <w:szCs w:val="28"/>
          <w:highlight w:val="none"/>
          <w14:textFill>
            <w14:solidFill>
              <w14:schemeClr w14:val="tx1"/>
            </w14:solidFill>
          </w14:textFill>
        </w:rPr>
      </w:pPr>
    </w:p>
    <w:p>
      <w:pPr>
        <w:pStyle w:val="11"/>
        <w:rPr>
          <w:rFonts w:hint="eastAsia" w:ascii="宋体" w:hAnsi="宋体" w:cs="宋体"/>
          <w:color w:val="000000" w:themeColor="text1"/>
          <w:sz w:val="28"/>
          <w:highlight w:val="none"/>
          <w14:textFill>
            <w14:solidFill>
              <w14:schemeClr w14:val="tx1"/>
            </w14:solidFill>
          </w14:textFill>
        </w:rPr>
      </w:pPr>
    </w:p>
    <w:p>
      <w:pPr>
        <w:pStyle w:val="11"/>
        <w:rPr>
          <w:rFonts w:hint="eastAsia" w:ascii="宋体" w:hAnsi="宋体" w:cs="宋体"/>
          <w:color w:val="000000" w:themeColor="text1"/>
          <w:sz w:val="28"/>
          <w:highlight w:val="none"/>
          <w14:textFill>
            <w14:solidFill>
              <w14:schemeClr w14:val="tx1"/>
            </w14:solidFill>
          </w14:textFill>
        </w:rPr>
      </w:pPr>
    </w:p>
    <w:p>
      <w:pPr>
        <w:pStyle w:val="11"/>
        <w:rPr>
          <w:rFonts w:hint="eastAsia" w:ascii="宋体" w:hAnsi="宋体" w:cs="宋体"/>
          <w:color w:val="000000" w:themeColor="text1"/>
          <w:sz w:val="28"/>
          <w:highlight w:val="none"/>
          <w14:textFill>
            <w14:solidFill>
              <w14:schemeClr w14:val="tx1"/>
            </w14:solidFill>
          </w14:textFill>
        </w:rPr>
      </w:pPr>
    </w:p>
    <w:p>
      <w:pPr>
        <w:pStyle w:val="11"/>
        <w:rPr>
          <w:rFonts w:hint="eastAsia" w:ascii="宋体" w:hAnsi="宋体" w:cs="宋体"/>
          <w:color w:val="000000" w:themeColor="text1"/>
          <w:sz w:val="28"/>
          <w:highlight w:val="none"/>
          <w14:textFill>
            <w14:solidFill>
              <w14:schemeClr w14:val="tx1"/>
            </w14:solidFill>
          </w14:textFill>
        </w:rPr>
      </w:pPr>
    </w:p>
    <w:p>
      <w:pPr>
        <w:jc w:val="center"/>
        <w:rPr>
          <w:rFonts w:hint="eastAsia" w:ascii="宋体" w:hAnsi="宋体" w:cs="宋体"/>
          <w:color w:val="000000" w:themeColor="text1"/>
          <w:sz w:val="72"/>
          <w:szCs w:val="72"/>
          <w:highlight w:val="none"/>
          <w14:textFill>
            <w14:solidFill>
              <w14:schemeClr w14:val="tx1"/>
            </w14:solidFill>
          </w14:textFill>
        </w:rPr>
      </w:pPr>
      <w:r>
        <w:rPr>
          <w:rFonts w:hint="eastAsia" w:ascii="宋体" w:hAnsi="宋体" w:cs="宋体"/>
          <w:b/>
          <w:bCs/>
          <w:color w:val="000000" w:themeColor="text1"/>
          <w:sz w:val="72"/>
          <w:szCs w:val="72"/>
          <w:highlight w:val="none"/>
          <w14:textFill>
            <w14:solidFill>
              <w14:schemeClr w14:val="tx1"/>
            </w14:solidFill>
          </w14:textFill>
        </w:rPr>
        <w:t>招 标 文 件</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22"/>
        <w:rPr>
          <w:rFonts w:hint="eastAsia"/>
          <w:color w:val="000000" w:themeColor="text1"/>
          <w:highlight w:val="none"/>
          <w14:textFill>
            <w14:solidFill>
              <w14:schemeClr w14:val="tx1"/>
            </w14:solidFill>
          </w14:textFill>
        </w:rPr>
      </w:pPr>
    </w:p>
    <w:p>
      <w:pPr>
        <w:pStyle w:val="22"/>
        <w:rPr>
          <w:rFonts w:hint="eastAsia"/>
          <w:color w:val="000000" w:themeColor="text1"/>
          <w:highlight w:val="none"/>
          <w14:textFill>
            <w14:solidFill>
              <w14:schemeClr w14:val="tx1"/>
            </w14:solidFill>
          </w14:textFill>
        </w:rPr>
      </w:pPr>
    </w:p>
    <w:p>
      <w:pPr>
        <w:pStyle w:val="22"/>
        <w:rPr>
          <w:rFonts w:hint="eastAsia"/>
          <w:color w:val="000000" w:themeColor="text1"/>
          <w:highlight w:val="none"/>
          <w14:textFill>
            <w14:solidFill>
              <w14:schemeClr w14:val="tx1"/>
            </w14:solidFill>
          </w14:textFill>
        </w:rPr>
      </w:pPr>
    </w:p>
    <w:p>
      <w:pPr>
        <w:pStyle w:val="22"/>
        <w:rPr>
          <w:rFonts w:hint="eastAsia"/>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widowControl/>
        <w:adjustRightInd w:val="0"/>
        <w:snapToGrid w:val="0"/>
        <w:spacing w:line="360" w:lineRule="auto"/>
        <w:ind w:firstLine="602" w:firstLineChars="200"/>
        <w:rPr>
          <w:rFonts w:hint="eastAsia" w:ascii="宋体" w:hAnsi="宋体" w:eastAsia="宋体" w:cs="宋体"/>
          <w:b/>
          <w:bCs/>
          <w:color w:val="000000" w:themeColor="text1"/>
          <w:sz w:val="30"/>
          <w:szCs w:val="30"/>
          <w:highlight w:val="none"/>
          <w:u w:val="singl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招 标  单 位：</w:t>
      </w:r>
      <w:r>
        <w:rPr>
          <w:rFonts w:hint="eastAsia" w:ascii="宋体" w:hAnsi="宋体" w:cs="宋体"/>
          <w:b/>
          <w:bCs/>
          <w:color w:val="000000" w:themeColor="text1"/>
          <w:sz w:val="30"/>
          <w:szCs w:val="30"/>
          <w:highlight w:val="none"/>
          <w:u w:val="single"/>
          <w:lang w:eastAsia="zh-CN"/>
          <w14:textFill>
            <w14:solidFill>
              <w14:schemeClr w14:val="tx1"/>
            </w14:solidFill>
          </w14:textFill>
        </w:rPr>
        <w:t>广州南沙交通投资集团有限公司</w:t>
      </w:r>
    </w:p>
    <w:p>
      <w:pPr>
        <w:widowControl/>
        <w:adjustRightInd w:val="0"/>
        <w:snapToGrid w:val="0"/>
        <w:spacing w:line="360" w:lineRule="auto"/>
        <w:ind w:firstLine="602" w:firstLineChars="200"/>
        <w:rPr>
          <w:rFonts w:hint="eastAsia" w:ascii="宋体" w:hAnsi="宋体" w:eastAsia="宋体" w:cs="宋体"/>
          <w:b/>
          <w:bCs/>
          <w:color w:val="000000" w:themeColor="text1"/>
          <w:sz w:val="30"/>
          <w:szCs w:val="30"/>
          <w:highlight w:val="none"/>
          <w:u w:val="singl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招标代理机构：</w:t>
      </w:r>
      <w:r>
        <w:rPr>
          <w:rFonts w:hint="eastAsia" w:ascii="宋体" w:hAnsi="宋体" w:cs="宋体"/>
          <w:b/>
          <w:bCs/>
          <w:color w:val="000000" w:themeColor="text1"/>
          <w:sz w:val="30"/>
          <w:szCs w:val="30"/>
          <w:highlight w:val="none"/>
          <w:u w:val="single"/>
          <w:lang w:eastAsia="zh-CN"/>
          <w14:textFill>
            <w14:solidFill>
              <w14:schemeClr w14:val="tx1"/>
            </w14:solidFill>
          </w14:textFill>
        </w:rPr>
        <w:t>广州市市政工程监理有限公司</w:t>
      </w:r>
    </w:p>
    <w:p>
      <w:pPr>
        <w:spacing w:line="480" w:lineRule="auto"/>
        <w:ind w:firstLine="602" w:firstLineChars="200"/>
        <w:rPr>
          <w:rFonts w:hint="eastAsia" w:ascii="宋体" w:hAnsi="宋体" w:cs="宋体"/>
          <w:b/>
          <w:bCs/>
          <w:color w:val="000000" w:themeColor="text1"/>
          <w:kern w:val="0"/>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日        期：202</w:t>
      </w:r>
      <w:r>
        <w:rPr>
          <w:rFonts w:hint="eastAsia" w:ascii="宋体" w:hAnsi="宋体" w:cs="宋体"/>
          <w:b/>
          <w:bCs/>
          <w:color w:val="000000" w:themeColor="text1"/>
          <w:sz w:val="30"/>
          <w:szCs w:val="30"/>
          <w:highlight w:val="none"/>
          <w:lang w:val="en-US" w:eastAsia="zh-CN"/>
          <w14:textFill>
            <w14:solidFill>
              <w14:schemeClr w14:val="tx1"/>
            </w14:solidFill>
          </w14:textFill>
        </w:rPr>
        <w:t>4</w:t>
      </w:r>
      <w:r>
        <w:rPr>
          <w:rFonts w:hint="eastAsia" w:ascii="宋体" w:hAnsi="宋体" w:cs="宋体"/>
          <w:b/>
          <w:bCs/>
          <w:color w:val="000000" w:themeColor="text1"/>
          <w:sz w:val="30"/>
          <w:szCs w:val="30"/>
          <w:highlight w:val="none"/>
          <w14:textFill>
            <w14:solidFill>
              <w14:schemeClr w14:val="tx1"/>
            </w14:solidFill>
          </w14:textFill>
        </w:rPr>
        <w:t>年</w:t>
      </w:r>
      <w:r>
        <w:rPr>
          <w:rFonts w:hint="eastAsia" w:ascii="宋体" w:hAnsi="宋体" w:cs="宋体"/>
          <w:b/>
          <w:bCs/>
          <w:color w:val="000000" w:themeColor="text1"/>
          <w:sz w:val="30"/>
          <w:szCs w:val="30"/>
          <w:highlight w:val="none"/>
          <w:lang w:val="en-US" w:eastAsia="zh-CN"/>
          <w14:textFill>
            <w14:solidFill>
              <w14:schemeClr w14:val="tx1"/>
            </w14:solidFill>
          </w14:textFill>
        </w:rPr>
        <w:t>4</w:t>
      </w:r>
      <w:r>
        <w:rPr>
          <w:rFonts w:hint="eastAsia" w:ascii="宋体" w:hAnsi="宋体" w:cs="宋体"/>
          <w:b/>
          <w:bCs/>
          <w:color w:val="000000" w:themeColor="text1"/>
          <w:sz w:val="30"/>
          <w:szCs w:val="30"/>
          <w:highlight w:val="none"/>
          <w14:textFill>
            <w14:solidFill>
              <w14:schemeClr w14:val="tx1"/>
            </w14:solidFill>
          </w14:textFill>
        </w:rPr>
        <w:t>月</w:t>
      </w:r>
    </w:p>
    <w:p>
      <w:pPr>
        <w:pStyle w:val="11"/>
        <w:rPr>
          <w:rFonts w:hint="eastAsia" w:ascii="宋体" w:hAnsi="宋体" w:cs="宋体"/>
          <w:color w:val="000000" w:themeColor="text1"/>
          <w:highlight w:val="none"/>
          <w14:textFill>
            <w14:solidFill>
              <w14:schemeClr w14:val="tx1"/>
            </w14:solidFill>
          </w14:textFill>
        </w:rPr>
        <w:sectPr>
          <w:pgSz w:w="11906" w:h="16838"/>
          <w:pgMar w:top="1560" w:right="1416" w:bottom="1440" w:left="1418" w:header="851" w:footer="1020" w:gutter="0"/>
          <w:pgNumType w:start="1"/>
          <w:cols w:space="720" w:num="1"/>
          <w:docGrid w:type="lines" w:linePitch="312" w:charSpace="0"/>
        </w:sectPr>
      </w:pPr>
    </w:p>
    <w:p>
      <w:pPr>
        <w:pStyle w:val="11"/>
        <w:rPr>
          <w:rFonts w:hint="eastAsia" w:ascii="宋体" w:hAnsi="宋体" w:cs="宋体"/>
          <w:color w:val="000000" w:themeColor="text1"/>
          <w:sz w:val="32"/>
          <w:szCs w:val="28"/>
          <w:highlight w:val="none"/>
          <w14:textFill>
            <w14:solidFill>
              <w14:schemeClr w14:val="tx1"/>
            </w14:solidFill>
          </w14:textFill>
        </w:rPr>
      </w:pPr>
    </w:p>
    <w:p>
      <w:pPr>
        <w:jc w:val="center"/>
        <w:rPr>
          <w:color w:val="000000" w:themeColor="text1"/>
          <w:sz w:val="48"/>
          <w:szCs w:val="52"/>
          <w:highlight w:val="none"/>
          <w14:textFill>
            <w14:solidFill>
              <w14:schemeClr w14:val="tx1"/>
            </w14:solidFill>
          </w14:textFill>
        </w:rPr>
      </w:pPr>
      <w:r>
        <w:rPr>
          <w:rFonts w:ascii="宋体" w:hAnsi="宋体"/>
          <w:color w:val="000000" w:themeColor="text1"/>
          <w:sz w:val="48"/>
          <w:szCs w:val="52"/>
          <w:highlight w:val="none"/>
          <w14:textFill>
            <w14:solidFill>
              <w14:schemeClr w14:val="tx1"/>
            </w14:solidFill>
          </w14:textFill>
        </w:rPr>
        <w:t>目录</w:t>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96"/>
          <w:szCs w:val="144"/>
          <w:highlight w:val="none"/>
          <w14:textFill>
            <w14:solidFill>
              <w14:schemeClr w14:val="tx1"/>
            </w14:solidFill>
          </w14:textFill>
        </w:rPr>
        <w:fldChar w:fldCharType="begin"/>
      </w:r>
      <w:r>
        <w:rPr>
          <w:color w:val="000000" w:themeColor="text1"/>
          <w:sz w:val="96"/>
          <w:szCs w:val="144"/>
          <w:highlight w:val="none"/>
          <w14:textFill>
            <w14:solidFill>
              <w14:schemeClr w14:val="tx1"/>
            </w14:solidFill>
          </w14:textFill>
        </w:rPr>
        <w:instrText xml:space="preserve">TOC \o "1-1" \h \u </w:instrText>
      </w:r>
      <w:r>
        <w:rPr>
          <w:color w:val="000000" w:themeColor="text1"/>
          <w:sz w:val="96"/>
          <w:szCs w:val="144"/>
          <w:highlight w:val="none"/>
          <w14:textFill>
            <w14:solidFill>
              <w14:schemeClr w14:val="tx1"/>
            </w14:solidFill>
          </w14:textFill>
        </w:rPr>
        <w:fldChar w:fldCharType="separate"/>
      </w:r>
      <w:r>
        <w:rPr>
          <w:color w:val="000000" w:themeColor="text1"/>
          <w:sz w:val="32"/>
          <w:szCs w:val="144"/>
          <w:highlight w:val="none"/>
          <w14:textFill>
            <w14:solidFill>
              <w14:schemeClr w14:val="tx1"/>
            </w14:solidFill>
          </w14:textFill>
        </w:rPr>
        <w:fldChar w:fldCharType="begin"/>
      </w:r>
      <w:r>
        <w:rPr>
          <w:color w:val="000000" w:themeColor="text1"/>
          <w:sz w:val="32"/>
          <w:szCs w:val="144"/>
          <w:highlight w:val="none"/>
          <w14:textFill>
            <w14:solidFill>
              <w14:schemeClr w14:val="tx1"/>
            </w14:solidFill>
          </w14:textFill>
        </w:rPr>
        <w:instrText xml:space="preserve"> HYPERLINK \l _Toc2081 </w:instrText>
      </w:r>
      <w:r>
        <w:rPr>
          <w:color w:val="000000" w:themeColor="text1"/>
          <w:sz w:val="32"/>
          <w:szCs w:val="144"/>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第一卷</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_Toc2081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2</w:t>
      </w:r>
      <w:r>
        <w:rPr>
          <w:color w:val="000000" w:themeColor="text1"/>
          <w:sz w:val="32"/>
          <w:szCs w:val="36"/>
          <w:highlight w:val="none"/>
          <w14:textFill>
            <w14:solidFill>
              <w14:schemeClr w14:val="tx1"/>
            </w14:solidFill>
          </w14:textFill>
        </w:rPr>
        <w:fldChar w:fldCharType="end"/>
      </w:r>
      <w:r>
        <w:rPr>
          <w:color w:val="000000" w:themeColor="text1"/>
          <w:sz w:val="32"/>
          <w:szCs w:val="144"/>
          <w:highlight w:val="none"/>
          <w14:textFill>
            <w14:solidFill>
              <w14:schemeClr w14:val="tx1"/>
            </w14:solidFill>
          </w14:textFill>
        </w:rPr>
        <w:fldChar w:fldCharType="end"/>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_Toc32255 </w:instrText>
      </w:r>
      <w:r>
        <w:rPr>
          <w:color w:val="000000" w:themeColor="text1"/>
          <w:sz w:val="32"/>
          <w:szCs w:val="72"/>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第一章</w:t>
      </w:r>
      <w:r>
        <w:rPr>
          <w:rFonts w:hint="eastAsia" w:ascii="宋体" w:hAnsi="宋体" w:cs="宋体"/>
          <w:color w:val="000000" w:themeColor="text1"/>
          <w:sz w:val="32"/>
          <w:szCs w:val="36"/>
          <w:highlight w:val="none"/>
          <w:lang w:val="en-US" w:eastAsia="zh-CN"/>
          <w14:textFill>
            <w14:solidFill>
              <w14:schemeClr w14:val="tx1"/>
            </w14:solidFill>
          </w14:textFill>
        </w:rPr>
        <w:t xml:space="preserve">  </w:t>
      </w:r>
      <w:r>
        <w:rPr>
          <w:rFonts w:hint="eastAsia" w:ascii="宋体" w:hAnsi="宋体" w:cs="宋体"/>
          <w:color w:val="000000" w:themeColor="text1"/>
          <w:sz w:val="32"/>
          <w:szCs w:val="36"/>
          <w:highlight w:val="none"/>
          <w14:textFill>
            <w14:solidFill>
              <w14:schemeClr w14:val="tx1"/>
            </w14:solidFill>
          </w14:textFill>
        </w:rPr>
        <w:t>招标公告</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_Toc32255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2</w:t>
      </w:r>
      <w:r>
        <w:rPr>
          <w:color w:val="000000" w:themeColor="text1"/>
          <w:sz w:val="32"/>
          <w:szCs w:val="36"/>
          <w:highlight w:val="none"/>
          <w14:textFill>
            <w14:solidFill>
              <w14:schemeClr w14:val="tx1"/>
            </w14:solidFill>
          </w14:textFill>
        </w:rPr>
        <w:fldChar w:fldCharType="end"/>
      </w:r>
      <w:r>
        <w:rPr>
          <w:color w:val="000000" w:themeColor="text1"/>
          <w:sz w:val="32"/>
          <w:szCs w:val="72"/>
          <w:highlight w:val="none"/>
          <w14:textFill>
            <w14:solidFill>
              <w14:schemeClr w14:val="tx1"/>
            </w14:solidFill>
          </w14:textFill>
        </w:rPr>
        <w:fldChar w:fldCharType="end"/>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_Toc20982 </w:instrText>
      </w:r>
      <w:r>
        <w:rPr>
          <w:color w:val="000000" w:themeColor="text1"/>
          <w:sz w:val="32"/>
          <w:szCs w:val="72"/>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第二章</w:t>
      </w:r>
      <w:r>
        <w:rPr>
          <w:rFonts w:hint="eastAsia" w:ascii="宋体" w:hAnsi="宋体" w:cs="宋体"/>
          <w:color w:val="000000" w:themeColor="text1"/>
          <w:sz w:val="32"/>
          <w:szCs w:val="36"/>
          <w:highlight w:val="none"/>
          <w:lang w:val="en-US" w:eastAsia="zh-CN"/>
          <w14:textFill>
            <w14:solidFill>
              <w14:schemeClr w14:val="tx1"/>
            </w14:solidFill>
          </w14:textFill>
        </w:rPr>
        <w:t xml:space="preserve">  </w:t>
      </w:r>
      <w:r>
        <w:rPr>
          <w:rFonts w:hint="eastAsia" w:ascii="宋体" w:hAnsi="宋体" w:cs="宋体"/>
          <w:color w:val="000000" w:themeColor="text1"/>
          <w:sz w:val="32"/>
          <w:szCs w:val="36"/>
          <w:highlight w:val="none"/>
          <w14:textFill>
            <w14:solidFill>
              <w14:schemeClr w14:val="tx1"/>
            </w14:solidFill>
          </w14:textFill>
        </w:rPr>
        <w:t>投标人须知</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_Toc20982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3</w:t>
      </w:r>
      <w:r>
        <w:rPr>
          <w:color w:val="000000" w:themeColor="text1"/>
          <w:sz w:val="32"/>
          <w:szCs w:val="36"/>
          <w:highlight w:val="none"/>
          <w14:textFill>
            <w14:solidFill>
              <w14:schemeClr w14:val="tx1"/>
            </w14:solidFill>
          </w14:textFill>
        </w:rPr>
        <w:fldChar w:fldCharType="end"/>
      </w:r>
      <w:r>
        <w:rPr>
          <w:color w:val="000000" w:themeColor="text1"/>
          <w:sz w:val="32"/>
          <w:szCs w:val="72"/>
          <w:highlight w:val="none"/>
          <w14:textFill>
            <w14:solidFill>
              <w14:schemeClr w14:val="tx1"/>
            </w14:solidFill>
          </w14:textFill>
        </w:rPr>
        <w:fldChar w:fldCharType="end"/>
      </w:r>
    </w:p>
    <w:p>
      <w:pPr>
        <w:pStyle w:val="20"/>
        <w:tabs>
          <w:tab w:val="right" w:leader="dot" w:pos="8300"/>
        </w:tabs>
        <w:rPr>
          <w:rFonts w:hint="eastAsia"/>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_Toc8013 </w:instrText>
      </w:r>
      <w:r>
        <w:rPr>
          <w:color w:val="000000" w:themeColor="text1"/>
          <w:sz w:val="32"/>
          <w:szCs w:val="72"/>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第三章</w:t>
      </w:r>
      <w:r>
        <w:rPr>
          <w:rFonts w:hint="eastAsia" w:ascii="宋体" w:hAnsi="宋体" w:cs="宋体"/>
          <w:color w:val="000000" w:themeColor="text1"/>
          <w:sz w:val="32"/>
          <w:szCs w:val="36"/>
          <w:highlight w:val="none"/>
          <w:lang w:val="en-US" w:eastAsia="zh-CN"/>
          <w14:textFill>
            <w14:solidFill>
              <w14:schemeClr w14:val="tx1"/>
            </w14:solidFill>
          </w14:textFill>
        </w:rPr>
        <w:t xml:space="preserve">  </w:t>
      </w:r>
      <w:r>
        <w:rPr>
          <w:rFonts w:hint="eastAsia" w:ascii="宋体" w:hAnsi="宋体" w:cs="宋体"/>
          <w:color w:val="000000" w:themeColor="text1"/>
          <w:sz w:val="32"/>
          <w:szCs w:val="36"/>
          <w:highlight w:val="none"/>
          <w14:textFill>
            <w14:solidFill>
              <w14:schemeClr w14:val="tx1"/>
            </w14:solidFill>
          </w14:textFill>
        </w:rPr>
        <w:t>评标办法（综合评估法）</w:t>
      </w:r>
      <w:r>
        <w:rPr>
          <w:color w:val="000000" w:themeColor="text1"/>
          <w:sz w:val="32"/>
          <w:szCs w:val="36"/>
          <w:highlight w:val="none"/>
          <w14:textFill>
            <w14:solidFill>
              <w14:schemeClr w14:val="tx1"/>
            </w14:solidFill>
          </w14:textFill>
        </w:rPr>
        <w:tab/>
      </w:r>
      <w:r>
        <w:rPr>
          <w:rFonts w:hint="eastAsia"/>
          <w:color w:val="000000" w:themeColor="text1"/>
          <w:sz w:val="32"/>
          <w:szCs w:val="36"/>
          <w:highlight w:val="none"/>
          <w14:textFill>
            <w14:solidFill>
              <w14:schemeClr w14:val="tx1"/>
            </w14:solidFill>
          </w14:textFill>
        </w:rPr>
        <w:t>2</w:t>
      </w:r>
      <w:r>
        <w:rPr>
          <w:color w:val="000000" w:themeColor="text1"/>
          <w:sz w:val="32"/>
          <w:szCs w:val="72"/>
          <w:highlight w:val="none"/>
          <w14:textFill>
            <w14:solidFill>
              <w14:schemeClr w14:val="tx1"/>
            </w14:solidFill>
          </w14:textFill>
        </w:rPr>
        <w:fldChar w:fldCharType="end"/>
      </w:r>
      <w:r>
        <w:rPr>
          <w:rFonts w:hint="eastAsia"/>
          <w:color w:val="000000" w:themeColor="text1"/>
          <w:sz w:val="32"/>
          <w:szCs w:val="72"/>
          <w:highlight w:val="none"/>
          <w14:textFill>
            <w14:solidFill>
              <w14:schemeClr w14:val="tx1"/>
            </w14:solidFill>
          </w14:textFill>
        </w:rPr>
        <w:t>7</w:t>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_Toc24007 </w:instrText>
      </w:r>
      <w:r>
        <w:rPr>
          <w:color w:val="000000" w:themeColor="text1"/>
          <w:sz w:val="32"/>
          <w:szCs w:val="72"/>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第四章</w:t>
      </w:r>
      <w:r>
        <w:rPr>
          <w:rFonts w:hint="eastAsia" w:ascii="宋体" w:hAnsi="宋体" w:cs="宋体"/>
          <w:color w:val="000000" w:themeColor="text1"/>
          <w:sz w:val="32"/>
          <w:szCs w:val="36"/>
          <w:highlight w:val="none"/>
          <w:lang w:val="en-US" w:eastAsia="zh-CN"/>
          <w14:textFill>
            <w14:solidFill>
              <w14:schemeClr w14:val="tx1"/>
            </w14:solidFill>
          </w14:textFill>
        </w:rPr>
        <w:t xml:space="preserve">  </w:t>
      </w:r>
      <w:r>
        <w:rPr>
          <w:rFonts w:hint="eastAsia" w:ascii="宋体" w:hAnsi="宋体" w:cs="宋体"/>
          <w:color w:val="000000" w:themeColor="text1"/>
          <w:sz w:val="32"/>
          <w:szCs w:val="36"/>
          <w:highlight w:val="none"/>
          <w14:textFill>
            <w14:solidFill>
              <w14:schemeClr w14:val="tx1"/>
            </w14:solidFill>
          </w14:textFill>
        </w:rPr>
        <w:t>合同条款及格式</w:t>
      </w:r>
      <w:r>
        <w:rPr>
          <w:color w:val="000000" w:themeColor="text1"/>
          <w:sz w:val="32"/>
          <w:szCs w:val="36"/>
          <w:highlight w:val="none"/>
          <w14:textFill>
            <w14:solidFill>
              <w14:schemeClr w14:val="tx1"/>
            </w14:solidFill>
          </w14:textFill>
        </w:rPr>
        <w:tab/>
      </w:r>
      <w:r>
        <w:rPr>
          <w:rFonts w:hint="eastAsia"/>
          <w:color w:val="000000" w:themeColor="text1"/>
          <w:sz w:val="32"/>
          <w:szCs w:val="36"/>
          <w:highlight w:val="none"/>
          <w:lang w:val="en-US" w:eastAsia="zh-CN"/>
          <w14:textFill>
            <w14:solidFill>
              <w14:schemeClr w14:val="tx1"/>
            </w14:solidFill>
          </w14:textFill>
        </w:rPr>
        <w:t>35</w:t>
      </w:r>
      <w:r>
        <w:rPr>
          <w:color w:val="000000" w:themeColor="text1"/>
          <w:sz w:val="32"/>
          <w:szCs w:val="72"/>
          <w:highlight w:val="none"/>
          <w14:textFill>
            <w14:solidFill>
              <w14:schemeClr w14:val="tx1"/>
            </w14:solidFill>
          </w14:textFill>
        </w:rPr>
        <w:fldChar w:fldCharType="end"/>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_Toc26697 </w:instrText>
      </w:r>
      <w:r>
        <w:rPr>
          <w:color w:val="000000" w:themeColor="text1"/>
          <w:sz w:val="32"/>
          <w:szCs w:val="72"/>
          <w:highlight w:val="none"/>
          <w14:textFill>
            <w14:solidFill>
              <w14:schemeClr w14:val="tx1"/>
            </w14:solidFill>
          </w14:textFill>
        </w:rPr>
        <w:fldChar w:fldCharType="separate"/>
      </w:r>
      <w:r>
        <w:rPr>
          <w:rFonts w:hint="eastAsia" w:ascii="宋体" w:hAnsi="宋体" w:cs="宋体"/>
          <w:color w:val="000000" w:themeColor="text1"/>
          <w:sz w:val="32"/>
          <w:szCs w:val="36"/>
          <w:highlight w:val="none"/>
          <w14:textFill>
            <w14:solidFill>
              <w14:schemeClr w14:val="tx1"/>
            </w14:solidFill>
          </w14:textFill>
        </w:rPr>
        <w:t>第二卷</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_Toc26697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35</w:t>
      </w:r>
      <w:r>
        <w:rPr>
          <w:color w:val="000000" w:themeColor="text1"/>
          <w:sz w:val="32"/>
          <w:szCs w:val="36"/>
          <w:highlight w:val="none"/>
          <w14:textFill>
            <w14:solidFill>
              <w14:schemeClr w14:val="tx1"/>
            </w14:solidFill>
          </w14:textFill>
        </w:rPr>
        <w:fldChar w:fldCharType="end"/>
      </w:r>
      <w:r>
        <w:rPr>
          <w:color w:val="000000" w:themeColor="text1"/>
          <w:sz w:val="32"/>
          <w:szCs w:val="72"/>
          <w:highlight w:val="none"/>
          <w14:textFill>
            <w14:solidFill>
              <w14:schemeClr w14:val="tx1"/>
            </w14:solidFill>
          </w14:textFill>
        </w:rPr>
        <w:fldChar w:fldCharType="end"/>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_Toc2721 </w:instrText>
      </w:r>
      <w:r>
        <w:rPr>
          <w:color w:val="000000" w:themeColor="text1"/>
          <w:sz w:val="32"/>
          <w:szCs w:val="72"/>
          <w:highlight w:val="none"/>
          <w14:textFill>
            <w14:solidFill>
              <w14:schemeClr w14:val="tx1"/>
            </w14:solidFill>
          </w14:textFill>
        </w:rPr>
        <w:fldChar w:fldCharType="separate"/>
      </w:r>
      <w:r>
        <w:rPr>
          <w:rFonts w:hint="eastAsia" w:ascii="宋体" w:hAnsi="宋体"/>
          <w:color w:val="000000" w:themeColor="text1"/>
          <w:sz w:val="32"/>
          <w:szCs w:val="36"/>
          <w:highlight w:val="none"/>
          <w14:textFill>
            <w14:solidFill>
              <w14:schemeClr w14:val="tx1"/>
            </w14:solidFill>
          </w14:textFill>
        </w:rPr>
        <w:t xml:space="preserve">第五章 </w:t>
      </w:r>
      <w:r>
        <w:rPr>
          <w:rFonts w:ascii="宋体" w:hAnsi="宋体"/>
          <w:color w:val="000000" w:themeColor="text1"/>
          <w:sz w:val="32"/>
          <w:szCs w:val="36"/>
          <w:highlight w:val="none"/>
          <w14:textFill>
            <w14:solidFill>
              <w14:schemeClr w14:val="tx1"/>
            </w14:solidFill>
          </w14:textFill>
        </w:rPr>
        <w:t xml:space="preserve"> </w:t>
      </w:r>
      <w:r>
        <w:rPr>
          <w:rFonts w:hint="eastAsia" w:ascii="宋体" w:hAnsi="宋体"/>
          <w:color w:val="000000" w:themeColor="text1"/>
          <w:sz w:val="32"/>
          <w:szCs w:val="36"/>
          <w:highlight w:val="none"/>
          <w14:textFill>
            <w14:solidFill>
              <w14:schemeClr w14:val="tx1"/>
            </w14:solidFill>
          </w14:textFill>
        </w:rPr>
        <w:t>任务书</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_Toc2721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35</w:t>
      </w:r>
      <w:r>
        <w:rPr>
          <w:color w:val="000000" w:themeColor="text1"/>
          <w:sz w:val="32"/>
          <w:szCs w:val="36"/>
          <w:highlight w:val="none"/>
          <w14:textFill>
            <w14:solidFill>
              <w14:schemeClr w14:val="tx1"/>
            </w14:solidFill>
          </w14:textFill>
        </w:rPr>
        <w:fldChar w:fldCharType="end"/>
      </w:r>
      <w:r>
        <w:rPr>
          <w:color w:val="000000" w:themeColor="text1"/>
          <w:sz w:val="32"/>
          <w:szCs w:val="72"/>
          <w:highlight w:val="none"/>
          <w14:textFill>
            <w14:solidFill>
              <w14:schemeClr w14:val="tx1"/>
            </w14:solidFill>
          </w14:textFill>
        </w:rPr>
        <w:fldChar w:fldCharType="end"/>
      </w:r>
    </w:p>
    <w:p>
      <w:pPr>
        <w:pStyle w:val="20"/>
        <w:tabs>
          <w:tab w:val="right" w:leader="dot" w:pos="8300"/>
        </w:tabs>
        <w:rPr>
          <w:color w:val="000000" w:themeColor="text1"/>
          <w:sz w:val="32"/>
          <w:szCs w:val="36"/>
          <w:highlight w:val="none"/>
          <w14:textFill>
            <w14:solidFill>
              <w14:schemeClr w14:val="tx1"/>
            </w14:solidFill>
          </w14:textFill>
        </w:rPr>
      </w:pPr>
      <w:r>
        <w:rPr>
          <w:color w:val="000000" w:themeColor="text1"/>
          <w:sz w:val="32"/>
          <w:szCs w:val="72"/>
          <w:highlight w:val="none"/>
          <w14:textFill>
            <w14:solidFill>
              <w14:schemeClr w14:val="tx1"/>
            </w14:solidFill>
          </w14:textFill>
        </w:rPr>
        <w:fldChar w:fldCharType="begin"/>
      </w:r>
      <w:r>
        <w:rPr>
          <w:color w:val="000000" w:themeColor="text1"/>
          <w:sz w:val="32"/>
          <w:szCs w:val="72"/>
          <w:highlight w:val="none"/>
          <w14:textFill>
            <w14:solidFill>
              <w14:schemeClr w14:val="tx1"/>
            </w14:solidFill>
          </w14:textFill>
        </w:rPr>
        <w:instrText xml:space="preserve"> HYPERLINK \l _Toc25331 </w:instrText>
      </w:r>
      <w:r>
        <w:rPr>
          <w:color w:val="000000" w:themeColor="text1"/>
          <w:sz w:val="32"/>
          <w:szCs w:val="72"/>
          <w:highlight w:val="none"/>
          <w14:textFill>
            <w14:solidFill>
              <w14:schemeClr w14:val="tx1"/>
            </w14:solidFill>
          </w14:textFill>
        </w:rPr>
        <w:fldChar w:fldCharType="separate"/>
      </w:r>
      <w:r>
        <w:rPr>
          <w:rFonts w:hint="eastAsia" w:ascii="宋体" w:hAnsi="宋体"/>
          <w:bCs/>
          <w:color w:val="000000" w:themeColor="text1"/>
          <w:kern w:val="44"/>
          <w:sz w:val="32"/>
          <w:szCs w:val="72"/>
          <w:highlight w:val="none"/>
          <w14:textFill>
            <w14:solidFill>
              <w14:schemeClr w14:val="tx1"/>
            </w14:solidFill>
          </w14:textFill>
        </w:rPr>
        <w:t>第六章   投标文件格式</w:t>
      </w:r>
      <w:r>
        <w:rPr>
          <w:color w:val="000000" w:themeColor="text1"/>
          <w:sz w:val="32"/>
          <w:szCs w:val="36"/>
          <w:highlight w:val="none"/>
          <w14:textFill>
            <w14:solidFill>
              <w14:schemeClr w14:val="tx1"/>
            </w14:solidFill>
          </w14:textFill>
        </w:rPr>
        <w:tab/>
      </w:r>
      <w:r>
        <w:rPr>
          <w:color w:val="000000" w:themeColor="text1"/>
          <w:sz w:val="32"/>
          <w:szCs w:val="36"/>
          <w:highlight w:val="none"/>
          <w14:textFill>
            <w14:solidFill>
              <w14:schemeClr w14:val="tx1"/>
            </w14:solidFill>
          </w14:textFill>
        </w:rPr>
        <w:fldChar w:fldCharType="begin"/>
      </w:r>
      <w:r>
        <w:rPr>
          <w:color w:val="000000" w:themeColor="text1"/>
          <w:sz w:val="32"/>
          <w:szCs w:val="36"/>
          <w:highlight w:val="none"/>
          <w14:textFill>
            <w14:solidFill>
              <w14:schemeClr w14:val="tx1"/>
            </w14:solidFill>
          </w14:textFill>
        </w:rPr>
        <w:instrText xml:space="preserve"> PAGEREF _Toc25331 </w:instrText>
      </w:r>
      <w:r>
        <w:rPr>
          <w:color w:val="000000" w:themeColor="text1"/>
          <w:sz w:val="32"/>
          <w:szCs w:val="36"/>
          <w:highlight w:val="none"/>
          <w14:textFill>
            <w14:solidFill>
              <w14:schemeClr w14:val="tx1"/>
            </w14:solidFill>
          </w14:textFill>
        </w:rPr>
        <w:fldChar w:fldCharType="separate"/>
      </w:r>
      <w:r>
        <w:rPr>
          <w:color w:val="000000" w:themeColor="text1"/>
          <w:sz w:val="32"/>
          <w:szCs w:val="36"/>
          <w:highlight w:val="none"/>
          <w14:textFill>
            <w14:solidFill>
              <w14:schemeClr w14:val="tx1"/>
            </w14:solidFill>
          </w14:textFill>
        </w:rPr>
        <w:t>36</w:t>
      </w:r>
      <w:r>
        <w:rPr>
          <w:color w:val="000000" w:themeColor="text1"/>
          <w:sz w:val="32"/>
          <w:szCs w:val="36"/>
          <w:highlight w:val="none"/>
          <w14:textFill>
            <w14:solidFill>
              <w14:schemeClr w14:val="tx1"/>
            </w14:solidFill>
          </w14:textFill>
        </w:rPr>
        <w:fldChar w:fldCharType="end"/>
      </w:r>
      <w:r>
        <w:rPr>
          <w:color w:val="000000" w:themeColor="text1"/>
          <w:sz w:val="32"/>
          <w:szCs w:val="72"/>
          <w:highlight w:val="none"/>
          <w14:textFill>
            <w14:solidFill>
              <w14:schemeClr w14:val="tx1"/>
            </w14:solidFill>
          </w14:textFill>
        </w:rPr>
        <w:fldChar w:fldCharType="end"/>
      </w:r>
    </w:p>
    <w:p>
      <w:pPr>
        <w:rPr>
          <w:color w:val="000000" w:themeColor="text1"/>
          <w:sz w:val="28"/>
          <w:szCs w:val="28"/>
          <w:highlight w:val="none"/>
          <w14:textFill>
            <w14:solidFill>
              <w14:schemeClr w14:val="tx1"/>
            </w14:solidFill>
          </w14:textFill>
        </w:rPr>
      </w:pPr>
      <w:r>
        <w:rPr>
          <w:color w:val="000000" w:themeColor="text1"/>
          <w:sz w:val="28"/>
          <w:szCs w:val="72"/>
          <w:highlight w:val="none"/>
          <w14:textFill>
            <w14:solidFill>
              <w14:schemeClr w14:val="tx1"/>
            </w14:solidFill>
          </w14:textFill>
        </w:rPr>
        <w:fldChar w:fldCharType="end"/>
      </w:r>
    </w:p>
    <w:p>
      <w:pPr>
        <w:pStyle w:val="20"/>
        <w:tabs>
          <w:tab w:val="right" w:leader="dot" w:pos="8290"/>
        </w:tabs>
        <w:spacing w:line="360" w:lineRule="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fldChar w:fldCharType="begin"/>
      </w:r>
      <w:r>
        <w:rPr>
          <w:rFonts w:hint="eastAsia" w:ascii="宋体" w:hAnsi="宋体" w:cs="宋体"/>
          <w:color w:val="000000" w:themeColor="text1"/>
          <w:sz w:val="24"/>
          <w:highlight w:val="none"/>
          <w14:textFill>
            <w14:solidFill>
              <w14:schemeClr w14:val="tx1"/>
            </w14:solidFill>
          </w14:textFill>
        </w:rPr>
        <w:instrText xml:space="preserve">TOC \o "1-3" \h \u </w:instrText>
      </w:r>
      <w:r>
        <w:rPr>
          <w:rFonts w:hint="eastAsia" w:ascii="宋体" w:hAnsi="宋体" w:cs="宋体"/>
          <w:color w:val="000000" w:themeColor="text1"/>
          <w:sz w:val="24"/>
          <w:highlight w:val="none"/>
          <w14:textFill>
            <w14:solidFill>
              <w14:schemeClr w14:val="tx1"/>
            </w14:solidFill>
          </w14:textFill>
        </w:rPr>
        <w:fldChar w:fldCharType="separate"/>
      </w:r>
    </w:p>
    <w:p>
      <w:pPr>
        <w:spacing w:line="360" w:lineRule="auto"/>
        <w:ind w:firstLine="42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fldChar w:fldCharType="end"/>
      </w:r>
    </w:p>
    <w:p>
      <w:pPr>
        <w:pStyle w:val="3"/>
        <w:keepNext w:val="0"/>
        <w:keepLines w:val="0"/>
        <w:spacing w:line="340" w:lineRule="atLeast"/>
        <w:jc w:val="center"/>
        <w:rPr>
          <w:rFonts w:hint="eastAsia" w:ascii="宋体" w:hAnsi="宋体" w:cs="宋体"/>
          <w:color w:val="000000" w:themeColor="text1"/>
          <w:highlight w:val="none"/>
          <w14:textFill>
            <w14:solidFill>
              <w14:schemeClr w14:val="tx1"/>
            </w14:solidFill>
          </w14:textFill>
        </w:rPr>
        <w:sectPr>
          <w:footerReference r:id="rId3" w:type="default"/>
          <w:pgSz w:w="11906" w:h="16838"/>
          <w:pgMar w:top="993" w:right="1803" w:bottom="1440" w:left="1803" w:header="851" w:footer="1020" w:gutter="0"/>
          <w:pgNumType w:start="1"/>
          <w:cols w:space="720" w:num="1"/>
          <w:docGrid w:type="lines" w:linePitch="312" w:charSpace="0"/>
        </w:sect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spacing w:line="340" w:lineRule="atLeast"/>
        <w:jc w:val="center"/>
        <w:rPr>
          <w:rFonts w:hint="eastAsia" w:ascii="宋体" w:hAnsi="宋体" w:cs="宋体"/>
          <w:b/>
          <w:color w:val="000000" w:themeColor="text1"/>
          <w:kern w:val="44"/>
          <w:sz w:val="44"/>
          <w:szCs w:val="20"/>
          <w:highlight w:val="none"/>
          <w14:textFill>
            <w14:solidFill>
              <w14:schemeClr w14:val="tx1"/>
            </w14:solidFill>
          </w14:textFill>
        </w:rPr>
      </w:pPr>
      <w:bookmarkStart w:id="0" w:name="_Toc855821"/>
      <w:bookmarkStart w:id="1" w:name="_Toc2081"/>
      <w:r>
        <w:rPr>
          <w:rFonts w:hint="eastAsia" w:ascii="宋体" w:hAnsi="宋体" w:cs="宋体"/>
          <w:b/>
          <w:color w:val="000000" w:themeColor="text1"/>
          <w:kern w:val="44"/>
          <w:sz w:val="44"/>
          <w:szCs w:val="20"/>
          <w:highlight w:val="none"/>
          <w14:textFill>
            <w14:solidFill>
              <w14:schemeClr w14:val="tx1"/>
            </w14:solidFill>
          </w14:textFill>
        </w:rPr>
        <w:t>第一卷</w:t>
      </w:r>
      <w:bookmarkEnd w:id="0"/>
      <w:bookmarkEnd w:id="1"/>
    </w:p>
    <w:p>
      <w:pPr>
        <w:pStyle w:val="3"/>
        <w:keepNext w:val="0"/>
        <w:keepLines w:val="0"/>
        <w:spacing w:line="240" w:lineRule="auto"/>
        <w:jc w:val="center"/>
        <w:rPr>
          <w:rFonts w:hint="eastAsia" w:ascii="宋体" w:hAnsi="宋体" w:cs="宋体"/>
          <w:color w:val="000000" w:themeColor="text1"/>
          <w:highlight w:val="none"/>
          <w14:textFill>
            <w14:solidFill>
              <w14:schemeClr w14:val="tx1"/>
            </w14:solidFill>
          </w14:textFill>
        </w:rPr>
      </w:pPr>
      <w:bookmarkStart w:id="2" w:name="_Toc533357305"/>
      <w:bookmarkStart w:id="3" w:name="_Toc855822"/>
      <w:bookmarkStart w:id="4" w:name="_Toc32255"/>
      <w:r>
        <w:rPr>
          <w:rFonts w:hint="eastAsia" w:ascii="宋体" w:hAnsi="宋体" w:cs="宋体"/>
          <w:color w:val="000000" w:themeColor="text1"/>
          <w:highlight w:val="none"/>
          <w14:textFill>
            <w14:solidFill>
              <w14:schemeClr w14:val="tx1"/>
            </w14:solidFill>
          </w14:textFill>
        </w:rPr>
        <w:t>第一章招标公告</w:t>
      </w:r>
      <w:bookmarkEnd w:id="2"/>
      <w:bookmarkEnd w:id="3"/>
      <w:bookmarkEnd w:id="4"/>
    </w:p>
    <w:p>
      <w:pPr>
        <w:spacing w:line="440" w:lineRule="exact"/>
        <w:jc w:val="center"/>
        <w:rPr>
          <w:rFonts w:hint="eastAsia" w:ascii="宋体" w:hAnsi="宋体" w:cs="宋体"/>
          <w:color w:val="000000" w:themeColor="text1"/>
          <w:sz w:val="28"/>
          <w:highlight w:val="none"/>
          <w14:textFill>
            <w14:solidFill>
              <w14:schemeClr w14:val="tx1"/>
            </w14:solidFill>
          </w14:textFill>
        </w:rPr>
      </w:pPr>
      <w:r>
        <w:rPr>
          <w:rFonts w:hint="eastAsia" w:ascii="宋体" w:hAnsi="宋体" w:cs="宋体"/>
          <w:color w:val="000000" w:themeColor="text1"/>
          <w:sz w:val="28"/>
          <w:highlight w:val="none"/>
          <w14:textFill>
            <w14:solidFill>
              <w14:schemeClr w14:val="tx1"/>
            </w14:solidFill>
          </w14:textFill>
        </w:rPr>
        <w:t>（另册）</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p>
    <w:p>
      <w:pPr>
        <w:pStyle w:val="3"/>
        <w:keepNext w:val="0"/>
        <w:keepLines w:val="0"/>
        <w:spacing w:line="340" w:lineRule="atLeast"/>
        <w:jc w:val="center"/>
        <w:rPr>
          <w:rFonts w:hint="eastAsia" w:ascii="宋体" w:hAnsi="宋体" w:cs="宋体"/>
          <w:color w:val="000000" w:themeColor="text1"/>
          <w:highlight w:val="none"/>
          <w14:textFill>
            <w14:solidFill>
              <w14:schemeClr w14:val="tx1"/>
            </w14:solidFill>
          </w14:textFill>
        </w:rPr>
      </w:pPr>
      <w:bookmarkStart w:id="5" w:name="_Toc20982"/>
      <w:bookmarkStart w:id="6" w:name="_Toc533357306"/>
      <w:bookmarkStart w:id="7" w:name="_Toc855823"/>
      <w:r>
        <w:rPr>
          <w:rFonts w:hint="eastAsia" w:ascii="宋体" w:hAnsi="宋体" w:cs="宋体"/>
          <w:color w:val="000000" w:themeColor="text1"/>
          <w:highlight w:val="none"/>
          <w14:textFill>
            <w14:solidFill>
              <w14:schemeClr w14:val="tx1"/>
            </w14:solidFill>
          </w14:textFill>
        </w:rPr>
        <w:t>第二章投标人须知</w:t>
      </w:r>
      <w:bookmarkEnd w:id="5"/>
      <w:bookmarkEnd w:id="6"/>
      <w:bookmarkEnd w:id="7"/>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center"/>
        <w:rPr>
          <w:rFonts w:hint="eastAsia" w:ascii="宋体" w:hAnsi="宋体" w:eastAsia="宋体" w:cs="宋体"/>
          <w:color w:val="000000" w:themeColor="text1"/>
          <w:highlight w:val="none"/>
          <w14:textFill>
            <w14:solidFill>
              <w14:schemeClr w14:val="tx1"/>
            </w14:solidFill>
          </w14:textFill>
        </w:rPr>
      </w:pPr>
      <w:bookmarkStart w:id="8" w:name="_Toc533357307"/>
      <w:bookmarkStart w:id="9" w:name="_Toc855824"/>
      <w:r>
        <w:rPr>
          <w:rFonts w:hint="eastAsia" w:ascii="宋体" w:hAnsi="宋体" w:eastAsia="宋体" w:cs="宋体"/>
          <w:color w:val="000000" w:themeColor="text1"/>
          <w:highlight w:val="none"/>
          <w14:textFill>
            <w14:solidFill>
              <w14:schemeClr w14:val="tx1"/>
            </w14:solidFill>
          </w14:textFill>
        </w:rPr>
        <w:t>投标人须知前附表</w:t>
      </w:r>
      <w:bookmarkEnd w:id="8"/>
      <w:bookmarkEnd w:id="9"/>
    </w:p>
    <w:tbl>
      <w:tblPr>
        <w:tblStyle w:val="23"/>
        <w:tblW w:w="977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2"/>
        <w:gridCol w:w="2717"/>
        <w:gridCol w:w="61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942" w:type="dxa"/>
            <w:noWrap w:val="0"/>
            <w:vAlign w:val="center"/>
          </w:tcPr>
          <w:p>
            <w:pPr>
              <w:snapToGrid w:val="0"/>
              <w:jc w:val="cente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条款号</w:t>
            </w:r>
          </w:p>
        </w:tc>
        <w:tc>
          <w:tcPr>
            <w:tcW w:w="2717" w:type="dxa"/>
            <w:noWrap w:val="0"/>
            <w:vAlign w:val="center"/>
          </w:tcPr>
          <w:p>
            <w:pPr>
              <w:snapToGrid w:val="0"/>
              <w:jc w:val="cente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条款名称</w:t>
            </w:r>
          </w:p>
        </w:tc>
        <w:tc>
          <w:tcPr>
            <w:tcW w:w="6117" w:type="dxa"/>
            <w:noWrap w:val="0"/>
            <w:vAlign w:val="center"/>
          </w:tcPr>
          <w:p>
            <w:pPr>
              <w:snapToGrid w:val="0"/>
              <w:jc w:val="cente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招标人</w:t>
            </w:r>
          </w:p>
        </w:tc>
        <w:tc>
          <w:tcPr>
            <w:tcW w:w="6117" w:type="dxa"/>
            <w:noWrap w:val="0"/>
            <w:vAlign w:val="center"/>
          </w:tcPr>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w:t>
            </w:r>
            <w:r>
              <w:rPr>
                <w:rFonts w:hint="eastAsia" w:ascii="宋体" w:hAnsi="宋体"/>
                <w:color w:val="000000" w:themeColor="text1"/>
                <w:szCs w:val="21"/>
                <w:highlight w:val="none"/>
                <w:u w:val="single"/>
                <w14:textFill>
                  <w14:solidFill>
                    <w14:schemeClr w14:val="tx1"/>
                  </w14:solidFill>
                </w14:textFill>
              </w:rPr>
              <w:t>广州南沙交通投资集团有限公司</w:t>
            </w:r>
          </w:p>
          <w:p>
            <w:pPr>
              <w:spacing w:line="360" w:lineRule="auto"/>
              <w:ind w:left="640" w:hanging="630" w:hangingChars="3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ascii="宋体" w:hAnsi="宋体"/>
                <w:color w:val="000000" w:themeColor="text1"/>
                <w:szCs w:val="21"/>
                <w:highlight w:val="none"/>
                <w:u w:val="single"/>
                <w14:textFill>
                  <w14:solidFill>
                    <w14:schemeClr w14:val="tx1"/>
                  </w14:solidFill>
                </w14:textFill>
              </w:rPr>
              <w:t>广州市南沙区蕉西路融通大厦13楼</w:t>
            </w:r>
          </w:p>
          <w:p>
            <w:pPr>
              <w:spacing w:line="360" w:lineRule="auto"/>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w:t>
            </w:r>
            <w:r>
              <w:rPr>
                <w:rFonts w:hint="eastAsia" w:ascii="宋体" w:hAnsi="宋体" w:eastAsia="宋体" w:cs="宋体"/>
                <w:color w:val="000000" w:themeColor="text1"/>
                <w:szCs w:val="21"/>
                <w:highlight w:val="none"/>
                <w14:textFill>
                  <w14:solidFill>
                    <w14:schemeClr w14:val="tx1"/>
                  </w14:solidFill>
                </w14:textFill>
              </w:rPr>
              <w:t>人：</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李工 </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spacing w:line="360" w:lineRule="exact"/>
              <w:ind w:left="630" w:hanging="630" w:hangingChars="3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w:t>
            </w:r>
            <w:r>
              <w:rPr>
                <w:rFonts w:hint="eastAsia" w:ascii="宋体" w:hAnsi="宋体" w:eastAsia="宋体" w:cs="宋体"/>
                <w:color w:val="000000" w:themeColor="text1"/>
                <w:szCs w:val="21"/>
                <w:highlight w:val="none"/>
                <w:u w:val="single"/>
                <w14:textFill>
                  <w14:solidFill>
                    <w14:schemeClr w14:val="tx1"/>
                  </w14:solidFill>
                </w14:textFill>
              </w:rPr>
              <w:t>020-84999865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招标代理机构</w:t>
            </w:r>
          </w:p>
        </w:tc>
        <w:tc>
          <w:tcPr>
            <w:tcW w:w="6117" w:type="dxa"/>
            <w:noWrap w:val="0"/>
            <w:vAlign w:val="center"/>
          </w:tcPr>
          <w:p>
            <w:pPr>
              <w:spacing w:line="360" w:lineRule="auto"/>
              <w:rPr>
                <w:rFonts w:hint="eastAsia" w:ascii="宋体" w:hAnsi="宋体" w:eastAsia="宋体"/>
                <w:color w:val="000000" w:themeColor="text1"/>
                <w:szCs w:val="21"/>
                <w:highlight w:val="none"/>
                <w:u w:val="singl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名称：</w:t>
            </w:r>
            <w:r>
              <w:rPr>
                <w:rFonts w:hint="eastAsia" w:ascii="宋体" w:hAnsi="宋体"/>
                <w:color w:val="000000" w:themeColor="text1"/>
                <w:szCs w:val="21"/>
                <w:highlight w:val="none"/>
                <w:u w:val="single"/>
                <w:lang w:eastAsia="zh-CN"/>
                <w14:textFill>
                  <w14:solidFill>
                    <w14:schemeClr w14:val="tx1"/>
                  </w14:solidFill>
                </w14:textFill>
              </w:rPr>
              <w:t>广州市市政工程监理有限公司</w:t>
            </w:r>
          </w:p>
          <w:p>
            <w:pPr>
              <w:spacing w:line="360" w:lineRule="auto"/>
              <w:rPr>
                <w:rFonts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地址：</w:t>
            </w:r>
            <w:r>
              <w:rPr>
                <w:rFonts w:hint="eastAsia" w:ascii="宋体" w:hAnsi="宋体" w:eastAsia="宋体" w:cs="Times New Roman"/>
                <w:color w:val="000000" w:themeColor="text1"/>
                <w:szCs w:val="21"/>
                <w:highlight w:val="none"/>
                <w:u w:val="single"/>
                <w:lang w:eastAsia="zh-CN"/>
                <w14:textFill>
                  <w14:solidFill>
                    <w14:schemeClr w14:val="tx1"/>
                  </w14:solidFill>
                </w14:textFill>
              </w:rPr>
              <w:t>广州市越秀区越秀城市广场南塔38楼</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联系人：</w:t>
            </w:r>
            <w:r>
              <w:rPr>
                <w:rFonts w:hint="eastAsia" w:ascii="宋体" w:hAnsi="宋体"/>
                <w:color w:val="000000" w:themeColor="text1"/>
                <w:szCs w:val="21"/>
                <w:highlight w:val="none"/>
                <w:u w:val="single"/>
                <w:lang w:eastAsia="zh-CN"/>
                <w14:textFill>
                  <w14:solidFill>
                    <w14:schemeClr w14:val="tx1"/>
                  </w14:solidFill>
                </w14:textFill>
              </w:rPr>
              <w:t>袁工</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电话：</w:t>
            </w:r>
            <w:r>
              <w:rPr>
                <w:rFonts w:hint="eastAsia" w:ascii="宋体" w:hAnsi="宋体" w:eastAsia="宋体" w:cs="Times New Roman"/>
                <w:color w:val="000000" w:themeColor="text1"/>
                <w:szCs w:val="21"/>
                <w:highlight w:val="none"/>
                <w:u w:val="single"/>
                <w:lang w:val="en-US" w:eastAsia="zh-CN"/>
                <w14:textFill>
                  <w14:solidFill>
                    <w14:schemeClr w14:val="tx1"/>
                  </w14:solidFill>
                </w14:textFill>
              </w:rPr>
              <w:t>18718410655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1.1.4</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招标项目名称</w:t>
            </w:r>
          </w:p>
        </w:tc>
        <w:tc>
          <w:tcPr>
            <w:tcW w:w="6117" w:type="dxa"/>
            <w:noWrap w:val="0"/>
            <w:vAlign w:val="center"/>
          </w:tcPr>
          <w:p>
            <w:pPr>
              <w:snapToGrid w:val="0"/>
              <w:spacing w:line="360" w:lineRule="exact"/>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bCs/>
                <w:color w:val="000000" w:themeColor="text1"/>
                <w:szCs w:val="21"/>
                <w:highlight w:val="none"/>
                <w:u w:val="single"/>
                <w:lang w:eastAsia="zh-CN"/>
                <w14:textFill>
                  <w14:solidFill>
                    <w14:schemeClr w14:val="tx1"/>
                  </w14:solidFill>
                </w14:textFill>
              </w:rPr>
              <w:t>南沙全民文化体育综合体生态堤建设工程（21涌以南）等3个项目BIM技术应用服务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1.1.5</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项目建设地点</w:t>
            </w:r>
          </w:p>
        </w:tc>
        <w:tc>
          <w:tcPr>
            <w:tcW w:w="6117" w:type="dxa"/>
            <w:noWrap w:val="0"/>
            <w:vAlign w:val="center"/>
          </w:tcPr>
          <w:p>
            <w:pPr>
              <w:snapToGrid w:val="0"/>
              <w:spacing w:line="36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1.1.6</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项目建设规模</w:t>
            </w:r>
          </w:p>
        </w:tc>
        <w:tc>
          <w:tcPr>
            <w:tcW w:w="6117" w:type="dxa"/>
            <w:noWrap w:val="0"/>
            <w:vAlign w:val="top"/>
          </w:tcPr>
          <w:p>
            <w:pPr>
              <w:snapToGrid w:val="0"/>
              <w:spacing w:line="360" w:lineRule="exact"/>
              <w:ind w:right="106"/>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1.1.7</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工程项目预计开工日期和建设周期</w:t>
            </w:r>
          </w:p>
        </w:tc>
        <w:tc>
          <w:tcPr>
            <w:tcW w:w="6117" w:type="dxa"/>
            <w:noWrap w:val="0"/>
            <w:vAlign w:val="center"/>
          </w:tcPr>
          <w:p>
            <w:pPr>
              <w:snapToGrid w:val="0"/>
              <w:spacing w:line="360" w:lineRule="exact"/>
              <w:ind w:right="-239"/>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工程项目预计开工日期：</w:t>
            </w:r>
            <w:r>
              <w:rPr>
                <w:rFonts w:hint="eastAsia" w:ascii="宋体" w:hAnsi="宋体" w:cs="宋体"/>
                <w:color w:val="000000" w:themeColor="text1"/>
                <w:szCs w:val="21"/>
                <w:highlight w:val="none"/>
                <w:u w:val="single"/>
                <w14:textFill>
                  <w14:solidFill>
                    <w14:schemeClr w14:val="tx1"/>
                  </w14:solidFill>
                </w14:textFill>
              </w:rPr>
              <w:t>开工时间以甲方通知为准</w:t>
            </w:r>
            <w:r>
              <w:rPr>
                <w:rFonts w:hint="eastAsia" w:ascii="宋体" w:hAnsi="宋体" w:cs="宋体"/>
                <w:color w:val="000000" w:themeColor="text1"/>
                <w:szCs w:val="21"/>
                <w:highlight w:val="none"/>
                <w14:textFill>
                  <w14:solidFill>
                    <w14:schemeClr w14:val="tx1"/>
                  </w14:solidFill>
                </w14:textFill>
              </w:rPr>
              <w:t>。</w:t>
            </w:r>
          </w:p>
          <w:p>
            <w:pPr>
              <w:snapToGrid w:val="0"/>
              <w:spacing w:line="360" w:lineRule="exact"/>
              <w:ind w:right="-239"/>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建设周期：</w:t>
            </w:r>
            <w:r>
              <w:rPr>
                <w:rFonts w:hint="eastAsia" w:ascii="宋体" w:hAnsi="宋体" w:cs="宋体"/>
                <w:color w:val="000000" w:themeColor="text1"/>
                <w:szCs w:val="21"/>
                <w:highlight w:val="none"/>
                <w:u w:val="single"/>
                <w14:textFill>
                  <w14:solidFill>
                    <w14:schemeClr w14:val="tx1"/>
                  </w14:solidFill>
                </w14:textFill>
              </w:rPr>
              <w:t>自中标通知书发出之日起至完成全部服务内容完成日止</w:t>
            </w:r>
            <w:r>
              <w:rPr>
                <w:rFonts w:hint="eastAsia" w:ascii="宋体" w:hAnsi="宋体" w:cs="宋体"/>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1.1.8</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建筑安装工程费/工程概算</w:t>
            </w:r>
          </w:p>
        </w:tc>
        <w:tc>
          <w:tcPr>
            <w:tcW w:w="6117" w:type="dxa"/>
            <w:noWrap w:val="0"/>
            <w:vAlign w:val="center"/>
          </w:tcPr>
          <w:p>
            <w:pPr>
              <w:snapToGrid w:val="0"/>
              <w:spacing w:line="36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资金来源及比例</w:t>
            </w:r>
          </w:p>
        </w:tc>
        <w:tc>
          <w:tcPr>
            <w:tcW w:w="6117" w:type="dxa"/>
            <w:noWrap w:val="0"/>
            <w:vAlign w:val="center"/>
          </w:tcPr>
          <w:p>
            <w:pPr>
              <w:snapToGrid w:val="0"/>
              <w:spacing w:line="36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1.2.2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资金落实情况</w:t>
            </w:r>
          </w:p>
        </w:tc>
        <w:tc>
          <w:tcPr>
            <w:tcW w:w="6117" w:type="dxa"/>
            <w:noWrap w:val="0"/>
            <w:vAlign w:val="center"/>
          </w:tcPr>
          <w:p>
            <w:pPr>
              <w:snapToGrid w:val="0"/>
              <w:spacing w:line="36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招标范围</w:t>
            </w:r>
          </w:p>
        </w:tc>
        <w:tc>
          <w:tcPr>
            <w:tcW w:w="6117" w:type="dxa"/>
            <w:noWrap w:val="0"/>
            <w:vAlign w:val="top"/>
          </w:tcPr>
          <w:p>
            <w:pPr>
              <w:snapToGrid w:val="0"/>
              <w:spacing w:line="360" w:lineRule="exact"/>
              <w:ind w:right="106"/>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服务期限</w:t>
            </w:r>
          </w:p>
        </w:tc>
        <w:tc>
          <w:tcPr>
            <w:tcW w:w="6117" w:type="dxa"/>
            <w:noWrap w:val="0"/>
            <w:vAlign w:val="top"/>
          </w:tcPr>
          <w:p>
            <w:pPr>
              <w:snapToGrid w:val="0"/>
              <w:spacing w:line="360" w:lineRule="exact"/>
              <w:ind w:right="56"/>
              <w:jc w:val="left"/>
              <w:rPr>
                <w:rFonts w:hint="eastAsia"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u w:val="single"/>
                <w14:textFill>
                  <w14:solidFill>
                    <w14:schemeClr w14:val="tx1"/>
                  </w14:solidFill>
                </w14:textFill>
              </w:rPr>
              <w:t>自</w:t>
            </w:r>
            <w:r>
              <w:rPr>
                <w:rFonts w:hint="eastAsia" w:ascii="宋体" w:hAnsi="宋体" w:cs="宋体"/>
                <w:color w:val="000000" w:themeColor="text1"/>
                <w:szCs w:val="21"/>
                <w:highlight w:val="none"/>
                <w:u w:val="single"/>
                <w14:textFill>
                  <w14:solidFill>
                    <w14:schemeClr w14:val="tx1"/>
                  </w14:solidFill>
                </w14:textFill>
              </w:rPr>
              <w:t>中标通知书发出</w:t>
            </w:r>
            <w:r>
              <w:rPr>
                <w:rFonts w:hint="eastAsia"/>
                <w:color w:val="000000" w:themeColor="text1"/>
                <w:szCs w:val="21"/>
                <w:highlight w:val="none"/>
                <w:u w:val="single"/>
                <w14:textFill>
                  <w14:solidFill>
                    <w14:schemeClr w14:val="tx1"/>
                  </w14:solidFill>
                </w14:textFill>
              </w:rPr>
              <w:t>之日起至完成全部服务内容完成日止。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质量标准</w:t>
            </w:r>
          </w:p>
        </w:tc>
        <w:tc>
          <w:tcPr>
            <w:tcW w:w="6117" w:type="dxa"/>
            <w:noWrap w:val="0"/>
            <w:vAlign w:val="center"/>
          </w:tcPr>
          <w:p>
            <w:pPr>
              <w:pStyle w:val="22"/>
              <w:snapToGrid w:val="0"/>
              <w:spacing w:line="360" w:lineRule="exact"/>
              <w:ind w:firstLine="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投标人资质条件、能力、信誉</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（1）资质要求：/。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（2）财务要求：/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（3）业绩要求：/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（4）信誉要求：/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（5）项目负责人的资格要求：见招标公告投标人资格要求。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（6）其他主要人员要求：/。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w:t>
            </w:r>
            <w:r>
              <w:rPr>
                <w:rFonts w:hint="eastAsia" w:ascii="宋体" w:hAnsi="宋体"/>
                <w:color w:val="000000" w:themeColor="text1"/>
                <w:szCs w:val="21"/>
                <w:highlight w:val="none"/>
                <w14:textFill>
                  <w14:solidFill>
                    <w14:schemeClr w14:val="tx1"/>
                  </w14:solidFill>
                </w14:textFill>
              </w:rPr>
              <w:t>试验检测仪器设备要求：/。</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（8）其他要求：</w:t>
            </w:r>
            <w:r>
              <w:rPr>
                <w:rFonts w:hint="eastAsia" w:ascii="宋体" w:hAnsi="宋体" w:cs="宋体"/>
                <w:color w:val="000000" w:themeColor="text1"/>
                <w:szCs w:val="21"/>
                <w:highlight w:val="none"/>
                <w:u w:val="single"/>
                <w14:textFill>
                  <w14:solidFill>
                    <w14:schemeClr w14:val="tx1"/>
                  </w14:solidFill>
                </w14:textFill>
              </w:rPr>
              <w:t>见招标公告投标人资格要求。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2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是否接受联合体投标</w:t>
            </w:r>
          </w:p>
        </w:tc>
        <w:tc>
          <w:tcPr>
            <w:tcW w:w="6117" w:type="dxa"/>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不接受</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□接受，应满足下列要求：</w:t>
            </w:r>
            <w:r>
              <w:rPr>
                <w:rFonts w:hint="eastAsia" w:ascii="宋体" w:hAnsi="宋体" w:cs="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投标人不得存在的其他情形</w:t>
            </w:r>
          </w:p>
        </w:tc>
        <w:tc>
          <w:tcPr>
            <w:tcW w:w="6117" w:type="dxa"/>
            <w:noWrap w:val="0"/>
            <w:vAlign w:val="center"/>
          </w:tcPr>
          <w:p>
            <w:pPr>
              <w:topLinePunct/>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1.9.1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踏勘现场</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不组织，</w:t>
            </w:r>
            <w:r>
              <w:rPr>
                <w:rFonts w:hint="eastAsia" w:hAnsi="宋体" w:cs="宋体"/>
                <w:color w:val="000000" w:themeColor="text1"/>
                <w:sz w:val="21"/>
                <w:szCs w:val="21"/>
                <w:highlight w:val="none"/>
                <w:u w:val="single"/>
                <w14:textFill>
                  <w14:solidFill>
                    <w14:schemeClr w14:val="tx1"/>
                  </w14:solidFill>
                </w14:textFill>
              </w:rPr>
              <w:t>由投标人自行现场考察。</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□组织，踏勘时间：/</w:t>
            </w:r>
          </w:p>
          <w:p>
            <w:pPr>
              <w:pStyle w:val="10"/>
              <w:topLinePunct/>
              <w:snapToGrid w:val="0"/>
              <w:spacing w:line="360" w:lineRule="exact"/>
              <w:ind w:firstLine="840" w:firstLineChars="40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踏勘集中地点：/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投标预备会</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不召开</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□召开，召开时间：</w:t>
            </w:r>
            <w:r>
              <w:rPr>
                <w:rFonts w:hint="eastAsia" w:ascii="宋体" w:hAnsi="宋体" w:cs="宋体"/>
                <w:color w:val="000000" w:themeColor="text1"/>
                <w:szCs w:val="21"/>
                <w:highlight w:val="none"/>
                <w:u w:val="single"/>
                <w14:textFill>
                  <w14:solidFill>
                    <w14:schemeClr w14:val="tx1"/>
                  </w14:solidFill>
                </w14:textFill>
              </w:rPr>
              <w:t xml:space="preserve"> / </w:t>
            </w:r>
          </w:p>
          <w:p>
            <w:pPr>
              <w:snapToGrid w:val="0"/>
              <w:spacing w:line="360" w:lineRule="exact"/>
              <w:ind w:firstLine="840" w:firstLineChars="4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召开地点：</w:t>
            </w:r>
            <w:r>
              <w:rPr>
                <w:rFonts w:hint="eastAsia" w:ascii="宋体" w:hAnsi="宋体" w:cs="宋体"/>
                <w:color w:val="000000" w:themeColor="text1"/>
                <w:szCs w:val="2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942"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1.10.2</w:t>
            </w:r>
          </w:p>
        </w:tc>
        <w:tc>
          <w:tcPr>
            <w:tcW w:w="2717"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投标人在投标预备会前提出问题</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r>
              <w:rPr>
                <w:rFonts w:hint="eastAsia" w:ascii="宋体" w:hAnsi="宋体" w:cs="宋体"/>
                <w:color w:val="000000" w:themeColor="text1"/>
                <w:szCs w:val="2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942" w:type="dxa"/>
            <w:vMerge w:val="continue"/>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p>
        </w:tc>
        <w:tc>
          <w:tcPr>
            <w:tcW w:w="2717" w:type="dxa"/>
            <w:vMerge w:val="continue"/>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w:t>
            </w:r>
            <w:r>
              <w:rPr>
                <w:rFonts w:hint="eastAsia" w:ascii="宋体" w:hAnsi="宋体" w:cs="宋体"/>
                <w:color w:val="000000" w:themeColor="text1"/>
                <w:szCs w:val="2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1.10.3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招标文件澄清发出的形式</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（此为投标预备会的答疑澄清）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实质性要求和条件</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偏差</w:t>
            </w:r>
          </w:p>
        </w:tc>
        <w:tc>
          <w:tcPr>
            <w:tcW w:w="6117" w:type="dxa"/>
            <w:noWrap w:val="0"/>
            <w:vAlign w:val="top"/>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不允许</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□允许，偏差范围：/</w:t>
            </w:r>
          </w:p>
          <w:p>
            <w:pPr>
              <w:pStyle w:val="10"/>
              <w:topLinePunct/>
              <w:snapToGrid w:val="0"/>
              <w:spacing w:line="360" w:lineRule="exact"/>
              <w:ind w:firstLine="735" w:firstLineChars="350"/>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偏差幅度：/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构成招标文件的其他资料</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见本招标文件相关内容。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4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投标人要求澄清招标文件</w:t>
            </w:r>
          </w:p>
        </w:tc>
        <w:tc>
          <w:tcPr>
            <w:tcW w:w="6117" w:type="dxa"/>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形式及时间：</w:t>
            </w:r>
          </w:p>
          <w:p>
            <w:pPr>
              <w:spacing w:line="360" w:lineRule="auto"/>
              <w:ind w:firstLine="420" w:firstLineChars="2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招标答疑采用网上答疑方式进行。投标人若对招标文件（包括招标图纸（如有）、清单（如有）、</w:t>
            </w:r>
            <w:r>
              <w:rPr>
                <w:rFonts w:hint="eastAsia" w:ascii="宋体" w:hAnsi="宋体" w:eastAsia="宋体" w:cs="Times New Roman"/>
                <w:color w:val="000000" w:themeColor="text1"/>
                <w:szCs w:val="21"/>
                <w:highlight w:val="none"/>
                <w:u w:val="single"/>
                <w14:textFill>
                  <w14:solidFill>
                    <w14:schemeClr w14:val="tx1"/>
                  </w14:solidFill>
                </w14:textFill>
              </w:rPr>
              <w:t>最高投标限价</w:t>
            </w:r>
            <w:r>
              <w:rPr>
                <w:rFonts w:hint="eastAsia" w:ascii="宋体" w:hAnsi="宋体"/>
                <w:color w:val="000000" w:themeColor="text1"/>
                <w:szCs w:val="21"/>
                <w:highlight w:val="none"/>
                <w:u w:val="single"/>
                <w14:textFill>
                  <w14:solidFill>
                    <w14:schemeClr w14:val="tx1"/>
                  </w14:solidFill>
                </w14:textFill>
              </w:rPr>
              <w:t>）有疑问的，可在规定的时间内通过广州公共资源交易中心网站将问题提交给招标人或招标代理人，提交问题时一律不得署名。</w:t>
            </w:r>
          </w:p>
          <w:p>
            <w:pPr>
              <w:spacing w:line="360" w:lineRule="auto"/>
              <w:ind w:firstLine="420" w:firstLineChars="200"/>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网上答疑的操作指南为：</w:t>
            </w:r>
            <w:r>
              <w:rPr>
                <w:rFonts w:hint="eastAsia" w:ascii="宋体" w:hAnsi="宋体"/>
                <w:color w:val="000000" w:themeColor="text1"/>
                <w:szCs w:val="21"/>
                <w:highlight w:val="none"/>
                <w:u w:val="single"/>
                <w14:textFill>
                  <w14:solidFill>
                    <w14:schemeClr w14:val="tx1"/>
                  </w14:solidFill>
                </w14:textFill>
              </w:rPr>
              <w:t>登陆广州公共资源交易中心网站→使用投标人CA证书进入交易中心系统→投标登记→进入“招标答疑提问”区在规定的时间内提出问题。</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投标人应在</w:t>
            </w:r>
            <w:r>
              <w:rPr>
                <w:rFonts w:hint="eastAsia" w:ascii="宋体" w:hAnsi="宋体" w:cs="宋体"/>
                <w:color w:val="000000" w:themeColor="text1"/>
                <w:szCs w:val="21"/>
                <w:highlight w:val="none"/>
                <w:u w:val="single"/>
                <w14:textFill>
                  <w14:solidFill>
                    <w14:schemeClr w14:val="tx1"/>
                  </w14:solidFill>
                </w14:textFill>
              </w:rPr>
              <w:t>约定的时间内（以广州公共资源交易中心网站发布的时间为准）</w:t>
            </w:r>
            <w:r>
              <w:rPr>
                <w:rFonts w:hint="eastAsia" w:ascii="宋体" w:hAnsi="宋体"/>
                <w:color w:val="000000" w:themeColor="text1"/>
                <w:szCs w:val="21"/>
                <w:highlight w:val="none"/>
                <w:u w:val="single"/>
                <w14:textFill>
                  <w14:solidFill>
                    <w14:schemeClr w14:val="tx1"/>
                  </w14:solidFill>
                </w14:textFill>
              </w:rPr>
              <w:t>提出答疑问题。招标人应在投标截止时间15日前解答投标人对招标文件提出的疑问，形成答疑纪要，在广州公共资源交易中心网站项目答疑专区发布。具体操作方法详见广州公共资源交易中心网站发布的最新版操作指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招标文件澄清发出的形式</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在广州公共资源交易中心网站通过项目答疑专区网上公开发布。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942"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w:t>
            </w:r>
          </w:p>
        </w:tc>
        <w:tc>
          <w:tcPr>
            <w:tcW w:w="2717"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投标人确认收到招标文件澄清</w:t>
            </w:r>
          </w:p>
        </w:tc>
        <w:tc>
          <w:tcPr>
            <w:tcW w:w="6117" w:type="dxa"/>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r>
              <w:rPr>
                <w:rFonts w:hint="eastAsia" w:ascii="宋体" w:hAnsi="宋体" w:cs="宋体"/>
                <w:color w:val="000000" w:themeColor="text1"/>
                <w:szCs w:val="21"/>
                <w:highlight w:val="none"/>
                <w:u w:val="single"/>
                <w14:textFill>
                  <w14:solidFill>
                    <w14:schemeClr w14:val="tx1"/>
                  </w14:solidFill>
                </w14:textFill>
              </w:rPr>
              <w:t>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2" w:hRule="atLeast"/>
          <w:jc w:val="center"/>
        </w:trPr>
        <w:tc>
          <w:tcPr>
            <w:tcW w:w="942" w:type="dxa"/>
            <w:vMerge w:val="continue"/>
            <w:noWrap w:val="0"/>
            <w:vAlign w:val="center"/>
          </w:tcPr>
          <w:p>
            <w:pPr>
              <w:spacing w:line="360" w:lineRule="auto"/>
              <w:rPr>
                <w:color w:val="000000" w:themeColor="text1"/>
                <w:highlight w:val="none"/>
                <w14:textFill>
                  <w14:solidFill>
                    <w14:schemeClr w14:val="tx1"/>
                  </w14:solidFill>
                </w14:textFill>
              </w:rPr>
            </w:pPr>
          </w:p>
        </w:tc>
        <w:tc>
          <w:tcPr>
            <w:tcW w:w="2717" w:type="dxa"/>
            <w:vMerge w:val="continue"/>
            <w:noWrap w:val="0"/>
            <w:vAlign w:val="center"/>
          </w:tcPr>
          <w:p>
            <w:pPr>
              <w:spacing w:line="360" w:lineRule="auto"/>
              <w:rPr>
                <w:color w:val="000000" w:themeColor="text1"/>
                <w:highlight w:val="none"/>
                <w14:textFill>
                  <w14:solidFill>
                    <w14:schemeClr w14:val="tx1"/>
                  </w14:solidFill>
                </w14:textFill>
              </w:rPr>
            </w:pPr>
          </w:p>
        </w:tc>
        <w:tc>
          <w:tcPr>
            <w:tcW w:w="6117" w:type="dxa"/>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w:t>
            </w:r>
            <w:r>
              <w:rPr>
                <w:rFonts w:hint="eastAsia" w:ascii="宋体" w:hAnsi="宋体" w:cs="宋体"/>
                <w:color w:val="000000" w:themeColor="text1"/>
                <w:szCs w:val="21"/>
                <w:highlight w:val="none"/>
                <w:u w:val="single"/>
                <w14:textFill>
                  <w14:solidFill>
                    <w14:schemeClr w14:val="tx1"/>
                  </w14:solidFill>
                </w14:textFill>
              </w:rPr>
              <w:t>招标文件澄清（招标答疑纪要）一经在广州公共资源交易中心网站发布，视作已发放给所有投标人。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招标文件修改发出的形式</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以补充公告或项目答疑澄清的方式在广州公共资源交易中心网站发布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942"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2.3.2</w:t>
            </w:r>
          </w:p>
        </w:tc>
        <w:tc>
          <w:tcPr>
            <w:tcW w:w="2717" w:type="dxa"/>
            <w:vMerge w:val="restart"/>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投标人确认收到招标文件修改</w:t>
            </w:r>
          </w:p>
        </w:tc>
        <w:tc>
          <w:tcPr>
            <w:tcW w:w="6117" w:type="dxa"/>
            <w:noWrap w:val="0"/>
            <w:vAlign w:val="center"/>
          </w:tcPr>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时间：</w:t>
            </w:r>
            <w:r>
              <w:rPr>
                <w:rFonts w:hint="eastAsia" w:ascii="宋体" w:hAnsi="宋体" w:cs="宋体"/>
                <w:color w:val="000000" w:themeColor="text1"/>
                <w:szCs w:val="21"/>
                <w:highlight w:val="none"/>
                <w:u w:val="single"/>
                <w14:textFill>
                  <w14:solidFill>
                    <w14:schemeClr w14:val="tx1"/>
                  </w14:solidFill>
                </w14:textFill>
              </w:rPr>
              <w:t>发出即视作收到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2" w:type="dxa"/>
            <w:vMerge w:val="continue"/>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p>
        </w:tc>
        <w:tc>
          <w:tcPr>
            <w:tcW w:w="2717" w:type="dxa"/>
            <w:vMerge w:val="continue"/>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p>
        </w:tc>
        <w:tc>
          <w:tcPr>
            <w:tcW w:w="6117" w:type="dxa"/>
            <w:noWrap w:val="0"/>
            <w:vAlign w:val="center"/>
          </w:tcPr>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形式：</w:t>
            </w:r>
            <w:r>
              <w:rPr>
                <w:rFonts w:hint="eastAsia" w:ascii="宋体" w:hAnsi="宋体" w:cs="宋体"/>
                <w:color w:val="000000" w:themeColor="text1"/>
                <w:szCs w:val="21"/>
                <w:highlight w:val="none"/>
                <w:u w:val="single"/>
                <w14:textFill>
                  <w14:solidFill>
                    <w14:schemeClr w14:val="tx1"/>
                  </w14:solidFill>
                </w14:textFill>
              </w:rPr>
              <w:t>招标文件修改一经在广州公共资源交易中心网站发布，视作已发放给所有投标人，无需确认。潜在投标人应自行关注招标公告公布的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构成投标文件的其他资料</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满足本项目评审要求的其他资料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增值税税金的计算方法</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一般计税方法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报价方式</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自行报价（以“元”为单位，精确到小数位后2位，第</w:t>
            </w:r>
            <w:r>
              <w:rPr>
                <w:rFonts w:hint="eastAsia" w:ascii="宋体" w:hAnsi="宋体"/>
                <w:color w:val="000000" w:themeColor="text1"/>
                <w:szCs w:val="21"/>
                <w:highlight w:val="none"/>
                <w:u w:val="single"/>
                <w:lang w:val="en-US" w:eastAsia="zh-CN"/>
                <w14:textFill>
                  <w14:solidFill>
                    <w14:schemeClr w14:val="tx1"/>
                  </w14:solidFill>
                </w14:textFill>
              </w:rPr>
              <w:t>3</w:t>
            </w:r>
            <w:r>
              <w:rPr>
                <w:rFonts w:hint="eastAsia" w:ascii="宋体" w:hAnsi="宋体"/>
                <w:color w:val="000000" w:themeColor="text1"/>
                <w:szCs w:val="21"/>
                <w:highlight w:val="none"/>
                <w:u w:val="single"/>
                <w14:textFill>
                  <w14:solidFill>
                    <w14:schemeClr w14:val="tx1"/>
                  </w14:solidFill>
                </w14:textFill>
              </w:rPr>
              <w:t>位四舍五入）。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3.2.4</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最高投标限价</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sym w:font="Wingdings 2" w:char="00A3"/>
            </w:r>
            <w:r>
              <w:rPr>
                <w:rFonts w:hint="eastAsia" w:ascii="宋体" w:hAnsi="宋体" w:cs="宋体"/>
                <w:color w:val="000000" w:themeColor="text1"/>
                <w:szCs w:val="21"/>
                <w:highlight w:val="none"/>
                <w14:textFill>
                  <w14:solidFill>
                    <w14:schemeClr w14:val="tx1"/>
                  </w14:solidFill>
                </w14:textFill>
              </w:rPr>
              <w:t>无</w:t>
            </w:r>
          </w:p>
          <w:p>
            <w:pPr>
              <w:snapToGrid w:val="0"/>
              <w:spacing w:line="360" w:lineRule="exact"/>
              <w:rPr>
                <w:rFonts w:hint="eastAsia" w:ascii="宋体" w:hAnsi="宋体" w:eastAsia="宋体" w:cs="Times New Roman"/>
                <w:color w:val="000000" w:themeColor="text1"/>
                <w:szCs w:val="21"/>
                <w:highlight w:val="none"/>
                <w:u w:val="single"/>
                <w:lang w:val="en-US" w:eastAsia="zh-CN"/>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有，</w:t>
            </w:r>
            <w:r>
              <w:rPr>
                <w:rFonts w:hint="eastAsia" w:ascii="宋体" w:hAnsi="宋体" w:eastAsia="宋体" w:cs="Times New Roman"/>
                <w:color w:val="000000" w:themeColor="text1"/>
                <w:szCs w:val="21"/>
                <w:highlight w:val="none"/>
                <w:u w:val="single"/>
                <w14:textFill>
                  <w14:solidFill>
                    <w14:schemeClr w14:val="tx1"/>
                  </w14:solidFill>
                </w14:textFill>
              </w:rPr>
              <w:t>本项目最高投标限价为：</w:t>
            </w:r>
            <w:r>
              <w:rPr>
                <w:rFonts w:hint="eastAsia" w:ascii="宋体" w:hAnsi="宋体" w:eastAsia="宋体" w:cs="Times New Roman"/>
                <w:color w:val="000000" w:themeColor="text1"/>
                <w:szCs w:val="21"/>
                <w:highlight w:val="none"/>
                <w:u w:val="single"/>
                <w:lang w:val="en-US" w:eastAsia="zh-CN"/>
                <w14:textFill>
                  <w14:solidFill>
                    <w14:schemeClr w14:val="tx1"/>
                  </w14:solidFill>
                </w14:textFill>
              </w:rPr>
              <w:t>详见招标公告。</w:t>
            </w:r>
          </w:p>
          <w:p>
            <w:pPr>
              <w:snapToGrid w:val="0"/>
              <w:spacing w:line="360" w:lineRule="exact"/>
              <w:rPr>
                <w:rFonts w:hint="eastAsia"/>
                <w:color w:val="000000" w:themeColor="text1"/>
                <w:highlight w:val="none"/>
                <w14:textFill>
                  <w14:solidFill>
                    <w14:schemeClr w14:val="tx1"/>
                  </w14:solidFill>
                </w14:textFill>
              </w:rPr>
            </w:pPr>
            <w:r>
              <w:rPr>
                <w:rFonts w:hint="eastAsia" w:ascii="宋体" w:hAnsi="宋体" w:eastAsia="宋体" w:cs="Times New Roman"/>
                <w:color w:val="000000" w:themeColor="text1"/>
                <w:szCs w:val="21"/>
                <w:highlight w:val="none"/>
                <w:u w:val="single"/>
                <w:lang w:val="en-US" w:eastAsia="zh-CN"/>
                <w14:textFill>
                  <w14:solidFill>
                    <w14:schemeClr w14:val="tx1"/>
                  </w14:solidFill>
                </w14:textFill>
              </w:rPr>
              <w:t>注：投标总报价不得超过最高投标限价，各子项的投标报价均不得超过相应各子项的最高投标限价。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3.2.5</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投标报价的其他要求</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投标人必须详细审阅招标文件,充分考虑职责和义务,全面地理解招标文件对投标报价的要求,并按招标人提出的条件及内容进行报价。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投标有效期</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bookmarkStart w:id="10" w:name="_Toc384308207"/>
            <w:bookmarkStart w:id="11" w:name="_Toc1789"/>
            <w:bookmarkStart w:id="12" w:name="_Toc352691470"/>
            <w:bookmarkStart w:id="13" w:name="_Toc361508582"/>
            <w:bookmarkStart w:id="14" w:name="_Toc369531512"/>
            <w:bookmarkStart w:id="15" w:name="_Toc300834946"/>
            <w:r>
              <w:rPr>
                <w:rFonts w:hint="eastAsia" w:ascii="宋体" w:hAnsi="宋体" w:cs="宋体"/>
                <w:color w:val="000000" w:themeColor="text1"/>
                <w:szCs w:val="21"/>
                <w:highlight w:val="none"/>
                <w:u w:val="single"/>
                <w14:textFill>
                  <w14:solidFill>
                    <w14:schemeClr w14:val="tx1"/>
                  </w14:solidFill>
                </w14:textFill>
              </w:rPr>
              <w:t>90</w:t>
            </w:r>
            <w:r>
              <w:rPr>
                <w:rFonts w:hint="eastAsia" w:ascii="宋体" w:hAnsi="宋体" w:cs="宋体"/>
                <w:color w:val="000000" w:themeColor="text1"/>
                <w:szCs w:val="21"/>
                <w:highlight w:val="none"/>
                <w14:textFill>
                  <w14:solidFill>
                    <w14:schemeClr w14:val="tx1"/>
                  </w14:solidFill>
                </w14:textFill>
              </w:rPr>
              <w:t>日历天（从提交投标截止之日起计算。如出现异议或投诉，则投标有效期自动延长至异议或投诉处理结束）。</w:t>
            </w:r>
          </w:p>
        </w:tc>
      </w:tr>
      <w:bookmarkEnd w:id="10"/>
      <w:bookmarkEnd w:id="11"/>
      <w:bookmarkEnd w:id="12"/>
      <w:bookmarkEnd w:id="13"/>
      <w:bookmarkEnd w:id="14"/>
      <w:bookmarkEnd w:id="15"/>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1"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投标保证金</w:t>
            </w:r>
          </w:p>
        </w:tc>
        <w:tc>
          <w:tcPr>
            <w:tcW w:w="6117" w:type="dxa"/>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是否要求投标人递交投标保证金：</w:t>
            </w:r>
          </w:p>
          <w:p>
            <w:pPr>
              <w:snapToGrid w:val="0"/>
              <w:spacing w:line="400" w:lineRule="exact"/>
              <w:ind w:left="21" w:hanging="21" w:hangingChars="10"/>
              <w:jc w:val="left"/>
              <w:rPr>
                <w:rFonts w:hint="eastAsia" w:ascii="宋体" w:hAnsi="宋体"/>
                <w:color w:val="000000" w:themeColor="text1"/>
                <w:szCs w:val="21"/>
                <w:highlight w:val="none"/>
                <w:u w:val="singl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要求，按以下方式递交：</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942" w:type="dxa"/>
            <w:tcBorders>
              <w:bottom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3.4.4</w:t>
            </w:r>
          </w:p>
        </w:tc>
        <w:tc>
          <w:tcPr>
            <w:tcW w:w="2717" w:type="dxa"/>
            <w:tcBorders>
              <w:bottom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其他可以不予退还投标保证金的情形</w:t>
            </w:r>
          </w:p>
        </w:tc>
        <w:tc>
          <w:tcPr>
            <w:tcW w:w="6117" w:type="dxa"/>
            <w:tcBorders>
              <w:bottom w:val="single" w:color="auto" w:sz="4" w:space="0"/>
            </w:tcBorders>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942" w:type="dxa"/>
            <w:tcBorders>
              <w:top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3.5</w:t>
            </w:r>
          </w:p>
        </w:tc>
        <w:tc>
          <w:tcPr>
            <w:tcW w:w="2717" w:type="dxa"/>
            <w:tcBorders>
              <w:top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资格审查资料的特殊要求</w:t>
            </w:r>
          </w:p>
        </w:tc>
        <w:tc>
          <w:tcPr>
            <w:tcW w:w="6117" w:type="dxa"/>
            <w:tcBorders>
              <w:top w:val="single" w:color="auto" w:sz="4" w:space="0"/>
            </w:tcBorders>
            <w:noWrap w:val="0"/>
            <w:vAlign w:val="center"/>
          </w:tcPr>
          <w:p>
            <w:pPr>
              <w:pStyle w:val="10"/>
              <w:topLinePunct/>
              <w:snapToGrid w:val="0"/>
              <w:spacing w:line="360" w:lineRule="exact"/>
              <w:rPr>
                <w:rFonts w:hint="eastAsia" w:hAnsi="宋体" w:cs="宋体"/>
                <w:color w:val="000000" w:themeColor="text1"/>
                <w:spacing w:val="-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■无</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□有，具体要求：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42" w:type="dxa"/>
            <w:tcBorders>
              <w:bottom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3.6.1</w:t>
            </w:r>
          </w:p>
        </w:tc>
        <w:tc>
          <w:tcPr>
            <w:tcW w:w="2717" w:type="dxa"/>
            <w:tcBorders>
              <w:bottom w:val="single" w:color="auto" w:sz="4" w:space="0"/>
            </w:tcBorders>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是否允许递交备选投标方案</w:t>
            </w:r>
          </w:p>
        </w:tc>
        <w:tc>
          <w:tcPr>
            <w:tcW w:w="6117" w:type="dxa"/>
            <w:tcBorders>
              <w:bottom w:val="single" w:color="auto" w:sz="4" w:space="0"/>
            </w:tcBorders>
            <w:noWrap w:val="0"/>
            <w:vAlign w:val="center"/>
          </w:tcPr>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不允许</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42" w:type="dxa"/>
            <w:tcBorders>
              <w:top w:val="single" w:color="auto" w:sz="4" w:space="0"/>
            </w:tcBorders>
            <w:noWrap w:val="0"/>
            <w:vAlign w:val="center"/>
          </w:tcPr>
          <w:p>
            <w:pPr>
              <w:spacing w:line="360" w:lineRule="auto"/>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3.7.3A（2）</w:t>
            </w:r>
          </w:p>
        </w:tc>
        <w:tc>
          <w:tcPr>
            <w:tcW w:w="2717" w:type="dxa"/>
            <w:tcBorders>
              <w:top w:val="single" w:color="auto" w:sz="4" w:space="0"/>
            </w:tcBorders>
            <w:noWrap w:val="0"/>
            <w:vAlign w:val="center"/>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投标文件副本份数及其他要求</w:t>
            </w:r>
          </w:p>
        </w:tc>
        <w:tc>
          <w:tcPr>
            <w:tcW w:w="6117" w:type="dxa"/>
            <w:tcBorders>
              <w:top w:val="single" w:color="auto" w:sz="4" w:space="0"/>
            </w:tcBorders>
            <w:noWrap w:val="0"/>
            <w:vAlign w:val="center"/>
          </w:tcPr>
          <w:p>
            <w:pPr>
              <w:spacing w:line="360" w:lineRule="auto"/>
              <w:ind w:right="27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3.7.3（B）</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投标文件所附证书证件要求</w:t>
            </w:r>
          </w:p>
        </w:tc>
        <w:tc>
          <w:tcPr>
            <w:tcW w:w="6117" w:type="dxa"/>
            <w:noWrap w:val="0"/>
            <w:vAlign w:val="center"/>
          </w:tcPr>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证书证件需为原件清晰扫描件，并采用单位数字证书，按照招标文件要求在相应位置加盖电子印章。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3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3.7.3（B）</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投标文件签字或盖章要求</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投标文件中需法定代表人、代理人签字或加盖电子印章的，应加盖个人电子印章或在线下完成后扫描上传。投标文件格式规定盖单位公章的页面必须盖单位公章（公章与电子印章具有相同法律效力）。</w:t>
            </w:r>
            <w:r>
              <w:rPr>
                <w:rFonts w:hint="eastAsia" w:hAnsi="宋体" w:cs="宋体"/>
                <w:color w:val="000000" w:themeColor="text1"/>
                <w:sz w:val="21"/>
                <w:szCs w:val="21"/>
                <w:highlight w:val="none"/>
                <w:u w:val="single"/>
                <w14:textFill>
                  <w14:solidFill>
                    <w14:schemeClr w14:val="tx1"/>
                  </w14:solidFill>
                </w14:textFill>
              </w:rPr>
              <w:t>相关操作详见：广州公共资源交易中心网站相关栏目发布的【全流程电子化项目】电子招投标操作手册（无纸化）。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4.1.1（B）</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投标文件加密要求</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u w:val="single"/>
                <w14:textFill>
                  <w14:solidFill>
                    <w14:schemeClr w14:val="tx1"/>
                  </w14:solidFill>
                </w14:textFill>
              </w:rPr>
            </w:pPr>
            <w:r>
              <w:rPr>
                <w:rFonts w:hint="eastAsia" w:hAnsi="宋体" w:cs="宋体"/>
                <w:color w:val="000000" w:themeColor="text1"/>
                <w:sz w:val="21"/>
                <w:szCs w:val="21"/>
                <w:highlight w:val="none"/>
                <w:u w:val="single"/>
                <w14:textFill>
                  <w14:solidFill>
                    <w14:schemeClr w14:val="tx1"/>
                  </w14:solidFill>
                </w14:textFill>
              </w:rPr>
              <w:t>网上递交的电子投标文件须进行加密。具体操作详见：广州公共资源交易中心网站相关栏目发布的【全流程电子化项目】电子招投标操作手册（无纸化）。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shd w:val="clear" w:color="FFFFFF" w:fill="D9D9D9"/>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封套上应载明的信息</w:t>
            </w:r>
          </w:p>
        </w:tc>
        <w:tc>
          <w:tcPr>
            <w:tcW w:w="6117" w:type="dxa"/>
            <w:noWrap w:val="0"/>
            <w:vAlign w:val="center"/>
          </w:tcPr>
          <w:p>
            <w:pPr>
              <w:spacing w:line="360" w:lineRule="auto"/>
              <w:rPr>
                <w:rFonts w:hint="eastAsia" w:ascii="宋体" w:hAnsi="宋体"/>
                <w:b/>
                <w:color w:val="000000" w:themeColor="text1"/>
                <w:szCs w:val="21"/>
                <w:highlight w:val="none"/>
                <w:u w:val="single"/>
                <w14:textFill>
                  <w14:solidFill>
                    <w14:schemeClr w14:val="tx1"/>
                  </w14:solidFill>
                </w14:textFill>
              </w:rPr>
            </w:pPr>
            <w:r>
              <w:rPr>
                <w:rFonts w:hint="eastAsia" w:ascii="宋体" w:hAnsi="宋体"/>
                <w:b/>
                <w:color w:val="000000" w:themeColor="text1"/>
                <w:szCs w:val="21"/>
                <w:highlight w:val="none"/>
                <w:u w:val="single"/>
                <w14:textFill>
                  <w14:solidFill>
                    <w14:schemeClr w14:val="tx1"/>
                  </w14:solidFill>
                </w14:textFill>
              </w:rPr>
              <w:t>如有提交投标文件光盘备用，封套上应注明如下信息：</w:t>
            </w:r>
          </w:p>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招标人名称：</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招标人地址：</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hAnsi="宋体" w:cs="宋体"/>
                <w:color w:val="000000" w:themeColor="text1"/>
                <w:szCs w:val="21"/>
                <w:highlight w:val="none"/>
                <w:u w:val="single"/>
                <w14:textFill>
                  <w14:solidFill>
                    <w14:schemeClr w14:val="tx1"/>
                  </w14:solidFill>
                </w14:textFill>
              </w:rPr>
              <w:t xml:space="preserve">          </w:t>
            </w:r>
            <w:r>
              <w:rPr>
                <w:rFonts w:hint="eastAsia" w:hAnsi="宋体" w:cs="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14:textFill>
                  <w14:solidFill>
                    <w14:schemeClr w14:val="tx1"/>
                  </w14:solidFill>
                </w14:textFill>
              </w:rPr>
              <w:t>招标项目投标文件</w:t>
            </w:r>
          </w:p>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招标项目编号：</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投标人名称：</w:t>
            </w:r>
            <w:r>
              <w:rPr>
                <w:rFonts w:hint="eastAsia" w:ascii="宋体" w:hAnsi="宋体"/>
                <w:color w:val="000000" w:themeColor="text1"/>
                <w:szCs w:val="21"/>
                <w:highlight w:val="none"/>
                <w:u w:val="single"/>
                <w14:textFill>
                  <w14:solidFill>
                    <w14:schemeClr w14:val="tx1"/>
                  </w14:solidFill>
                </w14:textFill>
              </w:rPr>
              <w:t xml:space="preserve">                    </w:t>
            </w:r>
          </w:p>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投标人地址：</w:t>
            </w:r>
            <w:r>
              <w:rPr>
                <w:rFonts w:hint="eastAsia" w:ascii="宋体" w:hAnsi="宋体"/>
                <w:color w:val="000000" w:themeColor="text1"/>
                <w:szCs w:val="21"/>
                <w:highlight w:val="none"/>
                <w:u w:val="single"/>
                <w14:textFill>
                  <w14:solidFill>
                    <w14:schemeClr w14:val="tx1"/>
                  </w14:solidFill>
                </w14:textFill>
              </w:rPr>
              <w:t xml:space="preserve">                    </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olor w:val="000000" w:themeColor="text1"/>
                <w:sz w:val="21"/>
                <w:szCs w:val="21"/>
                <w:highlight w:val="none"/>
                <w14:textFill>
                  <w14:solidFill>
                    <w14:schemeClr w14:val="tx1"/>
                  </w14:solidFill>
                </w14:textFill>
              </w:rPr>
              <w:t>在</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年</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月</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日</w:t>
            </w:r>
            <w:r>
              <w:rPr>
                <w:rFonts w:hint="eastAsia" w:hAnsi="宋体"/>
                <w:color w:val="000000" w:themeColor="text1"/>
                <w:sz w:val="21"/>
                <w:szCs w:val="21"/>
                <w:highlight w:val="none"/>
                <w:u w:val="single"/>
                <w14:textFill>
                  <w14:solidFill>
                    <w14:schemeClr w14:val="tx1"/>
                  </w14:solidFill>
                </w14:textFill>
              </w:rPr>
              <w:t xml:space="preserve">     </w:t>
            </w:r>
            <w:r>
              <w:rPr>
                <w:rFonts w:hint="eastAsia" w:hAnsi="宋体"/>
                <w:color w:val="000000" w:themeColor="text1"/>
                <w:sz w:val="21"/>
                <w:szCs w:val="21"/>
                <w:highlight w:val="none"/>
                <w14:textFill>
                  <w14:solidFill>
                    <w14:schemeClr w14:val="tx1"/>
                  </w14:solidFill>
                </w14:textFill>
              </w:rPr>
              <w:t>时前不得开启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投标截止时间</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投标截止时间：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u w:val="single"/>
                <w:lang w:val="en-US" w:eastAsia="zh-CN"/>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递交电子投标文件交易平台</w:t>
            </w:r>
          </w:p>
        </w:tc>
        <w:tc>
          <w:tcPr>
            <w:tcW w:w="6117" w:type="dxa"/>
            <w:noWrap w:val="0"/>
            <w:vAlign w:val="center"/>
          </w:tcPr>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1.递交方式：网上递交投标文件 </w:t>
            </w:r>
          </w:p>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2.交易平台：广州公共资源交易中心网站。</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3.上述时间是否有改变，请密切留意招标答疑纪要的相关信息。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4.2.3</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投标文件是否退还</w:t>
            </w:r>
          </w:p>
        </w:tc>
        <w:tc>
          <w:tcPr>
            <w:tcW w:w="6117" w:type="dxa"/>
            <w:noWrap w:val="0"/>
            <w:vAlign w:val="center"/>
          </w:tcPr>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pacing w:val="-1"/>
                <w:sz w:val="21"/>
                <w:szCs w:val="21"/>
                <w:highlight w:val="none"/>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否</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□是，退还时间：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3"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5.1（B）</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开标时间和地点</w:t>
            </w:r>
          </w:p>
        </w:tc>
        <w:tc>
          <w:tcPr>
            <w:tcW w:w="6117" w:type="dxa"/>
            <w:noWrap w:val="0"/>
            <w:vAlign w:val="center"/>
          </w:tcPr>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开标时间：</w:t>
            </w:r>
            <w:r>
              <w:rPr>
                <w:rFonts w:hint="eastAsia" w:ascii="宋体" w:hAnsi="宋体" w:cs="宋体"/>
                <w:color w:val="000000" w:themeColor="text1"/>
                <w:szCs w:val="21"/>
                <w:highlight w:val="none"/>
                <w:u w:val="single"/>
                <w14:textFill>
                  <w14:solidFill>
                    <w14:schemeClr w14:val="tx1"/>
                  </w14:solidFill>
                </w14:textFill>
              </w:rPr>
              <w:t>同投标截止时间</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开标地点：</w:t>
            </w:r>
            <w:r>
              <w:rPr>
                <w:rFonts w:hint="eastAsia" w:ascii="宋体" w:hAnsi="宋体"/>
                <w:color w:val="000000" w:themeColor="text1"/>
                <w:szCs w:val="21"/>
                <w:highlight w:val="none"/>
                <w:u w:val="single"/>
                <w14:textFill>
                  <w14:solidFill>
                    <w14:schemeClr w14:val="tx1"/>
                  </w14:solidFill>
                </w14:textFill>
              </w:rPr>
              <w:t>本项目具体的招投标活动日程安排及场地安排以广州公共资源交易中心网站公布的为准</w:t>
            </w:r>
            <w:r>
              <w:rPr>
                <w:rFonts w:hint="eastAsia" w:ascii="宋体" w:hAnsi="宋体" w:cs="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开标程序</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5.2.1主持人按下列程序进行开标：</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（1）宣布开标纪律；</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（2）公布在投标截止时间前递交投标文件的投标人名称；</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（3）宣布开标人、唱标人、记录人、监标人等有关人员姓名；</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（4）投标人通过电子招标投标交易平台对已递交的电子投标文件进行解密，公布招标项目名称、投标人名称、投标报价、服务期及其他内容，并记录在案；</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（5）投标人代表、招标人代表、监标人、记录人等有关人员在开标记录上签字确认；若有关人员不签字的，不影响开标程序；</w:t>
            </w:r>
          </w:p>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（6）开标结束。</w:t>
            </w:r>
          </w:p>
          <w:p>
            <w:pPr>
              <w:snapToGrid w:val="0"/>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5.2.2投标截止时间前未完成投标文件传输的或因投标人之外的原因造成投标文件未解密的，视为投标人撤回投标文件。因投标人原因造成投标文件未解密的或未在投标截止时间后半小时解密的，视为撤销其投标文件。</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5.2.3开标时，两个（含两个）以上的投标人加密打包投标文件电脑机器特征码一致的，不参与下一程序，并由评标委员会否决其投标。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6.1.1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评标委员会的组建</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评标专家确定方式：</w:t>
            </w:r>
            <w:r>
              <w:rPr>
                <w:rFonts w:hint="eastAsia" w:ascii="宋体" w:hAnsi="宋体"/>
                <w:color w:val="000000" w:themeColor="text1"/>
                <w:szCs w:val="21"/>
                <w:highlight w:val="none"/>
                <w:u w:val="single"/>
                <w14:textFill>
                  <w14:solidFill>
                    <w14:schemeClr w14:val="tx1"/>
                  </w14:solidFill>
                </w14:textFill>
              </w:rPr>
              <w:t>由招标人在开标前按照有关规定依法组建评标委员会。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6.3.2</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评标委员会推荐中标候选人的人数</w:t>
            </w:r>
          </w:p>
        </w:tc>
        <w:tc>
          <w:tcPr>
            <w:tcW w:w="6117" w:type="dxa"/>
            <w:noWrap w:val="0"/>
            <w:vAlign w:val="center"/>
          </w:tcPr>
          <w:p>
            <w:pPr>
              <w:snapToGrid w:val="0"/>
              <w:spacing w:line="360" w:lineRule="exact"/>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推荐中标候选人的人数：</w:t>
            </w:r>
            <w:r>
              <w:rPr>
                <w:rFonts w:hint="eastAsia" w:ascii="宋体" w:hAnsi="宋体"/>
                <w:color w:val="000000" w:themeColor="text1"/>
                <w:szCs w:val="21"/>
                <w:highlight w:val="none"/>
                <w:u w:val="singl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10"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中标候选人公示媒介及期限</w:t>
            </w:r>
          </w:p>
        </w:tc>
        <w:tc>
          <w:tcPr>
            <w:tcW w:w="6117" w:type="dxa"/>
            <w:noWrap w:val="0"/>
            <w:vAlign w:val="center"/>
          </w:tcPr>
          <w:p>
            <w:pPr>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公示媒介：</w:t>
            </w:r>
            <w:r>
              <w:rPr>
                <w:rFonts w:hint="eastAsia" w:ascii="宋体" w:hAnsi="宋体" w:cs="宋体"/>
                <w:color w:val="000000" w:themeColor="text1"/>
                <w:szCs w:val="21"/>
                <w:highlight w:val="none"/>
                <w:u w:val="single"/>
                <w14:textFill>
                  <w14:solidFill>
                    <w14:schemeClr w14:val="tx1"/>
                  </w14:solidFill>
                </w14:textFill>
              </w:rPr>
              <w:t>中国招标投标公共服务平台、广东省招标投标监管网、广州公共资源交易网。</w:t>
            </w:r>
          </w:p>
          <w:p>
            <w:pPr>
              <w:snapToGrid w:val="0"/>
              <w:spacing w:line="360" w:lineRule="exact"/>
              <w:ind w:right="106"/>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公示期限：</w:t>
            </w:r>
            <w:r>
              <w:rPr>
                <w:rFonts w:hint="eastAsia" w:ascii="宋体" w:hAnsi="宋体" w:cs="宋体"/>
                <w:color w:val="000000" w:themeColor="text1"/>
                <w:szCs w:val="21"/>
                <w:highlight w:val="none"/>
                <w:u w:val="single"/>
                <w14:textFill>
                  <w14:solidFill>
                    <w14:schemeClr w14:val="tx1"/>
                  </w14:solidFill>
                </w14:textFill>
              </w:rPr>
              <w:t xml:space="preserve"> 3</w:t>
            </w:r>
            <w:r>
              <w:rPr>
                <w:rFonts w:hint="eastAsia" w:ascii="宋体" w:hAnsi="宋体" w:cs="宋体"/>
                <w:color w:val="000000" w:themeColor="text1"/>
                <w:szCs w:val="21"/>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7.4</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是否授权评标委员会确定中标人</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w:t>
            </w:r>
          </w:p>
          <w:p>
            <w:pPr>
              <w:snapToGrid w:val="0"/>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pacing w:val="-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7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7.6.1</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履约保证金</w:t>
            </w:r>
          </w:p>
        </w:tc>
        <w:tc>
          <w:tcPr>
            <w:tcW w:w="6117" w:type="dxa"/>
            <w:noWrap w:val="0"/>
            <w:vAlign w:val="center"/>
          </w:tcPr>
          <w:p>
            <w:pPr>
              <w:pStyle w:val="10"/>
              <w:topLinePunct/>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是否要求中标人提交履约保证金：</w:t>
            </w:r>
          </w:p>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■要求，</w:t>
            </w:r>
            <w:r>
              <w:rPr>
                <w:rFonts w:hint="eastAsia" w:ascii="宋体" w:hAnsi="宋体"/>
                <w:color w:val="000000" w:themeColor="text1"/>
                <w:szCs w:val="21"/>
                <w:highlight w:val="none"/>
                <w14:textFill>
                  <w14:solidFill>
                    <w14:schemeClr w14:val="tx1"/>
                  </w14:solidFill>
                </w14:textFill>
              </w:rPr>
              <w:t>履约保证金的形式：</w:t>
            </w:r>
            <w:r>
              <w:rPr>
                <w:rFonts w:hint="eastAsia" w:ascii="宋体" w:hAnsi="宋体"/>
                <w:color w:val="000000" w:themeColor="text1"/>
                <w:szCs w:val="21"/>
                <w:highlight w:val="none"/>
                <w:u w:val="single"/>
                <w14:textFill>
                  <w14:solidFill>
                    <w14:schemeClr w14:val="tx1"/>
                  </w14:solidFill>
                </w14:textFill>
              </w:rPr>
              <w:t>银行保函。</w:t>
            </w:r>
          </w:p>
          <w:p>
            <w:pPr>
              <w:topLinePunct/>
              <w:spacing w:line="360" w:lineRule="auto"/>
              <w:ind w:right="174" w:rightChars="83"/>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履约保证金的金额：</w:t>
            </w:r>
            <w:r>
              <w:rPr>
                <w:rFonts w:hint="eastAsia" w:ascii="宋体" w:hAnsi="宋体" w:cs="宋体"/>
                <w:color w:val="000000" w:themeColor="text1"/>
                <w:szCs w:val="21"/>
                <w:highlight w:val="none"/>
                <w14:textFill>
                  <w14:solidFill>
                    <w14:schemeClr w14:val="tx1"/>
                  </w14:solidFill>
                </w14:textFill>
              </w:rPr>
              <w:t>中标（承包）单位在收到中标通知书之日起，中标人应以中标人名义用银行履约保函方式提交经业主认可的见索即付银行保函作为履约保证金，履约保证金为中标价的10%，履约保函由中国境内注册的国有商业银行开具保函，是不可撤销的保函。若在中标通知书发放后，中标人未提交履约保函或未征得招标人同意延期缴交的，招标人有权取消其中标资格，并选取第二中标候选人替补。上述履约保函作为本合同的组成文件之一。履约保函应按招标文件规定的格式提供。</w:t>
            </w:r>
          </w:p>
          <w:p>
            <w:pPr>
              <w:pStyle w:val="10"/>
              <w:topLinePunct/>
              <w:snapToGrid w:val="0"/>
              <w:spacing w:line="360" w:lineRule="exact"/>
              <w:rPr>
                <w:rFonts w:hint="eastAsia" w:hAnsi="宋体" w:cs="宋体"/>
                <w:color w:val="000000" w:themeColor="text1"/>
                <w:sz w:val="21"/>
                <w:szCs w:val="21"/>
                <w:highlight w:val="none"/>
                <w14:textFill>
                  <w14:solidFill>
                    <w14:schemeClr w14:val="tx1"/>
                  </w14:solidFill>
                </w14:textFill>
              </w:rPr>
            </w:pPr>
            <w:r>
              <w:rPr>
                <w:rFonts w:hint="eastAsia" w:hAnsi="宋体" w:cs="宋体"/>
                <w:color w:val="000000" w:themeColor="text1"/>
                <w:sz w:val="21"/>
                <w:szCs w:val="21"/>
                <w:highlight w:val="none"/>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是否采用电子招标投标</w:t>
            </w:r>
          </w:p>
        </w:tc>
        <w:tc>
          <w:tcPr>
            <w:tcW w:w="6117" w:type="dxa"/>
            <w:noWrap w:val="0"/>
            <w:vAlign w:val="center"/>
          </w:tcPr>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□否</w:t>
            </w:r>
          </w:p>
          <w:p>
            <w:pPr>
              <w:spacing w:line="360" w:lineRule="exact"/>
              <w:ind w:left="2099" w:leftChars="3" w:hanging="2093" w:hangingChars="997"/>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■是，具体要求：</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1、</w:t>
            </w:r>
            <w:r>
              <w:rPr>
                <w:rFonts w:hint="eastAsia" w:hAnsi="宋体" w:cs="宋体"/>
                <w:color w:val="000000" w:themeColor="text1"/>
                <w:szCs w:val="21"/>
                <w:highlight w:val="none"/>
                <w:u w:val="single"/>
                <w14:textFill>
                  <w14:solidFill>
                    <w14:schemeClr w14:val="tx1"/>
                  </w14:solidFill>
                </w14:textFill>
              </w:rPr>
              <w:t>具体操作详见交易平台发布的相关操作指引</w:t>
            </w:r>
            <w:r>
              <w:rPr>
                <w:rFonts w:hint="eastAsia" w:ascii="宋体" w:hAnsi="宋体" w:cs="宋体"/>
                <w:color w:val="000000" w:themeColor="text1"/>
                <w:szCs w:val="21"/>
                <w:highlight w:val="none"/>
                <w:u w:val="single"/>
                <w14:textFill>
                  <w14:solidFill>
                    <w14:schemeClr w14:val="tx1"/>
                  </w14:solidFill>
                </w14:textFill>
              </w:rPr>
              <w:t>。</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2、提交投标文件光盘备用</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投标人可制作非加密的电子投标文件刻入光盘（1份），在招标公告规定的时间、地点提交备用。刻录好的投标文件光盘密封在密封袋中，并在封口处加盖投标人单位公章。密封袋上应写明的内容见投标人须知前附表要求4.1.2。递交的投标文件光盘（备用）不得加密。备用光盘无法读取或导入的，则视为未提交投标文件光盘（备用）。如果投标人没有按规定通过交易平台网上递交电子投标文件的，不再读取提交的光盘。投标人也可不提交投标文件光盘（备用）。</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3、补救方案</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（1）投标文件解密失败的补救方案：</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（2）评标时突发情况的补救方案</w:t>
            </w:r>
          </w:p>
          <w:p>
            <w:pPr>
              <w:spacing w:line="360" w:lineRule="exact"/>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若遇不可抗力发生（如：网络瘫痪、服务器损坏、交易系统故障短期无法恢复等因素），由评标委员会开启现场递交的全部投标文件光盘，并按光盘内容进行评审。投标人未递交投标文件光盘（备用）的，视为撤回投标文件。</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（3）除发生上述情况外，开标评标均以投标人通过交易平台网上递交的电子投标文件为准。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p>
        </w:tc>
        <w:tc>
          <w:tcPr>
            <w:tcW w:w="2717"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需要补充的其他内容</w:t>
            </w:r>
          </w:p>
        </w:tc>
        <w:tc>
          <w:tcPr>
            <w:tcW w:w="6117" w:type="dxa"/>
            <w:noWrap w:val="0"/>
            <w:vAlign w:val="center"/>
          </w:tcPr>
          <w:p>
            <w:pPr>
              <w:snapToGrid w:val="0"/>
              <w:spacing w:line="360" w:lineRule="exact"/>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10.1</w:t>
            </w:r>
          </w:p>
        </w:tc>
        <w:tc>
          <w:tcPr>
            <w:tcW w:w="2717" w:type="dxa"/>
            <w:noWrap w:val="0"/>
            <w:vAlign w:val="center"/>
          </w:tcPr>
          <w:p>
            <w:pPr>
              <w:widowControl/>
              <w:shd w:val="clear" w:color="auto" w:fill="FFFFFF"/>
              <w:adjustRightIn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招标失败情形</w:t>
            </w:r>
          </w:p>
        </w:tc>
        <w:tc>
          <w:tcPr>
            <w:tcW w:w="6117" w:type="dxa"/>
            <w:noWrap w:val="0"/>
            <w:vAlign w:val="center"/>
          </w:tcPr>
          <w:p>
            <w:pPr>
              <w:spacing w:line="360" w:lineRule="exact"/>
              <w:ind w:left="1"/>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本项目采用资格后审，满足资格审查合格条件的投标人不足3名、或经评审有效的投标单位不足3名时为该标段招标失败。招标人分析招标失败原因，修正招标方案，重新组织招标。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10.2</w:t>
            </w:r>
          </w:p>
        </w:tc>
        <w:tc>
          <w:tcPr>
            <w:tcW w:w="2717" w:type="dxa"/>
            <w:noWrap w:val="0"/>
            <w:vAlign w:val="center"/>
          </w:tcPr>
          <w:p>
            <w:pPr>
              <w:widowControl/>
              <w:shd w:val="clear" w:color="auto" w:fill="FFFFFF"/>
              <w:adjustRightIn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中标后补交资料</w:t>
            </w:r>
          </w:p>
        </w:tc>
        <w:tc>
          <w:tcPr>
            <w:tcW w:w="6117" w:type="dxa"/>
            <w:noWrap w:val="0"/>
            <w:vAlign w:val="center"/>
          </w:tcPr>
          <w:p>
            <w:pPr>
              <w:rPr>
                <w:rFonts w:hint="eastAsia"/>
                <w:b/>
                <w:color w:val="000000" w:themeColor="text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1、中标单位领取中标通知书时，补送二正二副正式书面投标文件（加盖公章）及一份“Microsoft Word ”制作的电子文件（U盘）给招标人。</w:t>
            </w:r>
          </w:p>
          <w:p>
            <w:pPr>
              <w:pStyle w:val="11"/>
              <w:spacing w:line="360" w:lineRule="auto"/>
              <w:rPr>
                <w:rFonts w:hint="eastAsia"/>
                <w:bCs/>
                <w:color w:val="000000" w:themeColor="text1"/>
                <w:highlight w:val="none"/>
                <w:u w:val="single"/>
                <w14:textFill>
                  <w14:solidFill>
                    <w14:schemeClr w14:val="tx1"/>
                  </w14:solidFill>
                </w14:textFill>
              </w:rPr>
            </w:pPr>
            <w:r>
              <w:rPr>
                <w:rFonts w:hint="eastAsia"/>
                <w:bCs/>
                <w:color w:val="000000" w:themeColor="text1"/>
                <w:highlight w:val="none"/>
                <w:u w:val="single"/>
                <w14:textFill>
                  <w14:solidFill>
                    <w14:schemeClr w14:val="tx1"/>
                  </w14:solidFill>
                </w14:textFill>
              </w:rPr>
              <w:t>2、中标后，合同签订时，合同中视需增加项目管理单位。</w:t>
            </w:r>
          </w:p>
          <w:p>
            <w:pPr>
              <w:rPr>
                <w:rFonts w:hint="eastAsia"/>
                <w:color w:val="000000" w:themeColor="text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3、中标后，招标人将视实际情况按招标范围各独立立项的项目分开签订服务合同，分开独立办理结算。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10.3</w:t>
            </w:r>
          </w:p>
        </w:tc>
        <w:tc>
          <w:tcPr>
            <w:tcW w:w="2717" w:type="dxa"/>
            <w:noWrap w:val="0"/>
            <w:vAlign w:val="center"/>
          </w:tcPr>
          <w:p>
            <w:pPr>
              <w:widowControl/>
              <w:shd w:val="clear" w:color="auto" w:fill="FFFFFF"/>
              <w:adjustRightIn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费用承担</w:t>
            </w:r>
          </w:p>
        </w:tc>
        <w:tc>
          <w:tcPr>
            <w:tcW w:w="6117" w:type="dxa"/>
            <w:noWrap w:val="0"/>
            <w:vAlign w:val="center"/>
          </w:tcPr>
          <w:p>
            <w:pPr>
              <w:widowControl/>
              <w:numPr>
                <w:ilvl w:val="0"/>
                <w:numId w:val="1"/>
              </w:numPr>
              <w:shd w:val="clear" w:color="auto" w:fill="FFFFFF"/>
              <w:spacing w:line="360" w:lineRule="exact"/>
              <w:jc w:val="left"/>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交易服务费：中标人按《广州市发展改革委转发省发展改革委关于规范公共资源交易服务收费及有关问题的通知》（穗发改〔2017〕811号）文件的规定，向广州公共资源交易中心（收款单位：广州交易集团有限公司）代缴交易服务费，交易服务费的金额为中标总金额的0.9‰，其费用包含在中标人投标报价中，招标人不另行支付。</w:t>
            </w:r>
          </w:p>
          <w:p>
            <w:pPr>
              <w:rPr>
                <w:rFonts w:hint="eastAsia" w:ascii="宋体" w:hAnsi="宋体"/>
                <w:b/>
                <w:bCs/>
                <w:color w:val="000000" w:themeColor="text1"/>
                <w:highlight w:val="none"/>
                <w:u w:val="single"/>
                <w14:textFill>
                  <w14:solidFill>
                    <w14:schemeClr w14:val="tx1"/>
                  </w14:solidFill>
                </w14:textFill>
              </w:rPr>
            </w:pPr>
            <w:r>
              <w:rPr>
                <w:rFonts w:hint="eastAsia" w:ascii="宋体" w:hAnsi="宋体"/>
                <w:b/>
                <w:bCs/>
                <w:color w:val="000000" w:themeColor="text1"/>
                <w:highlight w:val="none"/>
                <w:u w:val="single"/>
                <w14:textFill>
                  <w14:solidFill>
                    <w14:schemeClr w14:val="tx1"/>
                  </w14:solidFill>
                </w14:textFill>
              </w:rPr>
              <w:t>2、招标代理服务费：</w:t>
            </w:r>
          </w:p>
          <w:p>
            <w:pPr>
              <w:pStyle w:val="22"/>
              <w:ind w:firstLine="0"/>
              <w:rPr>
                <w:rFonts w:hint="eastAsia"/>
                <w:color w:val="000000" w:themeColor="text1"/>
                <w:highlight w:val="none"/>
                <w14:textFill>
                  <w14:solidFill>
                    <w14:schemeClr w14:val="tx1"/>
                  </w14:solidFill>
                </w14:textFill>
              </w:rPr>
            </w:pPr>
            <w:r>
              <w:rPr>
                <w:rFonts w:hint="eastAsia" w:ascii="宋体" w:hAnsi="宋体" w:eastAsia="宋体" w:cs="Times New Roman"/>
                <w:b/>
                <w:bCs/>
                <w:color w:val="000000" w:themeColor="text1"/>
                <w:highlight w:val="none"/>
                <w:u w:val="single"/>
                <w14:textFill>
                  <w14:solidFill>
                    <w14:schemeClr w14:val="tx1"/>
                  </w14:solidFill>
                </w14:textFill>
              </w:rPr>
              <w:t>招标代理费由中标人在领取《中标通知书》之前向招标代理机构交纳，收费标准参考国家发展改革委《招标代理服务收费管理暂行办法》（计价格[2002]1980号）及《国家发展改革委关于降低部分建设项目收费标准规范收费行为等有关问题的通知》（发改价格[2011]534号）执行，以中标通知书的中标总金额为计费基数计算，并下浮</w:t>
            </w:r>
            <w:r>
              <w:rPr>
                <w:rFonts w:hint="eastAsia" w:ascii="宋体" w:hAnsi="宋体" w:eastAsia="宋体" w:cs="Times New Roman"/>
                <w:b/>
                <w:bCs/>
                <w:color w:val="000000" w:themeColor="text1"/>
                <w:highlight w:val="none"/>
                <w:u w:val="single"/>
                <w:lang w:val="en-US" w:eastAsia="zh-CN"/>
                <w14:textFill>
                  <w14:solidFill>
                    <w14:schemeClr w14:val="tx1"/>
                  </w14:solidFill>
                </w14:textFill>
              </w:rPr>
              <w:t>2</w:t>
            </w:r>
            <w:r>
              <w:rPr>
                <w:rFonts w:hint="eastAsia" w:ascii="宋体" w:hAnsi="宋体" w:eastAsia="宋体" w:cs="Times New Roman"/>
                <w:b/>
                <w:bCs/>
                <w:color w:val="000000" w:themeColor="text1"/>
                <w:highlight w:val="none"/>
                <w:u w:val="single"/>
                <w14:textFill>
                  <w14:solidFill>
                    <w14:schemeClr w14:val="tx1"/>
                  </w14:solidFill>
                </w14:textFill>
              </w:rPr>
              <w:t>0%计取，且招标代理费不得超过</w:t>
            </w:r>
            <w:r>
              <w:rPr>
                <w:rFonts w:hint="eastAsia" w:ascii="宋体" w:hAnsi="宋体" w:eastAsia="宋体" w:cs="Times New Roman"/>
                <w:b/>
                <w:bCs/>
                <w:color w:val="000000" w:themeColor="text1"/>
                <w:highlight w:val="none"/>
                <w:u w:val="single"/>
                <w:lang w:val="en-US" w:eastAsia="zh-CN"/>
                <w14:textFill>
                  <w14:solidFill>
                    <w14:schemeClr w14:val="tx1"/>
                  </w14:solidFill>
                </w14:textFill>
              </w:rPr>
              <w:t>5</w:t>
            </w:r>
            <w:r>
              <w:rPr>
                <w:rFonts w:hint="eastAsia" w:ascii="宋体" w:hAnsi="宋体" w:eastAsia="宋体" w:cs="Times New Roman"/>
                <w:b/>
                <w:bCs/>
                <w:color w:val="000000" w:themeColor="text1"/>
                <w:highlight w:val="none"/>
                <w:u w:val="single"/>
                <w14:textFill>
                  <w14:solidFill>
                    <w14:schemeClr w14:val="tx1"/>
                  </w14:solidFill>
                </w14:textFill>
              </w:rPr>
              <w:t>0万元，如超，按</w:t>
            </w:r>
            <w:r>
              <w:rPr>
                <w:rFonts w:hint="eastAsia" w:ascii="宋体" w:hAnsi="宋体" w:eastAsia="宋体" w:cs="Times New Roman"/>
                <w:b/>
                <w:bCs/>
                <w:color w:val="000000" w:themeColor="text1"/>
                <w:highlight w:val="none"/>
                <w:u w:val="single"/>
                <w:lang w:val="en-US" w:eastAsia="zh-CN"/>
                <w14:textFill>
                  <w14:solidFill>
                    <w14:schemeClr w14:val="tx1"/>
                  </w14:solidFill>
                </w14:textFill>
              </w:rPr>
              <w:t>49.5</w:t>
            </w:r>
            <w:r>
              <w:rPr>
                <w:rFonts w:hint="eastAsia" w:ascii="宋体" w:hAnsi="宋体" w:eastAsia="宋体" w:cs="Times New Roman"/>
                <w:b/>
                <w:bCs/>
                <w:color w:val="000000" w:themeColor="text1"/>
                <w:highlight w:val="none"/>
                <w:u w:val="single"/>
                <w14:textFill>
                  <w14:solidFill>
                    <w14:schemeClr w14:val="tx1"/>
                  </w14:solidFill>
                </w14:textFill>
              </w:rPr>
              <w:t>万元计取。招标服务费包含在中标人投标报价中，投标人须综合考虑，招标人不另行支付。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10.4</w:t>
            </w:r>
          </w:p>
        </w:tc>
        <w:tc>
          <w:tcPr>
            <w:tcW w:w="2717" w:type="dxa"/>
            <w:noWrap w:val="0"/>
            <w:vAlign w:val="center"/>
          </w:tcPr>
          <w:p>
            <w:pPr>
              <w:widowControl/>
              <w:shd w:val="clear" w:color="auto" w:fill="FFFFFF"/>
              <w:adjustRightIn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其他要求</w:t>
            </w:r>
          </w:p>
        </w:tc>
        <w:tc>
          <w:tcPr>
            <w:tcW w:w="6117" w:type="dxa"/>
            <w:noWrap w:val="0"/>
            <w:vAlign w:val="center"/>
          </w:tcPr>
          <w:p>
            <w:pPr>
              <w:widowControl/>
              <w:shd w:val="clear" w:color="auto" w:fill="FFFFFF"/>
              <w:spacing w:line="360" w:lineRule="exact"/>
              <w:jc w:val="left"/>
              <w:rPr>
                <w:rFonts w:hint="eastAsia"/>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各投标人递交投标资料参与投标，均视为接受及认同招标合同及招标人（业主单位）制定的各项相关建设管理办法。如中标人不按合同履约及未遵守招标人（业主单位）制发的各项相关建设管理办法，业主方有权依据相关管理办法要求中标人承担相应责任，中标人应无条件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10.5</w:t>
            </w:r>
          </w:p>
        </w:tc>
        <w:tc>
          <w:tcPr>
            <w:tcW w:w="2717" w:type="dxa"/>
            <w:noWrap w:val="0"/>
            <w:vAlign w:val="center"/>
          </w:tcPr>
          <w:p>
            <w:pPr>
              <w:widowControl/>
              <w:shd w:val="clear" w:color="auto" w:fill="FFFFFF"/>
              <w:adjustRightInd w:val="0"/>
              <w:spacing w:line="36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投标文件公开</w:t>
            </w:r>
          </w:p>
        </w:tc>
        <w:tc>
          <w:tcPr>
            <w:tcW w:w="6117" w:type="dxa"/>
            <w:noWrap w:val="0"/>
            <w:vAlign w:val="center"/>
          </w:tcPr>
          <w:p>
            <w:pPr>
              <w:widowControl/>
              <w:shd w:val="clear" w:color="auto" w:fill="FFFFFF"/>
              <w:spacing w:line="360" w:lineRule="exact"/>
              <w:jc w:val="left"/>
              <w:rPr>
                <w:rFonts w:hint="eastAsia"/>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在产生中标候选人后，招标人将中标候选人的投标文件商务部分的电子版（报价清单、方案等涉及商业秘密的内容除外）在广州公共资源交易中心网站公开。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942" w:type="dxa"/>
            <w:noWrap w:val="0"/>
            <w:vAlign w:val="center"/>
          </w:tcPr>
          <w:p>
            <w:pPr>
              <w:snapToGrid w:val="0"/>
              <w:spacing w:line="36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10.</w:t>
            </w:r>
            <w:r>
              <w:rPr>
                <w:rFonts w:hint="eastAsia" w:ascii="宋体" w:hAnsi="宋体" w:cs="宋体"/>
                <w:color w:val="000000" w:themeColor="text1"/>
                <w:szCs w:val="21"/>
                <w:highlight w:val="none"/>
                <w:lang w:val="en-US" w:eastAsia="zh-CN"/>
                <w14:textFill>
                  <w14:solidFill>
                    <w14:schemeClr w14:val="tx1"/>
                  </w14:solidFill>
                </w14:textFill>
              </w:rPr>
              <w:t>6</w:t>
            </w:r>
          </w:p>
        </w:tc>
        <w:tc>
          <w:tcPr>
            <w:tcW w:w="2717" w:type="dxa"/>
            <w:noWrap w:val="0"/>
            <w:vAlign w:val="center"/>
          </w:tcPr>
          <w:p>
            <w:pPr>
              <w:widowControl/>
              <w:shd w:val="clear" w:color="auto" w:fill="FFFFFF"/>
              <w:adjustRightInd w:val="0"/>
              <w:spacing w:line="36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定标及中标原则</w:t>
            </w:r>
          </w:p>
        </w:tc>
        <w:tc>
          <w:tcPr>
            <w:tcW w:w="6117" w:type="dxa"/>
            <w:noWrap w:val="0"/>
            <w:vAlign w:val="center"/>
          </w:tcPr>
          <w:p>
            <w:pPr>
              <w:widowControl/>
              <w:shd w:val="clear" w:color="auto" w:fill="FFFFFF"/>
              <w:spacing w:line="360" w:lineRule="exact"/>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spacing w:line="360" w:lineRule="exact"/>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16" w:name="_Toc533357308"/>
      <w:bookmarkStart w:id="17" w:name="_Toc855825"/>
      <w:r>
        <w:rPr>
          <w:rFonts w:hint="eastAsia" w:ascii="宋体" w:hAnsi="宋体" w:eastAsia="宋体" w:cs="宋体"/>
          <w:color w:val="000000" w:themeColor="text1"/>
          <w:highlight w:val="none"/>
          <w14:textFill>
            <w14:solidFill>
              <w14:schemeClr w14:val="tx1"/>
            </w14:solidFill>
          </w14:textFill>
        </w:rPr>
        <w:t>1.总则</w:t>
      </w:r>
      <w:bookmarkEnd w:id="16"/>
      <w:bookmarkEnd w:id="17"/>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 招标项目概况</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1.1.1</w:t>
      </w:r>
      <w:r>
        <w:rPr>
          <w:rFonts w:hint="eastAsia" w:ascii="宋体" w:hAnsi="宋体" w:cs="宋体"/>
          <w:color w:val="000000" w:themeColor="text1"/>
          <w:spacing w:val="-8"/>
          <w:sz w:val="24"/>
          <w:szCs w:val="24"/>
          <w:highlight w:val="none"/>
          <w14:textFill>
            <w14:solidFill>
              <w14:schemeClr w14:val="tx1"/>
            </w14:solidFill>
          </w14:textFill>
        </w:rPr>
        <w:t>根据《中华人民共和国招标投标法》、《中华人民共和国招标投标法实施条例》等有关</w:t>
      </w:r>
      <w:r>
        <w:rPr>
          <w:rFonts w:hint="eastAsia" w:ascii="宋体" w:hAnsi="宋体" w:cs="宋体"/>
          <w:color w:val="000000" w:themeColor="text1"/>
          <w:sz w:val="24"/>
          <w:szCs w:val="24"/>
          <w:highlight w:val="none"/>
          <w14:textFill>
            <w14:solidFill>
              <w14:schemeClr w14:val="tx1"/>
            </w14:solidFill>
          </w14:textFill>
        </w:rPr>
        <w:t>法律、法规和规章的规定，本招标项目已具备招标条件，现对</w:t>
      </w:r>
      <w:r>
        <w:rPr>
          <w:rFonts w:hint="eastAsia" w:ascii="宋体" w:hAnsi="宋体" w:eastAsia="宋体" w:cs="宋体"/>
          <w:color w:val="000000" w:themeColor="text1"/>
          <w:sz w:val="24"/>
          <w:highlight w:val="none"/>
          <w:u w:val="single"/>
          <w:lang w:eastAsia="zh-CN"/>
          <w14:textFill>
            <w14:solidFill>
              <w14:schemeClr w14:val="tx1"/>
            </w14:solidFill>
          </w14:textFill>
        </w:rPr>
        <w:t>BIM技术应用服务</w:t>
      </w:r>
      <w:r>
        <w:rPr>
          <w:rFonts w:hint="eastAsia" w:ascii="宋体" w:hAnsi="宋体" w:cs="宋体"/>
          <w:color w:val="000000" w:themeColor="text1"/>
          <w:sz w:val="24"/>
          <w:szCs w:val="24"/>
          <w:highlight w:val="none"/>
          <w14:textFill>
            <w14:solidFill>
              <w14:schemeClr w14:val="tx1"/>
            </w14:solidFill>
          </w14:textFill>
        </w:rPr>
        <w:t>进行招标。</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1.1.2招标人：见投标人须知前附表。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1.1.3招标代理机构：见投标人须知前附表。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1.1.4招标项目名称：见投标人须知前附表。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1.1.5项目建设地点：见投标人须知前附表。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1.1.6项目建设规模：见投标人须知前附表。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1.1.7工程项目预计开工日期：见投标人须知前附表。</w:t>
      </w:r>
    </w:p>
    <w:p>
      <w:pPr>
        <w:pStyle w:val="22"/>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1.1.8建筑安装工程费/工程概算：见投标人须知前附表。</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1.2 招标项目的资金来源和落实情况</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1.2.1资金来源及比例：见投标人须知前附表。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1.2.2资金落实情况：见投标人须知前附表。</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 招标内容、服务期限和最高投标限价</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1.3.1 招标范围：见投标人须知前附表。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1.3.2服务期限：见投标人须知前附表。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1.3.3 质量标准：见投标人须知前附表。</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1.4 投标人资格要求</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1.4.1 投标人应具备承担本招标项目资质条件、能力和信誉：</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（1）资质要求：见投标人须知前附表；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（2）财务要求：见投标人须知前附表；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（3）业绩要求：见投标人须知前附表；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（4）信誉要求：见投标人须知前附表；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（5）项目负责人的资格要求：见投标人须知前附表；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（6）其他主要人员要求：见投标人须知前附表；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（7）仪器设备要求：见投标人须知前附表；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（8）其他要求：见投标人须知前附表。需要提交的相关证明材料见本章第 3.5 款的规定</w:t>
      </w:r>
    </w:p>
    <w:p>
      <w:pPr>
        <w:spacing w:line="360" w:lineRule="auto"/>
        <w:ind w:firstLine="480" w:firstLineChars="200"/>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1.4.2</w:t>
      </w:r>
      <w:r>
        <w:rPr>
          <w:rFonts w:hint="eastAsia" w:ascii="宋体" w:hAnsi="宋体"/>
          <w:color w:val="000000" w:themeColor="text1"/>
          <w:sz w:val="24"/>
          <w:szCs w:val="24"/>
          <w:highlight w:val="none"/>
          <w14:textFill>
            <w14:solidFill>
              <w14:schemeClr w14:val="tx1"/>
            </w14:solidFill>
          </w14:textFill>
        </w:rPr>
        <w:t>投标人须知前附表规定接受联合体投标的，联合体除应符合本章第 1.4.1 项和投标人须知前附表的要求外，还应遵守以下规定：</w:t>
      </w:r>
    </w:p>
    <w:p>
      <w:pPr>
        <w:spacing w:line="360" w:lineRule="auto"/>
        <w:ind w:firstLine="480" w:firstLineChars="200"/>
        <w:rPr>
          <w:rFonts w:hint="eastAsia"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（1）联合体各方应按招标文件提供的格式签订联合体协议书，明确联合体牵头人和各方权利义务，并承诺就中标项目向招标人承担连带责任；</w:t>
      </w:r>
    </w:p>
    <w:p>
      <w:pPr>
        <w:spacing w:line="360" w:lineRule="auto"/>
        <w:ind w:firstLine="480" w:firstLineChars="200"/>
        <w:rPr>
          <w:rFonts w:hint="eastAsia"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（2）由同一专业的单位组成的联合体，按照资质等级较低的单位确定资质等级；</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（3）联合体各方不得再以自己名义单独或参加其他联合体在本招标项目中投标，否则各相关投标均无效。</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1.4.3投标人不得存在下列情形之一：</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（1）为招标人不具有独立法人资格的附属机构（单位）；</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（2）与招标人存在利害关系且可能影响招标公正性；</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（3）与本招标项目的其他投标人为同一个单位负责人；</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（4）与本招标项目的其他投标人存在控股、管理关系；</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（5）为本招标项目的代建人；</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（6）为本招标项目的招标代理机构；</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（7）与本招标项目的代建人或招标代理机构同为一个法定代表人；</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（8）与本招标项目的代建人或招标代理机构存在控股或参股关系；</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（9）与本招标项目的施工承包人以及建筑材料、建筑构配件和设备供应商有隶属关系或者其他利害关系；</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10）被依法暂停或者取消投标资格（本项事实应当以根据《中华人民共和国行政处罚法》依法作出并已经生效的行政处罚决定为认定依据。行政处罚决定中已经明确的暂停或取消投标资格的区域范围不包含本标段建设地点的，不受该项规定限制）；</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（11）被责令停产停业、暂扣或者吊销许可证、暂扣或者吊销执照（本项事实应当以根据《中华人民共和国行政处罚法》依法作出并已经生效的行政处罚决定为认定依据。）；</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（12）进入清算程序，或被宣告破产，或其他丧失履约能力的情形；</w:t>
      </w:r>
    </w:p>
    <w:p>
      <w:pPr>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（13）在最近三年内有严重违约或重大工程质量问题的；（</w:t>
      </w:r>
      <w:r>
        <w:rPr>
          <w:rFonts w:hint="eastAsia" w:ascii="宋体" w:hAnsi="宋体" w:eastAsia="宋体" w:cs="宋体"/>
          <w:color w:val="000000" w:themeColor="text1"/>
          <w:sz w:val="24"/>
          <w:szCs w:val="24"/>
          <w:highlight w:val="none"/>
          <w:lang w:val="zh-CN"/>
          <w14:textFill>
            <w14:solidFill>
              <w14:schemeClr w14:val="tx1"/>
            </w14:solidFill>
          </w14:textFill>
        </w:rPr>
        <w:t>“严重违约”事实应当以</w:t>
      </w:r>
      <w:r>
        <w:rPr>
          <w:rFonts w:hint="eastAsia" w:ascii="宋体" w:hAnsi="宋体" w:eastAsia="宋体" w:cs="宋体"/>
          <w:color w:val="000000" w:themeColor="text1"/>
          <w:sz w:val="24"/>
          <w:szCs w:val="24"/>
          <w:highlight w:val="none"/>
          <w14:textFill>
            <w14:solidFill>
              <w14:schemeClr w14:val="tx1"/>
            </w14:solidFill>
          </w14:textFill>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pPr>
        <w:spacing w:line="360" w:lineRule="auto"/>
        <w:ind w:firstLine="480" w:firstLineChars="200"/>
        <w:rPr>
          <w:rFonts w:hint="eastAsia" w:ascii="宋体" w:hAnsi="宋体" w:eastAsia="宋体" w:cs="宋体"/>
          <w:strike/>
          <w:dstrike w:val="0"/>
          <w:color w:val="000000" w:themeColor="text1"/>
          <w:sz w:val="24"/>
          <w:szCs w:val="24"/>
          <w:highlight w:val="none"/>
          <w14:textFill>
            <w14:solidFill>
              <w14:schemeClr w14:val="tx1"/>
            </w14:solidFill>
          </w14:textFill>
        </w:rPr>
      </w:pPr>
      <w:r>
        <w:rPr>
          <w:rFonts w:hint="eastAsia" w:ascii="宋体" w:hAnsi="宋体" w:eastAsia="宋体" w:cs="宋体"/>
          <w:strike/>
          <w:dstrike w:val="0"/>
          <w:color w:val="000000" w:themeColor="text1"/>
          <w:sz w:val="24"/>
          <w:szCs w:val="24"/>
          <w:highlight w:val="none"/>
          <w14:textFill>
            <w14:solidFill>
              <w14:schemeClr w14:val="tx1"/>
            </w14:solidFill>
          </w14:textFill>
        </w:rPr>
        <w:t>（14）被工商行政管理机关在全国企业信用信息公示系统中列入严重违法失信企业名单；</w:t>
      </w:r>
    </w:p>
    <w:p>
      <w:pPr>
        <w:spacing w:line="360" w:lineRule="auto"/>
        <w:ind w:firstLine="480" w:firstLineChars="200"/>
        <w:rPr>
          <w:rFonts w:hint="eastAsia" w:ascii="宋体" w:hAnsi="宋体" w:eastAsia="宋体" w:cs="宋体"/>
          <w:strike/>
          <w:dstrike w:val="0"/>
          <w:color w:val="000000" w:themeColor="text1"/>
          <w:sz w:val="24"/>
          <w:szCs w:val="24"/>
          <w:highlight w:val="none"/>
          <w14:textFill>
            <w14:solidFill>
              <w14:schemeClr w14:val="tx1"/>
            </w14:solidFill>
          </w14:textFill>
        </w:rPr>
      </w:pPr>
      <w:r>
        <w:rPr>
          <w:rFonts w:hint="eastAsia" w:ascii="宋体" w:hAnsi="宋体" w:eastAsia="宋体" w:cs="宋体"/>
          <w:strike/>
          <w:dstrike w:val="0"/>
          <w:color w:val="000000" w:themeColor="text1"/>
          <w:sz w:val="24"/>
          <w:szCs w:val="24"/>
          <w:highlight w:val="none"/>
          <w14:textFill>
            <w14:solidFill>
              <w14:schemeClr w14:val="tx1"/>
            </w14:solidFill>
          </w14:textFill>
        </w:rPr>
        <w:t>（15）被最高人民法院在“信用中国”网站（www.creditchina.gov.cn）或各级信用信息共享平 台中列入失信被执行人名单；</w:t>
      </w:r>
    </w:p>
    <w:p>
      <w:pPr>
        <w:spacing w:line="360" w:lineRule="auto"/>
        <w:ind w:firstLine="480" w:firstLineChars="2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（16）法律法规或投标人须知前附表规定的其他情形。</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 费用承担</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投标人准备和参加投标活动发生的费用自理。</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18" w:name="bookmark26"/>
      <w:bookmarkEnd w:id="18"/>
      <w:r>
        <w:rPr>
          <w:rFonts w:hint="eastAsia" w:ascii="宋体" w:hAnsi="宋体" w:cs="宋体"/>
          <w:color w:val="000000" w:themeColor="text1"/>
          <w:highlight w:val="none"/>
          <w14:textFill>
            <w14:solidFill>
              <w14:schemeClr w14:val="tx1"/>
            </w14:solidFill>
          </w14:textFill>
        </w:rPr>
        <w:t>1.6 保密</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参与招标投标活动的各方应对招标文件和投标文件中的商业和技术等秘密保密，否则应承担相应的法律责任。</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19" w:name="bookmark27"/>
      <w:bookmarkEnd w:id="19"/>
      <w:r>
        <w:rPr>
          <w:rFonts w:hint="eastAsia" w:ascii="宋体" w:hAnsi="宋体" w:cs="宋体"/>
          <w:color w:val="000000" w:themeColor="text1"/>
          <w:highlight w:val="none"/>
          <w14:textFill>
            <w14:solidFill>
              <w14:schemeClr w14:val="tx1"/>
            </w14:solidFill>
          </w14:textFill>
        </w:rPr>
        <w:t>1.7 语言文字</w:t>
      </w:r>
    </w:p>
    <w:p>
      <w:pPr>
        <w:pStyle w:val="11"/>
        <w:kinsoku w:val="0"/>
        <w:overflowPunct w:val="0"/>
        <w:spacing w:line="360" w:lineRule="auto"/>
        <w:ind w:firstLine="360" w:firstLineChars="15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招标投标文件使用的语言文字为中文。专用术语使用外文的，应附有中文注释。</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0" w:name="bookmark28"/>
      <w:bookmarkEnd w:id="20"/>
      <w:r>
        <w:rPr>
          <w:rFonts w:hint="eastAsia" w:ascii="宋体" w:hAnsi="宋体" w:cs="宋体"/>
          <w:color w:val="000000" w:themeColor="text1"/>
          <w:highlight w:val="none"/>
          <w14:textFill>
            <w14:solidFill>
              <w14:schemeClr w14:val="tx1"/>
            </w14:solidFill>
          </w14:textFill>
        </w:rPr>
        <w:t>1.8 计量单位</w:t>
      </w:r>
    </w:p>
    <w:p>
      <w:pPr>
        <w:pStyle w:val="11"/>
        <w:kinsoku w:val="0"/>
        <w:overflowPunct w:val="0"/>
        <w:spacing w:line="360" w:lineRule="auto"/>
        <w:ind w:firstLine="476" w:firstLineChars="200"/>
        <w:rPr>
          <w:rFonts w:hint="eastAsia" w:ascii="宋体" w:hAnsi="宋体" w:cs="宋体"/>
          <w:color w:val="000000" w:themeColor="text1"/>
          <w:spacing w:val="-1"/>
          <w:sz w:val="24"/>
          <w:szCs w:val="24"/>
          <w:highlight w:val="none"/>
          <w14:textFill>
            <w14:solidFill>
              <w14:schemeClr w14:val="tx1"/>
            </w14:solidFill>
          </w14:textFill>
        </w:rPr>
      </w:pPr>
      <w:r>
        <w:rPr>
          <w:rFonts w:hint="eastAsia" w:ascii="宋体" w:hAnsi="宋体" w:cs="宋体"/>
          <w:color w:val="000000" w:themeColor="text1"/>
          <w:spacing w:val="-1"/>
          <w:sz w:val="24"/>
          <w:szCs w:val="24"/>
          <w:highlight w:val="none"/>
          <w14:textFill>
            <w14:solidFill>
              <w14:schemeClr w14:val="tx1"/>
            </w14:solidFill>
          </w14:textFill>
        </w:rPr>
        <w:t>所有计量均采用中华人民共和国法定计量单位。</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1" w:name="bookmark29"/>
      <w:bookmarkEnd w:id="21"/>
      <w:r>
        <w:rPr>
          <w:rFonts w:hint="eastAsia" w:ascii="宋体" w:hAnsi="宋体" w:cs="宋体"/>
          <w:color w:val="000000" w:themeColor="text1"/>
          <w:highlight w:val="none"/>
          <w14:textFill>
            <w14:solidFill>
              <w14:schemeClr w14:val="tx1"/>
            </w14:solidFill>
          </w14:textFill>
        </w:rPr>
        <w:t>1.9 踏勘现场</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1.9.1投标人须知前附表规定组织踏勘现场的，招标人按投标人须知前附表规定的时间、地点组织投标人踏勘项目现场。部分投标人未按时参加踏勘现场的，不影响踏勘现场的正常进行。</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1.9.2投标人踏勘现场发生的费用自理。</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1.9.3除招标人的原因外，投标人自行负责在踏勘现场中所发生的人员伤亡和财产损失。</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1.9.4招标人在踏勘现场中介绍的工程场地和相关的周边环境情况，供投标人在编制投标文件时参考，招标人不对投标人据此作出的判断和决策负责。</w:t>
      </w:r>
    </w:p>
    <w:p>
      <w:pPr>
        <w:rPr>
          <w:rFonts w:hint="eastAsia" w:ascii="宋体" w:hAnsi="宋体" w:cs="宋体"/>
          <w:color w:val="000000" w:themeColor="text1"/>
          <w:highlight w:val="none"/>
          <w14:textFill>
            <w14:solidFill>
              <w14:schemeClr w14:val="tx1"/>
            </w14:solidFill>
          </w14:textFill>
        </w:rPr>
      </w:pPr>
    </w:p>
    <w:p>
      <w:pPr>
        <w:pStyle w:val="11"/>
        <w:kinsoku w:val="0"/>
        <w:overflowPunct w:val="0"/>
        <w:spacing w:before="4"/>
        <w:rPr>
          <w:rFonts w:hint="eastAsia" w:ascii="宋体" w:hAnsi="宋体" w:cs="宋体"/>
          <w:color w:val="000000" w:themeColor="text1"/>
          <w:sz w:val="14"/>
          <w:szCs w:val="14"/>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2" w:name="bookmark30"/>
      <w:bookmarkEnd w:id="22"/>
      <w:r>
        <w:rPr>
          <w:rFonts w:hint="eastAsia" w:ascii="宋体" w:hAnsi="宋体" w:cs="宋体"/>
          <w:color w:val="000000" w:themeColor="text1"/>
          <w:highlight w:val="none"/>
          <w14:textFill>
            <w14:solidFill>
              <w14:schemeClr w14:val="tx1"/>
            </w14:solidFill>
          </w14:textFill>
        </w:rPr>
        <w:t>1.10 投标预备会</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1.10.1投标人须知前附表规定召开投标预备会的，招标人按投标人须知前附表规定的时间和地点召开投标预备会，澄清投标人提出的问题。</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1.10.2投标人应按投标人须知前附表规定的时间和形式将提出的问题送达招标人，以便招标人在会议期间澄清。</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1.10.3投标预备会后，招标人将对投标人所提问题的澄清，以投标人须知前附表规定的形式通知所有潜在投标人。该澄清内容为招标文件的组成部分。</w:t>
      </w:r>
      <w:bookmarkStart w:id="23" w:name="bookmark31"/>
      <w:bookmarkEnd w:id="23"/>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1.11 分包</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以合同要求为准</w:t>
      </w:r>
      <w:r>
        <w:rPr>
          <w:rFonts w:hint="eastAsia" w:ascii="宋体" w:hAnsi="宋体" w:cs="宋体"/>
          <w:color w:val="000000" w:themeColor="text1"/>
          <w:sz w:val="24"/>
          <w:szCs w:val="24"/>
          <w:highlight w:val="none"/>
          <w14:textFill>
            <w14:solidFill>
              <w14:schemeClr w14:val="tx1"/>
            </w14:solidFill>
          </w14:textFill>
        </w:rPr>
        <w:t>。</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4" w:name="bookmark32"/>
      <w:bookmarkEnd w:id="24"/>
      <w:r>
        <w:rPr>
          <w:rFonts w:hint="eastAsia" w:ascii="宋体" w:hAnsi="宋体" w:cs="宋体"/>
          <w:color w:val="000000" w:themeColor="text1"/>
          <w:highlight w:val="none"/>
          <w14:textFill>
            <w14:solidFill>
              <w14:schemeClr w14:val="tx1"/>
            </w14:solidFill>
          </w14:textFill>
        </w:rPr>
        <w:t>1.12 响应和偏差</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1.12.1投标文件应当对招标文件的实质性要求和条件作出满足性或更有利于招标人的响应，否则，投标人的投标将被否决。实质性要求和条件见投标人须知前附表。</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1.12.2投标人应根据招标文件的要求提供技术方案等内容以对招标文件作出响应。</w:t>
      </w:r>
    </w:p>
    <w:p>
      <w:pPr>
        <w:pStyle w:val="11"/>
        <w:kinsoku w:val="0"/>
        <w:overflowPunct w:val="0"/>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1.12.3投标人须知前附表允许投标文件偏离招标文件某些要求的，偏差应当符合招标文件规定的偏差范围和幅度。</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25" w:name="_Toc855826"/>
      <w:bookmarkStart w:id="26" w:name="_Toc533357309"/>
      <w:r>
        <w:rPr>
          <w:rFonts w:hint="eastAsia" w:ascii="宋体" w:hAnsi="宋体" w:eastAsia="宋体" w:cs="宋体"/>
          <w:color w:val="000000" w:themeColor="text1"/>
          <w:highlight w:val="none"/>
          <w14:textFill>
            <w14:solidFill>
              <w14:schemeClr w14:val="tx1"/>
            </w14:solidFill>
          </w14:textFill>
        </w:rPr>
        <w:t>2.招标文件</w:t>
      </w:r>
      <w:bookmarkEnd w:id="25"/>
      <w:bookmarkEnd w:id="26"/>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7" w:name="bookmark34"/>
      <w:bookmarkEnd w:id="27"/>
      <w:r>
        <w:rPr>
          <w:rFonts w:hint="eastAsia" w:ascii="宋体" w:hAnsi="宋体" w:cs="宋体"/>
          <w:color w:val="000000" w:themeColor="text1"/>
          <w:highlight w:val="none"/>
          <w14:textFill>
            <w14:solidFill>
              <w14:schemeClr w14:val="tx1"/>
            </w14:solidFill>
          </w14:textFill>
        </w:rPr>
        <w:t>2.1 招标文件的组成</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本招标文件包括：</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（1）招标公告（或投标邀请书）；</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（2）投标人须知；</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（3）评标办法；</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（4）合同条款及格式；</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w:t>
      </w:r>
      <w:r>
        <w:rPr>
          <w:rFonts w:hint="eastAsia" w:ascii="宋体" w:hAnsi="宋体" w:cs="宋体"/>
          <w:color w:val="000000" w:themeColor="text1"/>
          <w:sz w:val="24"/>
          <w:szCs w:val="24"/>
          <w:highlight w:val="none"/>
          <w:u w:val="single"/>
          <w14:textFill>
            <w14:solidFill>
              <w14:schemeClr w14:val="tx1"/>
            </w14:solidFill>
          </w14:textFill>
        </w:rPr>
        <w:t>任务书</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（6）投标文件格式；</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（7）投标人须知前附表规定的其他资料。</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根据本章第1.10款、第2.2款和第2.3款对招标文件所作的澄清、修改，构成招标文件的组成部分。</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8" w:name="bookmark35"/>
      <w:bookmarkEnd w:id="28"/>
      <w:r>
        <w:rPr>
          <w:rFonts w:hint="eastAsia" w:ascii="宋体" w:hAnsi="宋体" w:cs="宋体"/>
          <w:color w:val="000000" w:themeColor="text1"/>
          <w:highlight w:val="none"/>
          <w14:textFill>
            <w14:solidFill>
              <w14:schemeClr w14:val="tx1"/>
            </w14:solidFill>
          </w14:textFill>
        </w:rPr>
        <w:t>2.2 招标文件的澄清</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2.2.2招标文件的澄清以投标人须知前附表规定的形式发给所有潜在投标人，但不指明澄清问题的来源。澄清发出的时间距本章第4.2.1项规定的投标截止时间不足15日的，并且澄清内容可能影响投标文件编制的，将相应延长投标截止时间。</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2.2.3 投标人在收到澄清后，应按投标人须知前附表规定的时间和形式通知招标人，确认已收到该澄清。</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2.2.4除非招标人认为确有必要答复，否则，招标人有权拒绝回复投标人在本章第2.2.1项规定的时间后的任何澄清要求。</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29" w:name="bookmark36"/>
      <w:bookmarkEnd w:id="29"/>
      <w:r>
        <w:rPr>
          <w:rFonts w:hint="eastAsia" w:ascii="宋体" w:hAnsi="宋体" w:cs="宋体"/>
          <w:color w:val="000000" w:themeColor="text1"/>
          <w:highlight w:val="none"/>
          <w14:textFill>
            <w14:solidFill>
              <w14:schemeClr w14:val="tx1"/>
            </w14:solidFill>
          </w14:textFill>
        </w:rPr>
        <w:t>2.3 招标文件的修改</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2.3.1招标人以投标人须知前附表规定的形式修改招标文件，并通知所有潜在投标人。修改招标文件的时间距本章第4.2.1项规定的投标截止时间不足15日的，并且修改内容可能影响投标文件编制的，将相应延长投标截止时间。</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2.3.2投标人收到修改内容后，应按投标人须知前附表规定的时间和形式通知招标人，确认已收到该修改。</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30" w:name="bookmark37"/>
      <w:bookmarkEnd w:id="30"/>
      <w:r>
        <w:rPr>
          <w:rFonts w:hint="eastAsia" w:ascii="宋体" w:hAnsi="宋体" w:cs="宋体"/>
          <w:color w:val="000000" w:themeColor="text1"/>
          <w:highlight w:val="none"/>
          <w14:textFill>
            <w14:solidFill>
              <w14:schemeClr w14:val="tx1"/>
            </w14:solidFill>
          </w14:textFill>
        </w:rPr>
        <w:t>2.4 招标文件的异议</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投标人或者其他利害关系人对招标文件有异议的，应当在投标截止时间10日前以书面形式提出。招标人将在收到异议之日起3日内作出答复；作出答复前，将暂停招标投标活动。</w:t>
      </w:r>
    </w:p>
    <w:p>
      <w:pPr>
        <w:spacing w:line="360" w:lineRule="auto"/>
        <w:ind w:firstLine="480" w:firstLineChars="200"/>
        <w:rPr>
          <w:rFonts w:hint="eastAsia" w:ascii="宋体" w:hAnsi="宋体" w:eastAsia="宋体" w:cs="Times New Roman"/>
          <w:color w:val="000000" w:themeColor="text1"/>
          <w:sz w:val="24"/>
          <w:szCs w:val="24"/>
          <w:highlight w:val="none"/>
          <w:u w:val="single"/>
          <w14:textFill>
            <w14:solidFill>
              <w14:schemeClr w14:val="tx1"/>
            </w14:solidFill>
          </w14:textFill>
        </w:rPr>
      </w:pPr>
      <w:r>
        <w:rPr>
          <w:rFonts w:hint="eastAsia" w:ascii="宋体" w:hAnsi="宋体" w:eastAsia="宋体" w:cs="Times New Roman"/>
          <w:color w:val="000000" w:themeColor="text1"/>
          <w:sz w:val="24"/>
          <w:szCs w:val="24"/>
          <w:highlight w:val="none"/>
          <w:u w:val="single"/>
          <w14:textFill>
            <w14:solidFill>
              <w14:schemeClr w14:val="tx1"/>
            </w14:solidFill>
          </w14:textFill>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31" w:name="_Toc533357310"/>
      <w:bookmarkStart w:id="32" w:name="_Toc855827"/>
      <w:r>
        <w:rPr>
          <w:rFonts w:hint="eastAsia" w:ascii="宋体" w:hAnsi="宋体" w:eastAsia="宋体" w:cs="宋体"/>
          <w:color w:val="000000" w:themeColor="text1"/>
          <w:highlight w:val="none"/>
          <w14:textFill>
            <w14:solidFill>
              <w14:schemeClr w14:val="tx1"/>
            </w14:solidFill>
          </w14:textFill>
        </w:rPr>
        <w:t>3. 投标文件</w:t>
      </w:r>
      <w:bookmarkEnd w:id="31"/>
      <w:bookmarkEnd w:id="32"/>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33" w:name="bookmark39"/>
      <w:bookmarkEnd w:id="33"/>
      <w:r>
        <w:rPr>
          <w:rFonts w:hint="eastAsia" w:ascii="宋体" w:hAnsi="宋体" w:cs="宋体"/>
          <w:color w:val="000000" w:themeColor="text1"/>
          <w:highlight w:val="none"/>
          <w14:textFill>
            <w14:solidFill>
              <w14:schemeClr w14:val="tx1"/>
            </w14:solidFill>
          </w14:textFill>
        </w:rPr>
        <w:t>3.1 投标文件的组成</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3.1.1投标文件应包括下列内容：</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（1）投标函及投标函附录；</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（2）法定代表人身份证明或授权委托书；</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（3）投标报价表；</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）资格审查资料；</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5</w:t>
      </w: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eastAsia="zh-CN"/>
          <w14:textFill>
            <w14:solidFill>
              <w14:schemeClr w14:val="tx1"/>
            </w14:solidFill>
          </w14:textFill>
        </w:rPr>
        <w:t>服务</w:t>
      </w:r>
      <w:r>
        <w:rPr>
          <w:rFonts w:hint="eastAsia" w:ascii="宋体" w:hAnsi="宋体"/>
          <w:color w:val="000000" w:themeColor="text1"/>
          <w:sz w:val="24"/>
          <w:highlight w:val="none"/>
          <w14:textFill>
            <w14:solidFill>
              <w14:schemeClr w14:val="tx1"/>
            </w14:solidFill>
          </w14:textFill>
        </w:rPr>
        <w:t>方案；</w:t>
      </w:r>
    </w:p>
    <w:p>
      <w:pPr>
        <w:spacing w:line="360" w:lineRule="auto"/>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）按本招标文件规定提交的其他资料。</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投标人在评标过程中作出的符合法律法规和招标文件规定的澄清确认，构成投标文件的组成部分。</w:t>
      </w:r>
    </w:p>
    <w:p>
      <w:pPr>
        <w:pStyle w:val="6"/>
        <w:kinsoku w:val="0"/>
        <w:overflowPunct w:val="0"/>
        <w:spacing w:line="500" w:lineRule="exact"/>
        <w:rPr>
          <w:rFonts w:hint="eastAsia" w:ascii="宋体" w:hAnsi="宋体" w:cs="宋体"/>
          <w:color w:val="000000" w:themeColor="text1"/>
          <w:highlight w:val="none"/>
          <w14:textFill>
            <w14:solidFill>
              <w14:schemeClr w14:val="tx1"/>
            </w14:solidFill>
          </w14:textFill>
        </w:rPr>
      </w:pPr>
      <w:bookmarkStart w:id="34" w:name="bookmark40"/>
      <w:bookmarkEnd w:id="34"/>
      <w:r>
        <w:rPr>
          <w:rFonts w:hint="eastAsia" w:ascii="宋体" w:hAnsi="宋体" w:cs="宋体"/>
          <w:color w:val="000000" w:themeColor="text1"/>
          <w:highlight w:val="none"/>
          <w14:textFill>
            <w14:solidFill>
              <w14:schemeClr w14:val="tx1"/>
            </w14:solidFill>
          </w14:textFill>
        </w:rPr>
        <w:t>3.2 投标报价</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3.2.1投标报价应包括国家规定的增值税税金，除投标人须知前附表另有规定外，增值税税金按一般计税方法计算。投标人应按第六章“投标文件格式”的要求在投标函中进行报价并填写报价函。</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3.2.2投标人应充分了解该项目的总体情况以及影响投标报价的其他要素。</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3.2.3本项目的报价方式见投标人须知前附表。投标人在投标截止时间前修改投标书中的投标报价总额，应同时修改投标文件中的相应报价。此修改须符合本章第4.3款的有关要求。</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3.2.4招标人设有最高投标限价的，投标人的投标报价不得超过最高投标限价，最高投标限价在投标人须知前附表中载明。</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3.2.5投标报价的其他要求见投标人须知前附表。</w:t>
      </w:r>
    </w:p>
    <w:p>
      <w:pPr>
        <w:spacing w:line="500" w:lineRule="exact"/>
        <w:rPr>
          <w:rFonts w:hint="eastAsia" w:ascii="宋体" w:hAnsi="宋体" w:cs="宋体"/>
          <w:color w:val="000000" w:themeColor="text1"/>
          <w:highlight w:val="none"/>
          <w14:textFill>
            <w14:solidFill>
              <w14:schemeClr w14:val="tx1"/>
            </w14:solidFill>
          </w14:textFill>
        </w:rPr>
      </w:pPr>
    </w:p>
    <w:p>
      <w:pPr>
        <w:pStyle w:val="6"/>
        <w:kinsoku w:val="0"/>
        <w:overflowPunct w:val="0"/>
        <w:spacing w:line="500" w:lineRule="exact"/>
        <w:rPr>
          <w:rFonts w:hint="eastAsia" w:ascii="宋体" w:hAnsi="宋体" w:cs="宋体"/>
          <w:color w:val="000000" w:themeColor="text1"/>
          <w:highlight w:val="none"/>
          <w14:textFill>
            <w14:solidFill>
              <w14:schemeClr w14:val="tx1"/>
            </w14:solidFill>
          </w14:textFill>
        </w:rPr>
      </w:pPr>
      <w:bookmarkStart w:id="35" w:name="bookmark41"/>
      <w:bookmarkEnd w:id="35"/>
      <w:r>
        <w:rPr>
          <w:rFonts w:hint="eastAsia" w:ascii="宋体" w:hAnsi="宋体" w:cs="宋体"/>
          <w:color w:val="000000" w:themeColor="text1"/>
          <w:highlight w:val="none"/>
          <w14:textFill>
            <w14:solidFill>
              <w14:schemeClr w14:val="tx1"/>
            </w14:solidFill>
          </w14:textFill>
        </w:rPr>
        <w:t>3.3 投标有效期</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3.3.1除投标人须知前附表另有规定外，投标有效期为90天。</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3.3.2在投标有效期内，投标人撤销投标文件的，应承担招标文件和法律规定的责任。</w:t>
      </w:r>
    </w:p>
    <w:p>
      <w:pPr>
        <w:spacing w:line="500" w:lineRule="exact"/>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3.3.3出现特殊情况需要延长投标有效期的，招标人以书面形式通知所有投标人延长投标有效期。投标人应予以书面答复，同意延长的，</w:t>
      </w:r>
      <w:r>
        <w:rPr>
          <w:rFonts w:hint="eastAsia" w:ascii="宋体" w:hAnsi="宋体" w:cs="宋体"/>
          <w:strike/>
          <w:color w:val="000000" w:themeColor="text1"/>
          <w:sz w:val="24"/>
          <w:szCs w:val="24"/>
          <w:highlight w:val="none"/>
          <w14:textFill>
            <w14:solidFill>
              <w14:schemeClr w14:val="tx1"/>
            </w14:solidFill>
          </w14:textFill>
        </w:rPr>
        <w:t>应相应延长其投标保证金的有效期，但</w:t>
      </w:r>
      <w:r>
        <w:rPr>
          <w:rFonts w:hint="eastAsia" w:ascii="宋体" w:hAnsi="宋体" w:cs="宋体"/>
          <w:color w:val="000000" w:themeColor="text1"/>
          <w:sz w:val="24"/>
          <w:szCs w:val="24"/>
          <w:highlight w:val="none"/>
          <w14:textFill>
            <w14:solidFill>
              <w14:schemeClr w14:val="tx1"/>
            </w14:solidFill>
          </w14:textFill>
        </w:rPr>
        <w:t>不得要求或被允许修改其投标文件；投标人拒绝延长的，其投标失效</w:t>
      </w:r>
      <w:r>
        <w:rPr>
          <w:rFonts w:hint="eastAsia" w:ascii="宋体" w:hAnsi="宋体" w:cs="宋体"/>
          <w:strike/>
          <w:color w:val="000000" w:themeColor="text1"/>
          <w:sz w:val="24"/>
          <w:szCs w:val="24"/>
          <w:highlight w:val="none"/>
          <w14:textFill>
            <w14:solidFill>
              <w14:schemeClr w14:val="tx1"/>
            </w14:solidFill>
          </w14:textFill>
        </w:rPr>
        <w:t>，但投标人有权收回其投标保证金</w:t>
      </w:r>
      <w:r>
        <w:rPr>
          <w:rFonts w:hint="eastAsia" w:ascii="宋体" w:hAnsi="宋体" w:cs="宋体"/>
          <w:color w:val="000000" w:themeColor="text1"/>
          <w:sz w:val="24"/>
          <w:szCs w:val="24"/>
          <w:highlight w:val="none"/>
          <w14:textFill>
            <w14:solidFill>
              <w14:schemeClr w14:val="tx1"/>
            </w14:solidFill>
          </w14:textFill>
        </w:rPr>
        <w:t>。</w:t>
      </w:r>
    </w:p>
    <w:p>
      <w:pPr>
        <w:spacing w:line="500" w:lineRule="exact"/>
        <w:rPr>
          <w:rFonts w:hint="eastAsia" w:ascii="宋体" w:hAnsi="宋体" w:cs="宋体"/>
          <w:color w:val="000000" w:themeColor="text1"/>
          <w:highlight w:val="none"/>
          <w14:textFill>
            <w14:solidFill>
              <w14:schemeClr w14:val="tx1"/>
            </w14:solidFill>
          </w14:textFill>
        </w:rPr>
      </w:pPr>
    </w:p>
    <w:p>
      <w:pPr>
        <w:pStyle w:val="6"/>
        <w:kinsoku w:val="0"/>
        <w:overflowPunct w:val="0"/>
        <w:spacing w:line="500" w:lineRule="exact"/>
        <w:rPr>
          <w:rFonts w:hint="eastAsia" w:ascii="宋体" w:hAnsi="宋体" w:cs="宋体"/>
          <w:strike/>
          <w:color w:val="000000" w:themeColor="text1"/>
          <w:highlight w:val="none"/>
          <w14:textFill>
            <w14:solidFill>
              <w14:schemeClr w14:val="tx1"/>
            </w14:solidFill>
          </w14:textFill>
        </w:rPr>
      </w:pPr>
      <w:bookmarkStart w:id="36" w:name="bookmark42"/>
      <w:bookmarkEnd w:id="36"/>
      <w:r>
        <w:rPr>
          <w:rFonts w:hint="eastAsia" w:ascii="宋体" w:hAnsi="宋体" w:cs="宋体"/>
          <w:strike/>
          <w:color w:val="000000" w:themeColor="text1"/>
          <w:highlight w:val="none"/>
          <w14:textFill>
            <w14:solidFill>
              <w14:schemeClr w14:val="tx1"/>
            </w14:solidFill>
          </w14:textFill>
        </w:rPr>
        <w:t>3.4 投标保证金</w:t>
      </w:r>
    </w:p>
    <w:p>
      <w:pPr>
        <w:pStyle w:val="22"/>
        <w:spacing w:line="360" w:lineRule="auto"/>
        <w:ind w:firstLine="480" w:firstLineChars="200"/>
        <w:rPr>
          <w:rFonts w:hint="eastAsia" w:ascii="宋体" w:hAnsi="宋体" w:cs="宋体"/>
          <w:strike/>
          <w:color w:val="000000" w:themeColor="text1"/>
          <w:sz w:val="24"/>
          <w:highlight w:val="none"/>
          <w:u w:val="single"/>
          <w14:textFill>
            <w14:solidFill>
              <w14:schemeClr w14:val="tx1"/>
            </w14:solidFill>
          </w14:textFill>
        </w:rPr>
      </w:pPr>
      <w:r>
        <w:rPr>
          <w:rFonts w:hint="eastAsia" w:ascii="宋体" w:hAnsi="宋体" w:cs="宋体"/>
          <w:strike/>
          <w:color w:val="000000" w:themeColor="text1"/>
          <w:sz w:val="24"/>
          <w:highlight w:val="none"/>
          <w:u w:val="single"/>
          <w14:textFill>
            <w14:solidFill>
              <w14:schemeClr w14:val="tx1"/>
            </w14:solidFill>
          </w14:textFill>
        </w:rPr>
        <w:t>3.4.1</w:t>
      </w:r>
      <w:r>
        <w:rPr>
          <w:rFonts w:hint="eastAsia" w:ascii="宋体" w:hAnsi="宋体"/>
          <w:strike/>
          <w:color w:val="000000" w:themeColor="text1"/>
          <w:sz w:val="24"/>
          <w:highlight w:val="none"/>
          <w:u w:val="single"/>
          <w14:textFill>
            <w14:solidFill>
              <w14:schemeClr w14:val="tx1"/>
            </w14:solidFill>
          </w14:textFill>
        </w:rPr>
        <w:t>投标人在递交投标文件的同时，应按投标人须知前附表规定的金额、形式递交投标保证金。</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3.4.2投标人不按本章第3.4.1项要求提交投标保证金的，评标委员会将否决其投标。</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3.4.3</w:t>
      </w:r>
      <w:r>
        <w:rPr>
          <w:rFonts w:hint="eastAsia" w:ascii="宋体" w:hAnsi="宋体"/>
          <w:strike/>
          <w:color w:val="000000" w:themeColor="text1"/>
          <w:sz w:val="24"/>
          <w:szCs w:val="24"/>
          <w:highlight w:val="none"/>
          <w:u w:val="single"/>
          <w14:textFill>
            <w14:solidFill>
              <w14:schemeClr w14:val="tx1"/>
            </w14:solidFill>
          </w14:textFill>
        </w:rPr>
        <w:t>投标保证金应依据法律法规的相关规定退还。</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3.4.4有下列情形之一的，投标保证金将不予退还：</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（1）投标人在投标有效期内撤销投标文件；</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（2）中标人在收到中标通知书后，无正当理由不与招标人订立合同，在签订合同时向招标人提出附加条件，或者不按照招标文件要求提交履约保证金；</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（3）发生投标人须知前附表规定的其他可以不予退还投标保证金的情形。</w:t>
      </w:r>
    </w:p>
    <w:p>
      <w:pPr>
        <w:rPr>
          <w:rFonts w:hint="eastAsia" w:ascii="宋体" w:hAnsi="宋体" w:cs="宋体"/>
          <w:color w:val="000000" w:themeColor="text1"/>
          <w:highlight w:val="none"/>
          <w14:textFill>
            <w14:solidFill>
              <w14:schemeClr w14:val="tx1"/>
            </w14:solidFill>
          </w14:textFill>
        </w:rPr>
      </w:pPr>
      <w:bookmarkStart w:id="37" w:name="bookmark43"/>
      <w:bookmarkEnd w:id="37"/>
    </w:p>
    <w:p>
      <w:pPr>
        <w:spacing w:line="360" w:lineRule="auto"/>
        <w:ind w:right="-23"/>
        <w:jc w:val="left"/>
        <w:rPr>
          <w:rFonts w:hint="eastAsia" w:ascii="宋体" w:hAnsi="宋体" w:cs="宋体"/>
          <w:b/>
          <w:color w:val="000000" w:themeColor="text1"/>
          <w:sz w:val="24"/>
          <w:szCs w:val="24"/>
          <w:highlight w:val="none"/>
          <w14:textFill>
            <w14:solidFill>
              <w14:schemeClr w14:val="tx1"/>
            </w14:solidFill>
          </w14:textFill>
        </w:rPr>
      </w:pPr>
      <w:bookmarkStart w:id="38" w:name="bookmark44"/>
      <w:bookmarkEnd w:id="38"/>
      <w:r>
        <w:rPr>
          <w:rFonts w:hint="eastAsia" w:ascii="宋体" w:hAnsi="宋体" w:cs="宋体"/>
          <w:b/>
          <w:color w:val="000000" w:themeColor="text1"/>
          <w:sz w:val="24"/>
          <w:szCs w:val="24"/>
          <w:highlight w:val="none"/>
          <w14:textFill>
            <w14:solidFill>
              <w14:schemeClr w14:val="tx1"/>
            </w14:solidFill>
          </w14:textFill>
        </w:rPr>
        <w:t>3.5 资格审查资料（适用于未进行资格预审的）</w:t>
      </w:r>
    </w:p>
    <w:p>
      <w:pPr>
        <w:autoSpaceDE w:val="0"/>
        <w:spacing w:line="360" w:lineRule="auto"/>
        <w:ind w:firstLine="480" w:firstLineChars="20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除投标人须知前附表另有规定外，投标人应按下列规定提供资格审查资料，以证明其满足本章第1.4款规定的资质、财务、业绩、信誉等要求。</w:t>
      </w:r>
    </w:p>
    <w:p>
      <w:pPr>
        <w:autoSpaceDE w:val="0"/>
        <w:spacing w:line="360" w:lineRule="auto"/>
        <w:ind w:firstLine="480" w:firstLineChars="20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3.5.1资格审查部分主要包括下列内容：</w:t>
      </w:r>
    </w:p>
    <w:p>
      <w:pPr>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（1）法定代表人证明书及法定代表人授权委托书（仅限于非法定代表人参加投标报名活动时提供）（按第六章格式）；</w:t>
      </w:r>
    </w:p>
    <w:p>
      <w:pPr>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（2）有效的工商行政管理部门核发的法人营业执照原件扫描件或各级政府事业单位登记管理机关颁发的事业单位法人证书原件扫描件；</w:t>
      </w:r>
    </w:p>
    <w:p>
      <w:pPr>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（3）拟派的项目负责人的证明</w:t>
      </w:r>
      <w:r>
        <w:rPr>
          <w:rFonts w:hint="eastAsia" w:ascii="宋体" w:hAnsi="宋体" w:cs="宋体"/>
          <w:color w:val="000000" w:themeColor="text1"/>
          <w:sz w:val="24"/>
          <w:szCs w:val="24"/>
          <w:highlight w:val="none"/>
          <w:u w:val="single"/>
          <w:lang w:eastAsia="zh-CN"/>
          <w14:textFill>
            <w14:solidFill>
              <w14:schemeClr w14:val="tx1"/>
            </w14:solidFill>
          </w14:textFill>
        </w:rPr>
        <w:t>文件扫描件</w:t>
      </w:r>
      <w:r>
        <w:rPr>
          <w:rFonts w:hint="eastAsia" w:ascii="宋体" w:hAnsi="宋体" w:cs="宋体"/>
          <w:color w:val="000000" w:themeColor="text1"/>
          <w:sz w:val="24"/>
          <w:szCs w:val="24"/>
          <w:highlight w:val="none"/>
          <w:u w:val="single"/>
          <w14:textFill>
            <w14:solidFill>
              <w14:schemeClr w14:val="tx1"/>
            </w14:solidFill>
          </w14:textFill>
        </w:rPr>
        <w:t>（满足招标公告要求）；</w:t>
      </w:r>
    </w:p>
    <w:p>
      <w:pPr>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4</w:t>
      </w: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eastAsia="宋体" w:cs="宋体"/>
          <w:color w:val="000000" w:themeColor="text1"/>
          <w:sz w:val="24"/>
          <w:szCs w:val="24"/>
          <w:highlight w:val="none"/>
          <w:u w:val="single"/>
          <w14:textFill>
            <w14:solidFill>
              <w14:schemeClr w14:val="tx1"/>
            </w14:solidFill>
          </w14:textFill>
        </w:rPr>
        <w:t>投标人须已在</w:t>
      </w:r>
      <w:r>
        <w:rPr>
          <w:rFonts w:hint="eastAsia" w:ascii="宋体" w:hAnsi="宋体" w:eastAsia="宋体" w:cs="宋体"/>
          <w:color w:val="000000" w:themeColor="text1"/>
          <w:sz w:val="24"/>
          <w:szCs w:val="24"/>
          <w:highlight w:val="none"/>
          <w:u w:val="single"/>
          <w:lang w:eastAsia="zh-CN"/>
          <w14:textFill>
            <w14:solidFill>
              <w14:schemeClr w14:val="tx1"/>
            </w14:solidFill>
          </w14:textFill>
        </w:rPr>
        <w:t>广州公共资源交易中心</w:t>
      </w:r>
      <w:r>
        <w:rPr>
          <w:rFonts w:hint="eastAsia" w:ascii="宋体" w:hAnsi="宋体" w:eastAsia="宋体" w:cs="宋体"/>
          <w:color w:val="000000" w:themeColor="text1"/>
          <w:sz w:val="24"/>
          <w:szCs w:val="24"/>
          <w:highlight w:val="none"/>
          <w:u w:val="single"/>
          <w14:textFill>
            <w14:solidFill>
              <w14:schemeClr w14:val="tx1"/>
            </w14:solidFill>
          </w14:textFill>
        </w:rPr>
        <w:t>办理企业信息登记，拟委派的项目负责人须是本企业信息登记中的在册人员。（附网页截图打印页面）</w:t>
      </w:r>
      <w:r>
        <w:rPr>
          <w:rFonts w:hint="eastAsia" w:ascii="宋体" w:hAnsi="宋体" w:cs="宋体"/>
          <w:color w:val="000000" w:themeColor="text1"/>
          <w:sz w:val="24"/>
          <w:szCs w:val="24"/>
          <w:highlight w:val="none"/>
          <w:u w:val="single"/>
          <w14:textFill>
            <w14:solidFill>
              <w14:schemeClr w14:val="tx1"/>
            </w14:solidFill>
          </w14:textFill>
        </w:rPr>
        <w:t>；</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w:t>
      </w:r>
      <w:r>
        <w:rPr>
          <w:rFonts w:hint="eastAsia" w:ascii="宋体" w:hAnsi="宋体" w:cs="宋体"/>
          <w:color w:val="000000" w:themeColor="text1"/>
          <w:sz w:val="24"/>
          <w:szCs w:val="24"/>
          <w:highlight w:val="none"/>
          <w:u w:val="single"/>
          <w:lang w:val="en-US" w:eastAsia="zh-CN"/>
          <w14:textFill>
            <w14:solidFill>
              <w14:schemeClr w14:val="tx1"/>
            </w14:solidFill>
          </w14:textFill>
        </w:rPr>
        <w:t>5</w:t>
      </w:r>
      <w:r>
        <w:rPr>
          <w:rFonts w:hint="eastAsia" w:ascii="宋体" w:hAnsi="宋体" w:cs="宋体"/>
          <w:color w:val="000000" w:themeColor="text1"/>
          <w:sz w:val="24"/>
          <w:szCs w:val="24"/>
          <w:highlight w:val="none"/>
          <w:u w:val="single"/>
          <w14:textFill>
            <w14:solidFill>
              <w14:schemeClr w14:val="tx1"/>
            </w14:solidFill>
          </w14:textFill>
        </w:rPr>
        <w:t>）投标人已按照招标公告附件一的内容签署盖章《投标人声明》</w:t>
      </w:r>
      <w:r>
        <w:rPr>
          <w:rFonts w:hint="eastAsia" w:ascii="宋体" w:hAnsi="宋体" w:eastAsia="宋体" w:cs="宋体"/>
          <w:color w:val="000000" w:themeColor="text1"/>
          <w:sz w:val="24"/>
          <w:szCs w:val="24"/>
          <w:highlight w:val="none"/>
          <w:u w:val="single"/>
          <w14:textFill>
            <w14:solidFill>
              <w14:schemeClr w14:val="tx1"/>
            </w14:solidFill>
          </w14:textFill>
        </w:rPr>
        <w:t>；</w:t>
      </w:r>
    </w:p>
    <w:p>
      <w:pPr>
        <w:autoSpaceDE w:val="0"/>
        <w:spacing w:line="360" w:lineRule="auto"/>
        <w:ind w:firstLine="480" w:firstLineChars="200"/>
        <w:jc w:val="left"/>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u w:val="single"/>
          <w14:textFill>
            <w14:solidFill>
              <w14:schemeClr w14:val="tx1"/>
            </w14:solidFill>
          </w14:textFill>
        </w:rPr>
        <w:t>）投标人认为应该提供的其他资料。</w:t>
      </w: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39" w:name="bookmark45"/>
      <w:bookmarkEnd w:id="39"/>
      <w:r>
        <w:rPr>
          <w:rFonts w:hint="eastAsia" w:ascii="宋体" w:hAnsi="宋体" w:cs="宋体"/>
          <w:color w:val="000000" w:themeColor="text1"/>
          <w:highlight w:val="none"/>
          <w14:textFill>
            <w14:solidFill>
              <w14:schemeClr w14:val="tx1"/>
            </w14:solidFill>
          </w14:textFill>
        </w:rPr>
        <w:t>3.6 备选投标方案</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3.6.1除投标人须知前附表规定允许外，投标人不得递交备选投标方案，否则其投标将被否决。</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3.6.2允许投标人递交备选投标方案的，只有中标人所递交的备选投标方案方可予以考虑。评标委员会认为中标人的备选投标方案优于其按照招标文件要求编制的投标方案的，招标人可以接受该备选投标方案。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3.6.3投标人提供两个或两个以上投标报价，或者在投标文件中提供一个报价，但同时提供两个或两个以上服务方案的，视为提供备选方案。</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40" w:name="bookmark46"/>
      <w:bookmarkEnd w:id="40"/>
      <w:r>
        <w:rPr>
          <w:rFonts w:hint="eastAsia" w:ascii="宋体" w:hAnsi="宋体" w:cs="宋体"/>
          <w:color w:val="000000" w:themeColor="text1"/>
          <w:highlight w:val="none"/>
          <w14:textFill>
            <w14:solidFill>
              <w14:schemeClr w14:val="tx1"/>
            </w14:solidFill>
          </w14:textFill>
        </w:rPr>
        <w:t>3.7 投标文件的编制</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3.7.1投标文件应按第六章“投标文件格式”进行编写，如有必要，可以增加附页，作为投标文件的组成部分。其中，</w:t>
      </w:r>
      <w:r>
        <w:rPr>
          <w:rFonts w:hint="eastAsia" w:ascii="宋体" w:hAnsi="宋体" w:cs="宋体"/>
          <w:color w:val="000000" w:themeColor="text1"/>
          <w:sz w:val="24"/>
          <w:highlight w:val="none"/>
          <w14:textFill>
            <w14:solidFill>
              <w14:schemeClr w14:val="tx1"/>
            </w14:solidFill>
          </w14:textFill>
        </w:rPr>
        <w:t>投标函附录</w:t>
      </w:r>
      <w:r>
        <w:rPr>
          <w:rFonts w:hint="eastAsia" w:ascii="宋体" w:hAnsi="宋体" w:cs="宋体"/>
          <w:color w:val="000000" w:themeColor="text1"/>
          <w:sz w:val="24"/>
          <w:szCs w:val="24"/>
          <w:highlight w:val="none"/>
          <w14:textFill>
            <w14:solidFill>
              <w14:schemeClr w14:val="tx1"/>
            </w14:solidFill>
          </w14:textFill>
        </w:rPr>
        <w:t>在满足招标文件实质性要求的基础上，可以提出比招标文件要求更有利于招标人的承诺。</w:t>
      </w:r>
      <w:r>
        <w:rPr>
          <w:rFonts w:hint="eastAsia" w:ascii="宋体" w:hAnsi="宋体" w:cs="宋体"/>
          <w:color w:val="000000" w:themeColor="text1"/>
          <w:sz w:val="24"/>
          <w:szCs w:val="24"/>
          <w:highlight w:val="none"/>
          <w:u w:val="single"/>
          <w14:textFill>
            <w14:solidFill>
              <w14:schemeClr w14:val="tx1"/>
            </w14:solidFill>
          </w14:textFill>
        </w:rPr>
        <w:t>第六章“投标文件格式”未提供的格式，由投标人自定格式。</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3.7.2投标文件应当对招标文件有关服务期限、投标有效期、招标范围等实质性内容作出响应。</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3.7.3（B）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41" w:name="_Toc855828"/>
      <w:bookmarkStart w:id="42" w:name="_Toc533357311"/>
      <w:r>
        <w:rPr>
          <w:rFonts w:hint="eastAsia" w:ascii="宋体" w:hAnsi="宋体" w:eastAsia="宋体" w:cs="宋体"/>
          <w:color w:val="000000" w:themeColor="text1"/>
          <w:highlight w:val="none"/>
          <w14:textFill>
            <w14:solidFill>
              <w14:schemeClr w14:val="tx1"/>
            </w14:solidFill>
          </w14:textFill>
        </w:rPr>
        <w:t>4. 投标</w:t>
      </w:r>
      <w:bookmarkEnd w:id="41"/>
      <w:bookmarkEnd w:id="42"/>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43" w:name="bookmark48"/>
      <w:bookmarkEnd w:id="43"/>
      <w:r>
        <w:rPr>
          <w:rFonts w:hint="eastAsia" w:ascii="宋体" w:hAnsi="宋体" w:cs="宋体"/>
          <w:color w:val="000000" w:themeColor="text1"/>
          <w:highlight w:val="none"/>
          <w14:textFill>
            <w14:solidFill>
              <w14:schemeClr w14:val="tx1"/>
            </w14:solidFill>
          </w14:textFill>
        </w:rPr>
        <w:t>4.1 投标文件的密封和标记</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4.1.1（B）投标人应当按照招标文件和电子招标投标交易平台的要求加密投标文件，具体要求见投标人须知前附表。</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4.1.2投标文件封套上应写明的内容见投标人须知前附表。</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4.1.3未按本章第4.1.1项要求密封的投标文件，招标人将予以拒收。</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44" w:name="bookmark49"/>
      <w:bookmarkEnd w:id="44"/>
      <w:r>
        <w:rPr>
          <w:rFonts w:hint="eastAsia" w:ascii="宋体" w:hAnsi="宋体" w:cs="宋体"/>
          <w:color w:val="000000" w:themeColor="text1"/>
          <w:highlight w:val="none"/>
          <w14:textFill>
            <w14:solidFill>
              <w14:schemeClr w14:val="tx1"/>
            </w14:solidFill>
          </w14:textFill>
        </w:rPr>
        <w:t>4.2 投标文件的递交</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4.2.1投标人应在投标人须知前附表规定的投标截止时间前递交投标文件。</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4.2.2（B）投标人通过下载招标文件的电子招标投标交易平台递交电子投标文件。</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4.2.3除投标人须知前附表另有规定外，投标人所递交的投标文件不予退还。</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4.2.4（B）投标人完成电子投标文件上传后，电子招标投标交易平台即时向投标人发出递交回执通知。递交时间以递交回执通知载明的传输完成时间为准。</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4.2.5（B）逾期送达的投标文件，电子招标投标交易平台将予以拒收。</w:t>
      </w:r>
      <w:bookmarkStart w:id="45" w:name="bookmark50"/>
      <w:bookmarkEnd w:id="45"/>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4.3 投标文件的修改与撤回</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4.3.1在本章第4.2.1项规定的投标截止时间前，投标人可以修改或撤回已递交的投标文件，但应以书面形式通知招标人。</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4.3.2（B）投标人修改或撤回已递交投标文件的通知，应按照本章第3.7.3（B）项的要求加盖电子印章。电子招标投标交易平台收到通知后，即时向投标人发出确认回执通知。</w:t>
      </w:r>
    </w:p>
    <w:p>
      <w:pPr>
        <w:spacing w:line="360" w:lineRule="auto"/>
        <w:ind w:firstLine="480" w:firstLineChars="200"/>
        <w:rPr>
          <w:rFonts w:hint="eastAsia" w:ascii="宋体" w:hAnsi="宋体" w:cs="宋体"/>
          <w:strike/>
          <w:color w:val="000000" w:themeColor="text1"/>
          <w:sz w:val="24"/>
          <w:szCs w:val="24"/>
          <w:highlight w:val="none"/>
          <w14:textFill>
            <w14:solidFill>
              <w14:schemeClr w14:val="tx1"/>
            </w14:solidFill>
          </w14:textFill>
        </w:rPr>
      </w:pPr>
      <w:r>
        <w:rPr>
          <w:rFonts w:hint="eastAsia" w:ascii="宋体" w:hAnsi="宋体" w:cs="宋体"/>
          <w:strike/>
          <w:color w:val="000000" w:themeColor="text1"/>
          <w:sz w:val="24"/>
          <w:szCs w:val="24"/>
          <w:highlight w:val="none"/>
          <w14:textFill>
            <w14:solidFill>
              <w14:schemeClr w14:val="tx1"/>
            </w14:solidFill>
          </w14:textFill>
        </w:rPr>
        <w:t>4.3.3投标人撤回投标文件的，招标人自收到投标人书面撤回通知之日起5日内退还已收取的投标保证金。</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4.3.4修改的内容为投标文件的组成部分。修改的投标文件应按照本章第3条、第4条的规定进行编制、密封、标记和递交，并标明“修改”字样。</w:t>
      </w:r>
    </w:p>
    <w:p>
      <w:pPr>
        <w:rPr>
          <w:rFonts w:hint="eastAsia" w:ascii="宋体" w:hAnsi="宋体" w:cs="宋体"/>
          <w:color w:val="000000" w:themeColor="text1"/>
          <w:highlight w:val="none"/>
          <w14:textFill>
            <w14:solidFill>
              <w14:schemeClr w14:val="tx1"/>
            </w14:solidFill>
          </w14:textFill>
        </w:rPr>
      </w:pPr>
    </w:p>
    <w:p>
      <w:pPr>
        <w:pStyle w:val="22"/>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46" w:name="_Toc533357312"/>
      <w:bookmarkStart w:id="47" w:name="_Toc855829"/>
      <w:r>
        <w:rPr>
          <w:rFonts w:hint="eastAsia" w:ascii="宋体" w:hAnsi="宋体" w:eastAsia="宋体" w:cs="宋体"/>
          <w:color w:val="000000" w:themeColor="text1"/>
          <w:highlight w:val="none"/>
          <w14:textFill>
            <w14:solidFill>
              <w14:schemeClr w14:val="tx1"/>
            </w14:solidFill>
          </w14:textFill>
        </w:rPr>
        <w:t>5. 开标</w:t>
      </w:r>
      <w:bookmarkEnd w:id="46"/>
      <w:bookmarkEnd w:id="47"/>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48" w:name="bookmark53"/>
      <w:bookmarkEnd w:id="48"/>
      <w:bookmarkStart w:id="49" w:name="bookmark52"/>
      <w:bookmarkEnd w:id="49"/>
      <w:r>
        <w:rPr>
          <w:rFonts w:hint="eastAsia" w:ascii="宋体" w:hAnsi="宋体" w:cs="宋体"/>
          <w:color w:val="000000" w:themeColor="text1"/>
          <w:highlight w:val="none"/>
          <w14:textFill>
            <w14:solidFill>
              <w14:schemeClr w14:val="tx1"/>
            </w14:solidFill>
          </w14:textFill>
        </w:rPr>
        <w:t>5.1 开标时间和地点（B）</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招标人在本章第4.2.1项规定的投标截止时间（开标时间）,通过电子招标投标交易平台公开开标。</w:t>
      </w:r>
      <w:r>
        <w:rPr>
          <w:rFonts w:hint="eastAsia" w:ascii="宋体" w:hAnsi="宋体" w:eastAsia="宋体" w:cs="Times New Roman"/>
          <w:color w:val="000000" w:themeColor="text1"/>
          <w:sz w:val="24"/>
          <w:szCs w:val="24"/>
          <w:highlight w:val="none"/>
          <w:u w:val="single"/>
          <w14:textFill>
            <w14:solidFill>
              <w14:schemeClr w14:val="tx1"/>
            </w14:solidFill>
          </w14:textFill>
        </w:rPr>
        <w:t>开标时，投标人代表有权参加现场开标或在线开标，也可以自主决定不参加开标，若投标人代表对开标过程有异议的，参加现场开标的应当在开标现场提出，同时出示本人身份证原件，招标人应当当场作出答复，并制作记录；参加在线开标的，投标人应通过交易平台在线提出，招标人应通过交易平台答复，答复后方可结束开标</w:t>
      </w:r>
      <w:r>
        <w:rPr>
          <w:rFonts w:hint="eastAsia" w:ascii="宋体" w:hAnsi="宋体" w:cs="宋体"/>
          <w:color w:val="000000" w:themeColor="text1"/>
          <w:sz w:val="24"/>
          <w:szCs w:val="24"/>
          <w:highlight w:val="none"/>
          <w14:textFill>
            <w14:solidFill>
              <w14:schemeClr w14:val="tx1"/>
            </w14:solidFill>
          </w14:textFill>
        </w:rPr>
        <w:t>。</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50" w:name="bookmark54"/>
      <w:bookmarkEnd w:id="50"/>
      <w:r>
        <w:rPr>
          <w:rFonts w:hint="eastAsia" w:ascii="宋体" w:hAnsi="宋体" w:cs="宋体"/>
          <w:color w:val="000000" w:themeColor="text1"/>
          <w:highlight w:val="none"/>
          <w14:textFill>
            <w14:solidFill>
              <w14:schemeClr w14:val="tx1"/>
            </w14:solidFill>
          </w14:textFill>
        </w:rPr>
        <w:t>5.2 开标程序</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5.2.1主持人按下列程序进行开标：</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（1）宣布开标纪律；</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（2）公布在投标截止时间前递交投标文件的投标人名称；</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（3）宣布开标人、唱标人、记录人、监标人等有关人员姓名；</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（4）投标人通过电子招标投标交易平台对已递交的电子投标文件进行解密，公布招标项目名称、投标人名称、投标报价、服务期及其他内容，并记录在案；</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（5）投标人代表、招标人代表、监标人、记录人等有关人员在开标记录上签字确认；若有关人员不签字的，不影响开标程序；</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（6）开标结束。</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5.2.2</w:t>
      </w:r>
      <w:r>
        <w:rPr>
          <w:rFonts w:hint="eastAsia" w:ascii="宋体" w:hAnsi="宋体" w:cs="宋体"/>
          <w:color w:val="000000" w:themeColor="text1"/>
          <w:sz w:val="24"/>
          <w:szCs w:val="24"/>
          <w:highlight w:val="none"/>
          <w:u w:val="single"/>
          <w14:textFill>
            <w14:solidFill>
              <w14:schemeClr w14:val="tx1"/>
            </w14:solidFill>
          </w14:textFill>
        </w:rPr>
        <w:t>投标截止时间前未完成投标文件传输的或因投标人之外的原因造成投标文件未解密的，视为投标人撤回投标文件。因投标人原因造成投标文件未解密的，视为撤销其投标文件</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5.2.3</w:t>
      </w:r>
      <w:r>
        <w:rPr>
          <w:rFonts w:hint="eastAsia" w:ascii="宋体" w:hAnsi="宋体" w:cs="宋体"/>
          <w:color w:val="000000" w:themeColor="text1"/>
          <w:sz w:val="24"/>
          <w:szCs w:val="24"/>
          <w:highlight w:val="none"/>
          <w:u w:val="single"/>
          <w14:textFill>
            <w14:solidFill>
              <w14:schemeClr w14:val="tx1"/>
            </w14:solidFill>
          </w14:textFill>
        </w:rPr>
        <w:t>开标时，两个（含两个）以上的投标人加密打包投标文件电脑机器特征码一致的，不参与下一程序，并由评标委员会否决其投标</w:t>
      </w:r>
      <w:r>
        <w:rPr>
          <w:rFonts w:hint="eastAsia" w:ascii="宋体" w:hAnsi="宋体" w:cs="宋体"/>
          <w:color w:val="000000" w:themeColor="text1"/>
          <w:sz w:val="24"/>
          <w:szCs w:val="24"/>
          <w:highlight w:val="none"/>
          <w14:textFill>
            <w14:solidFill>
              <w14:schemeClr w14:val="tx1"/>
            </w14:solidFill>
          </w14:textFill>
        </w:rPr>
        <w:t>。</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51" w:name="bookmark55"/>
      <w:bookmarkEnd w:id="51"/>
      <w:r>
        <w:rPr>
          <w:rFonts w:hint="eastAsia" w:ascii="宋体" w:hAnsi="宋体" w:cs="宋体"/>
          <w:color w:val="000000" w:themeColor="text1"/>
          <w:highlight w:val="none"/>
          <w14:textFill>
            <w14:solidFill>
              <w14:schemeClr w14:val="tx1"/>
            </w14:solidFill>
          </w14:textFill>
        </w:rPr>
        <w:t>5.3 开标异议</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投标人对开标有异议的，应当在开标现场提出，并出示本人身份证，招标人当场作出答复，并制作记录。</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52" w:name="_Toc855830"/>
      <w:bookmarkStart w:id="53" w:name="_Toc533357313"/>
      <w:r>
        <w:rPr>
          <w:rFonts w:hint="eastAsia" w:ascii="宋体" w:hAnsi="宋体" w:eastAsia="宋体" w:cs="宋体"/>
          <w:color w:val="000000" w:themeColor="text1"/>
          <w:highlight w:val="none"/>
          <w14:textFill>
            <w14:solidFill>
              <w14:schemeClr w14:val="tx1"/>
            </w14:solidFill>
          </w14:textFill>
        </w:rPr>
        <w:t>6. 评标</w:t>
      </w:r>
      <w:bookmarkEnd w:id="52"/>
      <w:bookmarkEnd w:id="53"/>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54" w:name="bookmark57"/>
      <w:bookmarkEnd w:id="54"/>
      <w:r>
        <w:rPr>
          <w:rFonts w:hint="eastAsia" w:ascii="宋体" w:hAnsi="宋体" w:cs="宋体"/>
          <w:color w:val="000000" w:themeColor="text1"/>
          <w:highlight w:val="none"/>
          <w14:textFill>
            <w14:solidFill>
              <w14:schemeClr w14:val="tx1"/>
            </w14:solidFill>
          </w14:textFill>
        </w:rPr>
        <w:t>6.1 评标委员会</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6.1.1</w:t>
      </w:r>
      <w:r>
        <w:rPr>
          <w:rFonts w:hint="eastAsia" w:ascii="宋体" w:hAnsi="宋体" w:cs="宋体"/>
          <w:color w:val="000000" w:themeColor="text1"/>
          <w:sz w:val="24"/>
          <w:szCs w:val="24"/>
          <w:highlight w:val="none"/>
          <w:u w:val="single"/>
          <w14:textFill>
            <w14:solidFill>
              <w14:schemeClr w14:val="tx1"/>
            </w14:solidFill>
          </w14:textFill>
        </w:rPr>
        <w:t>开标前由招标人依法组建评标委员会</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6.1.2评标委员会成员有下列情形之一的，应当回避：</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（1）投标人或投标人主要负责人的近亲属；</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（2）项目主管部门或者行政监督部门的人员；</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（3）与投标人有经济利益关系，可能影响对投标公正评审的；</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（4）曾因在招标、评标以及其他与招标投标有关活动中从事违法行为而受过行政处罚或刑事处罚的；</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（5）与投标人有其他利害关系。</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6.1.3评标过程中，评标委员会成员有回避事由、擅离职守或者因健康等原因不能继续评标的，招标人有权更换。被更换的评标委员会成员作出的评审结论无效，由更换后的评标委员会成员重新进行评审。</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55" w:name="bookmark58"/>
      <w:bookmarkEnd w:id="55"/>
      <w:r>
        <w:rPr>
          <w:rFonts w:hint="eastAsia" w:ascii="宋体" w:hAnsi="宋体" w:cs="宋体"/>
          <w:color w:val="000000" w:themeColor="text1"/>
          <w:highlight w:val="none"/>
          <w14:textFill>
            <w14:solidFill>
              <w14:schemeClr w14:val="tx1"/>
            </w14:solidFill>
          </w14:textFill>
        </w:rPr>
        <w:t>6.2 评标原则</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评标活动遵循公平、公正、科学和择优的原则。</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56" w:name="bookmark59"/>
      <w:bookmarkEnd w:id="56"/>
      <w:r>
        <w:rPr>
          <w:rFonts w:hint="eastAsia" w:ascii="宋体" w:hAnsi="宋体" w:cs="宋体"/>
          <w:color w:val="000000" w:themeColor="text1"/>
          <w:highlight w:val="none"/>
          <w14:textFill>
            <w14:solidFill>
              <w14:schemeClr w14:val="tx1"/>
            </w14:solidFill>
          </w14:textFill>
        </w:rPr>
        <w:t>6.3 评标</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6.3.1评标委员会按照第三章“评标办法”规定的方法、评审因素、标准和程序对投标文件进行评审。第三章“评标办法”没有规定的方法、评审因素和标准，不作为评标依据。</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6.3.2评标完成后，评标委员会应当向招标人提交书面评标报告和中标候选人名单。评标委员会推荐中标候选人的人数见投标人须知前附表。</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57" w:name="bookmark60"/>
      <w:bookmarkEnd w:id="57"/>
      <w:bookmarkStart w:id="58" w:name="_Toc533357314"/>
      <w:bookmarkStart w:id="59" w:name="_Toc855831"/>
      <w:r>
        <w:rPr>
          <w:rFonts w:hint="eastAsia" w:ascii="宋体" w:hAnsi="宋体" w:eastAsia="宋体" w:cs="宋体"/>
          <w:color w:val="000000" w:themeColor="text1"/>
          <w:highlight w:val="none"/>
          <w14:textFill>
            <w14:solidFill>
              <w14:schemeClr w14:val="tx1"/>
            </w14:solidFill>
          </w14:textFill>
        </w:rPr>
        <w:t>7. 合同授予</w:t>
      </w:r>
      <w:bookmarkEnd w:id="58"/>
      <w:bookmarkEnd w:id="59"/>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0" w:name="bookmark61"/>
      <w:bookmarkEnd w:id="60"/>
      <w:r>
        <w:rPr>
          <w:rFonts w:hint="eastAsia" w:ascii="宋体" w:hAnsi="宋体" w:cs="宋体"/>
          <w:color w:val="000000" w:themeColor="text1"/>
          <w:highlight w:val="none"/>
          <w14:textFill>
            <w14:solidFill>
              <w14:schemeClr w14:val="tx1"/>
            </w14:solidFill>
          </w14:textFill>
        </w:rPr>
        <w:t>7.1 中标候选人公示</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招标人在收到评标报告之日起3日内，按照投标人须知前附表规定的公示媒介和期限公示中标候选人，公示期不得少于3天。</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1" w:name="bookmark62"/>
      <w:bookmarkEnd w:id="61"/>
      <w:r>
        <w:rPr>
          <w:rFonts w:hint="eastAsia" w:ascii="宋体" w:hAnsi="宋体" w:cs="宋体"/>
          <w:color w:val="000000" w:themeColor="text1"/>
          <w:highlight w:val="none"/>
          <w14:textFill>
            <w14:solidFill>
              <w14:schemeClr w14:val="tx1"/>
            </w14:solidFill>
          </w14:textFill>
        </w:rPr>
        <w:t>7.2 评标结果异议</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投标人或者其他利害关系人对评标结果有异议的，应当在中标候选人公示期间提出。招标人将在收到异议之日起3日内作出答复；作出答复前，将暂停招标投标活动。</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2" w:name="bookmark63"/>
      <w:bookmarkEnd w:id="62"/>
      <w:r>
        <w:rPr>
          <w:rFonts w:hint="eastAsia" w:ascii="宋体" w:hAnsi="宋体" w:cs="宋体"/>
          <w:color w:val="000000" w:themeColor="text1"/>
          <w:highlight w:val="none"/>
          <w14:textFill>
            <w14:solidFill>
              <w14:schemeClr w14:val="tx1"/>
            </w14:solidFill>
          </w14:textFill>
        </w:rPr>
        <w:t>7.3 中标候选人履约能力审查</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3" w:name="bookmark64"/>
      <w:bookmarkEnd w:id="63"/>
      <w:r>
        <w:rPr>
          <w:rFonts w:hint="eastAsia" w:ascii="宋体" w:hAnsi="宋体" w:cs="宋体"/>
          <w:color w:val="000000" w:themeColor="text1"/>
          <w:highlight w:val="none"/>
          <w14:textFill>
            <w14:solidFill>
              <w14:schemeClr w14:val="tx1"/>
            </w14:solidFill>
          </w14:textFill>
        </w:rPr>
        <w:t>7.4 定标</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按照投标人须知前附表的规定，招标人或招标人授权的评标委员会依法确定中标人。</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4" w:name="bookmark65"/>
      <w:bookmarkEnd w:id="64"/>
      <w:r>
        <w:rPr>
          <w:rFonts w:hint="eastAsia" w:ascii="宋体" w:hAnsi="宋体" w:cs="宋体"/>
          <w:color w:val="000000" w:themeColor="text1"/>
          <w:highlight w:val="none"/>
          <w14:textFill>
            <w14:solidFill>
              <w14:schemeClr w14:val="tx1"/>
            </w14:solidFill>
          </w14:textFill>
        </w:rPr>
        <w:t>7.5 中标通知</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在本章第3.3款规定的投标有效期内，招标人以书面形式向中标人发出中标通知书，同时将中标结果通知未中标的投标人。</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5" w:name="bookmark66"/>
      <w:bookmarkEnd w:id="65"/>
      <w:r>
        <w:rPr>
          <w:rFonts w:hint="eastAsia" w:ascii="宋体" w:hAnsi="宋体" w:cs="宋体"/>
          <w:color w:val="000000" w:themeColor="text1"/>
          <w:highlight w:val="none"/>
          <w14:textFill>
            <w14:solidFill>
              <w14:schemeClr w14:val="tx1"/>
            </w14:solidFill>
          </w14:textFill>
        </w:rPr>
        <w:t>7.6 履约保证金</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7.6.2 中标人不能按本章第 7.6.1 项要求提交履约保证金的，视为放弃中标</w:t>
      </w:r>
      <w:r>
        <w:rPr>
          <w:rFonts w:hint="eastAsia" w:ascii="宋体" w:hAnsi="宋体" w:cs="宋体"/>
          <w:strike/>
          <w:color w:val="000000" w:themeColor="text1"/>
          <w:sz w:val="24"/>
          <w:szCs w:val="24"/>
          <w:highlight w:val="none"/>
          <w14:textFill>
            <w14:solidFill>
              <w14:schemeClr w14:val="tx1"/>
            </w14:solidFill>
          </w14:textFill>
        </w:rPr>
        <w:t>，其投标保证金不予退还</w:t>
      </w:r>
      <w:r>
        <w:rPr>
          <w:rFonts w:hint="eastAsia" w:ascii="宋体" w:hAnsi="宋体" w:cs="宋体"/>
          <w:color w:val="000000" w:themeColor="text1"/>
          <w:sz w:val="24"/>
          <w:szCs w:val="24"/>
          <w:highlight w:val="none"/>
          <w14:textFill>
            <w14:solidFill>
              <w14:schemeClr w14:val="tx1"/>
            </w14:solidFill>
          </w14:textFill>
        </w:rPr>
        <w:t>，给招标人造成</w:t>
      </w:r>
      <w:r>
        <w:rPr>
          <w:rFonts w:hint="eastAsia" w:ascii="宋体" w:hAnsi="宋体" w:cs="宋体"/>
          <w:strike/>
          <w:dstrike w:val="0"/>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14:textFill>
            <w14:solidFill>
              <w14:schemeClr w14:val="tx1"/>
            </w14:solidFill>
          </w14:textFill>
        </w:rPr>
        <w:t>损失</w:t>
      </w:r>
      <w:r>
        <w:rPr>
          <w:rFonts w:hint="eastAsia" w:ascii="宋体" w:hAnsi="宋体" w:cs="宋体"/>
          <w:strike/>
          <w:color w:val="000000" w:themeColor="text1"/>
          <w:sz w:val="24"/>
          <w:szCs w:val="24"/>
          <w:highlight w:val="none"/>
          <w14:textFill>
            <w14:solidFill>
              <w14:schemeClr w14:val="tx1"/>
            </w14:solidFill>
          </w14:textFill>
        </w:rPr>
        <w:t>超过投标保证金数额</w:t>
      </w:r>
      <w:r>
        <w:rPr>
          <w:rFonts w:hint="eastAsia" w:ascii="宋体" w:hAnsi="宋体" w:cs="宋体"/>
          <w:color w:val="000000" w:themeColor="text1"/>
          <w:sz w:val="24"/>
          <w:szCs w:val="24"/>
          <w:highlight w:val="none"/>
          <w14:textFill>
            <w14:solidFill>
              <w14:schemeClr w14:val="tx1"/>
            </w14:solidFill>
          </w14:textFill>
        </w:rPr>
        <w:t>的，中标人还应当</w:t>
      </w:r>
      <w:r>
        <w:rPr>
          <w:rFonts w:hint="eastAsia" w:ascii="宋体" w:hAnsi="宋体" w:cs="宋体"/>
          <w:strike/>
          <w:color w:val="000000" w:themeColor="text1"/>
          <w:sz w:val="24"/>
          <w:szCs w:val="24"/>
          <w:highlight w:val="none"/>
          <w14:textFill>
            <w14:solidFill>
              <w14:schemeClr w14:val="tx1"/>
            </w14:solidFill>
          </w14:textFill>
        </w:rPr>
        <w:t>对超过部分</w:t>
      </w:r>
      <w:r>
        <w:rPr>
          <w:rFonts w:hint="eastAsia" w:ascii="宋体" w:hAnsi="宋体" w:cs="宋体"/>
          <w:color w:val="000000" w:themeColor="text1"/>
          <w:sz w:val="24"/>
          <w:szCs w:val="24"/>
          <w:highlight w:val="none"/>
          <w14:textFill>
            <w14:solidFill>
              <w14:schemeClr w14:val="tx1"/>
            </w14:solidFill>
          </w14:textFill>
        </w:rPr>
        <w:t>予以赔偿。</w:t>
      </w:r>
    </w:p>
    <w:p>
      <w:pPr>
        <w:spacing w:line="360" w:lineRule="auto"/>
        <w:ind w:firstLine="480"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7.6.3中标（承包）单位在收到中标通知书之日起，中标人应以中标人名义用银行履约保函方式提交经业主认可的见索即付银行保函作为履约保证金，履约保证金为中标价的10%，履约保函由中国注册的国有商业银行开具，是不可撤销的保函。若在中标通知书发放后，中标人未提交履约保函或未征得招标人同意延期缴交的，招标人有权取消其中标资格，并选取第二中标候选人替补。上述履约保函作为本合同的组成文件之一。履约保函应按招标文件规定的格式提供。</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7.6.4如果中标人不遵守本须知第7.6.3款的规定，招标人将有充分的理由取消其中标。</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66" w:name="bookmark67"/>
      <w:bookmarkEnd w:id="66"/>
      <w:r>
        <w:rPr>
          <w:rFonts w:hint="eastAsia" w:ascii="宋体" w:hAnsi="宋体" w:cs="宋体"/>
          <w:color w:val="000000" w:themeColor="text1"/>
          <w:highlight w:val="none"/>
          <w14:textFill>
            <w14:solidFill>
              <w14:schemeClr w14:val="tx1"/>
            </w14:solidFill>
          </w14:textFill>
        </w:rPr>
        <w:t>7.7 签订合同</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7.7.1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w:t>
      </w:r>
      <w:r>
        <w:rPr>
          <w:rFonts w:hint="eastAsia" w:ascii="宋体" w:hAnsi="宋体" w:cs="宋体"/>
          <w:strike/>
          <w:color w:val="000000" w:themeColor="text1"/>
          <w:sz w:val="24"/>
          <w:szCs w:val="24"/>
          <w:highlight w:val="none"/>
          <w14:textFill>
            <w14:solidFill>
              <w14:schemeClr w14:val="tx1"/>
            </w14:solidFill>
          </w14:textFill>
        </w:rPr>
        <w:t>，其投标保证金不予退还</w:t>
      </w:r>
      <w:r>
        <w:rPr>
          <w:rFonts w:hint="eastAsia" w:ascii="宋体" w:hAnsi="宋体" w:cs="宋体"/>
          <w:color w:val="000000" w:themeColor="text1"/>
          <w:sz w:val="24"/>
          <w:szCs w:val="24"/>
          <w:highlight w:val="none"/>
          <w14:textFill>
            <w14:solidFill>
              <w14:schemeClr w14:val="tx1"/>
            </w14:solidFill>
          </w14:textFill>
        </w:rPr>
        <w:t>；给招标人造成</w:t>
      </w:r>
      <w:r>
        <w:rPr>
          <w:rFonts w:hint="eastAsia" w:ascii="宋体" w:hAnsi="宋体" w:cs="宋体"/>
          <w:strike/>
          <w:dstrike w:val="0"/>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14:textFill>
            <w14:solidFill>
              <w14:schemeClr w14:val="tx1"/>
            </w14:solidFill>
          </w14:textFill>
        </w:rPr>
        <w:t>损失</w:t>
      </w:r>
      <w:r>
        <w:rPr>
          <w:rFonts w:hint="eastAsia" w:ascii="宋体" w:hAnsi="宋体" w:cs="宋体"/>
          <w:strike/>
          <w:color w:val="000000" w:themeColor="text1"/>
          <w:sz w:val="24"/>
          <w:szCs w:val="24"/>
          <w:highlight w:val="none"/>
          <w14:textFill>
            <w14:solidFill>
              <w14:schemeClr w14:val="tx1"/>
            </w14:solidFill>
          </w14:textFill>
        </w:rPr>
        <w:t>超过投标保证金数额</w:t>
      </w:r>
      <w:r>
        <w:rPr>
          <w:rFonts w:hint="eastAsia" w:ascii="宋体" w:hAnsi="宋体" w:cs="宋体"/>
          <w:color w:val="000000" w:themeColor="text1"/>
          <w:sz w:val="24"/>
          <w:szCs w:val="24"/>
          <w:highlight w:val="none"/>
          <w14:textFill>
            <w14:solidFill>
              <w14:schemeClr w14:val="tx1"/>
            </w14:solidFill>
          </w14:textFill>
        </w:rPr>
        <w:t>的，中标人还应当</w:t>
      </w:r>
      <w:r>
        <w:rPr>
          <w:rFonts w:hint="eastAsia" w:ascii="宋体" w:hAnsi="宋体" w:cs="宋体"/>
          <w:strike/>
          <w:color w:val="000000" w:themeColor="text1"/>
          <w:sz w:val="24"/>
          <w:szCs w:val="24"/>
          <w:highlight w:val="none"/>
          <w14:textFill>
            <w14:solidFill>
              <w14:schemeClr w14:val="tx1"/>
            </w14:solidFill>
          </w14:textFill>
        </w:rPr>
        <w:t>对超过部分</w:t>
      </w:r>
      <w:r>
        <w:rPr>
          <w:rFonts w:hint="eastAsia" w:ascii="宋体" w:hAnsi="宋体" w:cs="宋体"/>
          <w:color w:val="000000" w:themeColor="text1"/>
          <w:sz w:val="24"/>
          <w:szCs w:val="24"/>
          <w:highlight w:val="none"/>
          <w14:textFill>
            <w14:solidFill>
              <w14:schemeClr w14:val="tx1"/>
            </w14:solidFill>
          </w14:textFill>
        </w:rPr>
        <w:t>予以赔偿。</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7.7.2发出中标通知书后，招标人无正当理由拒签合同，或者在签订合同时向中标人提出附加条件的</w:t>
      </w:r>
      <w:r>
        <w:rPr>
          <w:rFonts w:hint="eastAsia" w:ascii="宋体" w:hAnsi="宋体" w:cs="宋体"/>
          <w:strike/>
          <w:color w:val="000000" w:themeColor="text1"/>
          <w:sz w:val="24"/>
          <w:szCs w:val="24"/>
          <w:highlight w:val="none"/>
          <w14:textFill>
            <w14:solidFill>
              <w14:schemeClr w14:val="tx1"/>
            </w14:solidFill>
          </w14:textFill>
        </w:rPr>
        <w:t>，招标人向中标人退还投标保证金</w:t>
      </w:r>
      <w:r>
        <w:rPr>
          <w:rFonts w:hint="eastAsia" w:ascii="宋体" w:hAnsi="宋体" w:cs="宋体"/>
          <w:color w:val="000000" w:themeColor="text1"/>
          <w:sz w:val="24"/>
          <w:szCs w:val="24"/>
          <w:highlight w:val="none"/>
          <w14:textFill>
            <w14:solidFill>
              <w14:schemeClr w14:val="tx1"/>
            </w14:solidFill>
          </w14:textFill>
        </w:rPr>
        <w:t>；给中标人造成损失的，还应当赔偿损失。</w:t>
      </w:r>
    </w:p>
    <w:p>
      <w:pPr>
        <w:spacing w:line="360" w:lineRule="auto"/>
        <w:ind w:firstLine="480" w:firstLineChars="200"/>
        <w:rPr>
          <w:rFonts w:hint="eastAsia" w:ascii="宋体" w:hAnsi="宋体"/>
          <w:strike/>
          <w:dstrike w:val="0"/>
          <w:color w:val="000000" w:themeColor="text1"/>
          <w:sz w:val="24"/>
          <w:szCs w:val="24"/>
          <w:highlight w:val="none"/>
          <w14:textFill>
            <w14:solidFill>
              <w14:schemeClr w14:val="tx1"/>
            </w14:solidFill>
          </w14:textFill>
        </w:rPr>
      </w:pPr>
      <w:r>
        <w:rPr>
          <w:rFonts w:hint="eastAsia" w:ascii="宋体" w:hAnsi="宋体"/>
          <w:strike/>
          <w:dstrike w:val="0"/>
          <w:color w:val="000000" w:themeColor="text1"/>
          <w:sz w:val="24"/>
          <w:szCs w:val="24"/>
          <w:highlight w:val="none"/>
          <w14:textFill>
            <w14:solidFill>
              <w14:schemeClr w14:val="tx1"/>
            </w14:solidFill>
          </w14:textFill>
        </w:rPr>
        <w:t>7.7.3 联合体中标的，联合体各方应当共同与招标人签订合同，就中标项目向招标人承担连带责任。</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jc w:val="left"/>
        <w:rPr>
          <w:rFonts w:hint="eastAsia" w:ascii="宋体" w:hAnsi="宋体" w:eastAsia="宋体" w:cs="宋体"/>
          <w:color w:val="000000" w:themeColor="text1"/>
          <w:highlight w:val="none"/>
          <w14:textFill>
            <w14:solidFill>
              <w14:schemeClr w14:val="tx1"/>
            </w14:solidFill>
          </w14:textFill>
        </w:rPr>
      </w:pPr>
      <w:bookmarkStart w:id="67" w:name="bookmark68"/>
      <w:bookmarkEnd w:id="67"/>
      <w:bookmarkStart w:id="68" w:name="_Toc855832"/>
      <w:bookmarkStart w:id="69" w:name="_Toc533357315"/>
      <w:r>
        <w:rPr>
          <w:rFonts w:hint="eastAsia" w:ascii="宋体" w:hAnsi="宋体" w:eastAsia="宋体" w:cs="宋体"/>
          <w:color w:val="000000" w:themeColor="text1"/>
          <w:highlight w:val="none"/>
          <w14:textFill>
            <w14:solidFill>
              <w14:schemeClr w14:val="tx1"/>
            </w14:solidFill>
          </w14:textFill>
        </w:rPr>
        <w:t>8.纪律和监督</w:t>
      </w:r>
      <w:bookmarkEnd w:id="68"/>
      <w:bookmarkEnd w:id="69"/>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70" w:name="bookmark69"/>
      <w:bookmarkEnd w:id="70"/>
      <w:r>
        <w:rPr>
          <w:rFonts w:hint="eastAsia" w:ascii="宋体" w:hAnsi="宋体" w:cs="宋体"/>
          <w:color w:val="000000" w:themeColor="text1"/>
          <w:highlight w:val="none"/>
          <w14:textFill>
            <w14:solidFill>
              <w14:schemeClr w14:val="tx1"/>
            </w14:solidFill>
          </w14:textFill>
        </w:rPr>
        <w:t>8.1 对招标人的纪律要求</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招标人不得泄露招标投标活动中应当保密的情况和资料，不得与投标人串通损害国家利益、社会公共利益或者他人合法权益。</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71" w:name="bookmark70"/>
      <w:bookmarkEnd w:id="71"/>
      <w:r>
        <w:rPr>
          <w:rFonts w:hint="eastAsia" w:ascii="宋体" w:hAnsi="宋体" w:cs="宋体"/>
          <w:color w:val="000000" w:themeColor="text1"/>
          <w:highlight w:val="none"/>
          <w14:textFill>
            <w14:solidFill>
              <w14:schemeClr w14:val="tx1"/>
            </w14:solidFill>
          </w14:textFill>
        </w:rPr>
        <w:t>8.2 对投标人的纪律要求</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72" w:name="bookmark71"/>
      <w:bookmarkEnd w:id="72"/>
      <w:r>
        <w:rPr>
          <w:rFonts w:hint="eastAsia" w:ascii="宋体" w:hAnsi="宋体" w:cs="宋体"/>
          <w:color w:val="000000" w:themeColor="text1"/>
          <w:highlight w:val="none"/>
          <w14:textFill>
            <w14:solidFill>
              <w14:schemeClr w14:val="tx1"/>
            </w14:solidFill>
          </w14:textFill>
        </w:rPr>
        <w:t>8.3 对评标委员会成员的纪律要求</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73" w:name="bookmark72"/>
      <w:bookmarkEnd w:id="73"/>
      <w:r>
        <w:rPr>
          <w:rFonts w:hint="eastAsia" w:ascii="宋体" w:hAnsi="宋体" w:cs="宋体"/>
          <w:color w:val="000000" w:themeColor="text1"/>
          <w:highlight w:val="none"/>
          <w14:textFill>
            <w14:solidFill>
              <w14:schemeClr w14:val="tx1"/>
            </w14:solidFill>
          </w14:textFill>
        </w:rPr>
        <w:t>8.4 对与评标活动有关的工作人员的纪律要求</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74" w:name="bookmark73"/>
      <w:bookmarkEnd w:id="74"/>
      <w:r>
        <w:rPr>
          <w:rFonts w:hint="eastAsia" w:ascii="宋体" w:hAnsi="宋体" w:cs="宋体"/>
          <w:color w:val="000000" w:themeColor="text1"/>
          <w:highlight w:val="none"/>
          <w14:textFill>
            <w14:solidFill>
              <w14:schemeClr w14:val="tx1"/>
            </w14:solidFill>
          </w14:textFill>
        </w:rPr>
        <w:t>8.5 投诉</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8.5.1投标人或者其他利害关系人认为招标投标活动不符合法律、行政法规规定的，可以自知道或者应当知道之日起10日内向有关行政监督部门投诉。投诉应当有明确的请求和必要的证明材料。</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8.5.2投标人或者其他利害关系人对招标文件、开标和评标结果提出投诉的，应当按照投标人须知第2.4款、第5.3款和第7.2款的规定先向招标人提出异议。异议答复期间不计算在第8.5.1项规定的期限内。</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jc w:val="left"/>
        <w:rPr>
          <w:rFonts w:hint="eastAsia" w:ascii="宋体" w:hAnsi="宋体" w:cs="宋体"/>
          <w:color w:val="000000" w:themeColor="text1"/>
          <w:highlight w:val="none"/>
          <w14:textFill>
            <w14:solidFill>
              <w14:schemeClr w14:val="tx1"/>
            </w14:solidFill>
          </w14:textFill>
        </w:rPr>
      </w:pPr>
      <w:bookmarkStart w:id="75" w:name="bookmark74"/>
      <w:bookmarkEnd w:id="75"/>
      <w:r>
        <w:rPr>
          <w:rFonts w:hint="eastAsia" w:ascii="宋体" w:hAnsi="宋体" w:cs="宋体"/>
          <w:color w:val="000000" w:themeColor="text1"/>
          <w:highlight w:val="none"/>
          <w14:textFill>
            <w14:solidFill>
              <w14:schemeClr w14:val="tx1"/>
            </w14:solidFill>
          </w14:textFill>
        </w:rPr>
        <w:t>9. 是否采用电子招标投标</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本招标项目采用电子招标投标方式，具体要求见投标人须知前附表。</w:t>
      </w:r>
    </w:p>
    <w:p>
      <w:pPr>
        <w:rPr>
          <w:rFonts w:hint="eastAsia" w:ascii="宋体" w:hAnsi="宋体" w:cs="宋体"/>
          <w:b/>
          <w:bCs/>
          <w:color w:val="000000" w:themeColor="text1"/>
          <w:sz w:val="28"/>
          <w:szCs w:val="28"/>
          <w:highlight w:val="none"/>
          <w14:textFill>
            <w14:solidFill>
              <w14:schemeClr w14:val="tx1"/>
            </w14:solidFill>
          </w14:textFill>
        </w:rPr>
      </w:pPr>
    </w:p>
    <w:p>
      <w:pPr>
        <w:spacing w:line="360" w:lineRule="auto"/>
        <w:rPr>
          <w:rFonts w:hint="eastAsia" w:ascii="宋体" w:hAnsi="宋体" w:cs="宋体"/>
          <w:b/>
          <w:bCs/>
          <w:color w:val="000000" w:themeColor="text1"/>
          <w:sz w:val="28"/>
          <w:szCs w:val="28"/>
          <w:highlight w:val="none"/>
          <w14:textFill>
            <w14:solidFill>
              <w14:schemeClr w14:val="tx1"/>
            </w14:solidFill>
          </w14:textFill>
        </w:rPr>
      </w:pPr>
      <w:bookmarkStart w:id="76" w:name="bookmark75"/>
      <w:bookmarkEnd w:id="76"/>
      <w:r>
        <w:rPr>
          <w:rFonts w:hint="eastAsia" w:ascii="宋体" w:hAnsi="宋体" w:cs="宋体"/>
          <w:b/>
          <w:bCs/>
          <w:color w:val="000000" w:themeColor="text1"/>
          <w:sz w:val="28"/>
          <w:szCs w:val="28"/>
          <w:highlight w:val="none"/>
          <w14:textFill>
            <w14:solidFill>
              <w14:schemeClr w14:val="tx1"/>
            </w14:solidFill>
          </w14:textFill>
        </w:rPr>
        <w:t>10. 需要补充的其他内容</w:t>
      </w:r>
    </w:p>
    <w:p>
      <w:pPr>
        <w:spacing w:line="360" w:lineRule="auto"/>
        <w:ind w:firstLine="480"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需要补充的其他内容：见投标人须知前附表。</w:t>
      </w:r>
    </w:p>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br w:type="page"/>
      </w:r>
    </w:p>
    <w:p>
      <w:pPr>
        <w:pStyle w:val="5"/>
        <w:keepNext w:val="0"/>
        <w:keepLines w:val="0"/>
        <w:ind w:firstLine="137"/>
        <w:rPr>
          <w:rFonts w:hint="eastAsia" w:ascii="宋体" w:hAnsi="宋体" w:eastAsia="宋体" w:cs="宋体"/>
          <w:color w:val="000000" w:themeColor="text1"/>
          <w:highlight w:val="none"/>
          <w14:textFill>
            <w14:solidFill>
              <w14:schemeClr w14:val="tx1"/>
            </w14:solidFill>
          </w14:textFill>
        </w:rPr>
      </w:pPr>
      <w:bookmarkStart w:id="77" w:name="_Toc855833"/>
      <w:bookmarkStart w:id="78" w:name="_Toc533357316"/>
      <w:r>
        <w:rPr>
          <w:rFonts w:hint="eastAsia" w:ascii="宋体" w:hAnsi="宋体" w:eastAsia="宋体" w:cs="宋体"/>
          <w:color w:val="000000" w:themeColor="text1"/>
          <w:highlight w:val="none"/>
          <w14:textFill>
            <w14:solidFill>
              <w14:schemeClr w14:val="tx1"/>
            </w14:solidFill>
          </w14:textFill>
        </w:rPr>
        <w:t>附件一：开标记录表</w:t>
      </w:r>
      <w:bookmarkEnd w:id="77"/>
      <w:bookmarkEnd w:id="78"/>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开标记录表</w:t>
      </w:r>
    </w:p>
    <w:p>
      <w:pPr>
        <w:spacing w:line="360" w:lineRule="auto"/>
        <w:jc w:val="righ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开标时间：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时</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801"/>
        <w:gridCol w:w="791"/>
        <w:gridCol w:w="923"/>
        <w:gridCol w:w="1174"/>
        <w:gridCol w:w="940"/>
        <w:gridCol w:w="807"/>
        <w:gridCol w:w="1083"/>
        <w:gridCol w:w="870"/>
        <w:gridCol w:w="604"/>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序号</w:t>
            </w:r>
          </w:p>
        </w:tc>
        <w:tc>
          <w:tcPr>
            <w:tcW w:w="801"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w:t>
            </w:r>
          </w:p>
        </w:tc>
        <w:tc>
          <w:tcPr>
            <w:tcW w:w="791"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密封情况</w:t>
            </w:r>
          </w:p>
        </w:tc>
        <w:tc>
          <w:tcPr>
            <w:tcW w:w="923"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strike/>
                <w:dstrike w:val="0"/>
                <w:color w:val="000000" w:themeColor="text1"/>
                <w:highlight w:val="none"/>
                <w14:textFill>
                  <w14:solidFill>
                    <w14:schemeClr w14:val="tx1"/>
                  </w14:solidFill>
                </w14:textFill>
              </w:rPr>
              <w:t>投标保证金</w:t>
            </w:r>
          </w:p>
        </w:tc>
        <w:tc>
          <w:tcPr>
            <w:tcW w:w="1174"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投标报价（元）</w:t>
            </w:r>
          </w:p>
        </w:tc>
        <w:tc>
          <w:tcPr>
            <w:tcW w:w="940" w:type="dxa"/>
            <w:noWrap w:val="0"/>
            <w:vAlign w:val="center"/>
          </w:tcPr>
          <w:p>
            <w:pPr>
              <w:spacing w:line="360" w:lineRule="auto"/>
              <w:jc w:val="center"/>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项目负责人</w:t>
            </w:r>
          </w:p>
        </w:tc>
        <w:tc>
          <w:tcPr>
            <w:tcW w:w="807"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服务期限</w:t>
            </w:r>
          </w:p>
        </w:tc>
        <w:tc>
          <w:tcPr>
            <w:tcW w:w="1083" w:type="dxa"/>
            <w:noWrap w:val="0"/>
            <w:vAlign w:val="center"/>
          </w:tcPr>
          <w:p>
            <w:pPr>
              <w:spacing w:line="360" w:lineRule="auto"/>
              <w:jc w:val="center"/>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投标文件递交情况</w:t>
            </w:r>
          </w:p>
        </w:tc>
        <w:tc>
          <w:tcPr>
            <w:tcW w:w="870" w:type="dxa"/>
            <w:noWrap w:val="0"/>
            <w:vAlign w:val="center"/>
          </w:tcPr>
          <w:p>
            <w:pPr>
              <w:spacing w:line="360" w:lineRule="auto"/>
              <w:jc w:val="center"/>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投标文件解密情况</w:t>
            </w:r>
          </w:p>
        </w:tc>
        <w:tc>
          <w:tcPr>
            <w:tcW w:w="604"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备注</w:t>
            </w:r>
          </w:p>
        </w:tc>
        <w:tc>
          <w:tcPr>
            <w:tcW w:w="1163"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投标人代表签名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791"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1" w:type="dxa"/>
            <w:gridSpan w:val="3"/>
            <w:noWrap w:val="0"/>
            <w:vAlign w:val="top"/>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最高投标限价：</w:t>
            </w:r>
          </w:p>
        </w:tc>
        <w:tc>
          <w:tcPr>
            <w:tcW w:w="92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7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94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07"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08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870"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604"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c>
          <w:tcPr>
            <w:tcW w:w="1163" w:type="dxa"/>
            <w:noWrap w:val="0"/>
            <w:vAlign w:val="top"/>
          </w:tcPr>
          <w:p>
            <w:pPr>
              <w:spacing w:line="360" w:lineRule="auto"/>
              <w:rPr>
                <w:rFonts w:hint="eastAsia" w:ascii="宋体" w:hAnsi="宋体"/>
                <w:color w:val="000000" w:themeColor="text1"/>
                <w:highlight w:val="none"/>
                <w14:textFill>
                  <w14:solidFill>
                    <w14:schemeClr w14:val="tx1"/>
                  </w14:solidFill>
                </w14:textFill>
              </w:rPr>
            </w:pPr>
          </w:p>
        </w:tc>
      </w:tr>
    </w:tbl>
    <w:p>
      <w:pPr>
        <w:spacing w:line="360" w:lineRule="auto"/>
        <w:rPr>
          <w:rFonts w:hint="eastAsia" w:ascii="宋体" w:hAnsi="宋体"/>
          <w:color w:val="000000" w:themeColor="text1"/>
          <w:highlight w:val="none"/>
          <w14:textFill>
            <w14:solidFill>
              <w14:schemeClr w14:val="tx1"/>
            </w14:solidFill>
          </w14:textFill>
        </w:rPr>
      </w:pP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招标人代表：</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记录人：</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 xml:space="preserve">         监标人：</w:t>
      </w:r>
      <w:r>
        <w:rPr>
          <w:rFonts w:hint="eastAsia" w:ascii="宋体" w:hAnsi="宋体"/>
          <w:color w:val="000000" w:themeColor="text1"/>
          <w:highlight w:val="none"/>
          <w:u w:val="single"/>
          <w14:textFill>
            <w14:solidFill>
              <w14:schemeClr w14:val="tx1"/>
            </w14:solidFill>
          </w14:textFill>
        </w:rPr>
        <w:t xml:space="preserve">          </w:t>
      </w:r>
    </w:p>
    <w:p>
      <w:pPr>
        <w:spacing w:line="360" w:lineRule="auto"/>
        <w:ind w:firstLine="420" w:firstLineChars="200"/>
        <w:jc w:val="righ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spacing w:line="360" w:lineRule="auto"/>
        <w:ind w:right="210"/>
        <w:rPr>
          <w:rFonts w:hint="eastAsia" w:ascii="宋体" w:hAnsi="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本表仅供参考，具体以开标时的开标记录表为准。</w:t>
      </w:r>
    </w:p>
    <w:p>
      <w:pPr>
        <w:rPr>
          <w:rFonts w:hint="eastAsia" w:ascii="宋体" w:hAnsi="宋体" w:cs="宋体"/>
          <w:color w:val="000000" w:themeColor="text1"/>
          <w:highlight w:val="none"/>
          <w14:textFill>
            <w14:solidFill>
              <w14:schemeClr w14:val="tx1"/>
            </w14:solidFill>
          </w14:textFill>
        </w:rPr>
      </w:pPr>
    </w:p>
    <w:p>
      <w:pPr>
        <w:pStyle w:val="4"/>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bookmarkStart w:id="79" w:name="_Toc532778364"/>
      <w:r>
        <w:rPr>
          <w:rFonts w:hint="eastAsia" w:ascii="宋体" w:hAnsi="宋体" w:eastAsia="宋体"/>
          <w:color w:val="000000" w:themeColor="text1"/>
          <w:highlight w:val="none"/>
          <w14:textFill>
            <w14:solidFill>
              <w14:schemeClr w14:val="tx1"/>
            </w14:solidFill>
          </w14:textFill>
        </w:rPr>
        <w:t>附件二：问题澄清通知</w:t>
      </w:r>
      <w:bookmarkEnd w:id="79"/>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问题澄清通知</w:t>
      </w:r>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（按广州公共资源交易中心的版式为准）</w:t>
      </w:r>
    </w:p>
    <w:p>
      <w:pPr>
        <w:rPr>
          <w:rFonts w:hint="eastAsia"/>
          <w:color w:val="000000" w:themeColor="text1"/>
          <w:highlight w:val="none"/>
          <w14:textFill>
            <w14:solidFill>
              <w14:schemeClr w14:val="tx1"/>
            </w14:solidFill>
          </w14:textFill>
        </w:rPr>
      </w:pPr>
    </w:p>
    <w:p>
      <w:pPr>
        <w:pStyle w:val="4"/>
        <w:rPr>
          <w:rFonts w:hint="eastAsia" w:ascii="宋体" w:hAnsi="宋体" w:eastAsia="宋体"/>
          <w:color w:val="000000" w:themeColor="text1"/>
          <w:highlight w:val="none"/>
          <w14:textFill>
            <w14:solidFill>
              <w14:schemeClr w14:val="tx1"/>
            </w14:solidFill>
          </w14:textFill>
        </w:rPr>
      </w:pPr>
      <w:r>
        <w:rPr>
          <w:rFonts w:ascii="宋体" w:hAnsi="宋体" w:eastAsia="宋体"/>
          <w:color w:val="000000" w:themeColor="text1"/>
          <w:highlight w:val="none"/>
          <w14:textFill>
            <w14:solidFill>
              <w14:schemeClr w14:val="tx1"/>
            </w14:solidFill>
          </w14:textFill>
        </w:rPr>
        <w:br w:type="page"/>
      </w:r>
      <w:bookmarkStart w:id="80" w:name="_Toc532778365"/>
      <w:r>
        <w:rPr>
          <w:rFonts w:hint="eastAsia" w:ascii="宋体" w:hAnsi="宋体" w:eastAsia="宋体"/>
          <w:color w:val="000000" w:themeColor="text1"/>
          <w:highlight w:val="none"/>
          <w14:textFill>
            <w14:solidFill>
              <w14:schemeClr w14:val="tx1"/>
            </w14:solidFill>
          </w14:textFill>
        </w:rPr>
        <w:t>附件三：问题的澄清</w:t>
      </w:r>
      <w:bookmarkEnd w:id="80"/>
    </w:p>
    <w:p>
      <w:pPr>
        <w:spacing w:line="360" w:lineRule="auto"/>
        <w:jc w:val="center"/>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问题的澄清</w:t>
      </w:r>
    </w:p>
    <w:p>
      <w:pPr>
        <w:ind w:firstLine="1928" w:firstLineChars="600"/>
        <w:rPr>
          <w:rFonts w:hint="eastAsia" w:ascii="宋体" w:hAnsi="宋体" w:cs="宋体"/>
          <w:color w:val="000000" w:themeColor="text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（按广州公共资源交易中心的版式为准）</w:t>
      </w:r>
      <w:r>
        <w:rPr>
          <w:rFonts w:hint="eastAsia" w:ascii="宋体" w:hAnsi="宋体" w:cs="宋体"/>
          <w:color w:val="000000" w:themeColor="text1"/>
          <w:highlight w:val="none"/>
          <w14:textFill>
            <w14:solidFill>
              <w14:schemeClr w14:val="tx1"/>
            </w14:solidFill>
          </w14:textFill>
        </w:rPr>
        <w:br w:type="page"/>
      </w:r>
    </w:p>
    <w:p>
      <w:pPr>
        <w:pStyle w:val="3"/>
        <w:keepNext w:val="0"/>
        <w:keepLines w:val="0"/>
        <w:spacing w:line="40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第三章评标办法（综合评估法）</w:t>
      </w:r>
    </w:p>
    <w:p>
      <w:pPr>
        <w:pStyle w:val="4"/>
        <w:keepNext w:val="0"/>
        <w:keepLines w:val="0"/>
        <w:spacing w:line="340" w:lineRule="atLeas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评标办法前附表</w:t>
      </w:r>
    </w:p>
    <w:tbl>
      <w:tblPr>
        <w:tblStyle w:val="23"/>
        <w:tblW w:w="10297" w:type="dxa"/>
        <w:tblInd w:w="-5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1124"/>
        <w:gridCol w:w="2476"/>
        <w:gridCol w:w="58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0"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条款号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评审因素</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6"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w:t>
            </w:r>
          </w:p>
        </w:tc>
        <w:tc>
          <w:tcPr>
            <w:tcW w:w="1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评标方法</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中标候选人排序方法</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本次评标采用综合评估法。评标委员会对满足招标文件实质性要求的投标文件，本项目的评分标准进行打分，并按得分由高到低顺序推荐中标候选人，</w:t>
            </w:r>
            <w:r>
              <w:rPr>
                <w:rFonts w:hint="eastAsia" w:ascii="宋体" w:hAnsi="宋体" w:eastAsia="宋体" w:cs="宋体"/>
                <w:color w:val="000000" w:themeColor="text1"/>
                <w:szCs w:val="21"/>
                <w:highlight w:val="none"/>
                <w:u w:val="none"/>
                <w14:textFill>
                  <w14:solidFill>
                    <w14:schemeClr w14:val="tx1"/>
                  </w14:solidFill>
                </w14:textFill>
              </w:rPr>
              <w:t>排序的前一～三名分别为第一中标候选人、第二中标候选人和第三中标候选人</w:t>
            </w:r>
            <w:r>
              <w:rPr>
                <w:rFonts w:hint="eastAsia" w:ascii="宋体" w:hAnsi="宋体" w:cs="宋体"/>
                <w:color w:val="000000" w:themeColor="text1"/>
                <w:szCs w:val="21"/>
                <w:highlight w:val="none"/>
                <w14:textFill>
                  <w14:solidFill>
                    <w14:schemeClr w14:val="tx1"/>
                  </w14:solidFill>
                </w14:textFill>
              </w:rPr>
              <w:t>。总得分相等时，以投标报价低的优先；投标报价也相等的，</w:t>
            </w:r>
            <w:r>
              <w:rPr>
                <w:rFonts w:hint="eastAsia" w:ascii="宋体" w:hAnsi="宋体" w:cs="宋体"/>
                <w:color w:val="000000" w:themeColor="text1"/>
                <w:szCs w:val="21"/>
                <w:highlight w:val="none"/>
                <w:u w:val="single"/>
                <w14:textFill>
                  <w14:solidFill>
                    <w14:schemeClr w14:val="tx1"/>
                  </w14:solidFill>
                </w14:textFill>
              </w:rPr>
              <w:t>以商务得分高的优先；如果商务得分也</w:t>
            </w:r>
            <w:r>
              <w:rPr>
                <w:rFonts w:hint="eastAsia" w:ascii="宋体" w:hAnsi="宋体" w:eastAsia="宋体" w:cs="宋体"/>
                <w:color w:val="000000" w:themeColor="text1"/>
                <w:szCs w:val="21"/>
                <w:highlight w:val="none"/>
                <w:u w:val="single"/>
                <w14:textFill>
                  <w14:solidFill>
                    <w14:schemeClr w14:val="tx1"/>
                  </w14:solidFill>
                </w14:textFill>
              </w:rPr>
              <w:t>相等，由评标委员会采用记名投票方式，以得票多的优先。</w:t>
            </w:r>
          </w:p>
          <w:p>
            <w:pPr>
              <w:spacing w:line="360" w:lineRule="auto"/>
              <w:rPr>
                <w:rFonts w:hint="eastAsia" w:ascii="宋体" w:hAnsi="宋体" w:cs="宋体"/>
                <w:color w:val="000000" w:themeColor="text1"/>
                <w:highlight w:val="none"/>
                <w14:textFill>
                  <w14:solidFill>
                    <w14:schemeClr w14:val="tx1"/>
                  </w14:solidFill>
                </w14:textFill>
              </w:rPr>
            </w:pPr>
            <w:r>
              <w:rPr>
                <w:rFonts w:hint="eastAsia"/>
                <w:b/>
                <w:bCs/>
                <w:color w:val="000000" w:themeColor="text1"/>
                <w:highlight w:val="none"/>
                <w:u w:val="single"/>
                <w14:textFill>
                  <w14:solidFill>
                    <w14:schemeClr w14:val="tx1"/>
                  </w14:solidFill>
                </w14:textFill>
              </w:rPr>
              <w:t>如果第一</w:t>
            </w:r>
            <w:r>
              <w:rPr>
                <w:rFonts w:hint="eastAsia" w:ascii="Times New Roman" w:hAnsi="Times New Roman" w:eastAsia="宋体" w:cs="Times New Roman"/>
                <w:b/>
                <w:bCs/>
                <w:color w:val="000000" w:themeColor="text1"/>
                <w:highlight w:val="none"/>
                <w:u w:val="single"/>
                <w14:textFill>
                  <w14:solidFill>
                    <w14:schemeClr w14:val="tx1"/>
                  </w14:solidFill>
                </w14:textFill>
              </w:rPr>
              <w:t>中标候选人与本项目的建设单位、设计企业无隶属关系及其他利害关系，投标人如已成为本项目的设计中标服务单位，则取消其中标资格</w:t>
            </w:r>
            <w:r>
              <w:rPr>
                <w:rFonts w:hint="eastAsia"/>
                <w:b/>
                <w:bCs/>
                <w:color w:val="000000" w:themeColor="text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816" w:type="dxa"/>
            <w:vMerge w:val="restart"/>
            <w:tcBorders>
              <w:top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2.1.1</w:t>
            </w:r>
          </w:p>
        </w:tc>
        <w:tc>
          <w:tcPr>
            <w:tcW w:w="1124" w:type="dxa"/>
            <w:vMerge w:val="restart"/>
            <w:tcBorders>
              <w:top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形式评审标准</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投标人名称</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16"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1124"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投标函及投标函附录签字盖章</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有法定代表人或其委托代理人签字（或盖章）和加盖单位章。由法定代表人签字（或盖章）的，应附法定代表人身份证明，由代理人签字（或盖章）的，应附授权委托书，身份证明或授权委托书应符合第六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7" w:hRule="atLeast"/>
        </w:trPr>
        <w:tc>
          <w:tcPr>
            <w:tcW w:w="816"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1124"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投标文件格式</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符合第六章“投标文件格式一《</w:t>
            </w:r>
            <w:r>
              <w:rPr>
                <w:rFonts w:hint="eastAsia" w:ascii="宋体" w:hAnsi="宋体"/>
                <w:color w:val="000000" w:themeColor="text1"/>
                <w:highlight w:val="none"/>
                <w14:textFill>
                  <w14:solidFill>
                    <w14:schemeClr w14:val="tx1"/>
                  </w14:solidFill>
                </w14:textFill>
              </w:rPr>
              <w:t>投标函及投标函附录</w:t>
            </w:r>
            <w:r>
              <w:rPr>
                <w:rFonts w:hint="eastAsia" w:ascii="宋体" w:hAnsi="宋体" w:cs="宋体"/>
                <w:color w:val="000000" w:themeColor="text1"/>
                <w:highlight w:val="none"/>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8" w:hRule="atLeast"/>
        </w:trPr>
        <w:tc>
          <w:tcPr>
            <w:tcW w:w="816"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1124" w:type="dxa"/>
            <w:vMerge w:val="continue"/>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备选投标方案</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7" w:hRule="atLeast"/>
        </w:trPr>
        <w:tc>
          <w:tcPr>
            <w:tcW w:w="816" w:type="dxa"/>
            <w:vMerge w:val="continue"/>
            <w:tcBorders>
              <w:bottom w:val="single" w:color="auto" w:sz="4" w:space="0"/>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1124" w:type="dxa"/>
            <w:tcBorders>
              <w:right w:val="single" w:color="auto" w:sz="4" w:space="0"/>
            </w:tcBorders>
            <w:noWrap w:val="0"/>
            <w:vAlign w:val="center"/>
          </w:tcPr>
          <w:p>
            <w:pP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投标人机器码</w:t>
            </w:r>
          </w:p>
        </w:tc>
        <w:tc>
          <w:tcPr>
            <w:tcW w:w="588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投标</w:t>
            </w:r>
            <w:r>
              <w:rPr>
                <w:rFonts w:hint="eastAsia" w:ascii="宋体" w:hAnsi="宋体" w:cs="宋体"/>
                <w:color w:val="000000" w:themeColor="text1"/>
                <w:highlight w:val="none"/>
                <w:u w:val="none"/>
                <w14:textFill>
                  <w14:solidFill>
                    <w14:schemeClr w14:val="tx1"/>
                  </w14:solidFill>
                </w14:textFill>
              </w:rPr>
              <w:t>人与</w:t>
            </w:r>
            <w:r>
              <w:rPr>
                <w:rFonts w:hint="eastAsia" w:ascii="宋体" w:hAnsi="宋体"/>
                <w:color w:val="000000" w:themeColor="text1"/>
                <w:szCs w:val="21"/>
                <w:highlight w:val="none"/>
                <w:u w:val="none"/>
                <w14:textFill>
                  <w14:solidFill>
                    <w14:schemeClr w14:val="tx1"/>
                  </w14:solidFill>
                </w14:textFill>
              </w:rPr>
              <w:t>本项目</w:t>
            </w:r>
            <w:r>
              <w:rPr>
                <w:rFonts w:hint="eastAsia" w:ascii="宋体" w:hAnsi="宋体" w:cs="宋体"/>
                <w:color w:val="000000" w:themeColor="text1"/>
                <w:highlight w:val="none"/>
                <w:u w:val="none"/>
                <w14:textFill>
                  <w14:solidFill>
                    <w14:schemeClr w14:val="tx1"/>
                  </w14:solidFill>
                </w14:textFill>
              </w:rPr>
              <w:t>其</w:t>
            </w:r>
            <w:r>
              <w:rPr>
                <w:rFonts w:hint="eastAsia" w:ascii="宋体" w:hAnsi="宋体" w:cs="宋体"/>
                <w:color w:val="000000" w:themeColor="text1"/>
                <w:highlight w:val="none"/>
                <w14:textFill>
                  <w14:solidFill>
                    <w14:schemeClr w14:val="tx1"/>
                  </w14:solidFill>
                </w14:textFill>
              </w:rPr>
              <w:t>他投标人加密打包投标文件电脑机器特征码一致的(以广州公共资源交易中心评标系统的检索信息为准),其投标将被否决。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restart"/>
            <w:tcBorders>
              <w:top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2.1.2</w:t>
            </w:r>
          </w:p>
        </w:tc>
        <w:tc>
          <w:tcPr>
            <w:tcW w:w="112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资格评审标准</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营业执照</w:t>
            </w:r>
            <w:r>
              <w:rPr>
                <w:rFonts w:hint="eastAsia" w:ascii="宋体" w:hAnsi="宋体"/>
                <w:color w:val="000000" w:themeColor="text1"/>
                <w:highlight w:val="none"/>
                <w:u w:val="single"/>
                <w14:textFill>
                  <w14:solidFill>
                    <w14:schemeClr w14:val="tx1"/>
                  </w14:solidFill>
                </w14:textFill>
              </w:rPr>
              <w:t>或事业单位法人证书</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w:t>
            </w:r>
            <w:r>
              <w:rPr>
                <w:rFonts w:hint="eastAsia" w:ascii="宋体" w:hAnsi="宋体"/>
                <w:color w:val="000000" w:themeColor="text1"/>
                <w:highlight w:val="none"/>
                <w:u w:val="single"/>
                <w14:textFill>
                  <w14:solidFill>
                    <w14:schemeClr w14:val="tx1"/>
                  </w14:solidFill>
                </w14:textFill>
              </w:rPr>
              <w:t xml:space="preserve"> 3.5.1.（2） </w:t>
            </w:r>
            <w:r>
              <w:rPr>
                <w:rFonts w:hint="eastAsia" w:ascii="宋体" w:hAnsi="宋体"/>
                <w:color w:val="000000" w:themeColor="text1"/>
                <w:highlight w:val="none"/>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资质要求</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财务要求</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业绩要求</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信誉要求</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项目负责人</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w:t>
            </w:r>
            <w:r>
              <w:rPr>
                <w:rFonts w:hint="eastAsia" w:ascii="宋体" w:hAnsi="宋体"/>
                <w:color w:val="000000" w:themeColor="text1"/>
                <w:highlight w:val="none"/>
                <w:u w:val="single"/>
                <w14:textFill>
                  <w14:solidFill>
                    <w14:schemeClr w14:val="tx1"/>
                  </w14:solidFill>
                </w14:textFill>
              </w:rPr>
              <w:t xml:space="preserve"> 1.4.1 </w:t>
            </w:r>
            <w:r>
              <w:rPr>
                <w:rFonts w:hint="eastAsia" w:ascii="宋体" w:hAnsi="宋体"/>
                <w:color w:val="000000" w:themeColor="text1"/>
                <w:highlight w:val="none"/>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其他主要人员</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试验检测仪器设备</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 xml:space="preserve">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其他要求</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w:t>
            </w:r>
            <w:r>
              <w:rPr>
                <w:rFonts w:hint="eastAsia" w:ascii="宋体" w:hAnsi="宋体"/>
                <w:color w:val="000000" w:themeColor="text1"/>
                <w:highlight w:val="none"/>
                <w:u w:val="single"/>
                <w14:textFill>
                  <w14:solidFill>
                    <w14:schemeClr w14:val="tx1"/>
                  </w14:solidFill>
                </w14:textFill>
              </w:rPr>
              <w:t xml:space="preserve"> 1.4.1 </w:t>
            </w:r>
            <w:r>
              <w:rPr>
                <w:rFonts w:hint="eastAsia" w:ascii="宋体" w:hAnsi="宋体"/>
                <w:color w:val="000000" w:themeColor="text1"/>
                <w:highlight w:val="none"/>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联合体投标人</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color w:val="000000" w:themeColor="text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不接受联合体投标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9" w:hRule="atLeast"/>
        </w:trPr>
        <w:tc>
          <w:tcPr>
            <w:tcW w:w="816" w:type="dxa"/>
            <w:vMerge w:val="continue"/>
            <w:tcBorders>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不存在禁止投标的情形</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不存在第二章“投标人须知”第 1.4.3 项规定的任何一种情形（以《投标人声明》为准</w:t>
            </w:r>
            <w:r>
              <w:rPr>
                <w:rFonts w:ascii="宋体" w:hAnsi="宋体"/>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816" w:type="dxa"/>
            <w:vMerge w:val="restart"/>
            <w:tcBorders>
              <w:top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2.1.3</w:t>
            </w:r>
          </w:p>
        </w:tc>
        <w:tc>
          <w:tcPr>
            <w:tcW w:w="1124"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响应性评审标准</w:t>
            </w:r>
          </w:p>
        </w:tc>
        <w:tc>
          <w:tcPr>
            <w:tcW w:w="2476" w:type="dxa"/>
            <w:tcBorders>
              <w:top w:val="single" w:color="auto" w:sz="4" w:space="0"/>
              <w:left w:val="single" w:color="auto" w:sz="4" w:space="0"/>
              <w:right w:val="single" w:color="auto" w:sz="4" w:space="0"/>
            </w:tcBorders>
            <w:noWrap w:val="0"/>
            <w:vAlign w:val="center"/>
          </w:tcPr>
          <w:p>
            <w:pPr>
              <w:autoSpaceDE w:val="0"/>
              <w:autoSpaceDN w:val="0"/>
              <w:snapToGrid w:val="0"/>
              <w:spacing w:before="44"/>
              <w:ind w:left="-4" w:leftChars="-2" w:right="-20" w:rightChars="0"/>
              <w:jc w:val="center"/>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w:t>
            </w:r>
          </w:p>
        </w:tc>
        <w:tc>
          <w:tcPr>
            <w:tcW w:w="5881" w:type="dxa"/>
            <w:tcBorders>
              <w:top w:val="single" w:color="auto" w:sz="4" w:space="0"/>
              <w:left w:val="single" w:color="auto" w:sz="4" w:space="0"/>
            </w:tcBorders>
            <w:noWrap w:val="0"/>
            <w:vAlign w:val="center"/>
          </w:tcPr>
          <w:p>
            <w:pPr>
              <w:autoSpaceDE w:val="0"/>
              <w:autoSpaceDN w:val="0"/>
              <w:adjustRightInd w:val="0"/>
              <w:snapToGrid w:val="0"/>
              <w:jc w:val="left"/>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投标文件所列投标人名称与投标登记时一致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9"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投标报价</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 3.2 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2"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投标内容</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 1.3.1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2"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服务期限</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 1.3.2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3"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质量标准</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 1.3.3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投标有效期</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符合第二章“投标人须知”第 3.3.1 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2" w:hRule="atLeast"/>
        </w:trPr>
        <w:tc>
          <w:tcPr>
            <w:tcW w:w="816" w:type="dxa"/>
            <w:vMerge w:val="continue"/>
            <w:tcBorders>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1124" w:type="dxa"/>
            <w:vMerge w:val="continue"/>
            <w:tcBorders>
              <w:left w:val="single" w:color="auto" w:sz="4" w:space="0"/>
              <w:right w:val="single" w:color="auto" w:sz="4" w:space="0"/>
            </w:tcBorders>
            <w:noWrap w:val="0"/>
            <w:vAlign w:val="center"/>
          </w:tcPr>
          <w:p>
            <w:pPr>
              <w:jc w:val="center"/>
              <w:rPr>
                <w:rFonts w:hint="eastAsia" w:ascii="宋体" w:hAnsi="宋体" w:cs="宋体"/>
                <w:color w:val="000000" w:themeColor="text1"/>
                <w:highlight w:val="none"/>
                <w14:textFill>
                  <w14:solidFill>
                    <w14:schemeClr w14:val="tx1"/>
                  </w14:solidFill>
                </w14:textFill>
              </w:rPr>
            </w:pPr>
          </w:p>
        </w:tc>
        <w:tc>
          <w:tcPr>
            <w:tcW w:w="2476"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串通投标情形</w:t>
            </w:r>
          </w:p>
        </w:tc>
        <w:tc>
          <w:tcPr>
            <w:tcW w:w="5881" w:type="dxa"/>
            <w:tcBorders>
              <w:top w:val="single" w:color="auto" w:sz="4" w:space="0"/>
              <w:left w:val="single" w:color="auto" w:sz="4" w:space="0"/>
            </w:tcBorders>
            <w:noWrap w:val="0"/>
            <w:vAlign w:val="center"/>
          </w:tcPr>
          <w:p>
            <w:pPr>
              <w:spacing w:line="360" w:lineRule="auto"/>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u w:val="single"/>
                <w14:textFill>
                  <w14:solidFill>
                    <w14:schemeClr w14:val="tx1"/>
                  </w14:solidFill>
                </w14:textFill>
              </w:rPr>
              <w:t>不存在串通投标情形（串通投标情形以《中华人民共和国招标投标法实施条例》的规定为准）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0"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条款号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条款内容</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1940" w:type="dxa"/>
            <w:gridSpan w:val="2"/>
            <w:tcBorders>
              <w:bottom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2.2.1</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分值构成</w:t>
            </w:r>
          </w:p>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(总分100分)</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商务部分</w:t>
            </w:r>
            <w:r>
              <w:rPr>
                <w:rFonts w:ascii="宋体" w:hAnsi="宋体"/>
                <w:b/>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60</w:t>
            </w:r>
            <w:r>
              <w:rPr>
                <w:rFonts w:ascii="宋体" w:hAnsi="宋体"/>
                <w:color w:val="000000" w:themeColor="text1"/>
                <w:szCs w:val="21"/>
                <w:highlight w:val="none"/>
                <w14:textFill>
                  <w14:solidFill>
                    <w14:schemeClr w14:val="tx1"/>
                  </w14:solidFill>
                </w14:textFill>
              </w:rPr>
              <w:t>分</w:t>
            </w:r>
          </w:p>
          <w:p>
            <w:pPr>
              <w:spacing w:line="360" w:lineRule="auto"/>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技术部分：</w:t>
            </w:r>
            <w:r>
              <w:rPr>
                <w:rFonts w:hint="eastAsia" w:ascii="宋体" w:hAnsi="宋体"/>
                <w:color w:val="000000" w:themeColor="text1"/>
                <w:szCs w:val="21"/>
                <w:highlight w:val="none"/>
                <w:u w:val="single"/>
                <w14:textFill>
                  <w14:solidFill>
                    <w14:schemeClr w14:val="tx1"/>
                  </w14:solidFill>
                </w14:textFill>
              </w:rPr>
              <w:t>30</w:t>
            </w:r>
            <w:r>
              <w:rPr>
                <w:rFonts w:ascii="宋体" w:hAnsi="宋体"/>
                <w:color w:val="000000" w:themeColor="text1"/>
                <w:szCs w:val="21"/>
                <w:highlight w:val="none"/>
                <w14:textFill>
                  <w14:solidFill>
                    <w14:schemeClr w14:val="tx1"/>
                  </w14:solidFill>
                </w14:textFill>
              </w:rPr>
              <w:t>分</w:t>
            </w:r>
          </w:p>
          <w:p>
            <w:pPr>
              <w:spacing w:line="360" w:lineRule="auto"/>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投标</w:t>
            </w:r>
            <w:r>
              <w:rPr>
                <w:rFonts w:ascii="宋体" w:hAnsi="宋体"/>
                <w:b/>
                <w:color w:val="000000" w:themeColor="text1"/>
                <w:szCs w:val="21"/>
                <w:highlight w:val="none"/>
                <w14:textFill>
                  <w14:solidFill>
                    <w14:schemeClr w14:val="tx1"/>
                  </w14:solidFill>
                </w14:textFill>
              </w:rPr>
              <w:t>报价</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10</w:t>
            </w:r>
            <w:r>
              <w:rPr>
                <w:rFonts w:ascii="宋体" w:hAnsi="宋体"/>
                <w:color w:val="000000" w:themeColor="text1"/>
                <w:szCs w:val="21"/>
                <w:highlight w:val="none"/>
                <w14:textFill>
                  <w14:solidFill>
                    <w14:schemeClr w14:val="tx1"/>
                  </w14:solidFill>
                </w14:textFill>
              </w:rPr>
              <w:t>分</w:t>
            </w:r>
          </w:p>
          <w:p>
            <w:pPr>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其他评分因素：</w:t>
            </w:r>
            <w:r>
              <w:rPr>
                <w:rFonts w:ascii="宋体" w:hAnsi="宋体"/>
                <w:b/>
                <w:color w:val="000000" w:themeColor="text1"/>
                <w:szCs w:val="21"/>
                <w:highlight w:val="none"/>
                <w:u w:val="words"/>
                <w14:textFill>
                  <w14:solidFill>
                    <w14:schemeClr w14:val="tx1"/>
                  </w14:solidFill>
                </w14:textFill>
              </w:rPr>
              <w:t xml:space="preserve"> </w:t>
            </w:r>
            <w:r>
              <w:rPr>
                <w:rFonts w:hint="eastAsia" w:ascii="宋体" w:hAnsi="宋体"/>
                <w:bCs/>
                <w:color w:val="000000" w:themeColor="text1"/>
                <w:szCs w:val="21"/>
                <w:highlight w:val="none"/>
                <w:u w:val="words"/>
                <w14:textFill>
                  <w14:solidFill>
                    <w14:schemeClr w14:val="tx1"/>
                  </w14:solidFill>
                </w14:textFill>
              </w:rPr>
              <w:t>/</w:t>
            </w:r>
            <w:r>
              <w:rPr>
                <w:rFonts w:ascii="宋体" w:hAnsi="宋体"/>
                <w:bCs/>
                <w:color w:val="000000" w:themeColor="text1"/>
                <w:szCs w:val="21"/>
                <w:highlight w:val="none"/>
                <w:u w:val="single"/>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40"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评标基准价计算方法</w:t>
            </w:r>
          </w:p>
        </w:tc>
        <w:tc>
          <w:tcPr>
            <w:tcW w:w="588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当通过初步评审在位于[</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×80%，</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]区间的投标价中的有效投标人大于5名时，去掉一个最高价和一个最低价，取余下有效投标价的算术平均值的作为评标基准价。当通过初步评审在位于[</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×80%，</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]区间的投标价中的有效投标人小于或等于5名时，取所有入围的有效投标价的算术平均值的作为评标基准价。若当通过初步评审没有投标价位于[</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×80%，</w:t>
            </w:r>
            <w:r>
              <w:rPr>
                <w:rFonts w:hint="eastAsia" w:ascii="宋体" w:hAnsi="宋体" w:cs="宋体"/>
                <w:color w:val="000000" w:themeColor="text1"/>
                <w:sz w:val="21"/>
                <w:szCs w:val="21"/>
                <w:highlight w:val="none"/>
                <w:lang w:eastAsia="zh-CN"/>
                <w14:textFill>
                  <w14:solidFill>
                    <w14:schemeClr w14:val="tx1"/>
                  </w14:solidFill>
                </w14:textFill>
              </w:rPr>
              <w:t>最高投标限价</w:t>
            </w:r>
            <w:r>
              <w:rPr>
                <w:rFonts w:hint="eastAsia" w:ascii="宋体" w:hAnsi="宋体" w:cs="宋体"/>
                <w:color w:val="000000" w:themeColor="text1"/>
                <w:sz w:val="21"/>
                <w:szCs w:val="21"/>
                <w:highlight w:val="none"/>
                <w14:textFill>
                  <w14:solidFill>
                    <w14:schemeClr w14:val="tx1"/>
                  </w14:solidFill>
                </w14:textFill>
              </w:rPr>
              <w:t>]区间的有效投标人，所有投标人的报价得分为0分。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940"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w:t>
            </w:r>
          </w:p>
        </w:tc>
        <w:tc>
          <w:tcPr>
            <w:tcW w:w="247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报价得分</w:t>
            </w:r>
          </w:p>
          <w:p>
            <w:pPr>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计算公式</w:t>
            </w:r>
          </w:p>
        </w:tc>
        <w:tc>
          <w:tcPr>
            <w:tcW w:w="5881" w:type="dxa"/>
            <w:tcBorders>
              <w:top w:val="single" w:color="auto" w:sz="4" w:space="0"/>
              <w:left w:val="single" w:color="auto" w:sz="4" w:space="0"/>
              <w:right w:val="single" w:color="auto" w:sz="4" w:space="0"/>
            </w:tcBorders>
            <w:noWrap w:val="0"/>
            <w:vAlign w:val="center"/>
          </w:tcPr>
          <w:p>
            <w:pPr>
              <w:spacing w:line="360" w:lineRule="auto"/>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偏差率=∣投标报价—评标基准价∣/评标基准价*100%（</w:t>
            </w:r>
            <w:r>
              <w:rPr>
                <w:rFonts w:hint="eastAsia" w:ascii="宋体" w:hAnsi="宋体" w:cs="宋体"/>
                <w:color w:val="000000" w:themeColor="text1"/>
                <w:sz w:val="21"/>
                <w:szCs w:val="21"/>
                <w:highlight w:val="none"/>
                <w:u w:val="single"/>
                <w14:textFill>
                  <w14:solidFill>
                    <w14:schemeClr w14:val="tx1"/>
                  </w14:solidFill>
                </w14:textFill>
              </w:rPr>
              <w:t>偏差率以四舍五入保留2位小数点，报价偏差率不足1%的，按直线内插法计算投标报价得分</w:t>
            </w:r>
            <w:r>
              <w:rPr>
                <w:rFonts w:hint="eastAsia" w:ascii="宋体" w:hAnsi="宋体" w:cs="宋体"/>
                <w:color w:val="000000" w:themeColor="text1"/>
                <w:sz w:val="21"/>
                <w:szCs w:val="21"/>
                <w:highlight w:val="none"/>
                <w14:textFill>
                  <w14:solidFill>
                    <w14:schemeClr w14:val="tx1"/>
                  </w14:solidFill>
                </w14:textFill>
              </w:rPr>
              <w:t>）</w:t>
            </w:r>
          </w:p>
        </w:tc>
      </w:tr>
    </w:tbl>
    <w:p>
      <w:pPr>
        <w:pStyle w:val="15"/>
        <w:rPr>
          <w:color w:val="000000" w:themeColor="text1"/>
          <w:highlight w:val="none"/>
          <w14:textFill>
            <w14:solidFill>
              <w14:schemeClr w14:val="tx1"/>
            </w14:solidFill>
          </w14:textFill>
        </w:rPr>
      </w:pPr>
      <w:r>
        <w:rPr>
          <w:rFonts w:hint="eastAsia" w:hAnsi="宋体" w:cs="宋体"/>
          <w:b/>
          <w:color w:val="000000" w:themeColor="text1"/>
          <w:spacing w:val="20"/>
          <w:sz w:val="28"/>
          <w:szCs w:val="28"/>
          <w:highlight w:val="none"/>
          <w14:textFill>
            <w14:solidFill>
              <w14:schemeClr w14:val="tx1"/>
            </w14:solidFill>
          </w14:textFill>
        </w:rPr>
        <w:br w:type="page"/>
      </w:r>
    </w:p>
    <w:p>
      <w:pPr>
        <w:spacing w:line="360" w:lineRule="auto"/>
        <w:jc w:val="center"/>
        <w:rPr>
          <w:rFonts w:ascii="宋体" w:hAnsi="宋体"/>
          <w:b/>
          <w:bCs/>
          <w:color w:val="000000" w:themeColor="text1"/>
          <w:sz w:val="28"/>
          <w:szCs w:val="13"/>
          <w:highlight w:val="none"/>
          <w14:textFill>
            <w14:solidFill>
              <w14:schemeClr w14:val="tx1"/>
            </w14:solidFill>
          </w14:textFill>
        </w:rPr>
      </w:pPr>
      <w:r>
        <w:rPr>
          <w:rFonts w:hint="eastAsia" w:ascii="宋体" w:hAnsi="宋体"/>
          <w:b/>
          <w:bCs/>
          <w:color w:val="000000" w:themeColor="text1"/>
          <w:sz w:val="28"/>
          <w:szCs w:val="13"/>
          <w:highlight w:val="none"/>
          <w14:textFill>
            <w14:solidFill>
              <w14:schemeClr w14:val="tx1"/>
            </w14:solidFill>
          </w14:textFill>
        </w:rPr>
        <w:t>综合评审评分表</w:t>
      </w:r>
    </w:p>
    <w:tbl>
      <w:tblPr>
        <w:tblStyle w:val="23"/>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718"/>
        <w:gridCol w:w="900"/>
        <w:gridCol w:w="7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napToGrid/>
              <w:jc w:val="center"/>
              <w:rPr>
                <w:b/>
                <w:bCs/>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序号</w:t>
            </w:r>
          </w:p>
        </w:tc>
        <w:tc>
          <w:tcPr>
            <w:tcW w:w="1618" w:type="dxa"/>
            <w:gridSpan w:val="2"/>
            <w:tcBorders>
              <w:top w:val="single" w:color="auto" w:sz="4" w:space="0"/>
              <w:left w:val="single" w:color="auto" w:sz="4" w:space="0"/>
              <w:bottom w:val="single" w:color="auto" w:sz="4" w:space="0"/>
              <w:right w:val="single" w:color="auto" w:sz="4" w:space="0"/>
            </w:tcBorders>
            <w:vAlign w:val="center"/>
          </w:tcPr>
          <w:p>
            <w:pPr>
              <w:snapToGrid/>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评审项目</w:t>
            </w:r>
          </w:p>
        </w:tc>
        <w:tc>
          <w:tcPr>
            <w:tcW w:w="7727" w:type="dxa"/>
            <w:tcBorders>
              <w:top w:val="single" w:color="auto" w:sz="4" w:space="0"/>
              <w:left w:val="single" w:color="auto" w:sz="4" w:space="0"/>
              <w:bottom w:val="single" w:color="auto" w:sz="4" w:space="0"/>
              <w:right w:val="single" w:color="auto" w:sz="4" w:space="0"/>
            </w:tcBorders>
            <w:vAlign w:val="center"/>
          </w:tcPr>
          <w:p>
            <w:pPr>
              <w:snapToGrid/>
              <w:jc w:val="center"/>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41" w:type="dxa"/>
            <w:vMerge w:val="restart"/>
            <w:tcBorders>
              <w:top w:val="single" w:color="auto" w:sz="4" w:space="0"/>
              <w:left w:val="single" w:color="auto" w:sz="4" w:space="0"/>
              <w:right w:val="single" w:color="auto" w:sz="4" w:space="0"/>
            </w:tcBorders>
            <w:vAlign w:val="center"/>
          </w:tcPr>
          <w:p>
            <w:pPr>
              <w:widowControl w:val="0"/>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718" w:type="dxa"/>
            <w:vMerge w:val="restart"/>
            <w:tcBorders>
              <w:top w:val="single" w:color="auto" w:sz="4" w:space="0"/>
              <w:left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商务评分（60分）</w:t>
            </w:r>
          </w:p>
        </w:tc>
        <w:tc>
          <w:tcPr>
            <w:tcW w:w="900" w:type="dxa"/>
            <w:tcBorders>
              <w:top w:val="single" w:color="auto" w:sz="4" w:space="0"/>
              <w:left w:val="single" w:color="auto" w:sz="4" w:space="0"/>
              <w:bottom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企业业绩（10分）</w:t>
            </w:r>
          </w:p>
        </w:tc>
        <w:tc>
          <w:tcPr>
            <w:tcW w:w="7727" w:type="dxa"/>
            <w:tcBorders>
              <w:top w:val="single" w:color="auto" w:sz="4" w:space="0"/>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1、投标人2021年1月1日（自投标截止之日往前推，以合同签订时间为准）的水务或水利</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BIM咨询（应用）业绩；</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（1）提供的项目总投资规模 5 亿元（含）或以上的，每项得 3分； </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（2）提供的项目总投资规模 3亿元（含）~5 亿元（不含）的，每项得 1 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（3）提供的项目总投资规模 1亿元（含）~3 亿元（不含）的，每项得 0.5 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以上三项累计得分，只计算前5项业绩，最高得 10分。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要求提供合同关键信息（包括但不限于合同标的、投资情况、签订时间、双方签章页）作为得分依据，通过合同关键信息无法判断是否得分的，还须同时提供能证明得分的其它证明资料，如甲方出具的证明文件或政府单位下发的项目投资批复文件等。</w:t>
            </w:r>
          </w:p>
          <w:p>
            <w:pPr>
              <w:ind w:left="0" w:left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2.以上资料均要求提供扫描件。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企业BIM获奖（5分）</w:t>
            </w:r>
          </w:p>
        </w:tc>
        <w:tc>
          <w:tcPr>
            <w:tcW w:w="7727" w:type="dxa"/>
            <w:tcBorders>
              <w:top w:val="single" w:color="auto" w:sz="4" w:space="0"/>
              <w:left w:val="single" w:color="auto" w:sz="4" w:space="0"/>
              <w:bottom w:val="single" w:color="auto" w:sz="4" w:space="0"/>
              <w:right w:val="single" w:color="auto" w:sz="4" w:space="0"/>
            </w:tcBorders>
            <w:vAlign w:val="center"/>
          </w:tcPr>
          <w:p>
            <w:pPr>
              <w:numPr>
                <w:ilvl w:val="-1"/>
                <w:numId w:val="0"/>
              </w:numPr>
              <w:ind w:left="0"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投标人提供近自2021年1月1日起至本项目投标截止时间（以获奖证书载明时间为准），获得国家行政机关或事业单位颁发的BIM全国竞赛奖项，每个得1分，最高5分。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同一项目多次获奖，按最高奖计，仅计1次，不可重复得分。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default" w:eastAsia="黑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1.提供相关获奖（荣誉）证书等证明材料扫描件（证明材料需体现投标人信息），未按要求提供相关材料或不清晰导致无法判断内容的不计得分。证明材料可体现BIM相关内容，如：奖项名称或获奖内容能体现 BIM 等关键词；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jc w:val="both"/>
              <w:rPr>
                <w:color w:val="000000" w:themeColor="text1"/>
                <w:highlight w:val="none"/>
                <w14:textFill>
                  <w14:solidFill>
                    <w14:schemeClr w14:val="tx1"/>
                  </w14:solidFill>
                </w14:textFill>
              </w:rPr>
            </w:pPr>
          </w:p>
        </w:tc>
        <w:tc>
          <w:tcPr>
            <w:tcW w:w="900" w:type="dxa"/>
            <w:tcBorders>
              <w:left w:val="single" w:color="auto" w:sz="4" w:space="0"/>
              <w:bottom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企业BIM能力情况（8分）</w:t>
            </w:r>
          </w:p>
        </w:tc>
        <w:tc>
          <w:tcPr>
            <w:tcW w:w="7727"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1、投标人具有水利</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水务</w:t>
            </w:r>
            <w:r>
              <w:rPr>
                <w:rFonts w:hint="eastAsia"/>
                <w:color w:val="000000" w:themeColor="text1"/>
                <w:highlight w:val="none"/>
                <w14:textFill>
                  <w14:solidFill>
                    <w14:schemeClr w14:val="tx1"/>
                  </w14:solidFill>
                </w14:textFill>
              </w:rPr>
              <w:t>工程相关三维</w:t>
            </w:r>
            <w:r>
              <w:rPr>
                <w:rFonts w:hint="eastAsia"/>
                <w:color w:val="000000" w:themeColor="text1"/>
                <w:highlight w:val="none"/>
                <w:lang w:val="en-US" w:eastAsia="zh-CN"/>
                <w14:textFill>
                  <w14:solidFill>
                    <w14:schemeClr w14:val="tx1"/>
                  </w14:solidFill>
                </w14:textFill>
              </w:rPr>
              <w:t>设计或</w:t>
            </w:r>
            <w:r>
              <w:rPr>
                <w:rFonts w:hint="eastAsia"/>
                <w:color w:val="000000" w:themeColor="text1"/>
                <w:highlight w:val="none"/>
                <w14:textFill>
                  <w14:solidFill>
                    <w14:schemeClr w14:val="tx1"/>
                  </w14:solidFill>
                </w14:textFill>
              </w:rPr>
              <w:t>数字化</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，并获得省级</w:t>
            </w:r>
            <w:r>
              <w:rPr>
                <w:rFonts w:hint="eastAsia"/>
                <w:color w:val="000000" w:themeColor="text1"/>
                <w:highlight w:val="none"/>
                <w:lang w:eastAsia="zh-CN"/>
                <w14:textFill>
                  <w14:solidFill>
                    <w14:schemeClr w14:val="tx1"/>
                  </w14:solidFill>
                </w14:textFill>
              </w:rPr>
              <w:t>或</w:t>
            </w:r>
            <w:r>
              <w:rPr>
                <w:rFonts w:hint="eastAsia"/>
                <w:color w:val="000000" w:themeColor="text1"/>
                <w:highlight w:val="none"/>
                <w14:textFill>
                  <w14:solidFill>
                    <w14:schemeClr w14:val="tx1"/>
                  </w14:solidFill>
                </w14:textFill>
              </w:rPr>
              <w:t>以上科学技术奖的，得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2、投标人主编（参编）过已发布的BIM相关标准（规范）或工程信息模型标准（规范）：①具有国家级标准（规范），每提供1个得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分；②具有省（市）级标准（规范），每提供1个得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分，本小项最高累计得分</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以上2项累计得分，最高得8分。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1、要求提供获奖证书扫描件，获奖证书应能体现"水利</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水务</w:t>
            </w:r>
            <w:r>
              <w:rPr>
                <w:rFonts w:hint="eastAsia"/>
                <w:color w:val="000000" w:themeColor="text1"/>
                <w:highlight w:val="none"/>
                <w14:textFill>
                  <w14:solidFill>
                    <w14:schemeClr w14:val="tx1"/>
                  </w14:solidFill>
                </w14:textFill>
              </w:rPr>
              <w:t>工程相关三维</w:t>
            </w:r>
            <w:r>
              <w:rPr>
                <w:rFonts w:hint="eastAsia"/>
                <w:color w:val="000000" w:themeColor="text1"/>
                <w:highlight w:val="none"/>
                <w:lang w:val="en-US" w:eastAsia="zh-CN"/>
                <w14:textFill>
                  <w14:solidFill>
                    <w14:schemeClr w14:val="tx1"/>
                  </w14:solidFill>
                </w14:textFill>
              </w:rPr>
              <w:t>设计或</w:t>
            </w:r>
            <w:r>
              <w:rPr>
                <w:rFonts w:hint="eastAsia"/>
                <w:color w:val="000000" w:themeColor="text1"/>
                <w:highlight w:val="none"/>
                <w14:textFill>
                  <w14:solidFill>
                    <w14:schemeClr w14:val="tx1"/>
                  </w14:solidFill>
                </w14:textFill>
              </w:rPr>
              <w:t>数字化</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"获奖，并有获奖单位名称。</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2、提供标准（规范）封面、扉页及编制单位页的扫描件。标准（规范）含国家标准（规范）、行业标准（规范）、地方标准（规范）。</w:t>
            </w:r>
          </w:p>
          <w:p>
            <w:pPr>
              <w:ind w:left="0" w:leftChars="0"/>
              <w:rPr>
                <w:b/>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未提供或未按要求提供或提供的不清晰导致专家无法判断的，不得分。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jc w:val="both"/>
              <w:rPr>
                <w:color w:val="000000" w:themeColor="text1"/>
                <w:highlight w:val="none"/>
                <w14:textFill>
                  <w14:solidFill>
                    <w14:schemeClr w14:val="tx1"/>
                  </w14:solidFill>
                </w14:textFill>
              </w:rPr>
            </w:pPr>
          </w:p>
        </w:tc>
        <w:tc>
          <w:tcPr>
            <w:tcW w:w="900" w:type="dxa"/>
            <w:tcBorders>
              <w:left w:val="single" w:color="auto" w:sz="4" w:space="0"/>
              <w:bottom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企业通过相关认证情况</w:t>
            </w:r>
            <w:r>
              <w:rPr>
                <w:rFonts w:hint="eastAsia"/>
                <w:color w:val="000000" w:themeColor="text1"/>
                <w:szCs w:val="21"/>
                <w:highlight w:val="none"/>
                <w14:textFill>
                  <w14:solidFill>
                    <w14:schemeClr w14:val="tx1"/>
                  </w14:solidFill>
                </w14:textFill>
              </w:rPr>
              <w:t>（10分）</w:t>
            </w:r>
          </w:p>
        </w:tc>
        <w:tc>
          <w:tcPr>
            <w:tcW w:w="7727"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1、投标人具有质量管理体系认证且在有效期内，得2分；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2、投标人具有信息安全管理体系认证且在有效期内，得2分；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3、投标人具有信息技术服务管理体系认证且在有效期内，得2分；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4、投标人具有工程数字化相关省级</w:t>
            </w:r>
            <w:r>
              <w:rPr>
                <w:rFonts w:hint="eastAsia"/>
                <w:color w:val="000000" w:themeColor="text1"/>
                <w:highlight w:val="none"/>
                <w:lang w:eastAsia="zh-CN"/>
                <w14:textFill>
                  <w14:solidFill>
                    <w14:schemeClr w14:val="tx1"/>
                  </w14:solidFill>
                </w14:textFill>
              </w:rPr>
              <w:t>或以上</w:t>
            </w:r>
            <w:r>
              <w:rPr>
                <w:rFonts w:hint="eastAsia"/>
                <w:color w:val="000000" w:themeColor="text1"/>
                <w:highlight w:val="none"/>
                <w14:textFill>
                  <w14:solidFill>
                    <w14:schemeClr w14:val="tx1"/>
                  </w14:solidFill>
                </w14:textFill>
              </w:rPr>
              <w:t>工程实验室（工程研究中心）的，得4分；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以上4项累计得分，最高得10分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1、投标人提供有效期内的认证证书扫描件及在全国认证认可信息公共服务平台（认e云）（http://cx.cnca.cn/CertECloud/index/index/page）查询有效的截图；</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2、投标人提供</w:t>
            </w:r>
            <w:r>
              <w:rPr>
                <w:rFonts w:hint="eastAsia"/>
                <w:color w:val="000000" w:themeColor="text1"/>
                <w:highlight w:val="none"/>
                <w:lang w:val="en-US" w:eastAsia="zh-CN"/>
                <w14:textFill>
                  <w14:solidFill>
                    <w14:schemeClr w14:val="tx1"/>
                  </w14:solidFill>
                </w14:textFill>
              </w:rPr>
              <w:t>工程</w:t>
            </w:r>
            <w:r>
              <w:rPr>
                <w:rFonts w:hint="eastAsia"/>
                <w:color w:val="000000" w:themeColor="text1"/>
                <w:highlight w:val="none"/>
                <w14:textFill>
                  <w14:solidFill>
                    <w14:schemeClr w14:val="tx1"/>
                  </w14:solidFill>
                </w14:textFill>
              </w:rPr>
              <w:t>数字化相关</w:t>
            </w:r>
            <w:r>
              <w:rPr>
                <w:rFonts w:hint="eastAsia"/>
                <w:color w:val="000000" w:themeColor="text1"/>
                <w:highlight w:val="none"/>
                <w:lang w:val="en-US" w:eastAsia="zh-CN"/>
                <w14:textFill>
                  <w14:solidFill>
                    <w14:schemeClr w14:val="tx1"/>
                  </w14:solidFill>
                </w14:textFill>
              </w:rPr>
              <w:t>省级或以上实验室（工程研究中心）认证</w:t>
            </w:r>
            <w:r>
              <w:rPr>
                <w:rFonts w:hint="eastAsia"/>
                <w:color w:val="000000" w:themeColor="text1"/>
                <w:highlight w:val="none"/>
                <w14:textFill>
                  <w14:solidFill>
                    <w14:schemeClr w14:val="tx1"/>
                  </w14:solidFill>
                </w14:textFill>
              </w:rPr>
              <w:t>证书扫描件或相关</w:t>
            </w:r>
            <w:r>
              <w:rPr>
                <w:rFonts w:hint="eastAsia"/>
                <w:color w:val="000000" w:themeColor="text1"/>
                <w:highlight w:val="none"/>
                <w:lang w:val="en-US" w:eastAsia="zh-CN"/>
                <w14:textFill>
                  <w14:solidFill>
                    <w14:schemeClr w14:val="tx1"/>
                  </w14:solidFill>
                </w14:textFill>
              </w:rPr>
              <w:t>认定</w:t>
            </w:r>
            <w:r>
              <w:rPr>
                <w:rFonts w:hint="eastAsia"/>
                <w:color w:val="000000" w:themeColor="text1"/>
                <w:highlight w:val="none"/>
                <w14:textFill>
                  <w14:solidFill>
                    <w14:schemeClr w14:val="tx1"/>
                  </w14:solidFill>
                </w14:textFill>
              </w:rPr>
              <w:t>文件；</w:t>
            </w:r>
          </w:p>
          <w:p>
            <w:pPr>
              <w:rPr>
                <w:b/>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未提供或未按要求提供或提供的不清晰导致专家无法判断的，不得分。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jc w:val="both"/>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jc w:val="both"/>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拟安排的项目负责人情况（仅限一人）</w:t>
            </w:r>
            <w:r>
              <w:rPr>
                <w:rFonts w:hint="eastAsia"/>
                <w:color w:val="000000" w:themeColor="text1"/>
                <w:szCs w:val="21"/>
                <w:highlight w:val="none"/>
                <w14:textFill>
                  <w14:solidFill>
                    <w14:schemeClr w14:val="tx1"/>
                  </w14:solidFill>
                </w14:textFill>
              </w:rPr>
              <w:t>（10分）</w:t>
            </w:r>
          </w:p>
        </w:tc>
        <w:tc>
          <w:tcPr>
            <w:tcW w:w="7727"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1、具有注册公用设备工程师（给水排水）执业资格或注册土木工程师（水利水电）执业资格的，得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w:t>
            </w:r>
          </w:p>
          <w:p>
            <w:pP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、自2021年1月1日至本项目投标截止日（以合同签订日期为准），以项目负责人身份参与的水利、水务工程BIM咨询或BIM建模项目的，每提供1个项目得</w:t>
            </w: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分，本小项最高得</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1、提供证书扫描件作为得分依据；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2、负责人项目经验须提供业绩合同关键页扫描件（合同关键页面应包括封面、服务内容、签订时间、盖章页等），若合同上未体现项目负责人的，以业主证明文件为准；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同时提供投标截止日前投标人缴纳的近3个月（由于社保部门原因最近一个月的社保证明无法提供的可往前顺延一个月）的社保证明作为自有员工的证明依据；如供应商为新成立企业且成立时间不足三个月可提供情况说明或证明材料亦视为符合；</w:t>
            </w:r>
          </w:p>
          <w:p>
            <w:pPr>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4、评分中出现无证明资料或者专家无法凭所提供资料判断是否得分的情况，一律做不得分处理。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拟安排的项目技术负责人情况（仅限一人）（7分）</w:t>
            </w:r>
          </w:p>
        </w:tc>
        <w:tc>
          <w:tcPr>
            <w:tcW w:w="7727" w:type="dxa"/>
            <w:tcBorders>
              <w:top w:val="single" w:color="auto" w:sz="4" w:space="0"/>
              <w:left w:val="single" w:color="auto" w:sz="4" w:space="0"/>
              <w:bottom w:val="single" w:color="auto" w:sz="4" w:space="0"/>
              <w:right w:val="single" w:color="auto" w:sz="4" w:space="0"/>
            </w:tcBorders>
            <w:vAlign w:val="center"/>
          </w:tcPr>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1、具有副高级或以上职称（工程类专业）的，得2分；</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2、自2021年1月1日至本项目投标截止日（以合同签订日期为准），以项目负责人身份参与BIM咨询或BIM建模项目的，每提供1个项目得1分，本小项最高得3分；</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3、主编（或为主要起草人）由市级或以上政府主管部门已发布的BIM相关标准（或规范）或工程信息模型标准（或规范）的，每提供1个得1分，本小项最高得2分。</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1、提供证书扫描件作为得分依据；</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2、负责人项目经验须提供业绩合同关键页扫描件（合同关键页面应包括封面、服务内容、签订时间、盖章页等），若合同上未体现项目负责人的，以业主证明文件为准；</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3、标准（或规范）提供标准（或规范）封面、扉页及编制人员页的扫描件。标准（或规范）含国家标准（或规范）、行业标准（或规范）、地方标准（或规范）；</w:t>
            </w:r>
          </w:p>
          <w:p>
            <w:pPr>
              <w:snapToGrid/>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同时提供投标截止日前投标人缴纳的近3个月（由于社保部门原因最近一个月的社保证明无法提供的可往前顺延一个月）的社保证明作为自有员工的证明依据；如供应商为新成立企业且成立时间不足三个月可提供情况说明或证明材料亦视为符合；</w:t>
            </w:r>
          </w:p>
          <w:p>
            <w:pPr>
              <w:spacing w:after="0"/>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5、评分中出现无证明资料或者专家无法凭所提供资料判断是否得分的情况，一律做不得分处理。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bottom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拟安排的项目主要团队成员情况（项目负责人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技术负责人除外）（10分）</w:t>
            </w:r>
          </w:p>
        </w:tc>
        <w:tc>
          <w:tcPr>
            <w:tcW w:w="7727"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1、具有水利、水务相关专业副高级或以上职称</w:t>
            </w:r>
            <w:r>
              <w:rPr>
                <w:rFonts w:hint="eastAsia"/>
                <w:color w:val="000000" w:themeColor="text1"/>
                <w:highlight w:val="none"/>
                <w:lang w:val="en-US" w:eastAsia="zh-CN"/>
                <w14:textFill>
                  <w14:solidFill>
                    <w14:schemeClr w14:val="tx1"/>
                  </w14:solidFill>
                </w14:textFill>
              </w:rPr>
              <w:t>的得0.5</w:t>
            </w:r>
            <w:r>
              <w:rPr>
                <w:rFonts w:hint="eastAsia"/>
                <w:color w:val="000000" w:themeColor="text1"/>
                <w:highlight w:val="none"/>
                <w14:textFill>
                  <w14:solidFill>
                    <w14:schemeClr w14:val="tx1"/>
                  </w14:solidFill>
                </w14:textFill>
              </w:rPr>
              <w:t>分；</w:t>
            </w:r>
            <w:r>
              <w:rPr>
                <w:rFonts w:hint="eastAsia"/>
                <w:color w:val="000000" w:themeColor="text1"/>
                <w:highlight w:val="none"/>
                <w:lang w:val="en-US" w:eastAsia="zh-CN"/>
                <w14:textFill>
                  <w14:solidFill>
                    <w14:schemeClr w14:val="tx1"/>
                  </w14:solidFill>
                </w14:textFill>
              </w:rPr>
              <w:t>同时</w:t>
            </w:r>
            <w:r>
              <w:rPr>
                <w:rFonts w:hint="eastAsia"/>
                <w:color w:val="000000" w:themeColor="text1"/>
                <w:highlight w:val="none"/>
                <w14:textFill>
                  <w14:solidFill>
                    <w14:schemeClr w14:val="tx1"/>
                  </w14:solidFill>
                </w14:textFill>
              </w:rPr>
              <w:t>具有注册公用设备工程师（给水排水）执业资格或注册土木工程师（水利水电）执业资格的，</w:t>
            </w:r>
            <w:r>
              <w:rPr>
                <w:rFonts w:hint="eastAsia"/>
                <w:color w:val="000000" w:themeColor="text1"/>
                <w:highlight w:val="none"/>
                <w:lang w:val="en-US" w:eastAsia="zh-CN"/>
                <w14:textFill>
                  <w14:solidFill>
                    <w14:schemeClr w14:val="tx1"/>
                  </w14:solidFill>
                </w14:textFill>
              </w:rPr>
              <w:t>加0.5</w:t>
            </w:r>
            <w:r>
              <w:rPr>
                <w:rFonts w:hint="eastAsia"/>
                <w:color w:val="000000" w:themeColor="text1"/>
                <w:highlight w:val="none"/>
                <w14:textFill>
                  <w14:solidFill>
                    <w14:schemeClr w14:val="tx1"/>
                  </w14:solidFill>
                </w14:textFill>
              </w:rPr>
              <w:t>分，本小项最高得</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分；</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、具有信息系统项目管理师证书，每提供1人得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分，本小项最高得2分；</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、具有国家级BIM技能等级证书的，每提供1人得</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分，本小项最高得2分；</w:t>
            </w:r>
          </w:p>
          <w:p>
            <w:pPr>
              <w:widowControl w:val="0"/>
              <w:spacing w:line="240" w:lineRule="auto"/>
              <w:ind w:right="0" w:rightChars="0"/>
              <w:textAlignment w:val="auto"/>
              <w:rPr>
                <w:rFonts w:hint="eastAsia" w:ascii="Times New Roman" w:hAnsi="Times New Roman" w:eastAsia="宋体" w:cs="Times New Roman"/>
                <w:color w:val="000000" w:themeColor="text1"/>
                <w:highlight w:val="none"/>
                <w14:textFill>
                  <w14:solidFill>
                    <w14:schemeClr w14:val="tx1"/>
                  </w14:solidFill>
                </w14:textFill>
              </w:rPr>
            </w:pPr>
            <w:r>
              <w:rPr>
                <w:rFonts w:hint="eastAsia" w:cs="Times New Roman"/>
                <w:color w:val="000000" w:themeColor="text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highlight w:val="none"/>
                <w14:textFill>
                  <w14:solidFill>
                    <w14:schemeClr w14:val="tx1"/>
                  </w14:solidFill>
                </w14:textFill>
              </w:rPr>
              <w:t>、具有注册信息安全管理人员（CISP）</w:t>
            </w:r>
            <w:r>
              <w:rPr>
                <w:rFonts w:hint="eastAsia"/>
                <w:color w:val="000000" w:themeColor="text1"/>
                <w:highlight w:val="none"/>
                <w14:textFill>
                  <w14:solidFill>
                    <w14:schemeClr w14:val="tx1"/>
                  </w14:solidFill>
                </w14:textFill>
              </w:rPr>
              <w:t>的，每提供1人得2分，本小项最高得2分</w:t>
            </w:r>
            <w:r>
              <w:rPr>
                <w:rFonts w:hint="eastAsia" w:ascii="Times New Roman" w:hAnsi="Times New Roman" w:eastAsia="宋体" w:cs="Times New Roman"/>
                <w:color w:val="000000" w:themeColor="text1"/>
                <w:highlight w:val="none"/>
                <w14:textFill>
                  <w14:solidFill>
                    <w14:schemeClr w14:val="tx1"/>
                  </w14:solidFill>
                </w14:textFill>
              </w:rPr>
              <w:t>。</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1、提供证书扫描件作为得分依据；</w:t>
            </w:r>
          </w:p>
          <w:p>
            <w:pPr>
              <w:widowControl w:val="0"/>
              <w:spacing w:line="240" w:lineRule="auto"/>
              <w:ind w:right="0" w:rightChars="0"/>
              <w:textAlignment w:val="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同时提供投标截止日前投标人缴纳的近3个月（由于社保部门原因最近一个月的社保证明无法提供的可往前顺延一个月）的社保证明作为自有员工的证明依据；如供应商为新成立企业且成立时间不足三个月可提供情况说明或证明材料亦视为符合；</w:t>
            </w:r>
          </w:p>
          <w:p>
            <w:pP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3、评分中出现无证明资料或者专家无法凭所提供资料判断是否得分的情况，一律做不得分处理。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1" w:type="dxa"/>
            <w:vMerge w:val="restart"/>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718" w:type="dxa"/>
            <w:vMerge w:val="restart"/>
            <w:tcBorders>
              <w:top w:val="single" w:color="auto" w:sz="4" w:space="0"/>
              <w:left w:val="single" w:color="auto" w:sz="4" w:space="0"/>
              <w:right w:val="single" w:color="auto" w:sz="4" w:space="0"/>
            </w:tcBorders>
            <w:vAlign w:val="center"/>
          </w:tcPr>
          <w:p>
            <w:pPr>
              <w:spacing w:line="24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技术评分（30分）</w:t>
            </w: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项目实施方案（20分）</w:t>
            </w:r>
          </w:p>
        </w:tc>
        <w:tc>
          <w:tcPr>
            <w:tcW w:w="7727"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（1）详细阐述项目建设的背景和目标</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（2）详细阐述项目组织管理方案</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（3）详细阐述项目交付节点的计划安排</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（4）详细阐述项目BIM应用实施内容（含技术路线、模型的精度要求，模型的应用场景等）</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（5）详细阐述项目基于BIM协同平台的管理方案；</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根据招标文件的需求和投标文件响应情况，按照完整性、合理性和准确程度进行分档评分：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（1）优：内容完整，可操作性强，针对性强，得20分；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（2）良：内容较完整，可操作性较强，针对性较强，得 14分；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（3）中：内容完整性一般，可操作性一般，针对性一般，得8分；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（4）差：内容不完整、不可操作或无针对性，得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41" w:type="dxa"/>
            <w:vMerge w:val="continue"/>
            <w:tcBorders>
              <w:left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spacing w:line="240" w:lineRule="auto"/>
              <w:jc w:val="both"/>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项目建设重难点分析、应对措施及相关的合理化建议（5分）</w:t>
            </w:r>
          </w:p>
        </w:tc>
        <w:tc>
          <w:tcPr>
            <w:tcW w:w="7727" w:type="dxa"/>
            <w:tcBorders>
              <w:top w:val="single" w:color="auto" w:sz="4" w:space="0"/>
              <w:left w:val="single" w:color="auto" w:sz="4" w:space="0"/>
              <w:bottom w:val="single" w:color="auto" w:sz="4" w:space="0"/>
              <w:right w:val="single" w:color="auto" w:sz="4" w:space="0"/>
            </w:tcBorders>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（1）详细阐述项目实施存在的重难点问题及对应的应对措施：</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（2）详细向采购方提出推动本项目BIM应用的具体建议。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根据招标文件的需求和投标文件响应情况，按照完整性、合理性和准确程度进行分档评分：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（1）优：内容完整，可操作性强，针对性强，得5分；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（2）良：内容较完整，可操作性较强，针对性较强，得 4分；</w:t>
            </w: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（3）中：内容完整性一般，可操作性一般，针对性一般，得 3分；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（4）差：内容不完整、不可操作或无针对性，得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541" w:type="dxa"/>
            <w:vMerge w:val="continue"/>
            <w:tcBorders>
              <w:left w:val="single" w:color="auto" w:sz="4" w:space="0"/>
              <w:right w:val="single" w:color="auto" w:sz="4" w:space="0"/>
            </w:tcBorders>
            <w:vAlign w:val="center"/>
          </w:tcPr>
          <w:p>
            <w:pPr>
              <w:rPr>
                <w:color w:val="000000" w:themeColor="text1"/>
                <w:highlight w:val="none"/>
                <w14:textFill>
                  <w14:solidFill>
                    <w14:schemeClr w14:val="tx1"/>
                  </w14:solidFill>
                </w14:textFill>
              </w:rPr>
            </w:pPr>
          </w:p>
        </w:tc>
        <w:tc>
          <w:tcPr>
            <w:tcW w:w="718" w:type="dxa"/>
            <w:vMerge w:val="continue"/>
            <w:tcBorders>
              <w:left w:val="single" w:color="auto" w:sz="4" w:space="0"/>
              <w:right w:val="single" w:color="auto" w:sz="4" w:space="0"/>
            </w:tcBorders>
            <w:vAlign w:val="center"/>
          </w:tcPr>
          <w:p>
            <w:pPr>
              <w:spacing w:line="240" w:lineRule="auto"/>
              <w:jc w:val="both"/>
              <w:rPr>
                <w:color w:val="000000" w:themeColor="text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质量保障措施及方案（5分）</w:t>
            </w:r>
          </w:p>
        </w:tc>
        <w:tc>
          <w:tcPr>
            <w:tcW w:w="7727" w:type="dxa"/>
            <w:tcBorders>
              <w:top w:val="single" w:color="auto" w:sz="4" w:space="0"/>
              <w:left w:val="single" w:color="auto" w:sz="4" w:space="0"/>
              <w:bottom w:val="single" w:color="auto" w:sz="4" w:space="0"/>
              <w:right w:val="single" w:color="auto" w:sz="4" w:space="0"/>
            </w:tcBorders>
            <w:vAlign w:val="center"/>
          </w:tcPr>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（一）评分内容：</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（1）详细阐述各项工作的时间安排、工作进度与服务成果清单：</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（2）详细阐述项目进度管理措施；</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（3）详细阐述项目质量管理措施</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（4）详细阐述项目资料和成果的安全性保障措施。</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（二）评分依据</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根据招标文件的需求和投标文件响应情况，按照完整性、合理性和准确程度进行分档评分：</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（1）优：内容完整，可操作性强，针对性强，得5分；</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（2）良：内容较完整，可操作性较强，针对性较强，得 4分；</w:t>
            </w:r>
          </w:p>
          <w:p>
            <w:pPr>
              <w:snapToGrid/>
              <w:spacing w:line="24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（3）中：内容完整性一般，可操作性一般，针对性一般，得 3分；</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（4）差：内容不完整、不可操作或无针对性，得0分。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p>
        </w:tc>
        <w:tc>
          <w:tcPr>
            <w:tcW w:w="718" w:type="dxa"/>
            <w:tcBorders>
              <w:top w:val="single" w:color="auto" w:sz="4" w:space="0"/>
              <w:left w:val="single" w:color="auto" w:sz="4" w:space="0"/>
              <w:bottom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投标报价（10分）</w:t>
            </w:r>
          </w:p>
        </w:tc>
        <w:tc>
          <w:tcPr>
            <w:tcW w:w="900" w:type="dxa"/>
            <w:tcBorders>
              <w:top w:val="single" w:color="auto" w:sz="4" w:space="0"/>
              <w:left w:val="single" w:color="auto" w:sz="4" w:space="0"/>
              <w:bottom w:val="single" w:color="auto" w:sz="4" w:space="0"/>
              <w:right w:val="single" w:color="auto" w:sz="4" w:space="0"/>
            </w:tcBorders>
            <w:vAlign w:val="center"/>
          </w:tcPr>
          <w:p>
            <w:pPr>
              <w:snapToGrid/>
              <w:jc w:val="both"/>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投标报价得分（10分）</w:t>
            </w:r>
          </w:p>
        </w:tc>
        <w:tc>
          <w:tcPr>
            <w:tcW w:w="7727" w:type="dxa"/>
            <w:tcBorders>
              <w:top w:val="single" w:color="auto" w:sz="4" w:space="0"/>
              <w:left w:val="single" w:color="auto" w:sz="4" w:space="0"/>
              <w:bottom w:val="single" w:color="auto" w:sz="4" w:space="0"/>
              <w:right w:val="single" w:color="auto" w:sz="4" w:space="0"/>
            </w:tcBorders>
            <w:vAlign w:val="center"/>
          </w:tcPr>
          <w:p>
            <w:pPr>
              <w:snapToGrid/>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以评标基准价作为计算各有效投标价得分的基础</w:t>
            </w:r>
            <w:r>
              <w:rPr>
                <w:rFonts w:hint="eastAsia"/>
                <w:color w:val="000000" w:themeColor="text1"/>
                <w:highlight w:val="none"/>
                <w14:textFill>
                  <w14:solidFill>
                    <w14:schemeClr w14:val="tx1"/>
                  </w14:solidFill>
                </w14:textFill>
              </w:rPr>
              <w:t>。当有效投标报价等于评标基准价时得10分；投标有效报价与评标基准价相比，每上偏差1%扣</w:t>
            </w:r>
            <w:r>
              <w:rPr>
                <w:rFonts w:hint="eastAsia"/>
                <w:color w:val="000000" w:themeColor="text1"/>
                <w:highlight w:val="none"/>
                <w:u w:val="single"/>
                <w14:textFill>
                  <w14:solidFill>
                    <w14:schemeClr w14:val="tx1"/>
                  </w14:solidFill>
                </w14:textFill>
              </w:rPr>
              <w:t>1</w:t>
            </w:r>
            <w:r>
              <w:rPr>
                <w:rFonts w:hint="eastAsia"/>
                <w:color w:val="000000" w:themeColor="text1"/>
                <w:highlight w:val="none"/>
                <w14:textFill>
                  <w14:solidFill>
                    <w14:schemeClr w14:val="tx1"/>
                  </w14:solidFill>
                </w14:textFill>
              </w:rPr>
              <w:t>分，每下偏差1%扣</w:t>
            </w:r>
            <w:r>
              <w:rPr>
                <w:rFonts w:hint="eastAsia"/>
                <w:color w:val="000000" w:themeColor="text1"/>
                <w:highlight w:val="none"/>
                <w:u w:val="single"/>
                <w14:textFill>
                  <w14:solidFill>
                    <w14:schemeClr w14:val="tx1"/>
                  </w14:solidFill>
                </w14:textFill>
              </w:rPr>
              <w:t>0.5</w:t>
            </w:r>
            <w:r>
              <w:rPr>
                <w:rFonts w:hint="eastAsia"/>
                <w:color w:val="000000" w:themeColor="text1"/>
                <w:highlight w:val="none"/>
                <w14:textFill>
                  <w14:solidFill>
                    <w14:schemeClr w14:val="tx1"/>
                  </w14:solidFill>
                </w14:textFill>
              </w:rPr>
              <w:t>分。</w:t>
            </w:r>
          </w:p>
        </w:tc>
      </w:tr>
    </w:tbl>
    <w:p>
      <w:pP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、评标委员会成员根据《综合评审评分表》的内容对投标人进行评分，</w:t>
      </w:r>
      <w:r>
        <w:rPr>
          <w:rFonts w:hint="eastAsia" w:ascii="宋体" w:hAnsi="宋体"/>
          <w:color w:val="000000" w:themeColor="text1"/>
          <w:szCs w:val="21"/>
          <w:highlight w:val="none"/>
          <w14:textFill>
            <w14:solidFill>
              <w14:schemeClr w14:val="tx1"/>
            </w14:solidFill>
          </w14:textFill>
        </w:rPr>
        <w:t>投标人的综合得分为各评委的算术平均分。</w:t>
      </w:r>
      <w:r>
        <w:rPr>
          <w:rFonts w:hint="eastAsia" w:ascii="宋体" w:hAnsi="宋体" w:cs="宋体"/>
          <w:color w:val="000000" w:themeColor="text1"/>
          <w:szCs w:val="21"/>
          <w:highlight w:val="none"/>
          <w14:textFill>
            <w14:solidFill>
              <w14:schemeClr w14:val="tx1"/>
            </w14:solidFill>
          </w14:textFill>
        </w:rPr>
        <w:t>（分数出现小数点时，保留小数点后二位，第三位小数四舍五入）。</w:t>
      </w:r>
    </w:p>
    <w:p>
      <w:pPr>
        <w:pStyle w:val="22"/>
        <w:rPr>
          <w:rFonts w:hint="eastAsia" w:ascii="宋体" w:hAnsi="宋体" w:cs="宋体"/>
          <w:color w:val="000000" w:themeColor="text1"/>
          <w:szCs w:val="21"/>
          <w:highlight w:val="none"/>
          <w14:textFill>
            <w14:solidFill>
              <w14:schemeClr w14:val="tx1"/>
            </w14:solidFill>
          </w14:textFill>
        </w:rPr>
        <w:sectPr>
          <w:headerReference r:id="rId5" w:type="first"/>
          <w:footerReference r:id="rId7" w:type="first"/>
          <w:headerReference r:id="rId4" w:type="default"/>
          <w:footerReference r:id="rId6" w:type="default"/>
          <w:pgSz w:w="11907" w:h="16840"/>
          <w:pgMar w:top="1304" w:right="1304" w:bottom="1304" w:left="1324" w:header="720" w:footer="720" w:gutter="113"/>
          <w:cols w:space="720" w:num="1"/>
          <w:titlePg/>
          <w:docGrid w:linePitch="312" w:charSpace="0"/>
        </w:sectPr>
      </w:pPr>
    </w:p>
    <w:p>
      <w:pPr>
        <w:pStyle w:val="4"/>
        <w:keepNext w:val="0"/>
        <w:keepLines w:val="0"/>
        <w:spacing w:line="340" w:lineRule="atLeast"/>
        <w:rPr>
          <w:rFonts w:hint="eastAsia" w:ascii="宋体" w:hAnsi="宋体" w:eastAsia="宋体" w:cs="宋体"/>
          <w:color w:val="000000" w:themeColor="text1"/>
          <w:highlight w:val="none"/>
          <w14:textFill>
            <w14:solidFill>
              <w14:schemeClr w14:val="tx1"/>
            </w14:solidFill>
          </w14:textFill>
        </w:rPr>
      </w:pPr>
      <w:bookmarkStart w:id="81" w:name="_Toc855836"/>
      <w:bookmarkStart w:id="82" w:name="_Toc533357319"/>
      <w:r>
        <w:rPr>
          <w:rFonts w:hint="eastAsia" w:ascii="宋体" w:hAnsi="宋体" w:eastAsia="宋体" w:cs="宋体"/>
          <w:color w:val="000000" w:themeColor="text1"/>
          <w:highlight w:val="none"/>
          <w14:textFill>
            <w14:solidFill>
              <w14:schemeClr w14:val="tx1"/>
            </w14:solidFill>
          </w14:textFill>
        </w:rPr>
        <w:t>1. 评标方法</w:t>
      </w:r>
      <w:bookmarkEnd w:id="81"/>
      <w:bookmarkEnd w:id="82"/>
    </w:p>
    <w:p>
      <w:pPr>
        <w:rPr>
          <w:rFonts w:hint="eastAsia" w:ascii="宋体" w:hAnsi="宋体" w:cs="宋体"/>
          <w:color w:val="000000" w:themeColor="text1"/>
          <w:highlight w:val="none"/>
          <w14:textFill>
            <w14:solidFill>
              <w14:schemeClr w14:val="tx1"/>
            </w14:solidFill>
          </w14:textFill>
        </w:rPr>
      </w:pPr>
    </w:p>
    <w:p>
      <w:pPr>
        <w:spacing w:line="360" w:lineRule="auto"/>
        <w:ind w:firstLine="486" w:firstLineChars="200"/>
        <w:rPr>
          <w:rFonts w:hint="eastAsia" w:ascii="宋体" w:hAnsi="宋体" w:cs="宋体"/>
          <w:color w:val="000000" w:themeColor="text1"/>
          <w:sz w:val="24"/>
          <w:szCs w:val="24"/>
          <w:highlight w:val="none"/>
          <w:u w:val="singl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本次评标采用综合评估法。评标委员会对满足招标文件实质性要求的投标文件，本项目的评分标准进行打分，并按得分由高到低顺序推荐中标候选人，或根据招标人授权直接确定中标人，但投标报价低于其成本的除外。总得分相等时，以投标报价低的优先；投标报价也相等的，</w:t>
      </w:r>
      <w:r>
        <w:rPr>
          <w:rFonts w:hint="eastAsia" w:ascii="宋体" w:hAnsi="宋体" w:cs="宋体"/>
          <w:color w:val="000000" w:themeColor="text1"/>
          <w:sz w:val="24"/>
          <w:szCs w:val="24"/>
          <w:highlight w:val="none"/>
          <w:u w:val="single"/>
          <w14:textFill>
            <w14:solidFill>
              <w14:schemeClr w14:val="tx1"/>
            </w14:solidFill>
          </w14:textFill>
        </w:rPr>
        <w:t>以商务得分高的优先；如果商务得分也</w:t>
      </w:r>
      <w:r>
        <w:rPr>
          <w:rFonts w:hint="eastAsia" w:ascii="宋体" w:hAnsi="宋体" w:eastAsia="宋体" w:cs="宋体"/>
          <w:color w:val="000000" w:themeColor="text1"/>
          <w:sz w:val="24"/>
          <w:szCs w:val="24"/>
          <w:highlight w:val="none"/>
          <w:u w:val="single"/>
          <w14:textFill>
            <w14:solidFill>
              <w14:schemeClr w14:val="tx1"/>
            </w14:solidFill>
          </w14:textFill>
        </w:rPr>
        <w:t>相等，由评标委员会采用记名投票方式，以得票多的优先</w:t>
      </w:r>
      <w:r>
        <w:rPr>
          <w:rFonts w:hint="eastAsia" w:ascii="宋体" w:hAnsi="宋体" w:cs="宋体"/>
          <w:color w:val="000000" w:themeColor="text1"/>
          <w:sz w:val="24"/>
          <w:szCs w:val="24"/>
          <w:highlight w:val="none"/>
          <w:u w:val="single"/>
          <w14:textFill>
            <w14:solidFill>
              <w14:schemeClr w14:val="tx1"/>
            </w14:solidFill>
          </w14:textFill>
        </w:rPr>
        <w:t>。</w:t>
      </w: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4"/>
        <w:keepNext w:val="0"/>
        <w:keepLines w:val="0"/>
        <w:spacing w:line="340" w:lineRule="atLeast"/>
        <w:rPr>
          <w:rFonts w:hint="eastAsia" w:ascii="宋体" w:hAnsi="宋体" w:eastAsia="宋体" w:cs="宋体"/>
          <w:color w:val="000000" w:themeColor="text1"/>
          <w:highlight w:val="none"/>
          <w14:textFill>
            <w14:solidFill>
              <w14:schemeClr w14:val="tx1"/>
            </w14:solidFill>
          </w14:textFill>
        </w:rPr>
      </w:pPr>
      <w:bookmarkStart w:id="83" w:name="bookmark85"/>
      <w:bookmarkEnd w:id="83"/>
      <w:bookmarkStart w:id="84" w:name="_Toc855837"/>
      <w:bookmarkStart w:id="85" w:name="_Toc533357320"/>
      <w:r>
        <w:rPr>
          <w:rFonts w:hint="eastAsia" w:ascii="宋体" w:hAnsi="宋体" w:eastAsia="宋体" w:cs="宋体"/>
          <w:color w:val="000000" w:themeColor="text1"/>
          <w:highlight w:val="none"/>
          <w14:textFill>
            <w14:solidFill>
              <w14:schemeClr w14:val="tx1"/>
            </w14:solidFill>
          </w14:textFill>
        </w:rPr>
        <w:t>2. 评审标准</w:t>
      </w:r>
      <w:bookmarkEnd w:id="84"/>
      <w:bookmarkEnd w:id="85"/>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86" w:name="bookmark86"/>
      <w:bookmarkEnd w:id="86"/>
      <w:r>
        <w:rPr>
          <w:rFonts w:hint="eastAsia" w:ascii="宋体" w:hAnsi="宋体" w:cs="宋体"/>
          <w:color w:val="000000" w:themeColor="text1"/>
          <w:highlight w:val="none"/>
          <w14:textFill>
            <w14:solidFill>
              <w14:schemeClr w14:val="tx1"/>
            </w14:solidFill>
          </w14:textFill>
        </w:rPr>
        <w:t>2.1 初步评审标准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2.1.1形式评审标准：见评标办法前附表。</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2.1.2资格评审标准：见评标办法前附表。</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2.1.3响应性评审标准：见评标办法前附表。</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87" w:name="bookmark87"/>
      <w:bookmarkEnd w:id="87"/>
      <w:r>
        <w:rPr>
          <w:rFonts w:hint="eastAsia" w:ascii="宋体" w:hAnsi="宋体" w:cs="宋体"/>
          <w:color w:val="000000" w:themeColor="text1"/>
          <w:highlight w:val="none"/>
          <w14:textFill>
            <w14:solidFill>
              <w14:schemeClr w14:val="tx1"/>
            </w14:solidFill>
          </w14:textFill>
        </w:rPr>
        <w:t>2.2 分值构成与评分标准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2.2.1 分值构成</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见评标办法前附表。</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2.2.2评标基准价计算</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评标基准价计算方法：见评标办法前附表。</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u w:val="single"/>
          <w14:textFill>
            <w14:solidFill>
              <w14:schemeClr w14:val="tx1"/>
            </w14:solidFill>
          </w14:textFill>
        </w:rPr>
        <w:t>2.2.3报价得分计算公式：见评标办法前附表</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2.2.4 评分标准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见综合评分标准表。</w:t>
      </w:r>
    </w:p>
    <w:p>
      <w:pPr>
        <w:pStyle w:val="4"/>
        <w:keepNext w:val="0"/>
        <w:keepLines w:val="0"/>
        <w:spacing w:line="340" w:lineRule="atLeast"/>
        <w:rPr>
          <w:rFonts w:hint="eastAsia" w:ascii="宋体" w:hAnsi="宋体" w:eastAsia="宋体" w:cs="宋体"/>
          <w:color w:val="000000" w:themeColor="text1"/>
          <w:sz w:val="28"/>
          <w:szCs w:val="28"/>
          <w:highlight w:val="none"/>
          <w14:textFill>
            <w14:solidFill>
              <w14:schemeClr w14:val="tx1"/>
            </w14:solidFill>
          </w14:textFill>
        </w:rPr>
      </w:pPr>
      <w:bookmarkStart w:id="88" w:name="bookmark88"/>
      <w:bookmarkEnd w:id="88"/>
      <w:bookmarkStart w:id="89" w:name="_Toc533357321"/>
      <w:bookmarkStart w:id="90" w:name="_Toc855838"/>
      <w:r>
        <w:rPr>
          <w:rFonts w:hint="eastAsia" w:ascii="宋体" w:hAnsi="宋体" w:eastAsia="宋体" w:cs="宋体"/>
          <w:color w:val="000000" w:themeColor="text1"/>
          <w:sz w:val="28"/>
          <w:szCs w:val="28"/>
          <w:highlight w:val="none"/>
          <w14:textFill>
            <w14:solidFill>
              <w14:schemeClr w14:val="tx1"/>
            </w14:solidFill>
          </w14:textFill>
        </w:rPr>
        <w:t>3. 评标程序</w:t>
      </w:r>
      <w:bookmarkEnd w:id="89"/>
      <w:bookmarkEnd w:id="90"/>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91" w:name="bookmark89"/>
      <w:bookmarkEnd w:id="91"/>
      <w:r>
        <w:rPr>
          <w:rFonts w:hint="eastAsia" w:ascii="宋体" w:hAnsi="宋体" w:cs="宋体"/>
          <w:color w:val="000000" w:themeColor="text1"/>
          <w:highlight w:val="none"/>
          <w14:textFill>
            <w14:solidFill>
              <w14:schemeClr w14:val="tx1"/>
            </w14:solidFill>
          </w14:textFill>
        </w:rPr>
        <w:t>3.1 初步评审</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3.1.2投标人有以下情形之一的，评标委员会应当否决其投标：</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（1）投标文件没有对招标文件的实质性要求和条件作出响应，或者对招标文件的偏差超出招标文件规定的偏差范围或最高项数；</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（2）有串通投标、弄虚作假、行贿等违法行为。</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3.1.3投标报价有算术错误及其他错误的，评标委员会按以下原则要求投标人对投标报价进行修正，并要求投标人书面澄清确认。投标人拒不澄清确认的，评标委员会应当否决其投标：</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（1）投标文件中的大写金额与小写金额不一致的，以大写金额为准；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（2）总价金额与单价金额不一致的，以单价金额为准，但单价金额小数点有明显错误的除外。</w:t>
      </w:r>
    </w:p>
    <w:p>
      <w:pPr>
        <w:spacing w:line="360" w:lineRule="auto"/>
        <w:ind w:firstLine="486" w:firstLineChars="200"/>
        <w:rPr>
          <w:rFonts w:hint="eastAsia"/>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u w:val="single"/>
          <w14:textFill>
            <w14:solidFill>
              <w14:schemeClr w14:val="tx1"/>
            </w14:solidFill>
          </w14:textFill>
        </w:rPr>
        <w:t>（3）当本项目最高投标限价与投标下浮率的乘积与投标人报价不一致时，按本项目最高投标限价与投标下浮率的乘积为准，修正投标报价。</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92" w:name="bookmark90"/>
      <w:bookmarkEnd w:id="92"/>
      <w:r>
        <w:rPr>
          <w:rFonts w:hint="eastAsia" w:ascii="宋体" w:hAnsi="宋体" w:cs="宋体"/>
          <w:color w:val="000000" w:themeColor="text1"/>
          <w:highlight w:val="none"/>
          <w14:textFill>
            <w14:solidFill>
              <w14:schemeClr w14:val="tx1"/>
            </w14:solidFill>
          </w14:textFill>
        </w:rPr>
        <w:t>3.2 详细评审</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3.2.1评标委员会按本章第2.2款规定的量化因素和分值进行打分，并计算出综合评估得分。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3.2.2评分分值计算保留小数点后两位，小数点后第三位“四舍五入”。</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3.2.3</w:t>
      </w:r>
      <w:r>
        <w:rPr>
          <w:rFonts w:hint="eastAsia" w:ascii="宋体" w:hAnsi="宋体" w:cs="宋体"/>
          <w:color w:val="000000" w:themeColor="text1"/>
          <w:sz w:val="24"/>
          <w:highlight w:val="none"/>
          <w:u w:val="single"/>
          <w14:textFill>
            <w14:solidFill>
              <w14:schemeClr w14:val="tx1"/>
            </w14:solidFill>
          </w14:textFill>
        </w:rPr>
        <w:t>投标人总得分（100分）=商务部分得分（满分60分）+技术部分得分（满分30分）+投标报价部分得分（满分10分）</w:t>
      </w:r>
      <w:r>
        <w:rPr>
          <w:rFonts w:hint="eastAsia" w:ascii="宋体" w:hAnsi="宋体" w:cs="宋体"/>
          <w:color w:val="000000" w:themeColor="text1"/>
          <w:sz w:val="24"/>
          <w:szCs w:val="24"/>
          <w:highlight w:val="none"/>
          <w14:textFill>
            <w14:solidFill>
              <w14:schemeClr w14:val="tx1"/>
            </w14:solidFill>
          </w14:textFill>
        </w:rPr>
        <w:t>。</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3.2.4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93" w:name="bookmark91"/>
      <w:bookmarkEnd w:id="93"/>
      <w:r>
        <w:rPr>
          <w:rFonts w:hint="eastAsia" w:ascii="宋体" w:hAnsi="宋体" w:cs="宋体"/>
          <w:color w:val="000000" w:themeColor="text1"/>
          <w:highlight w:val="none"/>
          <w14:textFill>
            <w14:solidFill>
              <w14:schemeClr w14:val="tx1"/>
            </w14:solidFill>
          </w14:textFill>
        </w:rPr>
        <w:t>3.3 投标文件的澄清</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3.3.2澄清、说明或补正不得超出投标文件的范围且不得改变投标文件的实质性内容，并构成投标文件的组成部分。</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3.3.3评标委员会对投标人提交的澄清、说明或补正有疑问的，可以要求投标人进一步澄清、说明或补正，直至满足评标委员会的要求。</w:t>
      </w:r>
    </w:p>
    <w:p>
      <w:pPr>
        <w:rPr>
          <w:rFonts w:hint="eastAsia" w:ascii="宋体" w:hAnsi="宋体" w:cs="宋体"/>
          <w:color w:val="000000" w:themeColor="text1"/>
          <w:highlight w:val="none"/>
          <w14:textFill>
            <w14:solidFill>
              <w14:schemeClr w14:val="tx1"/>
            </w14:solidFill>
          </w14:textFill>
        </w:rPr>
      </w:pPr>
    </w:p>
    <w:p>
      <w:pPr>
        <w:pStyle w:val="6"/>
        <w:kinsoku w:val="0"/>
        <w:overflowPunct w:val="0"/>
        <w:spacing w:line="360" w:lineRule="auto"/>
        <w:rPr>
          <w:rFonts w:hint="eastAsia" w:ascii="宋体" w:hAnsi="宋体" w:cs="宋体"/>
          <w:color w:val="000000" w:themeColor="text1"/>
          <w:highlight w:val="none"/>
          <w14:textFill>
            <w14:solidFill>
              <w14:schemeClr w14:val="tx1"/>
            </w14:solidFill>
          </w14:textFill>
        </w:rPr>
      </w:pPr>
      <w:bookmarkStart w:id="94" w:name="bookmark92"/>
      <w:bookmarkEnd w:id="94"/>
      <w:r>
        <w:rPr>
          <w:rFonts w:hint="eastAsia" w:ascii="宋体" w:hAnsi="宋体" w:cs="宋体"/>
          <w:color w:val="000000" w:themeColor="text1"/>
          <w:highlight w:val="none"/>
          <w14:textFill>
            <w14:solidFill>
              <w14:schemeClr w14:val="tx1"/>
            </w14:solidFill>
          </w14:textFill>
        </w:rPr>
        <w:t>3.4 评标结果</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3.4.1除第二章“投标人须知”前附表授权直接确定中标人外，评标委员会按照得分由高到低的顺序推荐中标候选人，并标明排序。</w:t>
      </w:r>
    </w:p>
    <w:p>
      <w:pPr>
        <w:spacing w:line="360" w:lineRule="auto"/>
        <w:ind w:firstLine="486" w:firstLineChars="200"/>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3.4.2评标委员会完成评标后，应当向招标人提交书面评标报告和中标候选人名单。</w:t>
      </w:r>
    </w:p>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br w:type="page"/>
      </w:r>
    </w:p>
    <w:p>
      <w:pPr>
        <w:pStyle w:val="3"/>
        <w:keepNext w:val="0"/>
        <w:keepLines w:val="0"/>
        <w:jc w:val="center"/>
        <w:rPr>
          <w:rFonts w:hint="eastAsia" w:ascii="宋体" w:hAnsi="宋体" w:cs="宋体"/>
          <w:color w:val="000000" w:themeColor="text1"/>
          <w:highlight w:val="none"/>
          <w14:textFill>
            <w14:solidFill>
              <w14:schemeClr w14:val="tx1"/>
            </w14:solidFill>
          </w14:textFill>
        </w:rPr>
      </w:pPr>
      <w:bookmarkStart w:id="95" w:name="_Toc533357322"/>
      <w:bookmarkStart w:id="96" w:name="_Toc855839"/>
      <w:bookmarkStart w:id="97" w:name="_Toc24007"/>
      <w:r>
        <w:rPr>
          <w:rFonts w:hint="eastAsia" w:ascii="宋体" w:hAnsi="宋体" w:cs="宋体"/>
          <w:color w:val="000000" w:themeColor="text1"/>
          <w:highlight w:val="none"/>
          <w14:textFill>
            <w14:solidFill>
              <w14:schemeClr w14:val="tx1"/>
            </w14:solidFill>
          </w14:textFill>
        </w:rPr>
        <w:t>第四章合同条款及格式</w:t>
      </w:r>
      <w:bookmarkEnd w:id="95"/>
      <w:bookmarkEnd w:id="96"/>
      <w:bookmarkEnd w:id="97"/>
    </w:p>
    <w:p>
      <w:pPr>
        <w:adjustRightInd w:val="0"/>
        <w:snapToGrid w:val="0"/>
        <w:spacing w:line="360" w:lineRule="auto"/>
        <w:jc w:val="center"/>
        <w:rPr>
          <w:rFonts w:hint="eastAsia" w:ascii="宋体" w:hAnsi="宋体" w:cs="宋体"/>
          <w:b/>
          <w:bCs/>
          <w:snapToGrid w:val="0"/>
          <w:color w:val="000000" w:themeColor="text1"/>
          <w:kern w:val="0"/>
          <w:sz w:val="44"/>
          <w:szCs w:val="44"/>
          <w:highlight w:val="none"/>
          <w14:textFill>
            <w14:solidFill>
              <w14:schemeClr w14:val="tx1"/>
            </w14:solidFill>
          </w14:textFill>
        </w:rPr>
      </w:pPr>
      <w:r>
        <w:rPr>
          <w:rFonts w:hint="eastAsia" w:ascii="宋体" w:hAnsi="宋体" w:cs="宋体"/>
          <w:b/>
          <w:bCs/>
          <w:snapToGrid w:val="0"/>
          <w:color w:val="000000" w:themeColor="text1"/>
          <w:kern w:val="0"/>
          <w:sz w:val="44"/>
          <w:szCs w:val="44"/>
          <w:highlight w:val="none"/>
          <w14:textFill>
            <w14:solidFill>
              <w14:schemeClr w14:val="tx1"/>
            </w14:solidFill>
          </w14:textFill>
        </w:rPr>
        <w:t>（另册）</w:t>
      </w:r>
    </w:p>
    <w:p>
      <w:pPr>
        <w:jc w:val="center"/>
        <w:rPr>
          <w:rFonts w:hint="eastAsia" w:ascii="宋体" w:hAnsi="宋体"/>
          <w:b/>
          <w:color w:val="000000" w:themeColor="text1"/>
          <w:kern w:val="44"/>
          <w:sz w:val="44"/>
          <w:szCs w:val="2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bookmarkStart w:id="98" w:name="_Toc533357324"/>
      <w:bookmarkStart w:id="99" w:name="_Toc26697"/>
      <w:bookmarkStart w:id="100" w:name="_Toc855840"/>
      <w:r>
        <w:rPr>
          <w:rFonts w:hint="eastAsia" w:ascii="宋体" w:hAnsi="宋体"/>
          <w:b/>
          <w:color w:val="000000" w:themeColor="text1"/>
          <w:kern w:val="44"/>
          <w:sz w:val="44"/>
          <w:szCs w:val="20"/>
          <w:highlight w:val="none"/>
          <w14:textFill>
            <w14:solidFill>
              <w14:schemeClr w14:val="tx1"/>
            </w14:solidFill>
          </w14:textFill>
        </w:rPr>
        <w:t>第二卷</w:t>
      </w:r>
      <w:bookmarkEnd w:id="98"/>
      <w:bookmarkEnd w:id="99"/>
      <w:bookmarkEnd w:id="100"/>
    </w:p>
    <w:p>
      <w:pPr>
        <w:rPr>
          <w:rFonts w:hint="eastAsia" w:ascii="宋体" w:hAnsi="宋体" w:cs="宋体"/>
          <w:color w:val="000000" w:themeColor="text1"/>
          <w:highlight w:val="none"/>
          <w14:textFill>
            <w14:solidFill>
              <w14:schemeClr w14:val="tx1"/>
            </w14:solidFill>
          </w14:textFill>
        </w:rPr>
      </w:pPr>
    </w:p>
    <w:p>
      <w:pPr>
        <w:pStyle w:val="3"/>
        <w:numPr>
          <w:ilvl w:val="0"/>
          <w:numId w:val="2"/>
        </w:numPr>
        <w:spacing w:before="240"/>
        <w:jc w:val="center"/>
        <w:rPr>
          <w:rFonts w:hint="eastAsia" w:ascii="宋体" w:hAnsi="宋体"/>
          <w:color w:val="000000" w:themeColor="text1"/>
          <w:highlight w:val="none"/>
          <w14:textFill>
            <w14:solidFill>
              <w14:schemeClr w14:val="tx1"/>
            </w14:solidFill>
          </w14:textFill>
        </w:rPr>
      </w:pPr>
      <w:bookmarkStart w:id="101" w:name="_Toc2721"/>
      <w:bookmarkStart w:id="102" w:name="_Toc11992_WPSOffice_Level1"/>
      <w:bookmarkStart w:id="103" w:name="_Toc22886"/>
      <w:bookmarkStart w:id="104" w:name="_Toc532744166"/>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任务书</w:t>
      </w:r>
      <w:bookmarkEnd w:id="101"/>
      <w:bookmarkEnd w:id="102"/>
    </w:p>
    <w:p>
      <w:pPr>
        <w:numPr>
          <w:ilvl w:val="0"/>
          <w:numId w:val="0"/>
        </w:numPr>
        <w:jc w:val="center"/>
        <w:rPr>
          <w:rFonts w:hint="eastAsia"/>
          <w:color w:val="000000" w:themeColor="text1"/>
          <w:sz w:val="44"/>
          <w:szCs w:val="44"/>
          <w:highlight w:val="none"/>
          <w14:textFill>
            <w14:solidFill>
              <w14:schemeClr w14:val="tx1"/>
            </w14:solidFill>
          </w14:textFill>
        </w:rPr>
      </w:pPr>
      <w:r>
        <w:rPr>
          <w:rFonts w:hint="eastAsia" w:ascii="宋体" w:hAnsi="宋体" w:cs="宋体"/>
          <w:b/>
          <w:bCs/>
          <w:snapToGrid w:val="0"/>
          <w:color w:val="000000" w:themeColor="text1"/>
          <w:kern w:val="0"/>
          <w:sz w:val="44"/>
          <w:szCs w:val="44"/>
          <w:highlight w:val="none"/>
          <w14:textFill>
            <w14:solidFill>
              <w14:schemeClr w14:val="tx1"/>
            </w14:solidFill>
          </w14:textFill>
        </w:rPr>
        <w:t>（另册）</w:t>
      </w:r>
    </w:p>
    <w:p>
      <w:pPr>
        <w:adjustRightInd w:val="0"/>
        <w:snapToGrid w:val="0"/>
        <w:spacing w:line="360" w:lineRule="auto"/>
        <w:ind w:firstLine="486" w:firstLineChars="200"/>
        <w:rPr>
          <w:rFonts w:hint="eastAsia" w:ascii="宋体" w:hAnsi="宋体"/>
          <w:color w:val="000000" w:themeColor="text1"/>
          <w:sz w:val="2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sectPr>
          <w:pgSz w:w="11906" w:h="16838"/>
          <w:pgMar w:top="1134" w:right="1287" w:bottom="1020" w:left="1440" w:header="851" w:footer="907" w:gutter="0"/>
          <w:cols w:space="720" w:num="1"/>
          <w:docGrid w:type="linesAndChars" w:linePitch="339" w:charSpace="709"/>
        </w:sect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0"/>
        <w:jc w:val="center"/>
        <w:rPr>
          <w:rFonts w:hint="eastAsia" w:ascii="宋体" w:hAnsi="宋体"/>
          <w:b/>
          <w:bCs/>
          <w:color w:val="000000" w:themeColor="text1"/>
          <w:kern w:val="44"/>
          <w:sz w:val="44"/>
          <w:szCs w:val="44"/>
          <w:highlight w:val="none"/>
          <w14:textFill>
            <w14:solidFill>
              <w14:schemeClr w14:val="tx1"/>
            </w14:solidFill>
          </w14:textFill>
        </w:rPr>
      </w:pPr>
    </w:p>
    <w:p>
      <w:pPr>
        <w:pStyle w:val="22"/>
        <w:spacing w:line="360" w:lineRule="auto"/>
        <w:ind w:firstLine="2215" w:firstLineChars="500"/>
        <w:outlineLvl w:val="0"/>
        <w:rPr>
          <w:rFonts w:hint="eastAsia" w:ascii="宋体" w:hAnsi="宋体"/>
          <w:b/>
          <w:bCs/>
          <w:color w:val="000000" w:themeColor="text1"/>
          <w:kern w:val="44"/>
          <w:sz w:val="44"/>
          <w:szCs w:val="44"/>
          <w:highlight w:val="none"/>
          <w14:textFill>
            <w14:solidFill>
              <w14:schemeClr w14:val="tx1"/>
            </w14:solidFill>
          </w14:textFill>
        </w:rPr>
      </w:pPr>
      <w:bookmarkStart w:id="105" w:name="_Toc25331"/>
      <w:bookmarkStart w:id="106" w:name="_Toc13689_WPSOffice_Level1"/>
      <w:r>
        <w:rPr>
          <w:rFonts w:hint="eastAsia" w:ascii="宋体" w:hAnsi="宋体"/>
          <w:b/>
          <w:bCs/>
          <w:color w:val="000000" w:themeColor="text1"/>
          <w:kern w:val="44"/>
          <w:sz w:val="44"/>
          <w:szCs w:val="44"/>
          <w:highlight w:val="none"/>
          <w14:textFill>
            <w14:solidFill>
              <w14:schemeClr w14:val="tx1"/>
            </w14:solidFill>
          </w14:textFill>
        </w:rPr>
        <w:t>第六章   投标文件格式</w:t>
      </w:r>
      <w:bookmarkEnd w:id="103"/>
      <w:bookmarkEnd w:id="104"/>
      <w:bookmarkEnd w:id="105"/>
      <w:bookmarkEnd w:id="106"/>
    </w:p>
    <w:p>
      <w:pPr>
        <w:tabs>
          <w:tab w:val="left" w:pos="5207"/>
        </w:tabs>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（包括但不限于以下材料，投标需按招标公告及招标文件要求提交材料）</w:t>
      </w:r>
    </w:p>
    <w:p>
      <w:pPr>
        <w:spacing w:line="360" w:lineRule="auto"/>
        <w:ind w:firstLine="426" w:firstLineChars="200"/>
        <w:rPr>
          <w:rFonts w:ascii="宋体" w:hAnsi="宋体"/>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spacing w:line="360" w:lineRule="auto"/>
        <w:ind w:firstLine="426" w:firstLineChars="200"/>
        <w:rPr>
          <w:rFonts w:ascii="宋体" w:hAnsi="宋体"/>
          <w:color w:val="000000" w:themeColor="text1"/>
          <w:highlight w:val="none"/>
          <w14:textFill>
            <w14:solidFill>
              <w14:schemeClr w14:val="tx1"/>
            </w14:solidFill>
          </w14:textFill>
        </w:rPr>
      </w:pPr>
    </w:p>
    <w:p>
      <w:pPr>
        <w:spacing w:line="360" w:lineRule="auto"/>
        <w:ind w:firstLine="426" w:firstLineChars="200"/>
        <w:rPr>
          <w:rFonts w:ascii="宋体" w:hAnsi="宋体"/>
          <w:color w:val="000000" w:themeColor="text1"/>
          <w:highlight w:val="none"/>
          <w14:textFill>
            <w14:solidFill>
              <w14:schemeClr w14:val="tx1"/>
            </w14:solidFill>
          </w14:textFill>
        </w:rPr>
      </w:pPr>
    </w:p>
    <w:p>
      <w:pPr>
        <w:adjustRightInd w:val="0"/>
        <w:jc w:val="center"/>
        <w:rPr>
          <w:rFonts w:hint="eastAsia" w:ascii="宋体" w:hAnsi="宋体" w:cs="黑体"/>
          <w:b/>
          <w:bCs/>
          <w:color w:val="000000" w:themeColor="text1"/>
          <w:sz w:val="32"/>
          <w:szCs w:val="32"/>
          <w:highlight w:val="none"/>
          <w14:textFill>
            <w14:solidFill>
              <w14:schemeClr w14:val="tx1"/>
            </w14:solidFill>
          </w14:textFill>
        </w:rPr>
      </w:pPr>
      <w:r>
        <w:rPr>
          <w:rFonts w:hint="eastAsia" w:ascii="宋体" w:hAnsi="宋体" w:cs="黑体"/>
          <w:b/>
          <w:bCs/>
          <w:color w:val="000000" w:themeColor="text1"/>
          <w:sz w:val="32"/>
          <w:szCs w:val="32"/>
          <w:highlight w:val="none"/>
          <w:u w:val="single"/>
          <w14:textFill>
            <w14:solidFill>
              <w14:schemeClr w14:val="tx1"/>
            </w14:solidFill>
          </w14:textFill>
        </w:rPr>
        <w:t xml:space="preserve">   项目名称   </w:t>
      </w: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ascii="宋体" w:hAnsi="宋体"/>
          <w:color w:val="000000" w:themeColor="text1"/>
          <w:highlight w:val="none"/>
          <w14:textFill>
            <w14:solidFill>
              <w14:schemeClr w14:val="tx1"/>
            </w14:solidFill>
          </w14:textFill>
        </w:rPr>
      </w:pPr>
    </w:p>
    <w:p>
      <w:pPr>
        <w:spacing w:line="360" w:lineRule="auto"/>
        <w:jc w:val="center"/>
        <w:rPr>
          <w:rFonts w:hint="eastAsia" w:ascii="宋体" w:hAnsi="宋体"/>
          <w:b/>
          <w:color w:val="000000" w:themeColor="text1"/>
          <w:sz w:val="52"/>
          <w:szCs w:val="52"/>
          <w:highlight w:val="none"/>
          <w14:textFill>
            <w14:solidFill>
              <w14:schemeClr w14:val="tx1"/>
            </w14:solidFill>
          </w14:textFill>
        </w:rPr>
      </w:pPr>
      <w:r>
        <w:rPr>
          <w:rFonts w:hint="eastAsia" w:ascii="宋体" w:hAnsi="宋体"/>
          <w:b/>
          <w:color w:val="000000" w:themeColor="text1"/>
          <w:sz w:val="52"/>
          <w:szCs w:val="52"/>
          <w:highlight w:val="none"/>
          <w14:textFill>
            <w14:solidFill>
              <w14:schemeClr w14:val="tx1"/>
            </w14:solidFill>
          </w14:textFill>
        </w:rPr>
        <w:t>投 标 文 件</w:t>
      </w: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646" w:firstLineChars="200"/>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投标人：</w:t>
      </w:r>
      <w:r>
        <w:rPr>
          <w:rFonts w:hint="eastAsia" w:ascii="宋体" w:hAnsi="宋体"/>
          <w:b/>
          <w:color w:val="000000" w:themeColor="text1"/>
          <w:sz w:val="32"/>
          <w:szCs w:val="32"/>
          <w:highlight w:val="none"/>
          <w:u w:val="singl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（盖公章）</w:t>
      </w:r>
    </w:p>
    <w:p>
      <w:pPr>
        <w:spacing w:line="360" w:lineRule="auto"/>
        <w:ind w:firstLine="646" w:firstLineChars="200"/>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法定代表人或其委托代理人：</w:t>
      </w:r>
      <w:r>
        <w:rPr>
          <w:rFonts w:hint="eastAsia" w:ascii="宋体" w:hAnsi="宋体"/>
          <w:b/>
          <w:color w:val="000000" w:themeColor="text1"/>
          <w:sz w:val="32"/>
          <w:szCs w:val="32"/>
          <w:highlight w:val="none"/>
          <w:u w:val="singl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（签字或盖章）</w:t>
      </w:r>
    </w:p>
    <w:p>
      <w:pPr>
        <w:spacing w:line="360" w:lineRule="auto"/>
        <w:ind w:firstLine="3068" w:firstLineChars="950"/>
        <w:rPr>
          <w:rFonts w:hint="eastAsia"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u w:val="singl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年</w:t>
      </w:r>
      <w:r>
        <w:rPr>
          <w:rFonts w:hint="eastAsia" w:ascii="宋体" w:hAnsi="宋体"/>
          <w:b/>
          <w:color w:val="000000" w:themeColor="text1"/>
          <w:sz w:val="32"/>
          <w:szCs w:val="32"/>
          <w:highlight w:val="none"/>
          <w:u w:val="singl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月</w:t>
      </w:r>
      <w:r>
        <w:rPr>
          <w:rFonts w:hint="eastAsia" w:ascii="宋体" w:hAnsi="宋体"/>
          <w:b/>
          <w:color w:val="000000" w:themeColor="text1"/>
          <w:sz w:val="32"/>
          <w:szCs w:val="32"/>
          <w:highlight w:val="none"/>
          <w:u w:val="singl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日</w:t>
      </w:r>
    </w:p>
    <w:p>
      <w:pPr>
        <w:tabs>
          <w:tab w:val="left" w:pos="5207"/>
        </w:tabs>
        <w:jc w:val="center"/>
        <w:rPr>
          <w:rFonts w:hint="eastAsia"/>
          <w:color w:val="000000" w:themeColor="text1"/>
          <w:highlight w:val="none"/>
          <w14:textFill>
            <w14:solidFill>
              <w14:schemeClr w14:val="tx1"/>
            </w14:solidFill>
          </w14:textFill>
        </w:rPr>
        <w:sectPr>
          <w:pgSz w:w="11906" w:h="16838"/>
          <w:pgMar w:top="1134" w:right="1287" w:bottom="1020" w:left="1440" w:header="851" w:footer="907" w:gutter="0"/>
          <w:cols w:space="720" w:num="1"/>
          <w:docGrid w:type="linesAndChars" w:linePitch="339" w:charSpace="709"/>
        </w:sectPr>
      </w:pPr>
    </w:p>
    <w:p>
      <w:pPr>
        <w:pStyle w:val="4"/>
        <w:jc w:val="center"/>
        <w:rPr>
          <w:rFonts w:hint="eastAsia" w:ascii="宋体" w:hAnsi="宋体" w:eastAsia="宋体"/>
          <w:color w:val="000000" w:themeColor="text1"/>
          <w:highlight w:val="none"/>
          <w14:textFill>
            <w14:solidFill>
              <w14:schemeClr w14:val="tx1"/>
            </w14:solidFill>
          </w14:textFill>
        </w:rPr>
      </w:pPr>
      <w:bookmarkStart w:id="107" w:name="_Toc532778385"/>
      <w:r>
        <w:rPr>
          <w:rFonts w:hint="eastAsia" w:ascii="宋体" w:hAnsi="宋体" w:eastAsia="宋体"/>
          <w:color w:val="000000" w:themeColor="text1"/>
          <w:highlight w:val="none"/>
          <w14:textFill>
            <w14:solidFill>
              <w14:schemeClr w14:val="tx1"/>
            </w14:solidFill>
          </w14:textFill>
        </w:rPr>
        <w:t>目录</w:t>
      </w:r>
      <w:bookmarkEnd w:id="107"/>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一、投标函及投标函附录；</w:t>
      </w:r>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二、法定代表人身份证明或授权委托书；</w:t>
      </w:r>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三、投标报价表；</w:t>
      </w:r>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四、资格审查资料；</w:t>
      </w:r>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五、</w:t>
      </w:r>
      <w:r>
        <w:rPr>
          <w:rFonts w:hint="eastAsia" w:ascii="宋体" w:hAnsi="宋体"/>
          <w:color w:val="000000" w:themeColor="text1"/>
          <w:sz w:val="24"/>
          <w:highlight w:val="none"/>
          <w:lang w:eastAsia="zh-CN"/>
          <w14:textFill>
            <w14:solidFill>
              <w14:schemeClr w14:val="tx1"/>
            </w14:solidFill>
          </w14:textFill>
        </w:rPr>
        <w:t>服务</w:t>
      </w:r>
      <w:r>
        <w:rPr>
          <w:rFonts w:hint="eastAsia" w:ascii="宋体" w:hAnsi="宋体"/>
          <w:color w:val="000000" w:themeColor="text1"/>
          <w:sz w:val="24"/>
          <w:highlight w:val="none"/>
          <w14:textFill>
            <w14:solidFill>
              <w14:schemeClr w14:val="tx1"/>
            </w14:solidFill>
          </w14:textFill>
        </w:rPr>
        <w:t>方案；</w:t>
      </w:r>
    </w:p>
    <w:p>
      <w:pPr>
        <w:spacing w:line="360" w:lineRule="auto"/>
        <w:ind w:firstLine="486"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六、按本招标文件规定提交的其他资料。</w:t>
      </w:r>
    </w:p>
    <w:p>
      <w:pPr>
        <w:pStyle w:val="22"/>
        <w:spacing w:line="360" w:lineRule="auto"/>
        <w:ind w:firstLine="0"/>
        <w:jc w:val="left"/>
        <w:rPr>
          <w:rFonts w:hint="eastAsia" w:ascii="宋体" w:hAnsi="宋体"/>
          <w:b/>
          <w:color w:val="000000" w:themeColor="text1"/>
          <w:sz w:val="24"/>
          <w:highlight w:val="none"/>
          <w14:textFill>
            <w14:solidFill>
              <w14:schemeClr w14:val="tx1"/>
            </w14:solidFill>
          </w14:textFill>
        </w:rPr>
      </w:pPr>
      <w:r>
        <w:rPr>
          <w:rFonts w:ascii="宋体" w:hAnsi="宋体"/>
          <w:color w:val="000000" w:themeColor="text1"/>
          <w:sz w:val="36"/>
          <w:szCs w:val="36"/>
          <w:highlight w:val="none"/>
          <w14:textFill>
            <w14:solidFill>
              <w14:schemeClr w14:val="tx1"/>
            </w14:solidFill>
          </w14:textFill>
        </w:rPr>
        <w:br w:type="page"/>
      </w:r>
    </w:p>
    <w:p>
      <w:pPr>
        <w:pStyle w:val="4"/>
        <w:jc w:val="center"/>
        <w:rPr>
          <w:rFonts w:hint="eastAsia" w:ascii="宋体" w:hAnsi="宋体" w:eastAsia="宋体"/>
          <w:color w:val="000000" w:themeColor="text1"/>
          <w:highlight w:val="none"/>
          <w14:textFill>
            <w14:solidFill>
              <w14:schemeClr w14:val="tx1"/>
            </w14:solidFill>
          </w14:textFill>
        </w:rPr>
      </w:pPr>
      <w:bookmarkStart w:id="108" w:name="_Toc532778386"/>
      <w:r>
        <w:rPr>
          <w:rFonts w:hint="eastAsia" w:ascii="宋体" w:hAnsi="宋体" w:eastAsia="宋体"/>
          <w:color w:val="000000" w:themeColor="text1"/>
          <w:highlight w:val="none"/>
          <w14:textFill>
            <w14:solidFill>
              <w14:schemeClr w14:val="tx1"/>
            </w14:solidFill>
          </w14:textFill>
        </w:rPr>
        <w:t>一、投标函及投标函附录</w:t>
      </w:r>
      <w:bookmarkEnd w:id="108"/>
    </w:p>
    <w:p>
      <w:pPr>
        <w:pStyle w:val="5"/>
        <w:spacing w:before="67" w:beforeLines="20" w:after="67" w:afterLines="20" w:line="360" w:lineRule="auto"/>
        <w:ind w:firstLine="139"/>
        <w:jc w:val="center"/>
        <w:rPr>
          <w:rFonts w:hint="eastAsia" w:ascii="宋体" w:hAnsi="宋体"/>
          <w:color w:val="000000" w:themeColor="text1"/>
          <w:highlight w:val="none"/>
          <w14:textFill>
            <w14:solidFill>
              <w14:schemeClr w14:val="tx1"/>
            </w14:solidFill>
          </w14:textFill>
        </w:rPr>
      </w:pPr>
      <w:bookmarkStart w:id="109" w:name="_Toc532778387"/>
      <w:r>
        <w:rPr>
          <w:rFonts w:hint="eastAsia" w:ascii="宋体" w:hAnsi="宋体"/>
          <w:color w:val="000000" w:themeColor="text1"/>
          <w:highlight w:val="none"/>
          <w14:textFill>
            <w14:solidFill>
              <w14:schemeClr w14:val="tx1"/>
            </w14:solidFill>
          </w14:textFill>
        </w:rPr>
        <w:t>（一）投标函</w:t>
      </w:r>
      <w:bookmarkEnd w:id="109"/>
    </w:p>
    <w:p>
      <w:pPr>
        <w:snapToGrid w:val="0"/>
        <w:spacing w:line="340" w:lineRule="exac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（招标人名称）：</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1．我方已仔细研究了</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（项目名称）招标项目招标文件的全部内容，愿意以人民币（大写）</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）的投标总报价</w:t>
      </w:r>
      <w:r>
        <w:rPr>
          <w:color w:val="000000" w:themeColor="text1"/>
          <w:szCs w:val="21"/>
          <w:highlight w:val="none"/>
          <w14:textFill>
            <w14:solidFill>
              <w14:schemeClr w14:val="tx1"/>
            </w14:solidFill>
          </w14:textFill>
        </w:rPr>
        <w:t>（</w:t>
      </w:r>
      <w:r>
        <w:rPr>
          <w:rFonts w:hint="eastAsia"/>
          <w:color w:val="000000" w:themeColor="text1"/>
          <w:szCs w:val="21"/>
          <w:highlight w:val="none"/>
          <w14:textFill>
            <w14:solidFill>
              <w14:schemeClr w14:val="tx1"/>
            </w14:solidFill>
          </w14:textFill>
        </w:rPr>
        <w:t>投标下浮率</w:t>
      </w:r>
      <w:r>
        <w:rPr>
          <w:color w:val="000000" w:themeColor="text1"/>
          <w:szCs w:val="21"/>
          <w:highlight w:val="none"/>
          <w14:textFill>
            <w14:solidFill>
              <w14:schemeClr w14:val="tx1"/>
            </w14:solidFill>
          </w14:textFill>
        </w:rPr>
        <w:t>为</w:t>
      </w:r>
      <w:r>
        <w:rPr>
          <w:rFonts w:hint="eastAsia"/>
          <w:color w:val="000000" w:themeColor="text1"/>
          <w:szCs w:val="21"/>
          <w:highlight w:val="none"/>
          <w:u w:val="single"/>
          <w14:textFill>
            <w14:solidFill>
              <w14:schemeClr w14:val="tx1"/>
            </w14:solidFill>
          </w14:textFill>
        </w:rPr>
        <w:t xml:space="preserve">       %</w:t>
      </w:r>
      <w:r>
        <w:rPr>
          <w:rFonts w:eastAsia="黑体"/>
          <w:color w:val="000000" w:themeColor="text1"/>
          <w:szCs w:val="21"/>
          <w:highlight w:val="none"/>
          <w14:textFill>
            <w14:solidFill>
              <w14:schemeClr w14:val="tx1"/>
            </w14:solidFill>
          </w14:textFill>
        </w:rPr>
        <w:t>）</w:t>
      </w:r>
      <w:r>
        <w:rPr>
          <w:rFonts w:hint="eastAsia" w:ascii="宋体" w:hAnsi="宋体"/>
          <w:color w:val="000000" w:themeColor="text1"/>
          <w:highlight w:val="none"/>
          <w14:textFill>
            <w14:solidFill>
              <w14:schemeClr w14:val="tx1"/>
            </w14:solidFill>
          </w14:textFill>
        </w:rPr>
        <w:t>，按合同约定完成</w:t>
      </w:r>
      <w:r>
        <w:rPr>
          <w:rFonts w:hint="eastAsia" w:ascii="宋体" w:hAnsi="宋体" w:eastAsia="宋体" w:cs="Times New Roman"/>
          <w:color w:val="000000" w:themeColor="text1"/>
          <w:szCs w:val="21"/>
          <w:highlight w:val="none"/>
          <w:u w:val="single"/>
          <w:lang w:eastAsia="zh-CN"/>
          <w14:textFill>
            <w14:solidFill>
              <w14:schemeClr w14:val="tx1"/>
            </w14:solidFill>
          </w14:textFill>
        </w:rPr>
        <w:t>BIM技术应用服务</w:t>
      </w:r>
      <w:r>
        <w:rPr>
          <w:rFonts w:hint="eastAsia" w:ascii="宋体" w:hAnsi="宋体"/>
          <w:color w:val="000000" w:themeColor="text1"/>
          <w:highlight w:val="none"/>
          <w14:textFill>
            <w14:solidFill>
              <w14:schemeClr w14:val="tx1"/>
            </w14:solidFill>
          </w14:textFill>
        </w:rPr>
        <w:t>工作。</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 我方的投标文件包括下列内容：</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（1）投标函及投标函附录；</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（2）法定代表人身份证明或授权委托书；</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（3）投标报价表；</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）资格审查资料；</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eastAsia="zh-CN"/>
          <w14:textFill>
            <w14:solidFill>
              <w14:schemeClr w14:val="tx1"/>
            </w14:solidFill>
          </w14:textFill>
        </w:rPr>
        <w:t>服务</w:t>
      </w:r>
      <w:r>
        <w:rPr>
          <w:rFonts w:hint="eastAsia" w:ascii="宋体" w:hAnsi="宋体"/>
          <w:color w:val="000000" w:themeColor="text1"/>
          <w:highlight w:val="none"/>
          <w14:textFill>
            <w14:solidFill>
              <w14:schemeClr w14:val="tx1"/>
            </w14:solidFill>
          </w14:textFill>
        </w:rPr>
        <w:t>方案；</w:t>
      </w:r>
    </w:p>
    <w:p>
      <w:pPr>
        <w:snapToGrid w:val="0"/>
        <w:spacing w:line="340" w:lineRule="exact"/>
        <w:ind w:firstLine="426"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r>
        <w:rPr>
          <w:rFonts w:ascii="宋体" w:hAnsi="宋体"/>
          <w:color w:val="000000" w:themeColor="text1"/>
          <w:highlight w:val="none"/>
          <w14:textFill>
            <w14:solidFill>
              <w14:schemeClr w14:val="tx1"/>
            </w14:solidFill>
          </w14:textFill>
        </w:rPr>
        <w:t>6</w:t>
      </w:r>
      <w:r>
        <w:rPr>
          <w:rFonts w:hint="eastAsia" w:ascii="宋体" w:hAnsi="宋体"/>
          <w:color w:val="000000" w:themeColor="text1"/>
          <w:highlight w:val="none"/>
          <w14:textFill>
            <w14:solidFill>
              <w14:schemeClr w14:val="tx1"/>
            </w14:solidFill>
          </w14:textFill>
        </w:rPr>
        <w:t>）按本招标文件规定提交的其他资料。</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投标文件的上述组成部分如存在内容不一致的，以投标函为准。</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3．我方承诺在招标文件规定的投标有效期内不撤销投标文件。</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4．如我方中标，我方承诺：</w:t>
      </w:r>
    </w:p>
    <w:p>
      <w:pPr>
        <w:snapToGrid w:val="0"/>
        <w:spacing w:line="340" w:lineRule="exact"/>
        <w:ind w:firstLine="852" w:firstLineChars="4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（1）在收到中标通知书后，在中标通知书规定的期限内与你方签订合同；</w:t>
      </w:r>
    </w:p>
    <w:p>
      <w:pPr>
        <w:snapToGrid w:val="0"/>
        <w:spacing w:line="340" w:lineRule="exact"/>
        <w:ind w:firstLine="852" w:firstLineChars="4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（2）在签订合同时不向你方提出附加条件；</w:t>
      </w:r>
    </w:p>
    <w:p>
      <w:pPr>
        <w:snapToGrid w:val="0"/>
        <w:spacing w:line="340" w:lineRule="exact"/>
        <w:ind w:firstLine="852" w:firstLineChars="4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（3）按照招标文件要求提交履约保证金；</w:t>
      </w:r>
    </w:p>
    <w:p>
      <w:pPr>
        <w:snapToGrid w:val="0"/>
        <w:spacing w:line="340" w:lineRule="exact"/>
        <w:ind w:firstLine="852" w:firstLineChars="4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（4）在合同约定的期限内完成合同规定的全部义务。</w:t>
      </w:r>
    </w:p>
    <w:p>
      <w:pPr>
        <w:snapToGrid w:val="0"/>
        <w:spacing w:line="340" w:lineRule="exact"/>
        <w:ind w:left="1384" w:leftChars="400" w:hanging="532" w:hangingChars="250"/>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r>
        <w:rPr>
          <w:rFonts w:hint="eastAsia" w:ascii="宋体" w:hAnsi="宋体"/>
          <w:color w:val="000000" w:themeColor="text1"/>
          <w:highlight w:val="none"/>
          <w:u w:val="single"/>
          <w14:textFill>
            <w14:solidFill>
              <w14:schemeClr w14:val="tx1"/>
            </w14:solidFill>
          </w14:textFill>
        </w:rPr>
        <w:t>按规定日期及金额（中标价的0.9‰）向广州公共资源交易中心交纳交易服务费,并按招标文件规定支付招标代理服务费</w:t>
      </w:r>
      <w:r>
        <w:rPr>
          <w:rFonts w:hint="eastAsia" w:ascii="宋体" w:hAnsi="宋体"/>
          <w:color w:val="000000" w:themeColor="text1"/>
          <w:sz w:val="24"/>
          <w:highlight w:val="none"/>
          <w14:textFill>
            <w14:solidFill>
              <w14:schemeClr w14:val="tx1"/>
            </w14:solidFill>
          </w14:textFill>
        </w:rPr>
        <w:t>。</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5．我方在此声明，所递交的投标文件及有关资料内容完整、真实和准确，且不存在第二章“投标人须知”第 1.4.3 项规定的任何一种情形。</w:t>
      </w:r>
    </w:p>
    <w:p>
      <w:pPr>
        <w:snapToGrid w:val="0"/>
        <w:spacing w:line="340" w:lineRule="exact"/>
        <w:ind w:firstLine="426"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6．</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（其他补充说明）。</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 标 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（盖单位章）</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（签字或盖章）</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地    址：</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网    址：</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电    话：</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传    真：</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邮政编码：</w:t>
      </w:r>
      <w:r>
        <w:rPr>
          <w:rFonts w:hint="eastAsia" w:ascii="宋体" w:hAnsi="宋体"/>
          <w:color w:val="000000" w:themeColor="text1"/>
          <w:szCs w:val="21"/>
          <w:highlight w:val="none"/>
          <w:u w:val="single"/>
          <w14:textFill>
            <w14:solidFill>
              <w14:schemeClr w14:val="tx1"/>
            </w14:solidFill>
          </w14:textFill>
        </w:rPr>
        <w:t xml:space="preserve">                                        </w:t>
      </w:r>
    </w:p>
    <w:p>
      <w:pPr>
        <w:spacing w:line="340" w:lineRule="exact"/>
        <w:ind w:firstLine="5005" w:firstLineChars="2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pStyle w:val="5"/>
        <w:spacing w:before="67" w:beforeLines="20" w:after="67" w:afterLines="20" w:line="360" w:lineRule="auto"/>
        <w:ind w:firstLine="139"/>
        <w:jc w:val="center"/>
        <w:rPr>
          <w:rFonts w:hint="eastAsia"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br w:type="page"/>
      </w:r>
      <w:bookmarkStart w:id="110" w:name="_Toc532778388"/>
      <w:r>
        <w:rPr>
          <w:rFonts w:hint="eastAsia" w:ascii="宋体" w:hAnsi="宋体"/>
          <w:color w:val="000000" w:themeColor="text1"/>
          <w:highlight w:val="none"/>
          <w14:textFill>
            <w14:solidFill>
              <w14:schemeClr w14:val="tx1"/>
            </w14:solidFill>
          </w14:textFill>
        </w:rPr>
        <w:t>（二）投标函附录</w:t>
      </w:r>
      <w:bookmarkEnd w:id="110"/>
    </w:p>
    <w:p>
      <w:pPr>
        <w:spacing w:line="360" w:lineRule="auto"/>
        <w:ind w:firstLine="426" w:firstLineChars="200"/>
        <w:rPr>
          <w:rFonts w:hint="eastAsia" w:ascii="宋体" w:hAnsi="宋体"/>
          <w:color w:val="000000" w:themeColor="text1"/>
          <w:highlight w:val="none"/>
          <w14:textFill>
            <w14:solidFill>
              <w14:schemeClr w14:val="tx1"/>
            </w14:solidFill>
          </w14:textFill>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34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8" w:type="dxa"/>
            <w:noWrap w:val="0"/>
            <w:vAlign w:val="center"/>
          </w:tcPr>
          <w:p>
            <w:pPr>
              <w:spacing w:line="360" w:lineRule="auto"/>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序号</w:t>
            </w:r>
          </w:p>
        </w:tc>
        <w:tc>
          <w:tcPr>
            <w:tcW w:w="1980" w:type="dxa"/>
            <w:noWrap w:val="0"/>
            <w:vAlign w:val="center"/>
          </w:tcPr>
          <w:p>
            <w:pPr>
              <w:spacing w:line="360" w:lineRule="auto"/>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项目</w:t>
            </w:r>
          </w:p>
        </w:tc>
        <w:tc>
          <w:tcPr>
            <w:tcW w:w="3420" w:type="dxa"/>
            <w:noWrap w:val="0"/>
            <w:vAlign w:val="center"/>
          </w:tcPr>
          <w:p>
            <w:pPr>
              <w:spacing w:line="360" w:lineRule="auto"/>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内容</w:t>
            </w:r>
          </w:p>
        </w:tc>
        <w:tc>
          <w:tcPr>
            <w:tcW w:w="2160" w:type="dxa"/>
            <w:noWrap w:val="0"/>
            <w:vAlign w:val="center"/>
          </w:tcPr>
          <w:p>
            <w:pPr>
              <w:spacing w:line="360" w:lineRule="auto"/>
              <w:jc w:val="cente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1</w:t>
            </w:r>
          </w:p>
        </w:tc>
        <w:tc>
          <w:tcPr>
            <w:tcW w:w="1980"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项目负责人</w:t>
            </w:r>
          </w:p>
        </w:tc>
        <w:tc>
          <w:tcPr>
            <w:tcW w:w="3420" w:type="dxa"/>
            <w:noWrap w:val="0"/>
            <w:vAlign w:val="center"/>
          </w:tcPr>
          <w:p>
            <w:pPr>
              <w:spacing w:line="360" w:lineRule="auto"/>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14:textFill>
                  <w14:solidFill>
                    <w14:schemeClr w14:val="tx1"/>
                  </w14:solidFill>
                </w14:textFill>
              </w:rPr>
              <w:t>姓名：</w:t>
            </w:r>
            <w:r>
              <w:rPr>
                <w:rFonts w:hint="eastAsia" w:ascii="宋体" w:hAnsi="宋体"/>
                <w:color w:val="000000" w:themeColor="text1"/>
                <w:highlight w:val="none"/>
                <w:u w:val="single"/>
                <w14:textFill>
                  <w14:solidFill>
                    <w14:schemeClr w14:val="tx1"/>
                  </w14:solidFill>
                </w14:textFill>
              </w:rPr>
              <w:t xml:space="preserve">                      </w:t>
            </w:r>
          </w:p>
          <w:p>
            <w:pPr>
              <w:spacing w:line="360" w:lineRule="auto"/>
              <w:rPr>
                <w:rFonts w:hint="eastAsia" w:ascii="宋体" w:hAnsi="宋体"/>
                <w:color w:val="000000" w:themeColor="text1"/>
                <w:highlight w:val="none"/>
                <w:u w:val="singl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资格证</w:t>
            </w:r>
            <w:r>
              <w:rPr>
                <w:rFonts w:hint="eastAsia" w:ascii="宋体" w:hAnsi="宋体"/>
                <w:color w:val="000000" w:themeColor="text1"/>
                <w:highlight w:val="none"/>
                <w14:textFill>
                  <w14:solidFill>
                    <w14:schemeClr w14:val="tx1"/>
                  </w14:solidFill>
                </w14:textFill>
              </w:rPr>
              <w:t>及证号：</w:t>
            </w:r>
            <w:r>
              <w:rPr>
                <w:rFonts w:hint="eastAsia" w:ascii="宋体" w:hAnsi="宋体"/>
                <w:color w:val="000000" w:themeColor="text1"/>
                <w:highlight w:val="none"/>
                <w:u w:val="single"/>
                <w14:textFill>
                  <w14:solidFill>
                    <w14:schemeClr w14:val="tx1"/>
                  </w14:solidFill>
                </w14:textFill>
              </w:rPr>
              <w:t xml:space="preserve">            </w:t>
            </w:r>
          </w:p>
        </w:tc>
        <w:tc>
          <w:tcPr>
            <w:tcW w:w="2160" w:type="dxa"/>
            <w:noWrap w:val="0"/>
            <w:vAlign w:val="center"/>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2</w:t>
            </w:r>
          </w:p>
        </w:tc>
        <w:tc>
          <w:tcPr>
            <w:tcW w:w="1980"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服务期限</w:t>
            </w:r>
          </w:p>
        </w:tc>
        <w:tc>
          <w:tcPr>
            <w:tcW w:w="3420" w:type="dxa"/>
            <w:noWrap w:val="0"/>
            <w:vAlign w:val="center"/>
          </w:tcPr>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按招标文件要求</w:t>
            </w:r>
          </w:p>
        </w:tc>
        <w:tc>
          <w:tcPr>
            <w:tcW w:w="2160" w:type="dxa"/>
            <w:noWrap w:val="0"/>
            <w:vAlign w:val="center"/>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3</w:t>
            </w:r>
          </w:p>
        </w:tc>
        <w:tc>
          <w:tcPr>
            <w:tcW w:w="1980"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合同价款确定方式</w:t>
            </w:r>
          </w:p>
        </w:tc>
        <w:tc>
          <w:tcPr>
            <w:tcW w:w="3420" w:type="dxa"/>
            <w:noWrap w:val="0"/>
            <w:vAlign w:val="center"/>
          </w:tcPr>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按招标文件要求</w:t>
            </w:r>
          </w:p>
        </w:tc>
        <w:tc>
          <w:tcPr>
            <w:tcW w:w="2160" w:type="dxa"/>
            <w:noWrap w:val="0"/>
            <w:vAlign w:val="center"/>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p>
        </w:tc>
        <w:tc>
          <w:tcPr>
            <w:tcW w:w="1980"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质量标准</w:t>
            </w:r>
          </w:p>
        </w:tc>
        <w:tc>
          <w:tcPr>
            <w:tcW w:w="3420" w:type="dxa"/>
            <w:noWrap w:val="0"/>
            <w:vAlign w:val="center"/>
          </w:tcPr>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按招标文件要求</w:t>
            </w:r>
          </w:p>
        </w:tc>
        <w:tc>
          <w:tcPr>
            <w:tcW w:w="2160" w:type="dxa"/>
            <w:noWrap w:val="0"/>
            <w:vAlign w:val="center"/>
          </w:tcPr>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28"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5</w:t>
            </w:r>
          </w:p>
        </w:tc>
        <w:tc>
          <w:tcPr>
            <w:tcW w:w="1980" w:type="dxa"/>
            <w:noWrap w:val="0"/>
            <w:vAlign w:val="center"/>
          </w:tcPr>
          <w:p>
            <w:pPr>
              <w:spacing w:line="360" w:lineRule="auto"/>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投标有效期</w:t>
            </w:r>
          </w:p>
        </w:tc>
        <w:tc>
          <w:tcPr>
            <w:tcW w:w="3420" w:type="dxa"/>
            <w:noWrap w:val="0"/>
            <w:vAlign w:val="center"/>
          </w:tcPr>
          <w:p>
            <w:pPr>
              <w:spacing w:line="360" w:lineRule="auto"/>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按招标文件要求</w:t>
            </w:r>
          </w:p>
        </w:tc>
        <w:tc>
          <w:tcPr>
            <w:tcW w:w="2160" w:type="dxa"/>
            <w:noWrap w:val="0"/>
            <w:vAlign w:val="center"/>
          </w:tcPr>
          <w:p>
            <w:pPr>
              <w:spacing w:line="360" w:lineRule="auto"/>
              <w:rPr>
                <w:rFonts w:hint="eastAsia" w:ascii="宋体" w:hAnsi="宋体"/>
                <w:color w:val="000000" w:themeColor="text1"/>
                <w:highlight w:val="none"/>
                <w14:textFill>
                  <w14:solidFill>
                    <w14:schemeClr w14:val="tx1"/>
                  </w14:solidFill>
                </w14:textFill>
              </w:rPr>
            </w:pPr>
          </w:p>
        </w:tc>
      </w:tr>
    </w:tbl>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auto"/>
        <w:ind w:firstLine="426" w:firstLineChars="200"/>
        <w:rPr>
          <w:rFonts w:hint="eastAsia" w:ascii="宋体" w:hAnsi="宋体"/>
          <w:color w:val="000000" w:themeColor="text1"/>
          <w:highlight w:val="none"/>
          <w14:textFill>
            <w14:solidFill>
              <w14:schemeClr w14:val="tx1"/>
            </w14:solidFill>
          </w14:textFill>
        </w:rPr>
      </w:pPr>
    </w:p>
    <w:p>
      <w:pPr>
        <w:spacing w:line="36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投 标 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（盖单位章）</w:t>
      </w:r>
    </w:p>
    <w:p>
      <w:pPr>
        <w:spacing w:line="360" w:lineRule="exact"/>
        <w:ind w:firstLine="2875" w:firstLineChars="1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法定代表人或其委托代理人：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（签字或盖章）</w:t>
      </w:r>
    </w:p>
    <w:p>
      <w:pPr>
        <w:spacing w:line="360" w:lineRule="exact"/>
        <w:ind w:firstLine="5005" w:firstLineChars="235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highlight w:val="none"/>
          <w14:textFill>
            <w14:solidFill>
              <w14:schemeClr w14:val="tx1"/>
            </w14:solidFill>
          </w14:textFill>
        </w:rPr>
        <w:t>日</w:t>
      </w:r>
    </w:p>
    <w:p>
      <w:pPr>
        <w:pStyle w:val="15"/>
        <w:spacing w:line="360" w:lineRule="auto"/>
        <w:rPr>
          <w:rFonts w:hint="eastAsia" w:hAnsi="宋体"/>
          <w:b/>
          <w:color w:val="000000" w:themeColor="text1"/>
          <w:sz w:val="24"/>
          <w:szCs w:val="24"/>
          <w:highlight w:val="none"/>
          <w14:textFill>
            <w14:solidFill>
              <w14:schemeClr w14:val="tx1"/>
            </w14:solidFill>
          </w14:textFill>
        </w:rPr>
        <w:sectPr>
          <w:pgSz w:w="11906" w:h="16838"/>
          <w:pgMar w:top="1134" w:right="1287" w:bottom="1020" w:left="1440" w:header="851" w:footer="907" w:gutter="0"/>
          <w:cols w:space="720" w:num="1"/>
          <w:docGrid w:type="linesAndChars" w:linePitch="339" w:charSpace="709"/>
        </w:sectPr>
      </w:pPr>
    </w:p>
    <w:p>
      <w:pPr>
        <w:jc w:val="left"/>
        <w:rPr>
          <w:rFonts w:hint="eastAsia" w:ascii="宋体" w:hAnsi="宋体"/>
          <w:color w:val="000000" w:themeColor="text1"/>
          <w:highlight w:val="none"/>
          <w14:textFill>
            <w14:solidFill>
              <w14:schemeClr w14:val="tx1"/>
            </w14:solidFill>
          </w14:textFill>
        </w:rPr>
      </w:pPr>
      <w:bookmarkStart w:id="111" w:name="_Toc532778389"/>
    </w:p>
    <w:bookmarkEnd w:id="111"/>
    <w:p>
      <w:pPr>
        <w:jc w:val="center"/>
        <w:rPr>
          <w:rFonts w:hint="eastAsia"/>
          <w:color w:val="000000" w:themeColor="text1"/>
          <w:sz w:val="24"/>
          <w:szCs w:val="24"/>
          <w:highlight w:val="none"/>
          <w14:textFill>
            <w14:solidFill>
              <w14:schemeClr w14:val="tx1"/>
            </w14:solidFill>
          </w14:textFill>
        </w:rPr>
      </w:pPr>
    </w:p>
    <w:p>
      <w:pPr>
        <w:pStyle w:val="22"/>
        <w:spacing w:line="360" w:lineRule="auto"/>
        <w:ind w:left="480" w:firstLine="240"/>
        <w:jc w:val="center"/>
        <w:rPr>
          <w:rFonts w:hint="eastAsia"/>
          <w:color w:val="000000" w:themeColor="text1"/>
          <w:sz w:val="24"/>
          <w:highlight w:val="none"/>
          <w14:textFill>
            <w14:solidFill>
              <w14:schemeClr w14:val="tx1"/>
            </w14:solidFill>
          </w14:textFill>
        </w:rPr>
      </w:pPr>
    </w:p>
    <w:p>
      <w:pPr>
        <w:snapToGrid w:val="0"/>
        <w:spacing w:line="360" w:lineRule="auto"/>
        <w:jc w:val="center"/>
        <w:rPr>
          <w:color w:val="000000" w:themeColor="text1"/>
          <w:sz w:val="30"/>
          <w:highlight w:val="none"/>
          <w14:textFill>
            <w14:solidFill>
              <w14:schemeClr w14:val="tx1"/>
            </w14:solidFill>
          </w14:textFill>
        </w:rPr>
      </w:pPr>
      <w:bookmarkStart w:id="112" w:name="_Toc532778390"/>
      <w:r>
        <w:rPr>
          <w:rFonts w:hint="eastAsia" w:ascii="宋体" w:hAnsi="宋体" w:cs="宋体"/>
          <w:b/>
          <w:bCs/>
          <w:color w:val="000000" w:themeColor="text1"/>
          <w:kern w:val="0"/>
          <w:sz w:val="32"/>
          <w:szCs w:val="32"/>
          <w:highlight w:val="none"/>
          <w14:textFill>
            <w14:solidFill>
              <w14:schemeClr w14:val="tx1"/>
            </w14:solidFill>
          </w14:textFill>
        </w:rPr>
        <w:t>二、法定代表人证明书</w:t>
      </w:r>
    </w:p>
    <w:p>
      <w:pPr>
        <w:snapToGrid w:val="0"/>
        <w:spacing w:line="360" w:lineRule="auto"/>
        <w:rPr>
          <w:b/>
          <w:color w:val="000000" w:themeColor="text1"/>
          <w:sz w:val="30"/>
          <w:highlight w:val="none"/>
          <w14:textFill>
            <w14:solidFill>
              <w14:schemeClr w14:val="tx1"/>
            </w14:solidFill>
          </w14:textFill>
        </w:rPr>
      </w:pPr>
      <w:r>
        <w:rPr>
          <w:color w:val="000000" w:themeColor="text1"/>
          <w:sz w:val="30"/>
          <w:highlight w:val="none"/>
          <w14:textFill>
            <w14:solidFill>
              <w14:schemeClr w14:val="tx1"/>
            </w14:solidFill>
          </w14:textFill>
        </w:rPr>
        <w:t xml:space="preserve"> </w:t>
      </w:r>
      <w:r>
        <w:rPr>
          <w:rFonts w:hint="eastAsia"/>
          <w:color w:val="000000" w:themeColor="text1"/>
          <w:sz w:val="30"/>
          <w:highlight w:val="none"/>
          <w14:textFill>
            <w14:solidFill>
              <w14:schemeClr w14:val="tx1"/>
            </w14:solidFill>
          </w14:textFill>
        </w:rPr>
        <w:t xml:space="preserve">                                           </w:t>
      </w:r>
      <w:r>
        <w:rPr>
          <w:color w:val="000000" w:themeColor="text1"/>
          <w:sz w:val="30"/>
          <w:highlight w:val="none"/>
          <w14:textFill>
            <w14:solidFill>
              <w14:schemeClr w14:val="tx1"/>
            </w14:solidFill>
          </w14:textFill>
        </w:rPr>
        <w:t>（　 ）第　号</w:t>
      </w:r>
    </w:p>
    <w:p>
      <w:pPr>
        <w:snapToGrid w:val="0"/>
        <w:spacing w:line="360" w:lineRule="auto"/>
        <w:ind w:right="-96"/>
        <w:rPr>
          <w:color w:val="000000" w:themeColor="text1"/>
          <w:sz w:val="30"/>
          <w:highlight w:val="none"/>
          <w14:textFill>
            <w14:solidFill>
              <w14:schemeClr w14:val="tx1"/>
            </w14:solidFill>
          </w14:textFill>
        </w:rPr>
      </w:pPr>
      <w:r>
        <w:rPr>
          <w:color w:val="000000" w:themeColor="text1"/>
          <w:highlight w:val="none"/>
          <w14:textFill>
            <w14:solidFill>
              <w14:schemeClr w14:val="tx1"/>
            </w14:solidFill>
          </w14:textFill>
        </w:rPr>
        <w:pict>
          <v:shape id="Text Box 2" o:spid="_x0000_s2059" o:spt="202" type="#_x0000_t202" style="position:absolute;left:0pt;margin-left:0pt;margin-top:2.45pt;height:218.4pt;width:468pt;z-index:251659264;mso-width-relative:page;mso-height-relative:page;" coordsize="21600,21600" o:allowincell="f">
            <v:path/>
            <v:fill focussize="0,0"/>
            <v:stroke/>
            <v:imagedata o:title=""/>
            <o:lock v:ext="edit"/>
            <v:textbox>
              <w:txbxContent>
                <w:p>
                  <w:pPr>
                    <w:spacing w:before="120"/>
                    <w:rPr>
                      <w:sz w:val="28"/>
                    </w:rPr>
                  </w:pPr>
                  <w:r>
                    <w:rPr>
                      <w:sz w:val="28"/>
                      <w:u w:val="single"/>
                    </w:rPr>
                    <w:t xml:space="preserve">                </w:t>
                  </w:r>
                  <w:r>
                    <w:rPr>
                      <w:rFonts w:hint="eastAsia"/>
                      <w:sz w:val="28"/>
                    </w:rPr>
                    <w:t>现任我单位</w:t>
                  </w:r>
                  <w:r>
                    <w:rPr>
                      <w:sz w:val="28"/>
                      <w:u w:val="single"/>
                    </w:rPr>
                    <w:t xml:space="preserve">            </w:t>
                  </w:r>
                  <w:r>
                    <w:rPr>
                      <w:rFonts w:hint="eastAsia"/>
                      <w:sz w:val="28"/>
                    </w:rPr>
                    <w:t>职务，为法定代表人（负责人），</w:t>
                  </w:r>
                </w:p>
                <w:p>
                  <w:pPr>
                    <w:snapToGrid w:val="0"/>
                    <w:spacing w:line="480" w:lineRule="atLeast"/>
                    <w:rPr>
                      <w:sz w:val="28"/>
                    </w:rPr>
                  </w:pPr>
                  <w:r>
                    <w:rPr>
                      <w:rFonts w:hint="eastAsia"/>
                      <w:sz w:val="28"/>
                    </w:rPr>
                    <w:t>特此证明。</w:t>
                  </w:r>
                </w:p>
                <w:p>
                  <w:pPr>
                    <w:snapToGrid w:val="0"/>
                    <w:spacing w:line="480" w:lineRule="atLeast"/>
                    <w:rPr>
                      <w:sz w:val="28"/>
                      <w:u w:val="single"/>
                    </w:rPr>
                  </w:pPr>
                  <w:r>
                    <w:rPr>
                      <w:rFonts w:hint="eastAsia"/>
                      <w:sz w:val="28"/>
                    </w:rPr>
                    <w:t>有效期限：</w:t>
                  </w:r>
                  <w:r>
                    <w:rPr>
                      <w:sz w:val="28"/>
                      <w:u w:val="single"/>
                    </w:rPr>
                    <w:t xml:space="preserve">                                </w:t>
                  </w:r>
                  <w:r>
                    <w:rPr>
                      <w:sz w:val="28"/>
                    </w:rPr>
                    <w:t xml:space="preserve">  </w:t>
                  </w:r>
                </w:p>
                <w:p>
                  <w:pPr>
                    <w:snapToGrid w:val="0"/>
                    <w:spacing w:line="480" w:lineRule="atLeast"/>
                    <w:rPr>
                      <w:sz w:val="28"/>
                      <w:u w:val="single"/>
                    </w:rPr>
                  </w:pPr>
                  <w:r>
                    <w:rPr>
                      <w:rFonts w:hint="eastAsia"/>
                      <w:sz w:val="28"/>
                    </w:rPr>
                    <w:t>附：法定代表人（负责人）性别：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7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70"/>
                    <w:rPr>
                      <w:sz w:val="28"/>
                      <w:u w:val="single"/>
                    </w:rPr>
                  </w:pPr>
                  <w:r>
                    <w:rPr>
                      <w:rFonts w:hint="eastAsia"/>
                      <w:sz w:val="28"/>
                    </w:rPr>
                    <w:t>经营范围：</w:t>
                  </w:r>
                  <w:r>
                    <w:rPr>
                      <w:sz w:val="28"/>
                      <w:u w:val="single"/>
                    </w:rPr>
                    <w:t xml:space="preserve">                       </w:t>
                  </w:r>
                </w:p>
                <w:p>
                  <w:pPr>
                    <w:snapToGrid w:val="0"/>
                    <w:spacing w:line="480" w:lineRule="atLeast"/>
                    <w:ind w:firstLine="570"/>
                    <w:rPr>
                      <w:sz w:val="28"/>
                    </w:rPr>
                  </w:pPr>
                  <w:r>
                    <w:rPr>
                      <w:sz w:val="28"/>
                      <w:u w:val="single"/>
                    </w:rPr>
                    <w:t xml:space="preserve">                               </w:t>
                  </w:r>
                  <w:r>
                    <w:rPr>
                      <w:rFonts w:hint="eastAsia"/>
                      <w:sz w:val="28"/>
                    </w:rPr>
                    <w:t>单位：</w:t>
                  </w:r>
                  <w:r>
                    <w:rPr>
                      <w:sz w:val="28"/>
                    </w:rPr>
                    <w:t xml:space="preserve">            </w:t>
                  </w:r>
                  <w:r>
                    <w:rPr>
                      <w:rFonts w:hint="eastAsia"/>
                      <w:sz w:val="28"/>
                    </w:rPr>
                    <w:t>（盖章）</w:t>
                  </w:r>
                </w:p>
                <w:p>
                  <w:pPr>
                    <w:snapToGrid w:val="0"/>
                    <w:spacing w:line="480" w:lineRule="atLeast"/>
                    <w:ind w:firstLine="570"/>
                  </w:pPr>
                  <w:r>
                    <w:rPr>
                      <w:sz w:val="28"/>
                      <w:u w:val="single"/>
                    </w:rPr>
                    <w:t xml:space="preserve">                                  </w:t>
                  </w:r>
                  <w:r>
                    <w:rPr>
                      <w:sz w:val="28"/>
                    </w:rPr>
                    <w:t xml:space="preserve">       </w:t>
                  </w:r>
                  <w:r>
                    <w:rPr>
                      <w:rFonts w:hint="eastAsia"/>
                      <w:sz w:val="28"/>
                    </w:rPr>
                    <w:t>20  年</w:t>
                  </w:r>
                  <w:r>
                    <w:rPr>
                      <w:sz w:val="28"/>
                    </w:rPr>
                    <w:t xml:space="preserve">   </w:t>
                  </w:r>
                  <w:r>
                    <w:rPr>
                      <w:rFonts w:hint="eastAsia"/>
                      <w:sz w:val="28"/>
                    </w:rPr>
                    <w:t>月</w:t>
                  </w:r>
                  <w:r>
                    <w:rPr>
                      <w:sz w:val="28"/>
                    </w:rPr>
                    <w:t xml:space="preserve">   </w:t>
                  </w:r>
                  <w:r>
                    <w:rPr>
                      <w:rFonts w:hint="eastAsia"/>
                      <w:sz w:val="28"/>
                    </w:rPr>
                    <w:t>日</w:t>
                  </w:r>
                </w:p>
              </w:txbxContent>
            </v:textbox>
          </v:shape>
        </w:pict>
      </w: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p>
    <w:p>
      <w:pPr>
        <w:snapToGrid w:val="0"/>
        <w:spacing w:line="360" w:lineRule="auto"/>
        <w:ind w:right="-96"/>
        <w:rPr>
          <w:color w:val="000000" w:themeColor="text1"/>
          <w:sz w:val="30"/>
          <w:highlight w:val="none"/>
          <w14:textFill>
            <w14:solidFill>
              <w14:schemeClr w14:val="tx1"/>
            </w14:solidFill>
          </w14:textFill>
        </w:rPr>
      </w:pPr>
      <w:r>
        <w:rPr>
          <w:b/>
          <w:color w:val="000000" w:themeColor="text1"/>
          <w:highlight w:val="none"/>
          <w14:textFill>
            <w14:solidFill>
              <w14:schemeClr w14:val="tx1"/>
            </w14:solidFill>
          </w14:textFill>
        </w:rPr>
        <w:t>备注：也可使用从工商管理部门购买的格式填写</w:t>
      </w:r>
    </w:p>
    <w:p>
      <w:pPr>
        <w:snapToGrid w:val="0"/>
        <w:spacing w:line="360" w:lineRule="auto"/>
        <w:ind w:right="-96"/>
        <w:jc w:val="center"/>
        <w:rPr>
          <w:b/>
          <w:color w:val="000000" w:themeColor="text1"/>
          <w:sz w:val="30"/>
          <w:highlight w:val="none"/>
          <w14:textFill>
            <w14:solidFill>
              <w14:schemeClr w14:val="tx1"/>
            </w14:solidFill>
          </w14:textFill>
        </w:rPr>
      </w:pPr>
    </w:p>
    <w:p>
      <w:pPr>
        <w:pStyle w:val="22"/>
        <w:numPr>
          <w:ilvl w:val="1"/>
          <w:numId w:val="3"/>
        </w:numPr>
        <w:tabs>
          <w:tab w:val="left" w:pos="0"/>
          <w:tab w:val="clear" w:pos="360"/>
        </w:tabs>
        <w:spacing w:line="360" w:lineRule="auto"/>
        <w:ind w:firstLine="0"/>
        <w:jc w:val="center"/>
        <w:outlineLvl w:val="1"/>
        <w:rPr>
          <w:rFonts w:hint="eastAsia"/>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（附法定代表人身份证原件扫描件正反面）</w:t>
      </w:r>
    </w:p>
    <w:p>
      <w:pPr>
        <w:snapToGrid w:val="0"/>
        <w:spacing w:line="360" w:lineRule="auto"/>
        <w:ind w:right="-96"/>
        <w:jc w:val="center"/>
        <w:rPr>
          <w:rFonts w:hint="eastAsia"/>
          <w:b/>
          <w:color w:val="000000" w:themeColor="text1"/>
          <w:sz w:val="30"/>
          <w:highlight w:val="none"/>
          <w14:textFill>
            <w14:solidFill>
              <w14:schemeClr w14:val="tx1"/>
            </w14:solidFill>
          </w14:textFill>
        </w:rPr>
      </w:pPr>
    </w:p>
    <w:p>
      <w:pPr>
        <w:spacing w:line="360" w:lineRule="auto"/>
        <w:ind w:right="538" w:firstLine="480" w:firstLineChars="200"/>
        <w:rPr>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注：本格式仅供参考，也可使用工商管理部门提供的格式。</w:t>
      </w:r>
    </w:p>
    <w:p>
      <w:pPr>
        <w:snapToGrid w:val="0"/>
        <w:spacing w:line="360" w:lineRule="auto"/>
        <w:ind w:right="-96"/>
        <w:jc w:val="center"/>
        <w:rPr>
          <w:rFonts w:hint="eastAsia"/>
          <w:b/>
          <w:color w:val="000000" w:themeColor="text1"/>
          <w:sz w:val="30"/>
          <w:highlight w:val="none"/>
          <w14:textFill>
            <w14:solidFill>
              <w14:schemeClr w14:val="tx1"/>
            </w14:solidFill>
          </w14:textFill>
        </w:rPr>
      </w:pPr>
      <w:r>
        <w:rPr>
          <w:rFonts w:hint="eastAsia"/>
          <w:b/>
          <w:color w:val="000000" w:themeColor="text1"/>
          <w:sz w:val="30"/>
          <w:highlight w:val="none"/>
          <w14:textFill>
            <w14:solidFill>
              <w14:schemeClr w14:val="tx1"/>
            </w14:solidFill>
          </w14:textFill>
        </w:rPr>
        <w:br w:type="page"/>
      </w:r>
    </w:p>
    <w:bookmarkEnd w:id="112"/>
    <w:p>
      <w:pPr>
        <w:snapToGrid w:val="0"/>
        <w:spacing w:line="360" w:lineRule="auto"/>
        <w:ind w:right="-96"/>
        <w:jc w:val="center"/>
        <w:rPr>
          <w:b/>
          <w:color w:val="000000" w:themeColor="text1"/>
          <w:sz w:val="30"/>
          <w:highlight w:val="none"/>
          <w14:textFill>
            <w14:solidFill>
              <w14:schemeClr w14:val="tx1"/>
            </w14:solidFill>
          </w14:textFill>
        </w:rPr>
      </w:pPr>
    </w:p>
    <w:p>
      <w:pPr>
        <w:snapToGrid w:val="0"/>
        <w:spacing w:line="360" w:lineRule="auto"/>
        <w:ind w:right="-96"/>
        <w:jc w:val="center"/>
        <w:rPr>
          <w:b/>
          <w:color w:val="000000" w:themeColor="text1"/>
          <w:sz w:val="30"/>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法定代表人授权委托书</w:t>
      </w:r>
    </w:p>
    <w:p>
      <w:pPr>
        <w:snapToGrid w:val="0"/>
        <w:spacing w:line="360" w:lineRule="auto"/>
        <w:ind w:firstLine="4216"/>
        <w:jc w:val="center"/>
        <w:rPr>
          <w:color w:val="000000" w:themeColor="text1"/>
          <w:sz w:val="30"/>
          <w:highlight w:val="none"/>
          <w14:textFill>
            <w14:solidFill>
              <w14:schemeClr w14:val="tx1"/>
            </w14:solidFill>
          </w14:textFill>
        </w:rPr>
      </w:pPr>
      <w:r>
        <w:rPr>
          <w:color w:val="000000" w:themeColor="text1"/>
          <w:highlight w:val="none"/>
          <w14:textFill>
            <w14:solidFill>
              <w14:schemeClr w14:val="tx1"/>
            </w14:solidFill>
          </w14:textFill>
        </w:rPr>
        <w:pict>
          <v:shape id="Text Box 3" o:spid="_x0000_s2060" o:spt="202" type="#_x0000_t202" style="position:absolute;left:0pt;margin-left:-9pt;margin-top:0.2pt;height:237.95pt;width:468pt;z-index:251660288;mso-width-relative:page;mso-height-relative:page;" coordsize="21600,21600">
            <v:path/>
            <v:fill focussize="0,0"/>
            <v:stroke/>
            <v:imagedata o:title=""/>
            <o:lock v:ext="edit"/>
            <v:textbox>
              <w:txbxContent>
                <w:p>
                  <w:pPr>
                    <w:spacing w:before="120"/>
                    <w:ind w:firstLine="560"/>
                    <w:rPr>
                      <w:sz w:val="28"/>
                    </w:rPr>
                  </w:pPr>
                  <w:r>
                    <w:rPr>
                      <w:rFonts w:hint="eastAsia"/>
                      <w:sz w:val="28"/>
                    </w:rPr>
                    <w:t>兹授权</w:t>
                  </w:r>
                  <w:r>
                    <w:rPr>
                      <w:sz w:val="28"/>
                      <w:u w:val="single"/>
                    </w:rPr>
                    <w:t xml:space="preserve">                </w:t>
                  </w:r>
                  <w:r>
                    <w:rPr>
                      <w:rFonts w:hint="eastAsia"/>
                      <w:sz w:val="28"/>
                    </w:rPr>
                    <w:t>为我方委托代理人，其权限是：</w:t>
                  </w:r>
                  <w:r>
                    <w:rPr>
                      <w:sz w:val="28"/>
                      <w:u w:val="single"/>
                    </w:rPr>
                    <w:t xml:space="preserve">          </w:t>
                  </w:r>
                </w:p>
                <w:p>
                  <w:pPr>
                    <w:snapToGrid w:val="0"/>
                    <w:spacing w:line="480" w:lineRule="atLeast"/>
                    <w:rPr>
                      <w:sz w:val="28"/>
                      <w:u w:val="single"/>
                    </w:rPr>
                  </w:pPr>
                  <w:r>
                    <w:rPr>
                      <w:sz w:val="28"/>
                      <w:u w:val="single"/>
                    </w:rPr>
                    <w:t xml:space="preserve">                                                                </w:t>
                  </w:r>
                </w:p>
                <w:p>
                  <w:pPr>
                    <w:snapToGrid w:val="0"/>
                    <w:spacing w:line="480" w:lineRule="atLeast"/>
                    <w:rPr>
                      <w:sz w:val="28"/>
                      <w:u w:val="single"/>
                    </w:rPr>
                  </w:pPr>
                  <w:r>
                    <w:rPr>
                      <w:rFonts w:hint="eastAsia"/>
                      <w:sz w:val="28"/>
                    </w:rPr>
                    <w:t>有效期限：</w:t>
                  </w:r>
                  <w:r>
                    <w:rPr>
                      <w:sz w:val="28"/>
                      <w:u w:val="single"/>
                    </w:rPr>
                    <w:t xml:space="preserve">                                                      </w:t>
                  </w:r>
                </w:p>
                <w:p>
                  <w:pPr>
                    <w:snapToGrid w:val="0"/>
                    <w:spacing w:line="480" w:lineRule="atLeast"/>
                    <w:rPr>
                      <w:sz w:val="28"/>
                    </w:rPr>
                  </w:pPr>
                  <w:r>
                    <w:rPr>
                      <w:rFonts w:hint="eastAsia"/>
                      <w:sz w:val="28"/>
                    </w:rPr>
                    <w:t>附：代理人性别：</w:t>
                  </w:r>
                  <w:r>
                    <w:rPr>
                      <w:sz w:val="28"/>
                      <w:u w:val="single"/>
                    </w:rPr>
                    <w:t xml:space="preserve">     </w:t>
                  </w:r>
                  <w:r>
                    <w:rPr>
                      <w:rFonts w:hint="eastAsia"/>
                      <w:sz w:val="28"/>
                    </w:rPr>
                    <w:t>年龄：</w:t>
                  </w:r>
                  <w:r>
                    <w:rPr>
                      <w:sz w:val="28"/>
                      <w:u w:val="single"/>
                    </w:rPr>
                    <w:t xml:space="preserve">     </w:t>
                  </w:r>
                  <w:r>
                    <w:rPr>
                      <w:rFonts w:hint="eastAsia"/>
                      <w:sz w:val="28"/>
                    </w:rPr>
                    <w:t>身份证号码：</w:t>
                  </w:r>
                  <w:r>
                    <w:rPr>
                      <w:sz w:val="28"/>
                      <w:u w:val="single"/>
                    </w:rPr>
                    <w:t xml:space="preserve">                    </w:t>
                  </w:r>
                </w:p>
                <w:p>
                  <w:pPr>
                    <w:snapToGrid w:val="0"/>
                    <w:spacing w:line="480" w:lineRule="atLeast"/>
                    <w:ind w:firstLine="560"/>
                    <w:rPr>
                      <w:sz w:val="28"/>
                      <w:u w:val="single"/>
                    </w:rPr>
                  </w:pPr>
                  <w:r>
                    <w:rPr>
                      <w:rFonts w:hint="eastAsia"/>
                      <w:sz w:val="28"/>
                    </w:rPr>
                    <w:t>注册号码：</w:t>
                  </w:r>
                  <w:r>
                    <w:rPr>
                      <w:sz w:val="28"/>
                      <w:u w:val="single"/>
                    </w:rPr>
                    <w:t xml:space="preserve">                  </w:t>
                  </w:r>
                  <w:r>
                    <w:rPr>
                      <w:rFonts w:hint="eastAsia"/>
                      <w:sz w:val="28"/>
                    </w:rPr>
                    <w:t>企业类型：</w:t>
                  </w:r>
                  <w:r>
                    <w:rPr>
                      <w:sz w:val="28"/>
                      <w:u w:val="single"/>
                    </w:rPr>
                    <w:t xml:space="preserve">                      </w:t>
                  </w:r>
                </w:p>
                <w:p>
                  <w:pPr>
                    <w:snapToGrid w:val="0"/>
                    <w:spacing w:line="480" w:lineRule="atLeast"/>
                    <w:ind w:firstLine="560"/>
                    <w:rPr>
                      <w:sz w:val="28"/>
                      <w:u w:val="single"/>
                    </w:rPr>
                  </w:pPr>
                  <w:r>
                    <w:rPr>
                      <w:rFonts w:hint="eastAsia"/>
                      <w:sz w:val="28"/>
                    </w:rPr>
                    <w:t>经营范围：</w:t>
                  </w:r>
                  <w:r>
                    <w:rPr>
                      <w:sz w:val="28"/>
                      <w:u w:val="single"/>
                    </w:rPr>
                    <w:t xml:space="preserve">                                                  </w:t>
                  </w:r>
                </w:p>
                <w:p>
                  <w:pPr>
                    <w:snapToGrid w:val="0"/>
                    <w:spacing w:line="480" w:lineRule="atLeast"/>
                    <w:ind w:firstLine="560"/>
                    <w:rPr>
                      <w:sz w:val="28"/>
                    </w:rPr>
                  </w:pPr>
                  <w:r>
                    <w:rPr>
                      <w:rFonts w:hint="eastAsia"/>
                      <w:sz w:val="28"/>
                    </w:rPr>
                    <w:t>法定代表人（负责人）：</w:t>
                  </w:r>
                  <w:r>
                    <w:rPr>
                      <w:sz w:val="28"/>
                      <w:u w:val="single"/>
                    </w:rPr>
                    <w:t xml:space="preserve">                 </w:t>
                  </w:r>
                  <w:r>
                    <w:rPr>
                      <w:rFonts w:hint="eastAsia"/>
                      <w:sz w:val="28"/>
                    </w:rPr>
                    <w:t>（签名或盖章）</w:t>
                  </w:r>
                </w:p>
                <w:p>
                  <w:pPr>
                    <w:snapToGrid w:val="0"/>
                    <w:spacing w:line="480" w:lineRule="atLeast"/>
                    <w:ind w:firstLine="560"/>
                    <w:rPr>
                      <w:sz w:val="28"/>
                    </w:rPr>
                  </w:pPr>
                  <w:r>
                    <w:rPr>
                      <w:rFonts w:hint="eastAsia"/>
                      <w:sz w:val="28"/>
                    </w:rPr>
                    <w:t>授权单位：（盖章）</w:t>
                  </w:r>
                  <w:r>
                    <w:rPr>
                      <w:sz w:val="28"/>
                      <w:u w:val="single"/>
                    </w:rPr>
                    <w:t xml:space="preserve">                     </w:t>
                  </w:r>
                </w:p>
                <w:p>
                  <w:pPr>
                    <w:ind w:firstLine="5880" w:firstLineChars="2100"/>
                  </w:pPr>
                  <w:r>
                    <w:rPr>
                      <w:rFonts w:hint="eastAsia"/>
                      <w:sz w:val="28"/>
                    </w:rPr>
                    <w:t>20  年</w:t>
                  </w:r>
                  <w:r>
                    <w:rPr>
                      <w:sz w:val="28"/>
                    </w:rPr>
                    <w:t xml:space="preserve">  </w:t>
                  </w:r>
                  <w:r>
                    <w:rPr>
                      <w:rFonts w:hint="eastAsia"/>
                      <w:sz w:val="28"/>
                    </w:rPr>
                    <w:t>月</w:t>
                  </w:r>
                  <w:r>
                    <w:rPr>
                      <w:sz w:val="28"/>
                    </w:rPr>
                    <w:t xml:space="preserve">   </w:t>
                  </w:r>
                  <w:r>
                    <w:rPr>
                      <w:rFonts w:hint="eastAsia"/>
                      <w:sz w:val="28"/>
                    </w:rPr>
                    <w:t>日</w:t>
                  </w:r>
                </w:p>
              </w:txbxContent>
            </v:textbox>
          </v:shape>
        </w:pict>
      </w:r>
      <w:r>
        <w:rPr>
          <w:color w:val="000000" w:themeColor="text1"/>
          <w:sz w:val="30"/>
          <w:highlight w:val="none"/>
          <w14:textFill>
            <w14:solidFill>
              <w14:schemeClr w14:val="tx1"/>
            </w14:solidFill>
          </w14:textFill>
        </w:rPr>
        <w:t xml:space="preserve">         （　 ）第　号</w:t>
      </w:r>
    </w:p>
    <w:p>
      <w:pPr>
        <w:snapToGrid w:val="0"/>
        <w:spacing w:line="360" w:lineRule="auto"/>
        <w:ind w:firstLine="4427"/>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snapToGrid w:val="0"/>
        <w:spacing w:line="360" w:lineRule="auto"/>
        <w:ind w:left="949" w:hanging="949"/>
        <w:rPr>
          <w:b/>
          <w:color w:val="000000" w:themeColor="text1"/>
          <w:highlight w:val="none"/>
          <w14:textFill>
            <w14:solidFill>
              <w14:schemeClr w14:val="tx1"/>
            </w14:solidFill>
          </w14:textFill>
        </w:rPr>
      </w:pPr>
    </w:p>
    <w:p>
      <w:pPr>
        <w:tabs>
          <w:tab w:val="left" w:pos="0"/>
        </w:tabs>
        <w:autoSpaceDE w:val="0"/>
        <w:autoSpaceDN w:val="0"/>
        <w:snapToGrid w:val="0"/>
        <w:spacing w:line="360" w:lineRule="auto"/>
        <w:rPr>
          <w:rFonts w:eastAsia="黑体"/>
          <w:b/>
          <w:color w:val="000000" w:themeColor="text1"/>
          <w:spacing w:val="20"/>
          <w:sz w:val="28"/>
          <w:szCs w:val="28"/>
          <w:highlight w:val="none"/>
          <w14:textFill>
            <w14:solidFill>
              <w14:schemeClr w14:val="tx1"/>
            </w14:solidFill>
          </w14:textFill>
        </w:rPr>
      </w:pPr>
      <w:r>
        <w:rPr>
          <w:b/>
          <w:color w:val="000000" w:themeColor="text1"/>
          <w:highlight w:val="none"/>
          <w14:textFill>
            <w14:solidFill>
              <w14:schemeClr w14:val="tx1"/>
            </w14:solidFill>
          </w14:textFill>
        </w:rPr>
        <w:t>备注：也可使用从工商管理部门购买的格式填写</w:t>
      </w:r>
    </w:p>
    <w:p>
      <w:pPr>
        <w:snapToGrid w:val="0"/>
        <w:spacing w:line="360" w:lineRule="auto"/>
        <w:rPr>
          <w:color w:val="000000" w:themeColor="text1"/>
          <w:highlight w:val="none"/>
          <w14:textFill>
            <w14:solidFill>
              <w14:schemeClr w14:val="tx1"/>
            </w14:solidFill>
          </w14:textFill>
        </w:rPr>
      </w:pPr>
    </w:p>
    <w:p>
      <w:pPr>
        <w:spacing w:line="360" w:lineRule="auto"/>
        <w:ind w:right="538" w:firstLine="560" w:firstLineChars="200"/>
        <w:rPr>
          <w:b/>
          <w:bCs/>
          <w:color w:val="000000" w:themeColor="text1"/>
          <w:sz w:val="28"/>
          <w:highlight w:val="none"/>
          <w14:textFill>
            <w14:solidFill>
              <w14:schemeClr w14:val="tx1"/>
            </w14:solidFill>
          </w14:textFill>
        </w:rPr>
      </w:pPr>
    </w:p>
    <w:p>
      <w:pPr>
        <w:tabs>
          <w:tab w:val="left" w:pos="5070"/>
        </w:tabs>
        <w:adjustRightInd w:val="0"/>
        <w:snapToGrid w:val="0"/>
        <w:spacing w:line="360" w:lineRule="auto"/>
        <w:ind w:firstLine="240" w:firstLineChars="10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（附授权委托人身份证原件扫描件正反面）</w:t>
      </w:r>
    </w:p>
    <w:p>
      <w:pPr>
        <w:spacing w:line="360" w:lineRule="auto"/>
        <w:ind w:right="538" w:firstLine="480" w:firstLineChars="200"/>
        <w:rPr>
          <w:b/>
          <w:bCs/>
          <w:color w:val="000000" w:themeColor="text1"/>
          <w:sz w:val="24"/>
          <w:highlight w:val="none"/>
          <w14:textFill>
            <w14:solidFill>
              <w14:schemeClr w14:val="tx1"/>
            </w14:solidFill>
          </w14:textFill>
        </w:rPr>
      </w:pPr>
      <w:r>
        <w:rPr>
          <w:b/>
          <w:bCs/>
          <w:color w:val="000000" w:themeColor="text1"/>
          <w:sz w:val="24"/>
          <w:highlight w:val="none"/>
          <w14:textFill>
            <w14:solidFill>
              <w14:schemeClr w14:val="tx1"/>
            </w14:solidFill>
          </w14:textFill>
        </w:rPr>
        <w:t>注：本格式仅供参考，也可使用工商管理部门提供的格式。</w:t>
      </w:r>
    </w:p>
    <w:p>
      <w:pPr>
        <w:spacing w:line="360" w:lineRule="auto"/>
        <w:ind w:right="538" w:firstLine="480" w:firstLineChars="200"/>
        <w:rPr>
          <w:color w:val="000000" w:themeColor="text1"/>
          <w:highlight w:val="none"/>
          <w14:textFill>
            <w14:solidFill>
              <w14:schemeClr w14:val="tx1"/>
            </w14:solidFill>
          </w14:textFill>
        </w:rPr>
      </w:pPr>
      <w:r>
        <w:rPr>
          <w:b/>
          <w:bCs/>
          <w:color w:val="000000" w:themeColor="text1"/>
          <w:sz w:val="24"/>
          <w:highlight w:val="none"/>
          <w14:textFill>
            <w14:solidFill>
              <w14:schemeClr w14:val="tx1"/>
            </w14:solidFill>
          </w14:textFill>
        </w:rPr>
        <w:br w:type="page"/>
      </w:r>
      <w:bookmarkStart w:id="113" w:name="_Toc532778393"/>
    </w:p>
    <w:p>
      <w:pPr>
        <w:spacing w:before="62" w:beforeLines="20" w:after="62" w:afterLines="20" w:line="60" w:lineRule="atLeast"/>
        <w:ind w:firstLine="3040" w:firstLineChars="950"/>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三、投标报价表</w:t>
      </w:r>
      <w:bookmarkEnd w:id="113"/>
    </w:p>
    <w:p>
      <w:pPr>
        <w:rPr>
          <w:color w:val="000000" w:themeColor="text1"/>
          <w:highlight w:val="none"/>
          <w14:textFill>
            <w14:solidFill>
              <w14:schemeClr w14:val="tx1"/>
            </w14:solidFill>
          </w14:textFill>
        </w:rPr>
      </w:pP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575" w:type="dxa"/>
            <w:noWrap w:val="0"/>
            <w:vAlign w:val="center"/>
          </w:tcPr>
          <w:p>
            <w:pPr>
              <w:jc w:val="center"/>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项目名称</w:t>
            </w:r>
          </w:p>
        </w:tc>
        <w:tc>
          <w:tcPr>
            <w:tcW w:w="7665" w:type="dxa"/>
            <w:noWrap w:val="0"/>
            <w:vAlign w:val="center"/>
          </w:tcPr>
          <w:p>
            <w:pPr>
              <w:jc w:val="center"/>
              <w:rPr>
                <w:rFonts w:hint="eastAsia" w:ascii="宋体" w:hAnsi="宋体" w:eastAsia="宋体"/>
                <w:bCs/>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南沙全民文化体育综合体生态堤建设工程（21涌以南）等3个项目BIM技术应用服务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575" w:type="dxa"/>
            <w:tcBorders>
              <w:bottom w:val="single" w:color="auto" w:sz="4" w:space="0"/>
            </w:tcBorders>
            <w:noWrap w:val="0"/>
            <w:vAlign w:val="center"/>
          </w:tcPr>
          <w:p>
            <w:pPr>
              <w:jc w:val="center"/>
              <w:rPr>
                <w:rFonts w:ascii="宋体" w:hAnsi="宋体"/>
                <w:b w:val="0"/>
                <w:bCs/>
                <w:color w:val="000000" w:themeColor="text1"/>
                <w:sz w:val="24"/>
                <w:highlight w:val="none"/>
                <w14:textFill>
                  <w14:solidFill>
                    <w14:schemeClr w14:val="tx1"/>
                  </w14:solidFill>
                </w14:textFill>
              </w:rPr>
            </w:pPr>
            <w:r>
              <w:rPr>
                <w:rFonts w:hint="eastAsia" w:ascii="宋体" w:hAnsi="宋体"/>
                <w:b w:val="0"/>
                <w:bCs/>
                <w:color w:val="000000" w:themeColor="text1"/>
                <w:sz w:val="24"/>
                <w:highlight w:val="none"/>
                <w14:textFill>
                  <w14:solidFill>
                    <w14:schemeClr w14:val="tx1"/>
                  </w14:solidFill>
                </w14:textFill>
              </w:rPr>
              <w:t>投标下浮率</w:t>
            </w:r>
            <w:r>
              <w:rPr>
                <w:rFonts w:hint="eastAsia" w:ascii="宋体" w:hAnsi="宋体" w:cs="宋体"/>
                <w:b w:val="0"/>
                <w:bCs/>
                <w:color w:val="000000" w:themeColor="text1"/>
                <w:sz w:val="24"/>
                <w:highlight w:val="none"/>
                <w:lang w:val="zh-CN"/>
                <w14:textFill>
                  <w14:solidFill>
                    <w14:schemeClr w14:val="tx1"/>
                  </w14:solidFill>
                </w14:textFill>
              </w:rPr>
              <w:t>（填正数）</w:t>
            </w:r>
          </w:p>
        </w:tc>
        <w:tc>
          <w:tcPr>
            <w:tcW w:w="7665" w:type="dxa"/>
            <w:tcBorders>
              <w:bottom w:val="single" w:color="auto" w:sz="4" w:space="0"/>
            </w:tcBorders>
            <w:noWrap w:val="0"/>
            <w:vAlign w:val="center"/>
          </w:tcPr>
          <w:p>
            <w:pPr>
              <w:pStyle w:val="13"/>
              <w:spacing w:line="240" w:lineRule="auto"/>
              <w:ind w:left="0" w:leftChars="0" w:right="0" w:rightChars="0" w:firstLine="0"/>
              <w:rPr>
                <w:b w:val="0"/>
                <w:bCs/>
                <w:strike/>
                <w:color w:val="000000" w:themeColor="text1"/>
                <w:highlight w:val="none"/>
                <w14:textFill>
                  <w14:solidFill>
                    <w14:schemeClr w14:val="tx1"/>
                  </w14:solidFill>
                </w14:textFill>
              </w:rPr>
            </w:pPr>
            <w:r>
              <w:rPr>
                <w:rFonts w:hint="eastAsia" w:ascii="宋体" w:hAnsi="宋体"/>
                <w:b w:val="0"/>
                <w:bCs/>
                <w:color w:val="000000" w:themeColor="text1"/>
                <w:highlight w:val="none"/>
                <w14:textFill>
                  <w14:solidFill>
                    <w14:schemeClr w14:val="tx1"/>
                  </w14:solidFill>
                </w14:textFill>
              </w:rPr>
              <w:t>下浮率：____%（由投标人自行填报）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val="0"/>
                <w:bCs/>
                <w:color w:val="000000" w:themeColor="text1"/>
                <w:sz w:val="24"/>
                <w:highlight w:val="non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投标总报价</w:t>
            </w:r>
          </w:p>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（保留2位小数）</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b w:val="0"/>
                <w:bCs/>
                <w:color w:val="000000" w:themeColor="text1"/>
                <w:sz w:val="24"/>
                <w:highlight w:val="none"/>
                <w:u w:val="singl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大写：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p>
          <w:p>
            <w:pPr>
              <w:adjustRightInd w:val="0"/>
              <w:snapToGrid w:val="0"/>
              <w:rPr>
                <w:rFonts w:hint="eastAsia" w:ascii="宋体" w:hAnsi="宋体" w:cs="宋体"/>
                <w:b w:val="0"/>
                <w:bCs/>
                <w:color w:val="000000" w:themeColor="text1"/>
                <w:sz w:val="24"/>
                <w:highlight w:val="non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小写：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r>
              <w:rPr>
                <w:rFonts w:hint="eastAsia" w:ascii="宋体" w:hAnsi="宋体" w:cs="宋体"/>
                <w:b w:val="0"/>
                <w:bCs/>
                <w:color w:val="000000" w:themeColor="text1"/>
                <w:sz w:val="24"/>
                <w:highlight w:val="none"/>
                <w:lang w:val="zh-CN"/>
                <w14:textFill>
                  <w14:solidFill>
                    <w14:schemeClr w14:val="tx1"/>
                  </w14:solidFill>
                </w14:textFill>
              </w:rPr>
              <w:t>元</w:t>
            </w:r>
          </w:p>
          <w:p>
            <w:pPr>
              <w:adjustRightInd w:val="0"/>
              <w:snapToGrid w:val="0"/>
              <w:rPr>
                <w:rFonts w:hint="eastAsia" w:ascii="宋体" w:hAnsi="宋体" w:cs="宋体"/>
                <w:b w:val="0"/>
                <w:bCs/>
                <w:strike/>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b w:val="0"/>
                <w:bCs/>
                <w:color w:val="000000" w:themeColor="text1"/>
                <w:sz w:val="24"/>
                <w:szCs w:val="24"/>
                <w:highlight w:val="none"/>
                <w14:textFill>
                  <w14:solidFill>
                    <w14:schemeClr w14:val="tx1"/>
                  </w14:solidFill>
                </w14:textFill>
              </w:rPr>
            </w:pPr>
            <w:bookmarkStart w:id="114" w:name="_Toc532744175"/>
            <w:bookmarkStart w:id="115" w:name="_Toc359572280"/>
            <w:bookmarkStart w:id="116" w:name="_Toc413933194"/>
            <w:bookmarkStart w:id="117" w:name="_Toc413933301"/>
            <w:r>
              <w:rPr>
                <w:rFonts w:hint="eastAsia" w:ascii="宋体" w:hAnsi="宋体" w:eastAsia="宋体" w:cs="Times New Roman"/>
                <w:b w:val="0"/>
                <w:bCs/>
                <w:color w:val="000000" w:themeColor="text1"/>
                <w:kern w:val="0"/>
                <w:sz w:val="24"/>
                <w:highlight w:val="none"/>
                <w:u w:val="none"/>
                <w:lang w:eastAsia="zh-CN"/>
                <w14:textFill>
                  <w14:solidFill>
                    <w14:schemeClr w14:val="tx1"/>
                  </w14:solidFill>
                </w14:textFill>
              </w:rPr>
              <w:t>南沙全民文化体育综合体生态堤建设工程（21涌以南）</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b w:val="0"/>
                <w:bCs/>
                <w:color w:val="000000" w:themeColor="text1"/>
                <w:sz w:val="24"/>
                <w:highlight w:val="none"/>
                <w:u w:val="singl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大写：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p>
          <w:p>
            <w:pPr>
              <w:adjustRightInd w:val="0"/>
              <w:snapToGrid w:val="0"/>
              <w:rPr>
                <w:rFonts w:hint="eastAsia" w:ascii="宋体" w:hAnsi="宋体" w:cs="宋体"/>
                <w:b w:val="0"/>
                <w:bCs/>
                <w:color w:val="000000" w:themeColor="text1"/>
                <w:sz w:val="24"/>
                <w:highlight w:val="non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小写：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r>
              <w:rPr>
                <w:rFonts w:hint="eastAsia" w:ascii="宋体" w:hAnsi="宋体" w:cs="宋体"/>
                <w:b w:val="0"/>
                <w:bCs/>
                <w:color w:val="000000" w:themeColor="text1"/>
                <w:sz w:val="24"/>
                <w:highlight w:val="none"/>
                <w:lang w:val="zh-CN"/>
                <w14:textFill>
                  <w14:solidFill>
                    <w14:schemeClr w14:val="tx1"/>
                  </w14:solidFill>
                </w14:textFill>
              </w:rPr>
              <w:t>元</w:t>
            </w:r>
          </w:p>
          <w:p>
            <w:pPr>
              <w:adjustRightInd w:val="0"/>
              <w:snapToGrid w:val="0"/>
              <w:rPr>
                <w:rFonts w:hint="eastAsia" w:ascii="宋体" w:hAnsi="宋体" w:cs="宋体"/>
                <w:b w:val="0"/>
                <w:bCs/>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Times New Roman"/>
                <w:b w:val="0"/>
                <w:bCs/>
                <w:color w:val="000000" w:themeColor="text1"/>
                <w:kern w:val="0"/>
                <w:sz w:val="24"/>
                <w:highlight w:val="none"/>
                <w:u w:val="none"/>
                <w:lang w:eastAsia="zh-CN"/>
                <w14:textFill>
                  <w14:solidFill>
                    <w14:schemeClr w14:val="tx1"/>
                  </w14:solidFill>
                </w14:textFill>
              </w:rPr>
            </w:pPr>
            <w:r>
              <w:rPr>
                <w:rFonts w:hint="eastAsia" w:ascii="宋体" w:hAnsi="宋体" w:eastAsia="宋体" w:cs="Times New Roman"/>
                <w:bCs/>
                <w:color w:val="000000" w:themeColor="text1"/>
                <w:kern w:val="0"/>
                <w:sz w:val="24"/>
                <w:szCs w:val="22"/>
                <w:highlight w:val="none"/>
                <w:u w:val="none"/>
                <w:lang w:val="en-US" w:eastAsia="zh-CN" w:bidi="ar"/>
                <w14:textFill>
                  <w14:solidFill>
                    <w14:schemeClr w14:val="tx1"/>
                  </w14:solidFill>
                </w14:textFill>
              </w:rPr>
              <w:t>南沙全民文化体育综合体生态堤建设工程（21涌以北）二期</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b w:val="0"/>
                <w:bCs/>
                <w:color w:val="000000" w:themeColor="text1"/>
                <w:sz w:val="24"/>
                <w:highlight w:val="none"/>
                <w:u w:val="singl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大写：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p>
          <w:p>
            <w:pPr>
              <w:adjustRightInd w:val="0"/>
              <w:snapToGrid w:val="0"/>
              <w:rPr>
                <w:rFonts w:hint="eastAsia" w:ascii="宋体" w:hAnsi="宋体" w:cs="宋体"/>
                <w:b w:val="0"/>
                <w:bCs/>
                <w:color w:val="000000" w:themeColor="text1"/>
                <w:sz w:val="24"/>
                <w:highlight w:val="non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小写：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r>
              <w:rPr>
                <w:rFonts w:hint="eastAsia" w:ascii="宋体" w:hAnsi="宋体" w:cs="宋体"/>
                <w:b w:val="0"/>
                <w:bCs/>
                <w:color w:val="000000" w:themeColor="text1"/>
                <w:sz w:val="24"/>
                <w:highlight w:val="none"/>
                <w:lang w:val="zh-CN"/>
                <w14:textFill>
                  <w14:solidFill>
                    <w14:schemeClr w14:val="tx1"/>
                  </w14:solidFill>
                </w14:textFill>
              </w:rPr>
              <w:t>元</w:t>
            </w:r>
          </w:p>
          <w:p>
            <w:pPr>
              <w:adjustRightInd w:val="0"/>
              <w:snapToGrid w:val="0"/>
              <w:rPr>
                <w:rFonts w:hint="eastAsia" w:ascii="宋体" w:hAnsi="宋体" w:cs="宋体"/>
                <w:b w:val="0"/>
                <w:bCs/>
                <w:color w:val="000000" w:themeColor="text1"/>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Times New Roman"/>
                <w:b w:val="0"/>
                <w:bCs/>
                <w:color w:val="000000" w:themeColor="text1"/>
                <w:kern w:val="0"/>
                <w:sz w:val="24"/>
                <w:szCs w:val="22"/>
                <w:highlight w:val="none"/>
                <w:u w:val="none"/>
                <w14:textFill>
                  <w14:solidFill>
                    <w14:schemeClr w14:val="tx1"/>
                  </w14:solidFill>
                </w14:textFill>
              </w:rPr>
            </w:pPr>
            <w:r>
              <w:rPr>
                <w:rFonts w:hint="eastAsia" w:ascii="宋体" w:hAnsi="宋体" w:eastAsia="宋体" w:cs="Times New Roman"/>
                <w:b w:val="0"/>
                <w:bCs/>
                <w:color w:val="000000" w:themeColor="text1"/>
                <w:kern w:val="0"/>
                <w:sz w:val="24"/>
                <w:highlight w:val="none"/>
                <w:u w:val="none"/>
                <w:lang w:eastAsia="zh-CN"/>
                <w14:textFill>
                  <w14:solidFill>
                    <w14:schemeClr w14:val="tx1"/>
                  </w14:solidFill>
                </w14:textFill>
              </w:rPr>
              <w:t>南沙区万顷沙十九涌南污水提升泵站工程</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cs="宋体"/>
                <w:b w:val="0"/>
                <w:bCs/>
                <w:color w:val="000000" w:themeColor="text1"/>
                <w:sz w:val="24"/>
                <w:highlight w:val="none"/>
                <w:u w:val="singl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大写：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p>
          <w:p>
            <w:pPr>
              <w:adjustRightInd w:val="0"/>
              <w:snapToGrid w:val="0"/>
              <w:rPr>
                <w:rFonts w:hint="eastAsia" w:ascii="宋体" w:hAnsi="宋体" w:cs="宋体"/>
                <w:b w:val="0"/>
                <w:bCs/>
                <w:color w:val="000000" w:themeColor="text1"/>
                <w:sz w:val="24"/>
                <w:highlight w:val="none"/>
                <w:lang w:val="zh-CN"/>
                <w14:textFill>
                  <w14:solidFill>
                    <w14:schemeClr w14:val="tx1"/>
                  </w14:solidFill>
                </w14:textFill>
              </w:rPr>
            </w:pPr>
            <w:r>
              <w:rPr>
                <w:rFonts w:hint="eastAsia" w:ascii="宋体" w:hAnsi="宋体" w:cs="宋体"/>
                <w:b w:val="0"/>
                <w:bCs/>
                <w:color w:val="000000" w:themeColor="text1"/>
                <w:sz w:val="24"/>
                <w:highlight w:val="none"/>
                <w:lang w:val="zh-CN"/>
                <w14:textFill>
                  <w14:solidFill>
                    <w14:schemeClr w14:val="tx1"/>
                  </w14:solidFill>
                </w14:textFill>
              </w:rPr>
              <w:t>小写：</w:t>
            </w:r>
            <w:r>
              <w:rPr>
                <w:rFonts w:hint="eastAsia" w:ascii="宋体" w:hAnsi="宋体" w:cs="宋体"/>
                <w:b w:val="0"/>
                <w:bCs/>
                <w:color w:val="000000" w:themeColor="text1"/>
                <w:sz w:val="24"/>
                <w:highlight w:val="none"/>
                <w:u w:val="single"/>
                <w:lang w:val="zh-CN"/>
                <w14:textFill>
                  <w14:solidFill>
                    <w14:schemeClr w14:val="tx1"/>
                  </w14:solidFill>
                </w14:textFill>
              </w:rPr>
              <w:t xml:space="preserve">            </w:t>
            </w:r>
            <w:r>
              <w:rPr>
                <w:rFonts w:hint="eastAsia" w:ascii="宋体" w:hAnsi="宋体" w:cs="宋体"/>
                <w:b w:val="0"/>
                <w:bCs/>
                <w:color w:val="000000" w:themeColor="text1"/>
                <w:sz w:val="24"/>
                <w:highlight w:val="none"/>
                <w:lang w:val="zh-CN"/>
                <w14:textFill>
                  <w14:solidFill>
                    <w14:schemeClr w14:val="tx1"/>
                  </w14:solidFill>
                </w14:textFill>
              </w:rPr>
              <w:t>元</w:t>
            </w:r>
          </w:p>
          <w:p>
            <w:pPr>
              <w:adjustRightInd w:val="0"/>
              <w:snapToGrid w:val="0"/>
              <w:rPr>
                <w:rFonts w:hint="eastAsia" w:ascii="宋体" w:hAnsi="宋体" w:cs="宋体"/>
                <w:b w:val="0"/>
                <w:bCs/>
                <w:color w:val="000000" w:themeColor="text1"/>
                <w:szCs w:val="24"/>
                <w:highlight w:val="none"/>
                <w14:textFill>
                  <w14:solidFill>
                    <w14:schemeClr w14:val="tx1"/>
                  </w14:solidFill>
                </w14:textFill>
              </w:rPr>
            </w:pPr>
          </w:p>
        </w:tc>
      </w:tr>
    </w:tbl>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注：保留小数点后2位，第三位四舍五入。</w:t>
      </w:r>
    </w:p>
    <w:p>
      <w:pPr>
        <w:spacing w:line="360" w:lineRule="auto"/>
        <w:rPr>
          <w:rFonts w:hint="eastAsia" w:ascii="宋体" w:hAnsi="宋体"/>
          <w:color w:val="000000" w:themeColor="text1"/>
          <w:sz w:val="24"/>
          <w:highlight w:val="none"/>
          <w14:textFill>
            <w14:solidFill>
              <w14:schemeClr w14:val="tx1"/>
            </w14:solidFill>
          </w14:textFill>
        </w:rPr>
      </w:pPr>
    </w:p>
    <w:p>
      <w:pPr>
        <w:spacing w:line="360" w:lineRule="auto"/>
        <w:ind w:right="-108" w:firstLine="4320" w:firstLineChars="1800"/>
        <w:rPr>
          <w:rFonts w:hint="eastAsia" w:ascii="宋体" w:hAnsi="宋体"/>
          <w:color w:val="000000" w:themeColor="text1"/>
          <w:sz w:val="24"/>
          <w:highlight w:val="none"/>
          <w14:textFill>
            <w14:solidFill>
              <w14:schemeClr w14:val="tx1"/>
            </w14:solidFill>
          </w14:textFill>
        </w:rPr>
      </w:pPr>
    </w:p>
    <w:p>
      <w:pPr>
        <w:spacing w:line="360" w:lineRule="auto"/>
        <w:ind w:right="-108" w:firstLine="4320" w:firstLineChars="18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投标单位（盖公章）：</w:t>
      </w:r>
    </w:p>
    <w:p>
      <w:pPr>
        <w:spacing w:line="360" w:lineRule="auto"/>
        <w:ind w:right="-108"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法定代表人或授权委托人（签字或盖章）</w:t>
      </w:r>
      <w:r>
        <w:rPr>
          <w:rFonts w:ascii="宋体" w:hAnsi="宋体"/>
          <w:color w:val="000000" w:themeColor="text1"/>
          <w:sz w:val="24"/>
          <w:highlight w:val="none"/>
          <w14:textFill>
            <w14:solidFill>
              <w14:schemeClr w14:val="tx1"/>
            </w14:solidFill>
          </w14:textFill>
        </w:rPr>
        <w:t>:</w:t>
      </w:r>
    </w:p>
    <w:p>
      <w:pPr>
        <w:spacing w:line="360" w:lineRule="auto"/>
        <w:ind w:right="53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日　　　期：　　　年　　月 　日</w:t>
      </w:r>
    </w:p>
    <w:p>
      <w:pPr>
        <w:rPr>
          <w:rFonts w:hint="eastAsia" w:ascii="宋体" w:hAnsi="宋体" w:cs="宋体"/>
          <w:b/>
          <w:color w:val="000000" w:themeColor="text1"/>
          <w:sz w:val="28"/>
          <w:szCs w:val="28"/>
          <w:highlight w:val="none"/>
          <w14:textFill>
            <w14:solidFill>
              <w14:schemeClr w14:val="tx1"/>
            </w14:solidFill>
          </w14:textFill>
        </w:rPr>
      </w:pPr>
    </w:p>
    <w:p>
      <w:pPr>
        <w:pStyle w:val="22"/>
        <w:rPr>
          <w:rFonts w:hint="eastAsia" w:ascii="宋体" w:hAnsi="宋体" w:cs="宋体"/>
          <w:b/>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bookmarkEnd w:id="114"/>
    <w:bookmarkEnd w:id="115"/>
    <w:bookmarkEnd w:id="116"/>
    <w:bookmarkEnd w:id="117"/>
    <w:p>
      <w:pPr>
        <w:pStyle w:val="4"/>
        <w:jc w:val="center"/>
        <w:rPr>
          <w:rFonts w:hint="eastAsia" w:ascii="宋体" w:hAnsi="宋体" w:eastAsia="宋体"/>
          <w:color w:val="000000" w:themeColor="text1"/>
          <w:highlight w:val="none"/>
          <w14:textFill>
            <w14:solidFill>
              <w14:schemeClr w14:val="tx1"/>
            </w14:solidFill>
          </w14:textFill>
        </w:rPr>
      </w:pPr>
      <w:bookmarkStart w:id="118" w:name="_Toc492300738"/>
      <w:bookmarkStart w:id="119" w:name="_Toc532778396"/>
      <w:bookmarkStart w:id="120" w:name="_Toc520310883"/>
      <w:r>
        <w:rPr>
          <w:rFonts w:hint="eastAsia" w:ascii="宋体" w:hAnsi="宋体" w:eastAsia="宋体"/>
          <w:color w:val="000000" w:themeColor="text1"/>
          <w:highlight w:val="none"/>
          <w14:textFill>
            <w14:solidFill>
              <w14:schemeClr w14:val="tx1"/>
            </w14:solidFill>
          </w14:textFill>
        </w:rPr>
        <w:br w:type="page"/>
      </w:r>
      <w:r>
        <w:rPr>
          <w:rFonts w:hint="eastAsia" w:ascii="宋体" w:hAnsi="宋体" w:eastAsia="宋体"/>
          <w:color w:val="000000" w:themeColor="text1"/>
          <w:highlight w:val="none"/>
          <w14:textFill>
            <w14:solidFill>
              <w14:schemeClr w14:val="tx1"/>
            </w14:solidFill>
          </w14:textFill>
        </w:rPr>
        <w:t>四、资格审查资料</w:t>
      </w:r>
    </w:p>
    <w:p>
      <w:pPr>
        <w:pStyle w:val="4"/>
        <w:jc w:val="cente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（详见招标文件3.5）</w:t>
      </w:r>
    </w:p>
    <w:p>
      <w:pPr>
        <w:pStyle w:val="4"/>
        <w:jc w:val="cente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br w:type="page"/>
      </w:r>
      <w:r>
        <w:rPr>
          <w:rFonts w:hint="eastAsia" w:ascii="宋体" w:hAnsi="宋体" w:eastAsia="宋体"/>
          <w:color w:val="000000" w:themeColor="text1"/>
          <w:highlight w:val="none"/>
          <w14:textFill>
            <w14:solidFill>
              <w14:schemeClr w14:val="tx1"/>
            </w14:solidFill>
          </w14:textFill>
        </w:rPr>
        <w:t>五、</w:t>
      </w:r>
      <w:bookmarkStart w:id="121" w:name="_Toc532778395"/>
      <w:r>
        <w:rPr>
          <w:rFonts w:hint="eastAsia" w:ascii="宋体" w:hAnsi="宋体" w:eastAsia="宋体"/>
          <w:color w:val="000000" w:themeColor="text1"/>
          <w:highlight w:val="none"/>
          <w:lang w:eastAsia="zh-CN"/>
          <w14:textFill>
            <w14:solidFill>
              <w14:schemeClr w14:val="tx1"/>
            </w14:solidFill>
          </w14:textFill>
        </w:rPr>
        <w:t>服务</w:t>
      </w:r>
      <w:r>
        <w:rPr>
          <w:rFonts w:hint="eastAsia" w:ascii="宋体" w:hAnsi="宋体" w:eastAsia="宋体"/>
          <w:color w:val="000000" w:themeColor="text1"/>
          <w:highlight w:val="none"/>
          <w14:textFill>
            <w14:solidFill>
              <w14:schemeClr w14:val="tx1"/>
            </w14:solidFill>
          </w14:textFill>
        </w:rPr>
        <w:t>方案</w:t>
      </w:r>
      <w:bookmarkEnd w:id="121"/>
    </w:p>
    <w:p>
      <w:pPr>
        <w:jc w:val="center"/>
        <w:rPr>
          <w:rFonts w:hint="eastAsia"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（格式自定）</w:t>
      </w:r>
    </w:p>
    <w:p>
      <w:pPr>
        <w:spacing w:line="360" w:lineRule="auto"/>
        <w:ind w:firstLine="420" w:firstLineChars="200"/>
        <w:rPr>
          <w:rFonts w:hint="eastAsia" w:ascii="宋体" w:hAnsi="宋体"/>
          <w:color w:val="000000" w:themeColor="text1"/>
          <w:highlight w:val="none"/>
          <w14:textFill>
            <w14:solidFill>
              <w14:schemeClr w14:val="tx1"/>
            </w14:solidFill>
          </w14:textFill>
        </w:rPr>
      </w:pPr>
    </w:p>
    <w:p>
      <w:pPr>
        <w:pStyle w:val="4"/>
        <w:jc w:val="center"/>
        <w:rPr>
          <w:rFonts w:hint="eastAsia" w:ascii="宋体" w:hAnsi="宋体" w:eastAsia="宋体"/>
          <w:color w:val="000000" w:themeColor="text1"/>
          <w:highlight w:val="none"/>
          <w14:textFill>
            <w14:solidFill>
              <w14:schemeClr w14:val="tx1"/>
            </w14:solidFill>
          </w14:textFill>
        </w:rPr>
        <w:sectPr>
          <w:pgSz w:w="11906" w:h="16838"/>
          <w:pgMar w:top="1134" w:right="1304" w:bottom="851" w:left="1304" w:header="851" w:footer="567" w:gutter="0"/>
          <w:cols w:space="720" w:num="1"/>
          <w:docGrid w:type="linesAndChars" w:linePitch="312" w:charSpace="0"/>
        </w:sectPr>
      </w:pPr>
    </w:p>
    <w:p>
      <w:pPr>
        <w:pStyle w:val="4"/>
        <w:jc w:val="cente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六、</w:t>
      </w:r>
      <w:r>
        <w:rPr>
          <w:rFonts w:ascii="宋体" w:hAnsi="宋体" w:eastAsia="宋体"/>
          <w:color w:val="000000" w:themeColor="text1"/>
          <w:highlight w:val="none"/>
          <w14:textFill>
            <w14:solidFill>
              <w14:schemeClr w14:val="tx1"/>
            </w14:solidFill>
          </w14:textFill>
        </w:rPr>
        <w:t>其他资料</w:t>
      </w:r>
      <w:bookmarkEnd w:id="118"/>
      <w:bookmarkEnd w:id="119"/>
      <w:bookmarkEnd w:id="120"/>
    </w:p>
    <w:p>
      <w:pPr>
        <w:spacing w:before="240" w:after="240" w:line="360" w:lineRule="auto"/>
        <w:rPr>
          <w:rFonts w:hint="eastAsia" w:ascii="宋体" w:hAnsi="宋体"/>
          <w:b/>
          <w:color w:val="000000" w:themeColor="text1"/>
          <w:position w:val="12"/>
          <w:sz w:val="28"/>
          <w:szCs w:val="28"/>
          <w:highlight w:val="none"/>
          <w14:textFill>
            <w14:solidFill>
              <w14:schemeClr w14:val="tx1"/>
            </w14:solidFill>
          </w14:textFill>
        </w:rPr>
      </w:pPr>
      <w:bookmarkStart w:id="122" w:name="_Toc532778397"/>
      <w:r>
        <w:rPr>
          <w:rFonts w:hint="eastAsia" w:ascii="宋体" w:hAnsi="宋体"/>
          <w:b/>
          <w:color w:val="000000" w:themeColor="text1"/>
          <w:position w:val="12"/>
          <w:sz w:val="28"/>
          <w:szCs w:val="28"/>
          <w:highlight w:val="none"/>
          <w14:textFill>
            <w14:solidFill>
              <w14:schemeClr w14:val="tx1"/>
            </w14:solidFill>
          </w14:textFill>
        </w:rPr>
        <w:t>表格1</w:t>
      </w:r>
      <w:bookmarkEnd w:id="122"/>
    </w:p>
    <w:p>
      <w:pPr>
        <w:pStyle w:val="4"/>
        <w:jc w:val="center"/>
        <w:rPr>
          <w:rFonts w:ascii="宋体" w:hAnsi="宋体"/>
          <w:b w:val="0"/>
          <w:color w:val="000000" w:themeColor="text1"/>
          <w:highlight w:val="none"/>
          <w14:textFill>
            <w14:solidFill>
              <w14:schemeClr w14:val="tx1"/>
            </w14:solidFill>
          </w14:textFill>
        </w:rPr>
      </w:pPr>
      <w:r>
        <w:rPr>
          <w:rFonts w:hint="eastAsia" w:ascii="宋体" w:hAnsi="宋体"/>
          <w:b w:val="0"/>
          <w:color w:val="000000" w:themeColor="text1"/>
          <w:highlight w:val="none"/>
          <w14:textFill>
            <w14:solidFill>
              <w14:schemeClr w14:val="tx1"/>
            </w14:solidFill>
          </w14:textFill>
        </w:rPr>
        <w:t>投标单位组织机构表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0"/>
        <w:gridCol w:w="3172"/>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3"/>
            <w:noWrap w:val="0"/>
            <w:vAlign w:val="center"/>
          </w:tcPr>
          <w:p>
            <w:pPr>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1、简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0" w:type="dxa"/>
            <w:noWrap w:val="0"/>
            <w:vAlign w:val="center"/>
          </w:tcPr>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单位名称</w:t>
            </w:r>
          </w:p>
        </w:tc>
        <w:tc>
          <w:tcPr>
            <w:tcW w:w="6344" w:type="dxa"/>
            <w:gridSpan w:val="2"/>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0" w:type="dxa"/>
            <w:noWrap w:val="0"/>
            <w:vAlign w:val="center"/>
          </w:tcPr>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上级管理单位名称：</w:t>
            </w:r>
          </w:p>
        </w:tc>
        <w:tc>
          <w:tcPr>
            <w:tcW w:w="6344" w:type="dxa"/>
            <w:gridSpan w:val="2"/>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0" w:type="dxa"/>
            <w:noWrap w:val="0"/>
            <w:vAlign w:val="center"/>
          </w:tcPr>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成立日期：</w:t>
            </w:r>
          </w:p>
        </w:tc>
        <w:tc>
          <w:tcPr>
            <w:tcW w:w="6344" w:type="dxa"/>
            <w:gridSpan w:val="2"/>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70" w:type="dxa"/>
            <w:noWrap w:val="0"/>
            <w:vAlign w:val="center"/>
          </w:tcPr>
          <w:p>
            <w:pPr>
              <w:spacing w:line="360" w:lineRule="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本届领导班子起始日期：</w:t>
            </w:r>
          </w:p>
        </w:tc>
        <w:tc>
          <w:tcPr>
            <w:tcW w:w="6344" w:type="dxa"/>
            <w:gridSpan w:val="2"/>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4" w:type="dxa"/>
            <w:gridSpan w:val="3"/>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2、领导层名单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0"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姓名</w:t>
            </w: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职务</w:t>
            </w: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0"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0"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0"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c>
          <w:tcPr>
            <w:tcW w:w="3172" w:type="dxa"/>
            <w:noWrap w:val="0"/>
            <w:vAlign w:val="center"/>
          </w:tcPr>
          <w:p>
            <w:pPr>
              <w:spacing w:line="360" w:lineRule="auto"/>
              <w:jc w:val="center"/>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7" w:hRule="atLeast"/>
        </w:trPr>
        <w:tc>
          <w:tcPr>
            <w:tcW w:w="9514" w:type="dxa"/>
            <w:gridSpan w:val="3"/>
            <w:noWrap w:val="0"/>
            <w:vAlign w:val="top"/>
          </w:tcPr>
          <w:p>
            <w:pPr>
              <w:spacing w:line="360" w:lineRule="auto"/>
              <w:jc w:val="center"/>
              <w:rPr>
                <w:rFonts w:ascii="宋体" w:hAnsi="宋体"/>
                <w:color w:val="000000" w:themeColor="text1"/>
                <w:sz w:val="24"/>
                <w:highlight w:val="none"/>
                <w14:textFill>
                  <w14:solidFill>
                    <w14:schemeClr w14:val="tx1"/>
                  </w14:solidFill>
                </w14:textFill>
              </w:rPr>
            </w:pPr>
          </w:p>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组织机构框图</w:t>
            </w:r>
          </w:p>
          <w:p>
            <w:pPr>
              <w:spacing w:line="360" w:lineRule="auto"/>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以框图的形式表示出组织机构、负责人及各职能部门</w:t>
            </w:r>
          </w:p>
        </w:tc>
      </w:tr>
    </w:tbl>
    <w:p>
      <w:pPr>
        <w:spacing w:line="360" w:lineRule="auto"/>
        <w:ind w:firstLine="435"/>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注：</w:t>
      </w:r>
      <w:r>
        <w:rPr>
          <w:rFonts w:hint="eastAsia" w:ascii="宋体" w:hAnsi="宋体" w:cs="宋体"/>
          <w:color w:val="000000" w:themeColor="text1"/>
          <w:sz w:val="24"/>
          <w:highlight w:val="none"/>
          <w14:textFill>
            <w14:solidFill>
              <w14:schemeClr w14:val="tx1"/>
            </w14:solidFill>
          </w14:textFill>
        </w:rPr>
        <w:t>填写表格后需附上公司证件相关证明材料</w:t>
      </w:r>
      <w:r>
        <w:rPr>
          <w:rFonts w:hint="eastAsia" w:ascii="宋体" w:hAnsi="宋体"/>
          <w:color w:val="000000" w:themeColor="text1"/>
          <w:sz w:val="24"/>
          <w:highlight w:val="none"/>
          <w14:textFill>
            <w14:solidFill>
              <w14:schemeClr w14:val="tx1"/>
            </w14:solidFill>
          </w14:textFill>
        </w:rPr>
        <w:t>（与评标内容相关的）</w:t>
      </w: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投标单位（盖公章）：</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法定代表人或授权委托人（签字或盖章） </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53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　　　年　　月 　日</w:t>
      </w:r>
    </w:p>
    <w:p>
      <w:pPr>
        <w:spacing w:line="360" w:lineRule="auto"/>
        <w:ind w:firstLine="435"/>
        <w:rPr>
          <w:rFonts w:ascii="宋体" w:hAnsi="宋体"/>
          <w:color w:val="000000" w:themeColor="text1"/>
          <w:sz w:val="24"/>
          <w:highlight w:val="none"/>
          <w14:textFill>
            <w14:solidFill>
              <w14:schemeClr w14:val="tx1"/>
            </w14:solidFill>
          </w14:textFill>
        </w:rPr>
      </w:pPr>
    </w:p>
    <w:p>
      <w:pPr>
        <w:pStyle w:val="4"/>
        <w:rPr>
          <w:rFonts w:ascii="宋体" w:hAnsi="宋体"/>
          <w:color w:val="000000" w:themeColor="text1"/>
          <w:highlight w:val="none"/>
          <w14:textFill>
            <w14:solidFill>
              <w14:schemeClr w14:val="tx1"/>
            </w14:solidFill>
          </w14:textFill>
        </w:rPr>
        <w:sectPr>
          <w:pgSz w:w="11906" w:h="16838"/>
          <w:pgMar w:top="1134" w:right="1304" w:bottom="851" w:left="1304" w:header="851" w:footer="567" w:gutter="0"/>
          <w:cols w:space="720" w:num="1"/>
          <w:docGrid w:type="linesAndChars" w:linePitch="312" w:charSpace="0"/>
        </w:sectPr>
      </w:pPr>
    </w:p>
    <w:p>
      <w:pPr>
        <w:spacing w:before="240" w:after="240" w:line="360" w:lineRule="auto"/>
        <w:rPr>
          <w:rFonts w:ascii="宋体" w:hAnsi="宋体"/>
          <w:b/>
          <w:color w:val="000000" w:themeColor="text1"/>
          <w:sz w:val="36"/>
          <w:highlight w:val="none"/>
          <w14:textFill>
            <w14:solidFill>
              <w14:schemeClr w14:val="tx1"/>
            </w14:solidFill>
          </w14:textFill>
        </w:rPr>
      </w:pPr>
      <w:bookmarkStart w:id="123" w:name="_Toc532778399"/>
      <w:r>
        <w:rPr>
          <w:rFonts w:hint="eastAsia" w:ascii="宋体" w:hAnsi="宋体"/>
          <w:b/>
          <w:color w:val="000000" w:themeColor="text1"/>
          <w:position w:val="12"/>
          <w:sz w:val="28"/>
          <w:szCs w:val="28"/>
          <w:highlight w:val="none"/>
          <w14:textFill>
            <w14:solidFill>
              <w14:schemeClr w14:val="tx1"/>
            </w14:solidFill>
          </w14:textFill>
        </w:rPr>
        <w:t>表格2</w:t>
      </w:r>
      <w:bookmarkEnd w:id="123"/>
    </w:p>
    <w:p>
      <w:pPr>
        <w:pStyle w:val="4"/>
        <w:spacing w:line="413" w:lineRule="auto"/>
        <w:jc w:val="center"/>
        <w:rPr>
          <w:rFonts w:hint="eastAsia" w:ascii="宋体" w:hAnsi="宋体" w:eastAsia="宋体" w:cs="宋体"/>
          <w:color w:val="000000" w:themeColor="text1"/>
          <w:highlight w:val="none"/>
          <w14:textFill>
            <w14:solidFill>
              <w14:schemeClr w14:val="tx1"/>
            </w14:solidFill>
          </w14:textFill>
        </w:rPr>
      </w:pPr>
      <w:bookmarkStart w:id="124" w:name="_Toc197843636"/>
      <w:bookmarkStart w:id="125" w:name="_Toc369880940"/>
      <w:bookmarkStart w:id="126" w:name="_Toc532778400"/>
      <w:r>
        <w:rPr>
          <w:rFonts w:hint="eastAsia" w:ascii="宋体" w:hAnsi="宋体" w:eastAsia="宋体" w:cs="宋体"/>
          <w:bCs/>
          <w:color w:val="000000" w:themeColor="text1"/>
          <w:sz w:val="28"/>
          <w:szCs w:val="28"/>
          <w:highlight w:val="none"/>
          <w14:textFill>
            <w14:solidFill>
              <w14:schemeClr w14:val="tx1"/>
            </w14:solidFill>
          </w14:textFill>
        </w:rPr>
        <w:t>20</w:t>
      </w:r>
      <w:r>
        <w:rPr>
          <w:rFonts w:hint="eastAsia" w:ascii="宋体" w:hAnsi="宋体" w:eastAsia="宋体" w:cs="宋体"/>
          <w:bCs/>
          <w:color w:val="000000" w:themeColor="text1"/>
          <w:sz w:val="28"/>
          <w:szCs w:val="28"/>
          <w:highlight w:val="none"/>
          <w:lang w:val="en-US" w:eastAsia="zh-CN"/>
          <w14:textFill>
            <w14:solidFill>
              <w14:schemeClr w14:val="tx1"/>
            </w14:solidFill>
          </w14:textFill>
        </w:rPr>
        <w:t>21</w:t>
      </w:r>
      <w:r>
        <w:rPr>
          <w:rFonts w:hint="eastAsia" w:ascii="宋体" w:hAnsi="宋体" w:eastAsia="宋体" w:cs="宋体"/>
          <w:bCs/>
          <w:color w:val="000000" w:themeColor="text1"/>
          <w:sz w:val="28"/>
          <w:szCs w:val="28"/>
          <w:highlight w:val="none"/>
          <w14:textFill>
            <w14:solidFill>
              <w14:schemeClr w14:val="tx1"/>
            </w14:solidFill>
          </w14:textFill>
        </w:rPr>
        <w:t>年1月1日至今承担</w:t>
      </w:r>
      <w:r>
        <w:rPr>
          <w:rFonts w:hint="eastAsia" w:ascii="宋体" w:hAnsi="宋体" w:eastAsia="宋体" w:cs="宋体"/>
          <w:color w:val="000000" w:themeColor="text1"/>
          <w:sz w:val="28"/>
          <w:szCs w:val="28"/>
          <w:highlight w:val="none"/>
          <w14:textFill>
            <w14:solidFill>
              <w14:schemeClr w14:val="tx1"/>
            </w14:solidFill>
          </w14:textFill>
        </w:rPr>
        <w:t>过</w:t>
      </w:r>
      <w:r>
        <w:rPr>
          <w:rFonts w:hint="eastAsia" w:ascii="宋体" w:hAnsi="宋体" w:eastAsia="宋体" w:cs="宋体"/>
          <w:bCs/>
          <w:color w:val="000000" w:themeColor="text1"/>
          <w:sz w:val="28"/>
          <w:szCs w:val="28"/>
          <w:highlight w:val="none"/>
          <w14:textFill>
            <w14:solidFill>
              <w14:schemeClr w14:val="tx1"/>
            </w14:solidFill>
          </w14:textFill>
        </w:rPr>
        <w:t>的类似项目业绩</w:t>
      </w:r>
      <w:bookmarkEnd w:id="124"/>
      <w:bookmarkEnd w:id="125"/>
      <w:r>
        <w:rPr>
          <w:rFonts w:hint="eastAsia" w:ascii="宋体" w:hAnsi="宋体" w:eastAsia="宋体" w:cs="宋体"/>
          <w:bCs/>
          <w:color w:val="000000" w:themeColor="text1"/>
          <w:sz w:val="28"/>
          <w:szCs w:val="28"/>
          <w:highlight w:val="none"/>
          <w14:textFill>
            <w14:solidFill>
              <w14:schemeClr w14:val="tx1"/>
            </w14:solidFill>
          </w14:textFill>
        </w:rPr>
        <w:t>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33"/>
        <w:gridCol w:w="1229"/>
        <w:gridCol w:w="1072"/>
        <w:gridCol w:w="1307"/>
        <w:gridCol w:w="1800"/>
        <w:gridCol w:w="8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540" w:type="dxa"/>
            <w:noWrap w:val="0"/>
            <w:vAlign w:val="center"/>
          </w:tcPr>
          <w:p>
            <w:pPr>
              <w:snapToGrid w:val="0"/>
              <w:spacing w:line="240" w:lineRule="atLeast"/>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序号</w:t>
            </w:r>
          </w:p>
        </w:tc>
        <w:tc>
          <w:tcPr>
            <w:tcW w:w="2133" w:type="dxa"/>
            <w:noWrap w:val="0"/>
            <w:vAlign w:val="center"/>
          </w:tcPr>
          <w:p>
            <w:pPr>
              <w:snapToGrid w:val="0"/>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工程名称</w:t>
            </w:r>
          </w:p>
        </w:tc>
        <w:tc>
          <w:tcPr>
            <w:tcW w:w="1229" w:type="dxa"/>
            <w:noWrap w:val="0"/>
            <w:vAlign w:val="center"/>
          </w:tcPr>
          <w:p>
            <w:pPr>
              <w:snapToGrid w:val="0"/>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工程概况</w:t>
            </w:r>
          </w:p>
        </w:tc>
        <w:tc>
          <w:tcPr>
            <w:tcW w:w="1072" w:type="dxa"/>
            <w:noWrap w:val="0"/>
            <w:vAlign w:val="center"/>
          </w:tcPr>
          <w:p>
            <w:pPr>
              <w:snapToGrid w:val="0"/>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项目内容</w:t>
            </w:r>
          </w:p>
        </w:tc>
        <w:tc>
          <w:tcPr>
            <w:tcW w:w="1307" w:type="dxa"/>
            <w:noWrap w:val="0"/>
            <w:vAlign w:val="center"/>
          </w:tcPr>
          <w:p>
            <w:pPr>
              <w:snapToGrid w:val="0"/>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合同金额</w:t>
            </w:r>
          </w:p>
        </w:tc>
        <w:tc>
          <w:tcPr>
            <w:tcW w:w="1800" w:type="dxa"/>
            <w:noWrap w:val="0"/>
            <w:vAlign w:val="center"/>
          </w:tcPr>
          <w:p>
            <w:pPr>
              <w:snapToGrid w:val="0"/>
              <w:jc w:val="center"/>
              <w:rPr>
                <w:rFonts w:hint="eastAsia" w:ascii="宋体" w:hAnsi="宋体" w:cs="宋体"/>
                <w:b/>
                <w:bCs/>
                <w:color w:val="000000" w:themeColor="text1"/>
                <w:highlight w:val="none"/>
                <w14:textFill>
                  <w14:solidFill>
                    <w14:schemeClr w14:val="tx1"/>
                  </w14:solidFill>
                </w14:textFill>
              </w:rPr>
            </w:pPr>
            <w:r>
              <w:rPr>
                <w:rFonts w:hint="eastAsia" w:ascii="宋体" w:hAnsi="宋体" w:cs="宋体"/>
                <w:b/>
                <w:bCs/>
                <w:color w:val="000000" w:themeColor="text1"/>
                <w:highlight w:val="none"/>
                <w14:textFill>
                  <w14:solidFill>
                    <w14:schemeClr w14:val="tx1"/>
                  </w14:solidFill>
                </w14:textFill>
              </w:rPr>
              <w:t>合同签订时间</w:t>
            </w:r>
          </w:p>
        </w:tc>
        <w:tc>
          <w:tcPr>
            <w:tcW w:w="876" w:type="dxa"/>
            <w:noWrap w:val="0"/>
            <w:vAlign w:val="center"/>
          </w:tcPr>
          <w:p>
            <w:pPr>
              <w:snapToGrid w:val="0"/>
              <w:spacing w:line="240" w:lineRule="atLeast"/>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4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2133"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229"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072"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307" w:type="dxa"/>
            <w:noWrap w:val="0"/>
            <w:vAlign w:val="top"/>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1800"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c>
          <w:tcPr>
            <w:tcW w:w="876" w:type="dxa"/>
            <w:noWrap w:val="0"/>
            <w:vAlign w:val="center"/>
          </w:tcPr>
          <w:p>
            <w:pPr>
              <w:spacing w:line="240" w:lineRule="atLeast"/>
              <w:jc w:val="center"/>
              <w:rPr>
                <w:rFonts w:hint="eastAsia" w:ascii="宋体" w:hAnsi="宋体" w:cs="宋体"/>
                <w:color w:val="000000" w:themeColor="text1"/>
                <w:sz w:val="24"/>
                <w:highlight w:val="none"/>
                <w14:textFill>
                  <w14:solidFill>
                    <w14:schemeClr w14:val="tx1"/>
                  </w14:solidFill>
                </w14:textFill>
              </w:rPr>
            </w:pPr>
          </w:p>
        </w:tc>
      </w:tr>
    </w:tbl>
    <w:p>
      <w:pPr>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注：填写表格后需附上相关证明材料，证明材料请按照招标文件的要求提供。</w:t>
      </w:r>
    </w:p>
    <w:p>
      <w:pPr>
        <w:spacing w:before="240" w:after="240" w:line="360" w:lineRule="auto"/>
        <w:rPr>
          <w:rFonts w:ascii="宋体" w:hAnsi="宋体"/>
          <w:b/>
          <w:color w:val="000000" w:themeColor="text1"/>
          <w:position w:val="12"/>
          <w:sz w:val="28"/>
          <w:szCs w:val="28"/>
          <w:highlight w:val="none"/>
          <w14:textFill>
            <w14:solidFill>
              <w14:schemeClr w14:val="tx1"/>
            </w14:solidFill>
          </w14:textFill>
        </w:rPr>
      </w:pPr>
      <w:r>
        <w:rPr>
          <w:rFonts w:hint="eastAsia" w:ascii="宋体" w:hAnsi="宋体"/>
          <w:b/>
          <w:color w:val="000000" w:themeColor="text1"/>
          <w:position w:val="12"/>
          <w:sz w:val="28"/>
          <w:szCs w:val="28"/>
          <w:highlight w:val="none"/>
          <w14:textFill>
            <w14:solidFill>
              <w14:schemeClr w14:val="tx1"/>
            </w14:solidFill>
          </w14:textFill>
        </w:rPr>
        <w:br w:type="page"/>
      </w:r>
      <w:r>
        <w:rPr>
          <w:rFonts w:hint="eastAsia" w:ascii="宋体" w:hAnsi="宋体"/>
          <w:b/>
          <w:color w:val="000000" w:themeColor="text1"/>
          <w:position w:val="12"/>
          <w:sz w:val="28"/>
          <w:szCs w:val="28"/>
          <w:highlight w:val="none"/>
          <w14:textFill>
            <w14:solidFill>
              <w14:schemeClr w14:val="tx1"/>
            </w14:solidFill>
          </w14:textFill>
        </w:rPr>
        <w:t>表格3</w:t>
      </w:r>
      <w:bookmarkEnd w:id="126"/>
    </w:p>
    <w:p>
      <w:pPr>
        <w:spacing w:line="360" w:lineRule="auto"/>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拟在本工程任职的主要人员一览表</w:t>
      </w:r>
    </w:p>
    <w:tbl>
      <w:tblPr>
        <w:tblStyle w:val="2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0" w:type="dxa"/>
        </w:tblCellMar>
      </w:tblPr>
      <w:tblGrid>
        <w:gridCol w:w="773"/>
        <w:gridCol w:w="1240"/>
        <w:gridCol w:w="3685"/>
        <w:gridCol w:w="1276"/>
        <w:gridCol w:w="2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82" w:hRule="atLeast"/>
        </w:trPr>
        <w:tc>
          <w:tcPr>
            <w:tcW w:w="2013" w:type="dxa"/>
            <w:gridSpan w:val="2"/>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专业要求</w:t>
            </w:r>
          </w:p>
        </w:tc>
        <w:tc>
          <w:tcPr>
            <w:tcW w:w="3685"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资  历  要  求</w:t>
            </w:r>
          </w:p>
        </w:tc>
        <w:tc>
          <w:tcPr>
            <w:tcW w:w="1276"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人数要求</w:t>
            </w: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申请人达到程度的简述</w:t>
            </w:r>
          </w:p>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（申请人填写）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1908" w:hRule="atLeast"/>
        </w:trPr>
        <w:tc>
          <w:tcPr>
            <w:tcW w:w="2013" w:type="dxa"/>
            <w:gridSpan w:val="2"/>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项目负责人</w:t>
            </w:r>
          </w:p>
        </w:tc>
        <w:tc>
          <w:tcPr>
            <w:tcW w:w="3685" w:type="dxa"/>
            <w:noWrap w:val="0"/>
            <w:vAlign w:val="center"/>
          </w:tcPr>
          <w:p>
            <w:pPr>
              <w:spacing w:line="320" w:lineRule="exact"/>
              <w:ind w:right="105" w:rightChars="50" w:firstLine="315" w:firstLineChars="15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满足招标公告的要求</w:t>
            </w:r>
          </w:p>
        </w:tc>
        <w:tc>
          <w:tcPr>
            <w:tcW w:w="1276"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1人</w:t>
            </w: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restart"/>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各专业人员</w:t>
            </w:r>
          </w:p>
        </w:tc>
        <w:tc>
          <w:tcPr>
            <w:tcW w:w="1240"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hint="eastAsia"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hint="eastAsia"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hint="eastAsia"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ind w:right="105" w:rightChars="50"/>
              <w:jc w:val="left"/>
              <w:rPr>
                <w:rFonts w:hint="eastAsia"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jc w:val="left"/>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jc w:val="left"/>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jc w:val="left"/>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 w:val="18"/>
                <w:szCs w:val="18"/>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0" w:type="dxa"/>
          </w:tblCellMar>
        </w:tblPrEx>
        <w:trPr>
          <w:cantSplit/>
          <w:trHeight w:val="567" w:hRule="atLeast"/>
        </w:trPr>
        <w:tc>
          <w:tcPr>
            <w:tcW w:w="773" w:type="dxa"/>
            <w:vMerge w:val="continue"/>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1240" w:type="dxa"/>
            <w:noWrap w:val="0"/>
            <w:vAlign w:val="center"/>
          </w:tcPr>
          <w:p>
            <w:pPr>
              <w:spacing w:line="320" w:lineRule="exact"/>
              <w:jc w:val="center"/>
              <w:rPr>
                <w:rFonts w:ascii="宋体" w:hAnsi="宋体"/>
                <w:color w:val="000000" w:themeColor="text1"/>
                <w:szCs w:val="21"/>
                <w:highlight w:val="none"/>
                <w14:textFill>
                  <w14:solidFill>
                    <w14:schemeClr w14:val="tx1"/>
                  </w14:solidFill>
                </w14:textFill>
              </w:rPr>
            </w:pPr>
          </w:p>
        </w:tc>
        <w:tc>
          <w:tcPr>
            <w:tcW w:w="3685" w:type="dxa"/>
            <w:noWrap w:val="0"/>
            <w:vAlign w:val="center"/>
          </w:tcPr>
          <w:p>
            <w:pPr>
              <w:spacing w:line="320" w:lineRule="exact"/>
              <w:jc w:val="left"/>
              <w:rPr>
                <w:rFonts w:ascii="宋体" w:hAnsi="宋体"/>
                <w:color w:val="000000" w:themeColor="text1"/>
                <w:szCs w:val="21"/>
                <w:highlight w:val="none"/>
                <w14:textFill>
                  <w14:solidFill>
                    <w14:schemeClr w14:val="tx1"/>
                  </w14:solidFill>
                </w14:textFill>
              </w:rPr>
            </w:pPr>
          </w:p>
        </w:tc>
        <w:tc>
          <w:tcPr>
            <w:tcW w:w="1276" w:type="dxa"/>
            <w:noWrap w:val="0"/>
            <w:vAlign w:val="center"/>
          </w:tcPr>
          <w:p>
            <w:pPr>
              <w:jc w:val="center"/>
              <w:rPr>
                <w:rFonts w:ascii="宋体" w:hAnsi="宋体"/>
                <w:color w:val="000000" w:themeColor="text1"/>
                <w:szCs w:val="21"/>
                <w:highlight w:val="none"/>
                <w14:textFill>
                  <w14:solidFill>
                    <w14:schemeClr w14:val="tx1"/>
                  </w14:solidFill>
                </w14:textFill>
              </w:rPr>
            </w:pPr>
          </w:p>
        </w:tc>
        <w:tc>
          <w:tcPr>
            <w:tcW w:w="2552" w:type="dxa"/>
            <w:noWrap w:val="0"/>
            <w:vAlign w:val="center"/>
          </w:tcPr>
          <w:p>
            <w:pPr>
              <w:spacing w:line="320" w:lineRule="exact"/>
              <w:jc w:val="center"/>
              <w:rPr>
                <w:rFonts w:ascii="宋体" w:hAnsi="宋体"/>
                <w:color w:val="000000" w:themeColor="text1"/>
                <w:sz w:val="18"/>
                <w:szCs w:val="18"/>
                <w:highlight w:val="none"/>
                <w14:textFill>
                  <w14:solidFill>
                    <w14:schemeClr w14:val="tx1"/>
                  </w14:solidFill>
                </w14:textFill>
              </w:rPr>
            </w:pPr>
          </w:p>
        </w:tc>
      </w:tr>
    </w:tbl>
    <w:p>
      <w:pPr>
        <w:spacing w:line="360" w:lineRule="auto"/>
        <w:rPr>
          <w:rFonts w:hint="eastAsia" w:ascii="宋体" w:hAnsi="宋体"/>
          <w:color w:val="000000" w:themeColor="text1"/>
          <w:szCs w:val="21"/>
          <w:highlight w:val="none"/>
          <w14:textFill>
            <w14:solidFill>
              <w14:schemeClr w14:val="tx1"/>
            </w14:solidFill>
          </w14:textFill>
        </w:rPr>
      </w:pPr>
    </w:p>
    <w:p>
      <w:pPr>
        <w:pStyle w:val="22"/>
        <w:ind w:firstLine="200"/>
        <w:rPr>
          <w:color w:val="000000" w:themeColor="text1"/>
          <w:highlight w:val="none"/>
          <w14:textFill>
            <w14:solidFill>
              <w14:schemeClr w14:val="tx1"/>
            </w14:solidFill>
          </w14:textFill>
        </w:rPr>
      </w:pP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投标单位（盖公章）：</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法定代表人或授权委托人（签字或盖章） </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53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　　　年　　月 　日</w:t>
      </w:r>
    </w:p>
    <w:p>
      <w:pPr>
        <w:pStyle w:val="4"/>
        <w:rPr>
          <w:rFonts w:ascii="宋体" w:hAnsi="宋体"/>
          <w:color w:val="000000" w:themeColor="text1"/>
          <w:highlight w:val="none"/>
          <w14:textFill>
            <w14:solidFill>
              <w14:schemeClr w14:val="tx1"/>
            </w14:solidFill>
          </w14:textFill>
        </w:rPr>
        <w:sectPr>
          <w:pgSz w:w="11906" w:h="16838"/>
          <w:pgMar w:top="1134" w:right="1304" w:bottom="851" w:left="1304" w:header="851" w:footer="567" w:gutter="0"/>
          <w:cols w:space="720" w:num="1"/>
          <w:docGrid w:type="linesAndChars" w:linePitch="312" w:charSpace="0"/>
        </w:sectPr>
      </w:pPr>
    </w:p>
    <w:p>
      <w:pPr>
        <w:spacing w:line="360" w:lineRule="auto"/>
        <w:jc w:val="center"/>
        <w:rPr>
          <w:rFonts w:hint="eastAsia" w:ascii="宋体" w:hAnsi="宋体"/>
          <w:b/>
          <w:bCs/>
          <w:color w:val="000000" w:themeColor="text1"/>
          <w:sz w:val="32"/>
          <w:szCs w:val="32"/>
          <w:highlight w:val="none"/>
          <w14:textFill>
            <w14:solidFill>
              <w14:schemeClr w14:val="tx1"/>
            </w14:solidFill>
          </w14:textFill>
        </w:rPr>
      </w:pPr>
    </w:p>
    <w:p>
      <w:pPr>
        <w:spacing w:line="360" w:lineRule="auto"/>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主要技术人员简历表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800"/>
        <w:gridCol w:w="437"/>
        <w:gridCol w:w="1308"/>
        <w:gridCol w:w="871"/>
        <w:gridCol w:w="980"/>
        <w:gridCol w:w="1088"/>
        <w:gridCol w:w="1088"/>
        <w:gridCol w:w="87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姓名</w:t>
            </w:r>
          </w:p>
        </w:tc>
        <w:tc>
          <w:tcPr>
            <w:tcW w:w="1237"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30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性 别</w:t>
            </w:r>
          </w:p>
        </w:tc>
        <w:tc>
          <w:tcPr>
            <w:tcW w:w="871"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980"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出生</w:t>
            </w:r>
          </w:p>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年月</w:t>
            </w:r>
          </w:p>
        </w:tc>
        <w:tc>
          <w:tcPr>
            <w:tcW w:w="2176"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871"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文化</w:t>
            </w:r>
          </w:p>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程度</w:t>
            </w:r>
          </w:p>
        </w:tc>
        <w:tc>
          <w:tcPr>
            <w:tcW w:w="696" w:type="dxa"/>
            <w:noWrap w:val="0"/>
            <w:vAlign w:val="center"/>
          </w:tcPr>
          <w:p>
            <w:pPr>
              <w:pStyle w:val="15"/>
              <w:spacing w:line="300" w:lineRule="auto"/>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毕业院校</w:t>
            </w:r>
          </w:p>
        </w:tc>
        <w:tc>
          <w:tcPr>
            <w:tcW w:w="1237"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30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专 业</w:t>
            </w:r>
          </w:p>
        </w:tc>
        <w:tc>
          <w:tcPr>
            <w:tcW w:w="1851"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08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毕业</w:t>
            </w:r>
          </w:p>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时间</w:t>
            </w:r>
          </w:p>
        </w:tc>
        <w:tc>
          <w:tcPr>
            <w:tcW w:w="108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871"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技术</w:t>
            </w:r>
          </w:p>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职称</w:t>
            </w:r>
          </w:p>
        </w:tc>
        <w:tc>
          <w:tcPr>
            <w:tcW w:w="696" w:type="dxa"/>
            <w:noWrap w:val="0"/>
            <w:vAlign w:val="center"/>
          </w:tcPr>
          <w:p>
            <w:pPr>
              <w:pStyle w:val="15"/>
              <w:spacing w:line="300" w:lineRule="auto"/>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75"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拟在本项目担任职务</w:t>
            </w:r>
          </w:p>
        </w:tc>
        <w:tc>
          <w:tcPr>
            <w:tcW w:w="800"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745"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从</w:t>
            </w:r>
            <w:r>
              <w:rPr>
                <w:rFonts w:hint="eastAsia" w:ascii="宋体" w:hAnsi="宋体" w:eastAsia="宋体" w:cs="Times New Roman"/>
                <w:color w:val="000000" w:themeColor="text1"/>
                <w:szCs w:val="21"/>
                <w:highlight w:val="none"/>
                <w14:textFill>
                  <w14:solidFill>
                    <w14:schemeClr w14:val="tx1"/>
                  </w14:solidFill>
                </w14:textFill>
              </w:rPr>
              <w:t>事</w:t>
            </w:r>
            <w:r>
              <w:rPr>
                <w:rFonts w:hint="eastAsia" w:ascii="宋体" w:hAnsi="宋体" w:eastAsia="宋体" w:cs="Times New Roman"/>
                <w:color w:val="000000" w:themeColor="text1"/>
                <w:szCs w:val="21"/>
                <w:highlight w:val="none"/>
                <w:lang w:eastAsia="zh-CN"/>
                <w14:textFill>
                  <w14:solidFill>
                    <w14:schemeClr w14:val="tx1"/>
                  </w14:solidFill>
                </w14:textFill>
              </w:rPr>
              <w:t>BIM技术应用服务</w:t>
            </w:r>
            <w:r>
              <w:rPr>
                <w:rFonts w:hint="eastAsia" w:hAnsi="宋体"/>
                <w:color w:val="000000" w:themeColor="text1"/>
                <w:szCs w:val="21"/>
                <w:highlight w:val="none"/>
                <w14:textFill>
                  <w14:solidFill>
                    <w14:schemeClr w14:val="tx1"/>
                  </w14:solidFill>
                </w14:textFill>
              </w:rPr>
              <w:t>年限</w:t>
            </w:r>
          </w:p>
        </w:tc>
        <w:tc>
          <w:tcPr>
            <w:tcW w:w="1851"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08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现任</w:t>
            </w:r>
          </w:p>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职务</w:t>
            </w:r>
          </w:p>
        </w:tc>
        <w:tc>
          <w:tcPr>
            <w:tcW w:w="2655" w:type="dxa"/>
            <w:gridSpan w:val="3"/>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375" w:type="dxa"/>
            <w:vMerge w:val="restart"/>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eastAsia="zh-CN"/>
                <w14:textFill>
                  <w14:solidFill>
                    <w14:schemeClr w14:val="tx1"/>
                  </w14:solidFill>
                </w14:textFill>
              </w:rPr>
              <w:t>BIM技术应用服务</w:t>
            </w:r>
            <w:r>
              <w:rPr>
                <w:rFonts w:hint="eastAsia" w:hAnsi="宋体"/>
                <w:color w:val="000000" w:themeColor="text1"/>
                <w:szCs w:val="21"/>
                <w:highlight w:val="none"/>
                <w14:textFill>
                  <w14:solidFill>
                    <w14:schemeClr w14:val="tx1"/>
                  </w14:solidFill>
                </w14:textFill>
              </w:rPr>
              <w:t>经历</w:t>
            </w:r>
          </w:p>
        </w:tc>
        <w:tc>
          <w:tcPr>
            <w:tcW w:w="2545" w:type="dxa"/>
            <w:gridSpan w:val="3"/>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时间</w:t>
            </w:r>
          </w:p>
        </w:tc>
        <w:tc>
          <w:tcPr>
            <w:tcW w:w="2939" w:type="dxa"/>
            <w:gridSpan w:val="3"/>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工程名称</w:t>
            </w:r>
          </w:p>
        </w:tc>
        <w:tc>
          <w:tcPr>
            <w:tcW w:w="108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任职</w:t>
            </w:r>
          </w:p>
        </w:tc>
        <w:tc>
          <w:tcPr>
            <w:tcW w:w="1567"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r>
              <w:rPr>
                <w:rFonts w:hint="eastAsia" w:hAnsi="宋体"/>
                <w:color w:val="000000" w:themeColor="text1"/>
                <w:szCs w:val="21"/>
                <w:highlight w:val="none"/>
                <w14:textFill>
                  <w14:solidFill>
                    <w14:schemeClr w14:val="tx1"/>
                  </w14:solidFill>
                </w14:textFill>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9" w:hRule="atLeast"/>
        </w:trPr>
        <w:tc>
          <w:tcPr>
            <w:tcW w:w="1375" w:type="dxa"/>
            <w:vMerge w:val="continue"/>
            <w:noWrap w:val="0"/>
            <w:vAlign w:val="top"/>
          </w:tcPr>
          <w:p>
            <w:pPr>
              <w:pStyle w:val="15"/>
              <w:spacing w:line="300" w:lineRule="auto"/>
              <w:jc w:val="center"/>
              <w:rPr>
                <w:rFonts w:hAnsi="宋体"/>
                <w:color w:val="000000" w:themeColor="text1"/>
                <w:szCs w:val="21"/>
                <w:highlight w:val="none"/>
                <w14:textFill>
                  <w14:solidFill>
                    <w14:schemeClr w14:val="tx1"/>
                  </w14:solidFill>
                </w14:textFill>
              </w:rPr>
            </w:pPr>
          </w:p>
        </w:tc>
        <w:tc>
          <w:tcPr>
            <w:tcW w:w="2545" w:type="dxa"/>
            <w:gridSpan w:val="3"/>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2939" w:type="dxa"/>
            <w:gridSpan w:val="3"/>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088" w:type="dxa"/>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c>
          <w:tcPr>
            <w:tcW w:w="1567" w:type="dxa"/>
            <w:gridSpan w:val="2"/>
            <w:noWrap w:val="0"/>
            <w:vAlign w:val="center"/>
          </w:tcPr>
          <w:p>
            <w:pPr>
              <w:pStyle w:val="15"/>
              <w:spacing w:line="300" w:lineRule="auto"/>
              <w:jc w:val="center"/>
              <w:rPr>
                <w:rFonts w:hAnsi="宋体"/>
                <w:color w:val="000000" w:themeColor="text1"/>
                <w:szCs w:val="21"/>
                <w:highlight w:val="none"/>
                <w14:textFill>
                  <w14:solidFill>
                    <w14:schemeClr w14:val="tx1"/>
                  </w14:solidFill>
                </w14:textFill>
              </w:rPr>
            </w:pPr>
          </w:p>
        </w:tc>
      </w:tr>
    </w:tbl>
    <w:p>
      <w:pPr>
        <w:spacing w:line="360" w:lineRule="auto"/>
        <w:rPr>
          <w:rFonts w:hint="eastAsia"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注：填写表格后需附上相关证明材料，证明材料请按照招标公告及招标文件的要求提供。</w:t>
      </w:r>
    </w:p>
    <w:p>
      <w:pPr>
        <w:pStyle w:val="22"/>
        <w:rPr>
          <w:color w:val="000000" w:themeColor="text1"/>
          <w:highlight w:val="none"/>
          <w14:textFill>
            <w14:solidFill>
              <w14:schemeClr w14:val="tx1"/>
            </w14:solidFill>
          </w14:textFill>
        </w:rPr>
      </w:pP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投标单位（盖公章）：</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108"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法定代表人或授权委托人（签字或盖章） </w:t>
      </w:r>
    </w:p>
    <w:p>
      <w:pPr>
        <w:spacing w:line="360" w:lineRule="auto"/>
        <w:ind w:right="-108"/>
        <w:rPr>
          <w:rFonts w:ascii="宋体" w:hAnsi="宋体"/>
          <w:color w:val="000000" w:themeColor="text1"/>
          <w:sz w:val="24"/>
          <w:highlight w:val="none"/>
          <w14:textFill>
            <w14:solidFill>
              <w14:schemeClr w14:val="tx1"/>
            </w14:solidFill>
          </w14:textFill>
        </w:rPr>
      </w:pPr>
    </w:p>
    <w:p>
      <w:pPr>
        <w:spacing w:line="360" w:lineRule="auto"/>
        <w:ind w:right="538" w:firstLine="480" w:firstLineChars="200"/>
        <w:rPr>
          <w:rFonts w:hint="eastAsia"/>
          <w:color w:val="000000" w:themeColor="text1"/>
          <w:sz w:val="32"/>
          <w:szCs w:val="32"/>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　　　年　　月 　日</w:t>
      </w:r>
    </w:p>
    <w:bookmarkEnd w:id="127"/>
    <w:sectPr>
      <w:headerReference r:id="rId8" w:type="default"/>
      <w:footerReference r:id="rId9" w:type="default"/>
      <w:pgSz w:w="11906" w:h="16838"/>
      <w:pgMar w:top="1440" w:right="1803" w:bottom="1440" w:left="1803" w:header="851" w:footer="10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46" o:spid="_x0000_s104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pict>
        <v:shape id="_x0000_s1047" o:spid="_x0000_s104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48" o:spid="_x0000_s104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4410" w:firstLineChars="2450"/>
    </w:pPr>
    <w:r>
      <w:pict>
        <v:shape id="_x0000_s1049" o:spid="_x0000_s104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8"/>
                  <w:rPr>
                    <w:rFonts w:hint="eastAsia"/>
                  </w:rPr>
                </w:pP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29729"/>
    <w:multiLevelType w:val="singleLevel"/>
    <w:tmpl w:val="A0529729"/>
    <w:lvl w:ilvl="0" w:tentative="0">
      <w:start w:val="1"/>
      <w:numFmt w:val="decimal"/>
      <w:suff w:val="nothing"/>
      <w:lvlText w:val="%1、"/>
      <w:lvlJc w:val="left"/>
    </w:lvl>
  </w:abstractNum>
  <w:abstractNum w:abstractNumId="1">
    <w:nsid w:val="0000000F"/>
    <w:multiLevelType w:val="multilevel"/>
    <w:tmpl w:val="0000000F"/>
    <w:lvl w:ilvl="0" w:tentative="0">
      <w:start w:val="1"/>
      <w:numFmt w:val="decimal"/>
      <w:lvlText w:val="%1."/>
      <w:lvlJc w:val="left"/>
      <w:pPr>
        <w:tabs>
          <w:tab w:val="left" w:pos="840"/>
        </w:tabs>
        <w:ind w:left="840" w:hanging="360"/>
      </w:pPr>
      <w:rPr>
        <w:rFonts w:hint="eastAsia"/>
      </w:rPr>
    </w:lvl>
    <w:lvl w:ilvl="1" w:tentative="0">
      <w:start w:val="0"/>
      <w:numFmt w:val="none"/>
      <w:lvlText w:val=""/>
      <w:lvlJc w:val="left"/>
      <w:pPr>
        <w:tabs>
          <w:tab w:val="left" w:pos="360"/>
        </w:tabs>
      </w:pPr>
      <w:rPr>
        <w:rFonts w:hint="eastAsia"/>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
    <w:nsid w:val="3D84E57A"/>
    <w:multiLevelType w:val="singleLevel"/>
    <w:tmpl w:val="3D84E57A"/>
    <w:lvl w:ilvl="0" w:tentative="0">
      <w:start w:val="5"/>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djY2U1NWFmMTYzZWZlZjNlYTI0NDExNGM3NTJhYTMifQ=="/>
    <w:docVar w:name="KSO_WPS_MARK_KEY" w:val="4d8385cf-6bab-43ef-9305-978be0ca5632"/>
  </w:docVars>
  <w:rsids>
    <w:rsidRoot w:val="5F5557B2"/>
    <w:rsid w:val="00000CA6"/>
    <w:rsid w:val="000358FF"/>
    <w:rsid w:val="00047911"/>
    <w:rsid w:val="00052844"/>
    <w:rsid w:val="000601B4"/>
    <w:rsid w:val="00066C07"/>
    <w:rsid w:val="00075F79"/>
    <w:rsid w:val="0008313B"/>
    <w:rsid w:val="0008497B"/>
    <w:rsid w:val="000B09F6"/>
    <w:rsid w:val="000B1FE7"/>
    <w:rsid w:val="000B5B08"/>
    <w:rsid w:val="000C2DDC"/>
    <w:rsid w:val="000F5A0A"/>
    <w:rsid w:val="00103C11"/>
    <w:rsid w:val="001059FD"/>
    <w:rsid w:val="00110E14"/>
    <w:rsid w:val="001113AA"/>
    <w:rsid w:val="00142594"/>
    <w:rsid w:val="001519A7"/>
    <w:rsid w:val="001568CB"/>
    <w:rsid w:val="001646AF"/>
    <w:rsid w:val="001A75E7"/>
    <w:rsid w:val="001C4ADB"/>
    <w:rsid w:val="001F2E73"/>
    <w:rsid w:val="001F5FB2"/>
    <w:rsid w:val="001F670C"/>
    <w:rsid w:val="00201ABE"/>
    <w:rsid w:val="00207EBD"/>
    <w:rsid w:val="002112DD"/>
    <w:rsid w:val="0022099E"/>
    <w:rsid w:val="00222323"/>
    <w:rsid w:val="00283158"/>
    <w:rsid w:val="002836BC"/>
    <w:rsid w:val="00285CC9"/>
    <w:rsid w:val="002867DA"/>
    <w:rsid w:val="002A2E3B"/>
    <w:rsid w:val="002C3D3E"/>
    <w:rsid w:val="00321E92"/>
    <w:rsid w:val="0033183D"/>
    <w:rsid w:val="0033315F"/>
    <w:rsid w:val="00340449"/>
    <w:rsid w:val="0036610B"/>
    <w:rsid w:val="003737A2"/>
    <w:rsid w:val="003774BF"/>
    <w:rsid w:val="0038023C"/>
    <w:rsid w:val="003A6755"/>
    <w:rsid w:val="003C7AF6"/>
    <w:rsid w:val="00401693"/>
    <w:rsid w:val="00404CE5"/>
    <w:rsid w:val="004072DF"/>
    <w:rsid w:val="00426170"/>
    <w:rsid w:val="004368AF"/>
    <w:rsid w:val="004369DA"/>
    <w:rsid w:val="00455CD4"/>
    <w:rsid w:val="00481330"/>
    <w:rsid w:val="00481D72"/>
    <w:rsid w:val="0048757F"/>
    <w:rsid w:val="004A3B07"/>
    <w:rsid w:val="004B27A7"/>
    <w:rsid w:val="004C1A21"/>
    <w:rsid w:val="004D0442"/>
    <w:rsid w:val="004D7610"/>
    <w:rsid w:val="005256AA"/>
    <w:rsid w:val="00537542"/>
    <w:rsid w:val="0054605E"/>
    <w:rsid w:val="00552BEF"/>
    <w:rsid w:val="00554ECB"/>
    <w:rsid w:val="00564ACD"/>
    <w:rsid w:val="00564B3C"/>
    <w:rsid w:val="005708D7"/>
    <w:rsid w:val="00584383"/>
    <w:rsid w:val="00593ED0"/>
    <w:rsid w:val="00594843"/>
    <w:rsid w:val="00597C7F"/>
    <w:rsid w:val="005A37FC"/>
    <w:rsid w:val="005A44F4"/>
    <w:rsid w:val="005B1EE1"/>
    <w:rsid w:val="005B55A4"/>
    <w:rsid w:val="005C294A"/>
    <w:rsid w:val="005C340F"/>
    <w:rsid w:val="0060533D"/>
    <w:rsid w:val="00605853"/>
    <w:rsid w:val="006071C9"/>
    <w:rsid w:val="00614B83"/>
    <w:rsid w:val="00653A80"/>
    <w:rsid w:val="00663528"/>
    <w:rsid w:val="006B3F69"/>
    <w:rsid w:val="006B54DC"/>
    <w:rsid w:val="006C4991"/>
    <w:rsid w:val="006C5055"/>
    <w:rsid w:val="006C5784"/>
    <w:rsid w:val="006D370C"/>
    <w:rsid w:val="006E69E1"/>
    <w:rsid w:val="006E7F39"/>
    <w:rsid w:val="0070252E"/>
    <w:rsid w:val="00725A10"/>
    <w:rsid w:val="00741036"/>
    <w:rsid w:val="00741AEB"/>
    <w:rsid w:val="007A0D0F"/>
    <w:rsid w:val="007A653E"/>
    <w:rsid w:val="007B2365"/>
    <w:rsid w:val="007B52D8"/>
    <w:rsid w:val="007C05AE"/>
    <w:rsid w:val="007D3429"/>
    <w:rsid w:val="007D3B53"/>
    <w:rsid w:val="007F43D5"/>
    <w:rsid w:val="007F4EB2"/>
    <w:rsid w:val="007F6BBD"/>
    <w:rsid w:val="008073F1"/>
    <w:rsid w:val="008127C2"/>
    <w:rsid w:val="00823AAE"/>
    <w:rsid w:val="008243F7"/>
    <w:rsid w:val="00842D69"/>
    <w:rsid w:val="0084707F"/>
    <w:rsid w:val="008977CE"/>
    <w:rsid w:val="008F5BA1"/>
    <w:rsid w:val="008F6A69"/>
    <w:rsid w:val="008F7D59"/>
    <w:rsid w:val="00903CCB"/>
    <w:rsid w:val="009215C1"/>
    <w:rsid w:val="00921D22"/>
    <w:rsid w:val="00960442"/>
    <w:rsid w:val="009707B7"/>
    <w:rsid w:val="009D72F5"/>
    <w:rsid w:val="009E2348"/>
    <w:rsid w:val="00A0138B"/>
    <w:rsid w:val="00A0299E"/>
    <w:rsid w:val="00A120A7"/>
    <w:rsid w:val="00A435EC"/>
    <w:rsid w:val="00A6124E"/>
    <w:rsid w:val="00A65528"/>
    <w:rsid w:val="00A71A12"/>
    <w:rsid w:val="00A75469"/>
    <w:rsid w:val="00A83AF9"/>
    <w:rsid w:val="00AD5127"/>
    <w:rsid w:val="00AE6EB0"/>
    <w:rsid w:val="00AF2FD2"/>
    <w:rsid w:val="00B10130"/>
    <w:rsid w:val="00B44B9C"/>
    <w:rsid w:val="00B47082"/>
    <w:rsid w:val="00B470E8"/>
    <w:rsid w:val="00B47B93"/>
    <w:rsid w:val="00B57203"/>
    <w:rsid w:val="00B90CE2"/>
    <w:rsid w:val="00BC34BB"/>
    <w:rsid w:val="00BD3E64"/>
    <w:rsid w:val="00BD5F2D"/>
    <w:rsid w:val="00BE395E"/>
    <w:rsid w:val="00C156A9"/>
    <w:rsid w:val="00C30980"/>
    <w:rsid w:val="00C31A5C"/>
    <w:rsid w:val="00C43269"/>
    <w:rsid w:val="00C457BB"/>
    <w:rsid w:val="00C97D23"/>
    <w:rsid w:val="00CA12F3"/>
    <w:rsid w:val="00CA2E53"/>
    <w:rsid w:val="00CA5B77"/>
    <w:rsid w:val="00CB0F02"/>
    <w:rsid w:val="00CE6FE6"/>
    <w:rsid w:val="00D02B9F"/>
    <w:rsid w:val="00D16222"/>
    <w:rsid w:val="00D20258"/>
    <w:rsid w:val="00D300C0"/>
    <w:rsid w:val="00D559CB"/>
    <w:rsid w:val="00D67571"/>
    <w:rsid w:val="00D75469"/>
    <w:rsid w:val="00D97F15"/>
    <w:rsid w:val="00DC62D0"/>
    <w:rsid w:val="00DC694E"/>
    <w:rsid w:val="00DD174D"/>
    <w:rsid w:val="00DE2942"/>
    <w:rsid w:val="00DE2BB6"/>
    <w:rsid w:val="00E44553"/>
    <w:rsid w:val="00E75425"/>
    <w:rsid w:val="00E82787"/>
    <w:rsid w:val="00E942B0"/>
    <w:rsid w:val="00E94F2A"/>
    <w:rsid w:val="00EC6332"/>
    <w:rsid w:val="00ED156D"/>
    <w:rsid w:val="00ED19F0"/>
    <w:rsid w:val="00F12C40"/>
    <w:rsid w:val="00F20E66"/>
    <w:rsid w:val="00F2624D"/>
    <w:rsid w:val="00F54B09"/>
    <w:rsid w:val="00F61BD6"/>
    <w:rsid w:val="00F66358"/>
    <w:rsid w:val="00F76E4F"/>
    <w:rsid w:val="00F77EA7"/>
    <w:rsid w:val="00FD2B53"/>
    <w:rsid w:val="00FD4092"/>
    <w:rsid w:val="00FF4B77"/>
    <w:rsid w:val="00FF5D49"/>
    <w:rsid w:val="016A190A"/>
    <w:rsid w:val="016E333D"/>
    <w:rsid w:val="02327421"/>
    <w:rsid w:val="02715297"/>
    <w:rsid w:val="027D1848"/>
    <w:rsid w:val="02901BA6"/>
    <w:rsid w:val="02D82E69"/>
    <w:rsid w:val="02ED14CE"/>
    <w:rsid w:val="038F3D11"/>
    <w:rsid w:val="03A24E88"/>
    <w:rsid w:val="04446205"/>
    <w:rsid w:val="04654149"/>
    <w:rsid w:val="04AD0A3B"/>
    <w:rsid w:val="0520213B"/>
    <w:rsid w:val="052A38FA"/>
    <w:rsid w:val="05BE64BA"/>
    <w:rsid w:val="05CA2B6A"/>
    <w:rsid w:val="062507FE"/>
    <w:rsid w:val="064217EA"/>
    <w:rsid w:val="066F046D"/>
    <w:rsid w:val="06B46E8C"/>
    <w:rsid w:val="06B96DA9"/>
    <w:rsid w:val="06BD2A2B"/>
    <w:rsid w:val="07E31891"/>
    <w:rsid w:val="08301AB3"/>
    <w:rsid w:val="084449B0"/>
    <w:rsid w:val="087F00D6"/>
    <w:rsid w:val="088203D2"/>
    <w:rsid w:val="0885444B"/>
    <w:rsid w:val="0893086D"/>
    <w:rsid w:val="08A515BF"/>
    <w:rsid w:val="08B91307"/>
    <w:rsid w:val="08BC59B2"/>
    <w:rsid w:val="08FE11E1"/>
    <w:rsid w:val="091751DE"/>
    <w:rsid w:val="09595BE6"/>
    <w:rsid w:val="09775460"/>
    <w:rsid w:val="09AB1BA8"/>
    <w:rsid w:val="0A173A74"/>
    <w:rsid w:val="0A1F233A"/>
    <w:rsid w:val="0A331233"/>
    <w:rsid w:val="0A514FA1"/>
    <w:rsid w:val="0A562C72"/>
    <w:rsid w:val="0A9652E1"/>
    <w:rsid w:val="0B505E1C"/>
    <w:rsid w:val="0BA37CB5"/>
    <w:rsid w:val="0BC7547E"/>
    <w:rsid w:val="0BE348B8"/>
    <w:rsid w:val="0C4A1C6C"/>
    <w:rsid w:val="0C9128D9"/>
    <w:rsid w:val="0CA42951"/>
    <w:rsid w:val="0CD276AF"/>
    <w:rsid w:val="0D9C65CA"/>
    <w:rsid w:val="0DA14194"/>
    <w:rsid w:val="0DB15E63"/>
    <w:rsid w:val="0DD71627"/>
    <w:rsid w:val="0E1213C1"/>
    <w:rsid w:val="0E2D58F5"/>
    <w:rsid w:val="0EA223A3"/>
    <w:rsid w:val="0ED5707C"/>
    <w:rsid w:val="0F4D7E8D"/>
    <w:rsid w:val="0F793956"/>
    <w:rsid w:val="0FDA70BD"/>
    <w:rsid w:val="0FF4153C"/>
    <w:rsid w:val="114A5D62"/>
    <w:rsid w:val="11505967"/>
    <w:rsid w:val="11676FFC"/>
    <w:rsid w:val="116C43F6"/>
    <w:rsid w:val="11785740"/>
    <w:rsid w:val="120C1C25"/>
    <w:rsid w:val="123F1335"/>
    <w:rsid w:val="125C6E10"/>
    <w:rsid w:val="1277332C"/>
    <w:rsid w:val="12CA6AE5"/>
    <w:rsid w:val="130E10D4"/>
    <w:rsid w:val="131C1815"/>
    <w:rsid w:val="13230FEF"/>
    <w:rsid w:val="13384870"/>
    <w:rsid w:val="135D10C4"/>
    <w:rsid w:val="13A122B7"/>
    <w:rsid w:val="148E5AB5"/>
    <w:rsid w:val="14954D9D"/>
    <w:rsid w:val="14ED5840"/>
    <w:rsid w:val="14F86298"/>
    <w:rsid w:val="14FB71AB"/>
    <w:rsid w:val="156D3565"/>
    <w:rsid w:val="15C14697"/>
    <w:rsid w:val="15CF75AD"/>
    <w:rsid w:val="15DD6977"/>
    <w:rsid w:val="15FA7FD2"/>
    <w:rsid w:val="15FF620B"/>
    <w:rsid w:val="1610606A"/>
    <w:rsid w:val="16134544"/>
    <w:rsid w:val="16F00473"/>
    <w:rsid w:val="17170316"/>
    <w:rsid w:val="17C70725"/>
    <w:rsid w:val="17D22226"/>
    <w:rsid w:val="180E64B6"/>
    <w:rsid w:val="181248D4"/>
    <w:rsid w:val="18743D16"/>
    <w:rsid w:val="18FE00E1"/>
    <w:rsid w:val="190C718A"/>
    <w:rsid w:val="195919B3"/>
    <w:rsid w:val="196E748C"/>
    <w:rsid w:val="199A3E65"/>
    <w:rsid w:val="19DF229F"/>
    <w:rsid w:val="1A033AC9"/>
    <w:rsid w:val="1A7840BB"/>
    <w:rsid w:val="1AAF291C"/>
    <w:rsid w:val="1AB15D93"/>
    <w:rsid w:val="1B134627"/>
    <w:rsid w:val="1BCC7421"/>
    <w:rsid w:val="1C136EFB"/>
    <w:rsid w:val="1C233714"/>
    <w:rsid w:val="1C860127"/>
    <w:rsid w:val="1D7246F8"/>
    <w:rsid w:val="1D7B58D1"/>
    <w:rsid w:val="1E531B43"/>
    <w:rsid w:val="1E6A45BB"/>
    <w:rsid w:val="1EBF7073"/>
    <w:rsid w:val="1FEB711E"/>
    <w:rsid w:val="1FF4344F"/>
    <w:rsid w:val="20077B72"/>
    <w:rsid w:val="20831A0C"/>
    <w:rsid w:val="21EE1C99"/>
    <w:rsid w:val="2225333A"/>
    <w:rsid w:val="2235277B"/>
    <w:rsid w:val="2237219C"/>
    <w:rsid w:val="225E3813"/>
    <w:rsid w:val="226C3096"/>
    <w:rsid w:val="226F2247"/>
    <w:rsid w:val="22C00CF5"/>
    <w:rsid w:val="230D5165"/>
    <w:rsid w:val="23413058"/>
    <w:rsid w:val="234B6F64"/>
    <w:rsid w:val="23C91E14"/>
    <w:rsid w:val="2457222A"/>
    <w:rsid w:val="24B8689B"/>
    <w:rsid w:val="25716083"/>
    <w:rsid w:val="27377B94"/>
    <w:rsid w:val="273C4B05"/>
    <w:rsid w:val="275F305D"/>
    <w:rsid w:val="277640D2"/>
    <w:rsid w:val="27AC74F9"/>
    <w:rsid w:val="27B05E6C"/>
    <w:rsid w:val="27E1019D"/>
    <w:rsid w:val="27E931D3"/>
    <w:rsid w:val="28162004"/>
    <w:rsid w:val="2817290B"/>
    <w:rsid w:val="287236D3"/>
    <w:rsid w:val="287B50AD"/>
    <w:rsid w:val="28A25950"/>
    <w:rsid w:val="291122AA"/>
    <w:rsid w:val="295020B2"/>
    <w:rsid w:val="29654A51"/>
    <w:rsid w:val="29930F11"/>
    <w:rsid w:val="29B86799"/>
    <w:rsid w:val="2A197CE7"/>
    <w:rsid w:val="2A1A6F3D"/>
    <w:rsid w:val="2A810D6A"/>
    <w:rsid w:val="2A8F11DA"/>
    <w:rsid w:val="2ABA14BF"/>
    <w:rsid w:val="2ABC2144"/>
    <w:rsid w:val="2AE523DA"/>
    <w:rsid w:val="2AE75868"/>
    <w:rsid w:val="2B0862F4"/>
    <w:rsid w:val="2BA52AAD"/>
    <w:rsid w:val="2BBC6C2D"/>
    <w:rsid w:val="2C024D10"/>
    <w:rsid w:val="2C0C1996"/>
    <w:rsid w:val="2C1C16AE"/>
    <w:rsid w:val="2C2D2FE0"/>
    <w:rsid w:val="2C654ABD"/>
    <w:rsid w:val="2CEB5B08"/>
    <w:rsid w:val="2D1D6E19"/>
    <w:rsid w:val="2D720E3E"/>
    <w:rsid w:val="2DD321D0"/>
    <w:rsid w:val="2DE236FD"/>
    <w:rsid w:val="2E140373"/>
    <w:rsid w:val="2E8D5D80"/>
    <w:rsid w:val="2EA17C2D"/>
    <w:rsid w:val="2F37745C"/>
    <w:rsid w:val="2F492DDA"/>
    <w:rsid w:val="2F765D5D"/>
    <w:rsid w:val="2F9244DE"/>
    <w:rsid w:val="2FA73960"/>
    <w:rsid w:val="2FAA79C2"/>
    <w:rsid w:val="2FFE4C0B"/>
    <w:rsid w:val="2FFF2F19"/>
    <w:rsid w:val="30923284"/>
    <w:rsid w:val="309D28EB"/>
    <w:rsid w:val="30DB129F"/>
    <w:rsid w:val="30F978BA"/>
    <w:rsid w:val="311C1421"/>
    <w:rsid w:val="31487CB1"/>
    <w:rsid w:val="315D2B50"/>
    <w:rsid w:val="31623B36"/>
    <w:rsid w:val="31D933BC"/>
    <w:rsid w:val="31DA4319"/>
    <w:rsid w:val="323E5037"/>
    <w:rsid w:val="32545554"/>
    <w:rsid w:val="32AD7AF6"/>
    <w:rsid w:val="336F5D8F"/>
    <w:rsid w:val="3380213F"/>
    <w:rsid w:val="340D2BED"/>
    <w:rsid w:val="34351362"/>
    <w:rsid w:val="3469032C"/>
    <w:rsid w:val="346E1088"/>
    <w:rsid w:val="34CF5DA3"/>
    <w:rsid w:val="34D620AA"/>
    <w:rsid w:val="35A74609"/>
    <w:rsid w:val="36356BF3"/>
    <w:rsid w:val="363B1066"/>
    <w:rsid w:val="365E6C6D"/>
    <w:rsid w:val="37EC5CB0"/>
    <w:rsid w:val="3849019C"/>
    <w:rsid w:val="389946E4"/>
    <w:rsid w:val="38F179C4"/>
    <w:rsid w:val="39020072"/>
    <w:rsid w:val="39436B29"/>
    <w:rsid w:val="39523895"/>
    <w:rsid w:val="39A4321E"/>
    <w:rsid w:val="39A7790A"/>
    <w:rsid w:val="39BD24CB"/>
    <w:rsid w:val="39D31E65"/>
    <w:rsid w:val="3A2459F8"/>
    <w:rsid w:val="3A2F07E2"/>
    <w:rsid w:val="3A6C64DC"/>
    <w:rsid w:val="3A8F1756"/>
    <w:rsid w:val="3B2E70D1"/>
    <w:rsid w:val="3B3A5EDF"/>
    <w:rsid w:val="3B8215F1"/>
    <w:rsid w:val="3C6B789E"/>
    <w:rsid w:val="3C8A61A4"/>
    <w:rsid w:val="3C9D2FBC"/>
    <w:rsid w:val="3CCC17AD"/>
    <w:rsid w:val="3CDE0F0B"/>
    <w:rsid w:val="3CE32787"/>
    <w:rsid w:val="3CFD4BC8"/>
    <w:rsid w:val="3D701471"/>
    <w:rsid w:val="3DDE67FE"/>
    <w:rsid w:val="3E6118FB"/>
    <w:rsid w:val="3E7E3AD5"/>
    <w:rsid w:val="3EAC0FB6"/>
    <w:rsid w:val="3F567281"/>
    <w:rsid w:val="3F59081F"/>
    <w:rsid w:val="3F6B0A7B"/>
    <w:rsid w:val="3F85246F"/>
    <w:rsid w:val="3F957A80"/>
    <w:rsid w:val="3FA71ECF"/>
    <w:rsid w:val="3FBA09F2"/>
    <w:rsid w:val="3FF453DA"/>
    <w:rsid w:val="402B7AB0"/>
    <w:rsid w:val="4105404B"/>
    <w:rsid w:val="413E67F8"/>
    <w:rsid w:val="4161659F"/>
    <w:rsid w:val="41F9203F"/>
    <w:rsid w:val="42D75A97"/>
    <w:rsid w:val="42F30337"/>
    <w:rsid w:val="4318478E"/>
    <w:rsid w:val="434C1F38"/>
    <w:rsid w:val="435E3EE6"/>
    <w:rsid w:val="43CF0F50"/>
    <w:rsid w:val="448D669E"/>
    <w:rsid w:val="44A80F81"/>
    <w:rsid w:val="44AC2A30"/>
    <w:rsid w:val="451946DE"/>
    <w:rsid w:val="45C20BCB"/>
    <w:rsid w:val="45D12A52"/>
    <w:rsid w:val="46062204"/>
    <w:rsid w:val="47215DC3"/>
    <w:rsid w:val="4790781E"/>
    <w:rsid w:val="47BB45A7"/>
    <w:rsid w:val="47BE54F7"/>
    <w:rsid w:val="48556CE2"/>
    <w:rsid w:val="48602769"/>
    <w:rsid w:val="48CA3F4A"/>
    <w:rsid w:val="490260CD"/>
    <w:rsid w:val="49092455"/>
    <w:rsid w:val="491D3B64"/>
    <w:rsid w:val="49457A2A"/>
    <w:rsid w:val="49B45646"/>
    <w:rsid w:val="4A0A0924"/>
    <w:rsid w:val="4A163C33"/>
    <w:rsid w:val="4A5A7DAF"/>
    <w:rsid w:val="4A5B0308"/>
    <w:rsid w:val="4A9268C8"/>
    <w:rsid w:val="4AAD3398"/>
    <w:rsid w:val="4AFC6B60"/>
    <w:rsid w:val="4AFD3D40"/>
    <w:rsid w:val="4B646D98"/>
    <w:rsid w:val="4B86605F"/>
    <w:rsid w:val="4BAD37D2"/>
    <w:rsid w:val="4BB304E3"/>
    <w:rsid w:val="4BF82B06"/>
    <w:rsid w:val="4C1B5E30"/>
    <w:rsid w:val="4C3C017F"/>
    <w:rsid w:val="4CE1083C"/>
    <w:rsid w:val="4D0B5379"/>
    <w:rsid w:val="4D13189E"/>
    <w:rsid w:val="4D3E5F03"/>
    <w:rsid w:val="4D8711D0"/>
    <w:rsid w:val="4DA91FD9"/>
    <w:rsid w:val="4DB12E48"/>
    <w:rsid w:val="4DD90ECC"/>
    <w:rsid w:val="4DDF3969"/>
    <w:rsid w:val="4DED0583"/>
    <w:rsid w:val="4DF36529"/>
    <w:rsid w:val="4E5B4E49"/>
    <w:rsid w:val="4E5C4320"/>
    <w:rsid w:val="4EFA4BA2"/>
    <w:rsid w:val="4F2E7663"/>
    <w:rsid w:val="50145DF6"/>
    <w:rsid w:val="50297573"/>
    <w:rsid w:val="502D0729"/>
    <w:rsid w:val="50614821"/>
    <w:rsid w:val="50AF6F19"/>
    <w:rsid w:val="50DB30FA"/>
    <w:rsid w:val="50DC34C9"/>
    <w:rsid w:val="51155E6E"/>
    <w:rsid w:val="51837ED4"/>
    <w:rsid w:val="51E436EF"/>
    <w:rsid w:val="51FB4BCA"/>
    <w:rsid w:val="52126F05"/>
    <w:rsid w:val="529B4982"/>
    <w:rsid w:val="529C244C"/>
    <w:rsid w:val="52C960F2"/>
    <w:rsid w:val="535367A5"/>
    <w:rsid w:val="53B14A0F"/>
    <w:rsid w:val="53D52ED4"/>
    <w:rsid w:val="543736D8"/>
    <w:rsid w:val="54691E23"/>
    <w:rsid w:val="547F3CBD"/>
    <w:rsid w:val="548A5212"/>
    <w:rsid w:val="54932935"/>
    <w:rsid w:val="54F20AEB"/>
    <w:rsid w:val="55064393"/>
    <w:rsid w:val="55833339"/>
    <w:rsid w:val="5590557F"/>
    <w:rsid w:val="55DD1894"/>
    <w:rsid w:val="56145383"/>
    <w:rsid w:val="56C57667"/>
    <w:rsid w:val="570D3EE5"/>
    <w:rsid w:val="579B405F"/>
    <w:rsid w:val="58010274"/>
    <w:rsid w:val="585E1B11"/>
    <w:rsid w:val="58E91EF8"/>
    <w:rsid w:val="590121B8"/>
    <w:rsid w:val="594B4AE2"/>
    <w:rsid w:val="596C5B2D"/>
    <w:rsid w:val="597B52F1"/>
    <w:rsid w:val="59D21418"/>
    <w:rsid w:val="5A4671EA"/>
    <w:rsid w:val="5A767910"/>
    <w:rsid w:val="5AAF3A5D"/>
    <w:rsid w:val="5ACC344C"/>
    <w:rsid w:val="5B4E3236"/>
    <w:rsid w:val="5B693314"/>
    <w:rsid w:val="5BC05DC8"/>
    <w:rsid w:val="5BF90E3E"/>
    <w:rsid w:val="5C4C6E85"/>
    <w:rsid w:val="5C4F417B"/>
    <w:rsid w:val="5C823E89"/>
    <w:rsid w:val="5C9770D1"/>
    <w:rsid w:val="5CCE1FF5"/>
    <w:rsid w:val="5CD75DBB"/>
    <w:rsid w:val="5D0336DD"/>
    <w:rsid w:val="5D59393C"/>
    <w:rsid w:val="5D6973E7"/>
    <w:rsid w:val="5DB02FA2"/>
    <w:rsid w:val="5DB73D56"/>
    <w:rsid w:val="5DCE3C58"/>
    <w:rsid w:val="5DD919B1"/>
    <w:rsid w:val="5E932745"/>
    <w:rsid w:val="5F0C3C80"/>
    <w:rsid w:val="5F5557B2"/>
    <w:rsid w:val="60A2126E"/>
    <w:rsid w:val="61891CD7"/>
    <w:rsid w:val="618E3791"/>
    <w:rsid w:val="619D6729"/>
    <w:rsid w:val="61CD2A65"/>
    <w:rsid w:val="62823151"/>
    <w:rsid w:val="62EA49F7"/>
    <w:rsid w:val="630918E3"/>
    <w:rsid w:val="63193A22"/>
    <w:rsid w:val="639377EF"/>
    <w:rsid w:val="63CD53BB"/>
    <w:rsid w:val="645321F0"/>
    <w:rsid w:val="646E4606"/>
    <w:rsid w:val="64881C21"/>
    <w:rsid w:val="64E54D54"/>
    <w:rsid w:val="64F72025"/>
    <w:rsid w:val="651760E8"/>
    <w:rsid w:val="653C4175"/>
    <w:rsid w:val="654E0EF9"/>
    <w:rsid w:val="655932A9"/>
    <w:rsid w:val="65B5753E"/>
    <w:rsid w:val="65F904A0"/>
    <w:rsid w:val="665E22E5"/>
    <w:rsid w:val="66794A10"/>
    <w:rsid w:val="66CF50ED"/>
    <w:rsid w:val="677267E7"/>
    <w:rsid w:val="67AA2B7A"/>
    <w:rsid w:val="67ED7706"/>
    <w:rsid w:val="67EE2665"/>
    <w:rsid w:val="684020DB"/>
    <w:rsid w:val="684C67E4"/>
    <w:rsid w:val="687A12D9"/>
    <w:rsid w:val="68C13645"/>
    <w:rsid w:val="68EF7E94"/>
    <w:rsid w:val="69FB6EE8"/>
    <w:rsid w:val="6A692012"/>
    <w:rsid w:val="6A87605A"/>
    <w:rsid w:val="6AA12D7F"/>
    <w:rsid w:val="6B3F4C74"/>
    <w:rsid w:val="6B5D4677"/>
    <w:rsid w:val="6B8D541D"/>
    <w:rsid w:val="6BB20DAE"/>
    <w:rsid w:val="6C4224D1"/>
    <w:rsid w:val="6C6A2365"/>
    <w:rsid w:val="6CBB1421"/>
    <w:rsid w:val="6CF63FE1"/>
    <w:rsid w:val="6D2B48B4"/>
    <w:rsid w:val="6D3008E6"/>
    <w:rsid w:val="6D4C0EDE"/>
    <w:rsid w:val="6D614987"/>
    <w:rsid w:val="6D955FC8"/>
    <w:rsid w:val="6DA15377"/>
    <w:rsid w:val="6DB206AC"/>
    <w:rsid w:val="6DB36D7D"/>
    <w:rsid w:val="6DDE15FC"/>
    <w:rsid w:val="6DE747BD"/>
    <w:rsid w:val="6E266BE7"/>
    <w:rsid w:val="6E4F08B7"/>
    <w:rsid w:val="6E500C02"/>
    <w:rsid w:val="6E521B7B"/>
    <w:rsid w:val="6EAD4320"/>
    <w:rsid w:val="6EE41006"/>
    <w:rsid w:val="6F0F34E7"/>
    <w:rsid w:val="6F14578F"/>
    <w:rsid w:val="6F8146D5"/>
    <w:rsid w:val="6FE16B76"/>
    <w:rsid w:val="6FEF73C8"/>
    <w:rsid w:val="707644E4"/>
    <w:rsid w:val="708D5197"/>
    <w:rsid w:val="70927820"/>
    <w:rsid w:val="70A40465"/>
    <w:rsid w:val="70C43F50"/>
    <w:rsid w:val="716D2F2E"/>
    <w:rsid w:val="718162B6"/>
    <w:rsid w:val="71B46975"/>
    <w:rsid w:val="72195EE7"/>
    <w:rsid w:val="725325F1"/>
    <w:rsid w:val="72C36EB5"/>
    <w:rsid w:val="733E1238"/>
    <w:rsid w:val="73900D90"/>
    <w:rsid w:val="73907A48"/>
    <w:rsid w:val="74303DA0"/>
    <w:rsid w:val="743D68E8"/>
    <w:rsid w:val="745F3B1C"/>
    <w:rsid w:val="74DD3962"/>
    <w:rsid w:val="75AD4F17"/>
    <w:rsid w:val="75CA2F0F"/>
    <w:rsid w:val="75D23179"/>
    <w:rsid w:val="76451FA8"/>
    <w:rsid w:val="76954D3A"/>
    <w:rsid w:val="76971CA7"/>
    <w:rsid w:val="76FD2AF3"/>
    <w:rsid w:val="774D2F69"/>
    <w:rsid w:val="77972E4E"/>
    <w:rsid w:val="77BB2402"/>
    <w:rsid w:val="77CD3A4E"/>
    <w:rsid w:val="781F6A99"/>
    <w:rsid w:val="7898212B"/>
    <w:rsid w:val="789F15CA"/>
    <w:rsid w:val="78A24BDD"/>
    <w:rsid w:val="79017606"/>
    <w:rsid w:val="796A4136"/>
    <w:rsid w:val="79792194"/>
    <w:rsid w:val="7A15707B"/>
    <w:rsid w:val="7A485DA9"/>
    <w:rsid w:val="7A903C7E"/>
    <w:rsid w:val="7AA65250"/>
    <w:rsid w:val="7AB44F00"/>
    <w:rsid w:val="7B0447FC"/>
    <w:rsid w:val="7B580521"/>
    <w:rsid w:val="7BAF553A"/>
    <w:rsid w:val="7BB43CD6"/>
    <w:rsid w:val="7BBF116D"/>
    <w:rsid w:val="7BF62262"/>
    <w:rsid w:val="7C3B26B6"/>
    <w:rsid w:val="7C547659"/>
    <w:rsid w:val="7CAC0913"/>
    <w:rsid w:val="7D211A92"/>
    <w:rsid w:val="7D704BD3"/>
    <w:rsid w:val="7D7F054B"/>
    <w:rsid w:val="7DE93DD1"/>
    <w:rsid w:val="7FD47908"/>
    <w:rsid w:val="7FDD19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spacing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line="412" w:lineRule="auto"/>
      <w:ind w:firstLine="49" w:firstLineChars="49"/>
      <w:outlineLvl w:val="2"/>
    </w:pPr>
    <w:rPr>
      <w:rFonts w:ascii="黑体" w:eastAsia="黑体"/>
      <w:sz w:val="28"/>
      <w:szCs w:val="20"/>
    </w:rPr>
  </w:style>
  <w:style w:type="paragraph" w:styleId="6">
    <w:name w:val="heading 5"/>
    <w:basedOn w:val="1"/>
    <w:next w:val="1"/>
    <w:qFormat/>
    <w:uiPriority w:val="0"/>
    <w:pPr>
      <w:keepNext/>
      <w:keepLines/>
      <w:spacing w:line="376" w:lineRule="auto"/>
      <w:outlineLvl w:val="4"/>
    </w:pPr>
    <w:rPr>
      <w:rFonts w:ascii="Times New Roman" w:hAnsi="Times New Roman"/>
      <w:b/>
      <w:bCs/>
      <w:sz w:val="28"/>
      <w:szCs w:val="28"/>
    </w:rPr>
  </w:style>
  <w:style w:type="paragraph" w:styleId="7">
    <w:name w:val="heading 7"/>
    <w:basedOn w:val="1"/>
    <w:next w:val="1"/>
    <w:qFormat/>
    <w:uiPriority w:val="0"/>
    <w:pPr>
      <w:keepNext/>
      <w:keepLines/>
      <w:spacing w:before="240" w:beforeLines="0" w:beforeAutospacing="0" w:after="64" w:afterLines="0" w:afterAutospacing="0" w:line="317" w:lineRule="auto"/>
      <w:outlineLvl w:val="6"/>
    </w:pPr>
    <w:rPr>
      <w:b/>
      <w:sz w:val="24"/>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8">
    <w:name w:val="Normal Indent"/>
    <w:basedOn w:val="1"/>
    <w:qFormat/>
    <w:uiPriority w:val="99"/>
    <w:pPr>
      <w:ind w:firstLine="420"/>
    </w:pPr>
  </w:style>
  <w:style w:type="paragraph" w:styleId="9">
    <w:name w:val="annotation text"/>
    <w:basedOn w:val="1"/>
    <w:link w:val="30"/>
    <w:qFormat/>
    <w:uiPriority w:val="99"/>
    <w:pPr>
      <w:jc w:val="left"/>
    </w:pPr>
    <w:rPr>
      <w:rFonts w:ascii="Calibri" w:hAnsi="Calibri" w:cs="Times New Roman"/>
    </w:rPr>
  </w:style>
  <w:style w:type="paragraph" w:styleId="10">
    <w:name w:val="Body Text 3"/>
    <w:basedOn w:val="1"/>
    <w:qFormat/>
    <w:uiPriority w:val="0"/>
    <w:rPr>
      <w:rFonts w:ascii="宋体"/>
      <w:sz w:val="24"/>
      <w:szCs w:val="20"/>
    </w:rPr>
  </w:style>
  <w:style w:type="paragraph" w:styleId="11">
    <w:name w:val="Body Text"/>
    <w:basedOn w:val="1"/>
    <w:next w:val="1"/>
    <w:qFormat/>
    <w:uiPriority w:val="0"/>
    <w:rPr>
      <w:rFonts w:ascii="Times New Roman" w:hAnsi="Times New Roman"/>
      <w:szCs w:val="20"/>
    </w:rPr>
  </w:style>
  <w:style w:type="paragraph" w:styleId="12">
    <w:name w:val="Body Text Indent"/>
    <w:basedOn w:val="1"/>
    <w:qFormat/>
    <w:uiPriority w:val="0"/>
    <w:pPr>
      <w:spacing w:after="120"/>
      <w:ind w:left="420" w:leftChars="200"/>
    </w:pPr>
    <w:rPr>
      <w:rFonts w:ascii="Times New Roman" w:hAnsi="Times New Roman"/>
      <w:szCs w:val="20"/>
    </w:rPr>
  </w:style>
  <w:style w:type="paragraph" w:styleId="13">
    <w:name w:val="Block Text"/>
    <w:basedOn w:val="1"/>
    <w:qFormat/>
    <w:uiPriority w:val="0"/>
    <w:pPr>
      <w:spacing w:line="440" w:lineRule="exact"/>
      <w:ind w:left="-540" w:leftChars="-257" w:right="-334" w:rightChars="-159" w:firstLine="1140"/>
    </w:pPr>
    <w:rPr>
      <w:sz w:val="24"/>
    </w:rPr>
  </w:style>
  <w:style w:type="paragraph" w:styleId="14">
    <w:name w:val="toc 3"/>
    <w:basedOn w:val="1"/>
    <w:next w:val="1"/>
    <w:qFormat/>
    <w:uiPriority w:val="39"/>
    <w:pPr>
      <w:ind w:left="840" w:leftChars="400"/>
    </w:pPr>
  </w:style>
  <w:style w:type="paragraph" w:styleId="15">
    <w:name w:val="Plain Text"/>
    <w:basedOn w:val="1"/>
    <w:link w:val="31"/>
    <w:qFormat/>
    <w:uiPriority w:val="0"/>
    <w:rPr>
      <w:rFonts w:ascii="宋体" w:hAnsi="Calibri"/>
    </w:rPr>
  </w:style>
  <w:style w:type="paragraph" w:styleId="16">
    <w:name w:val="Body Text Indent 2"/>
    <w:basedOn w:val="1"/>
    <w:qFormat/>
    <w:uiPriority w:val="0"/>
    <w:pPr>
      <w:spacing w:line="480" w:lineRule="auto"/>
      <w:ind w:left="420" w:leftChars="200"/>
    </w:pPr>
    <w:rPr>
      <w:rFonts w:ascii="Times New Roman" w:hAnsi="Times New Roman"/>
      <w:szCs w:val="24"/>
    </w:rPr>
  </w:style>
  <w:style w:type="paragraph" w:styleId="17">
    <w:name w:val="Balloon Text"/>
    <w:basedOn w:val="1"/>
    <w:link w:val="32"/>
    <w:qFormat/>
    <w:uiPriority w:val="0"/>
    <w:rPr>
      <w:rFonts w:ascii="Calibri" w:hAnsi="Calibri"/>
      <w:sz w:val="18"/>
      <w:szCs w:val="18"/>
    </w:rPr>
  </w:style>
  <w:style w:type="paragraph" w:styleId="18">
    <w:name w:val="footer"/>
    <w:basedOn w:val="1"/>
    <w:qFormat/>
    <w:uiPriority w:val="99"/>
    <w:pPr>
      <w:tabs>
        <w:tab w:val="center" w:pos="4153"/>
        <w:tab w:val="right" w:pos="8306"/>
      </w:tabs>
      <w:snapToGrid w:val="0"/>
      <w:jc w:val="left"/>
    </w:pPr>
    <w:rPr>
      <w:sz w:val="18"/>
    </w:rPr>
  </w:style>
  <w:style w:type="paragraph" w:styleId="19">
    <w:name w:val="header"/>
    <w:basedOn w:val="1"/>
    <w:link w:val="33"/>
    <w:qFormat/>
    <w:uiPriority w:val="0"/>
    <w:pPr>
      <w:tabs>
        <w:tab w:val="center" w:pos="4153"/>
        <w:tab w:val="right" w:pos="8306"/>
      </w:tabs>
      <w:snapToGrid w:val="0"/>
    </w:pPr>
    <w:rPr>
      <w:sz w:val="18"/>
      <w:szCs w:val="20"/>
    </w:rPr>
  </w:style>
  <w:style w:type="paragraph" w:styleId="20">
    <w:name w:val="toc 1"/>
    <w:basedOn w:val="1"/>
    <w:next w:val="1"/>
    <w:qFormat/>
    <w:uiPriority w:val="39"/>
  </w:style>
  <w:style w:type="paragraph" w:styleId="21">
    <w:name w:val="annotation subject"/>
    <w:basedOn w:val="9"/>
    <w:next w:val="9"/>
    <w:link w:val="34"/>
    <w:qFormat/>
    <w:uiPriority w:val="0"/>
    <w:rPr>
      <w:rFonts w:ascii="Times New Roman" w:hAnsi="Times New Roman"/>
      <w:b/>
      <w:bCs/>
    </w:rPr>
  </w:style>
  <w:style w:type="paragraph" w:styleId="22">
    <w:name w:val="Body Text First Indent"/>
    <w:basedOn w:val="11"/>
    <w:next w:val="11"/>
    <w:link w:val="35"/>
    <w:qFormat/>
    <w:uiPriority w:val="0"/>
    <w:pPr>
      <w:spacing w:line="312" w:lineRule="auto"/>
      <w:ind w:firstLine="420"/>
    </w:pPr>
    <w:rPr>
      <w:szCs w:val="24"/>
    </w:rPr>
  </w:style>
  <w:style w:type="table" w:styleId="24">
    <w:name w:val="Table Grid"/>
    <w:basedOn w:val="2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qFormat/>
    <w:uiPriority w:val="0"/>
  </w:style>
  <w:style w:type="character" w:styleId="27">
    <w:name w:val="Hyperlink"/>
    <w:unhideWhenUsed/>
    <w:qFormat/>
    <w:uiPriority w:val="99"/>
    <w:rPr>
      <w:color w:val="0563C1"/>
      <w:u w:val="single"/>
    </w:rPr>
  </w:style>
  <w:style w:type="character" w:styleId="28">
    <w:name w:val="annotation reference"/>
    <w:unhideWhenUsed/>
    <w:qFormat/>
    <w:uiPriority w:val="99"/>
    <w:rPr>
      <w:sz w:val="21"/>
      <w:szCs w:val="21"/>
    </w:rPr>
  </w:style>
  <w:style w:type="paragraph" w:customStyle="1" w:styleId="29">
    <w:name w:val="Default"/>
    <w:qFormat/>
    <w:uiPriority w:val="0"/>
    <w:pPr>
      <w:widowControl w:val="0"/>
      <w:autoSpaceDE w:val="0"/>
      <w:autoSpaceDN w:val="0"/>
      <w:adjustRightInd w:val="0"/>
    </w:pPr>
    <w:rPr>
      <w:rFonts w:ascii="宋体" w:hAnsi="Times New Roman" w:eastAsia="黑体" w:cs="Times New Roman"/>
      <w:color w:val="000000"/>
      <w:sz w:val="24"/>
      <w:szCs w:val="22"/>
      <w:lang w:val="en-US" w:eastAsia="zh-CN" w:bidi="ar-SA"/>
    </w:rPr>
  </w:style>
  <w:style w:type="character" w:customStyle="1" w:styleId="30">
    <w:name w:val="批注文字 字符"/>
    <w:link w:val="9"/>
    <w:qFormat/>
    <w:uiPriority w:val="99"/>
    <w:rPr>
      <w:rFonts w:ascii="Calibri" w:hAnsi="Calibri"/>
      <w:kern w:val="2"/>
      <w:sz w:val="21"/>
      <w:szCs w:val="22"/>
    </w:rPr>
  </w:style>
  <w:style w:type="character" w:customStyle="1" w:styleId="31">
    <w:name w:val="纯文本 字符"/>
    <w:link w:val="15"/>
    <w:qFormat/>
    <w:uiPriority w:val="0"/>
    <w:rPr>
      <w:rFonts w:ascii="宋体" w:hAnsi="Calibri" w:eastAsia="宋体" w:cs="Times New Roman"/>
      <w:kern w:val="2"/>
      <w:sz w:val="21"/>
      <w:szCs w:val="22"/>
    </w:rPr>
  </w:style>
  <w:style w:type="character" w:customStyle="1" w:styleId="32">
    <w:name w:val="批注框文本 字符"/>
    <w:link w:val="17"/>
    <w:qFormat/>
    <w:uiPriority w:val="0"/>
    <w:rPr>
      <w:rFonts w:ascii="Calibri" w:hAnsi="Calibri" w:eastAsia="宋体" w:cs="Times New Roman"/>
      <w:kern w:val="2"/>
      <w:sz w:val="18"/>
      <w:szCs w:val="18"/>
    </w:rPr>
  </w:style>
  <w:style w:type="character" w:customStyle="1" w:styleId="33">
    <w:name w:val="页眉 字符"/>
    <w:link w:val="19"/>
    <w:qFormat/>
    <w:uiPriority w:val="0"/>
    <w:rPr>
      <w:rFonts w:ascii="Times New Roman" w:hAnsi="Times New Roman" w:eastAsia="宋体" w:cs="Times New Roman"/>
      <w:kern w:val="2"/>
      <w:sz w:val="18"/>
    </w:rPr>
  </w:style>
  <w:style w:type="character" w:customStyle="1" w:styleId="34">
    <w:name w:val="批注主题 字符"/>
    <w:link w:val="21"/>
    <w:qFormat/>
    <w:uiPriority w:val="0"/>
    <w:rPr>
      <w:rFonts w:ascii="Calibri" w:hAnsi="Calibri"/>
      <w:b/>
      <w:bCs/>
      <w:kern w:val="2"/>
      <w:sz w:val="21"/>
      <w:szCs w:val="22"/>
    </w:rPr>
  </w:style>
  <w:style w:type="character" w:customStyle="1" w:styleId="35">
    <w:name w:val="正文文本首行缩进 字符"/>
    <w:link w:val="22"/>
    <w:qFormat/>
    <w:uiPriority w:val="0"/>
    <w:rPr>
      <w:rFonts w:ascii="Times New Roman" w:hAnsi="Times New Roman" w:eastAsia="宋体" w:cs="Times New Roman"/>
      <w:kern w:val="2"/>
      <w:sz w:val="21"/>
      <w:szCs w:val="24"/>
    </w:rPr>
  </w:style>
  <w:style w:type="paragraph" w:customStyle="1" w:styleId="36">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List Paragraph1"/>
    <w:basedOn w:val="1"/>
    <w:qFormat/>
    <w:uiPriority w:val="99"/>
    <w:pPr>
      <w:ind w:firstLine="420" w:firstLineChars="200"/>
    </w:pPr>
    <w:rPr>
      <w:szCs w:val="24"/>
    </w:rPr>
  </w:style>
  <w:style w:type="paragraph" w:customStyle="1" w:styleId="40">
    <w:name w:val="Plain Text"/>
    <w:basedOn w:val="1"/>
    <w:qFormat/>
    <w:uiPriority w:val="0"/>
  </w:style>
  <w:style w:type="paragraph" w:customStyle="1" w:styleId="4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Table Paragraph"/>
    <w:basedOn w:val="1"/>
    <w:qFormat/>
    <w:uiPriority w:val="0"/>
    <w:pPr>
      <w:jc w:val="left"/>
    </w:pPr>
    <w:rPr>
      <w:rFonts w:ascii="Calibri" w:hAnsi="Calibri" w:eastAsia="Calibri"/>
      <w:kern w:val="0"/>
      <w:sz w:val="22"/>
      <w:szCs w:val="22"/>
      <w:lang w:eastAsia="en-US"/>
    </w:rPr>
  </w:style>
  <w:style w:type="paragraph" w:customStyle="1" w:styleId="43">
    <w:name w:val="_Style 42"/>
    <w:unhideWhenUsed/>
    <w:qFormat/>
    <w:uiPriority w:val="99"/>
    <w:rPr>
      <w:rFonts w:ascii="Times New Roman" w:hAnsi="Times New Roman" w:eastAsia="宋体" w:cs="Times New Roman"/>
      <w:kern w:val="2"/>
      <w:sz w:val="21"/>
      <w:szCs w:val="22"/>
      <w:lang w:val="en-US" w:eastAsia="zh-CN" w:bidi="ar-SA"/>
    </w:rPr>
  </w:style>
  <w:style w:type="paragraph" w:customStyle="1" w:styleId="44">
    <w:name w:val="样式 标题 2 + 宋体"/>
    <w:basedOn w:val="4"/>
    <w:qFormat/>
    <w:uiPriority w:val="0"/>
    <w:pPr>
      <w:tabs>
        <w:tab w:val="left" w:pos="540"/>
      </w:tabs>
      <w:spacing w:beforeAutospacing="1" w:afterAutospacing="1" w:line="360" w:lineRule="auto"/>
      <w:ind w:left="540"/>
    </w:pPr>
    <w:rPr>
      <w:rFonts w:ascii="宋体" w:hAnsi="宋体" w:eastAsia="宋体"/>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styleId="4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46" textRotate="1"/>
    <customShpInfo spid="_x0000_s1047" textRotate="1"/>
    <customShpInfo spid="_x0000_s1048" textRotate="1"/>
    <customShpInfo spid="_x0000_s1049" textRotate="1"/>
    <customShpInfo spid="_x0000_s2059"/>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23547</Words>
  <Characters>24918</Characters>
  <Lines>182</Lines>
  <Paragraphs>51</Paragraphs>
  <TotalTime>7</TotalTime>
  <ScaleCrop>false</ScaleCrop>
  <LinksUpToDate>false</LinksUpToDate>
  <CharactersWithSpaces>25985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2021-07-20T08:35:00Z</dcterms:created>
  <dc:creator>Administrator</dc:creator>
  <cp:lastModifiedBy>Administrator</cp:lastModifiedBy>
  <cp:lastPrinted>2024-04-02T10:37:12Z</cp:lastPrinted>
  <dcterms:modified xsi:type="dcterms:W3CDTF">2024-04-02T10:38:28Z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5715C3C9189240A5A902B59B968AAE94_13</vt:lpwstr>
  </property>
</Properties>
</file>