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kern w:val="0"/>
          <w:sz w:val="36"/>
          <w:szCs w:val="36"/>
          <w:highlight w:val="none"/>
          <w:shd w:val="clear" w:color="auto" w:fill="auto"/>
        </w:rPr>
      </w:pPr>
      <w:bookmarkStart w:id="0" w:name="_Toc152042286"/>
      <w:bookmarkStart w:id="1" w:name="_Toc367729707"/>
      <w:bookmarkStart w:id="2" w:name="_Toc247527532"/>
      <w:bookmarkStart w:id="3" w:name="_Toc144974478"/>
      <w:bookmarkStart w:id="4" w:name="_Toc300834926"/>
      <w:bookmarkStart w:id="295" w:name="_GoBack"/>
      <w:bookmarkEnd w:id="295"/>
      <w:r>
        <w:rPr>
          <w:rFonts w:hint="eastAsia" w:ascii="宋体" w:hAnsi="宋体" w:eastAsia="宋体" w:cs="宋体"/>
          <w:b/>
          <w:color w:val="auto"/>
          <w:kern w:val="0"/>
          <w:sz w:val="36"/>
          <w:szCs w:val="36"/>
          <w:highlight w:val="none"/>
          <w:shd w:val="clear" w:color="auto" w:fill="auto"/>
        </w:rPr>
        <w:t>广佛（佛冈）产业园首期基础公建配套及生态水利设施项目</w:t>
      </w:r>
    </w:p>
    <w:p>
      <w:pPr>
        <w:spacing w:line="360" w:lineRule="auto"/>
        <w:jc w:val="center"/>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核心区市政配套完善工程勘察设计施工总承包</w:t>
      </w:r>
    </w:p>
    <w:p>
      <w:pPr>
        <w:pStyle w:val="368"/>
        <w:spacing w:line="360" w:lineRule="auto"/>
        <w:rPr>
          <w:rFonts w:hint="eastAsia" w:ascii="宋体" w:hAnsi="宋体" w:eastAsia="宋体" w:cs="宋体"/>
          <w:color w:val="auto"/>
          <w:sz w:val="72"/>
          <w:szCs w:val="72"/>
          <w:highlight w:val="none"/>
          <w:shd w:val="clear" w:color="auto" w:fill="auto"/>
        </w:rPr>
      </w:pPr>
    </w:p>
    <w:p>
      <w:pPr>
        <w:pStyle w:val="368"/>
        <w:spacing w:line="360" w:lineRule="auto"/>
        <w:rPr>
          <w:rFonts w:hint="eastAsia" w:ascii="宋体" w:hAnsi="宋体" w:eastAsia="宋体" w:cs="宋体"/>
          <w:color w:val="auto"/>
          <w:sz w:val="72"/>
          <w:szCs w:val="72"/>
          <w:highlight w:val="none"/>
          <w:shd w:val="clear" w:color="auto" w:fill="auto"/>
        </w:rPr>
      </w:pPr>
    </w:p>
    <w:p>
      <w:pPr>
        <w:pStyle w:val="368"/>
        <w:spacing w:line="360" w:lineRule="auto"/>
        <w:rPr>
          <w:rFonts w:hint="eastAsia" w:ascii="宋体" w:hAnsi="宋体" w:eastAsia="宋体" w:cs="宋体"/>
          <w:color w:val="auto"/>
          <w:sz w:val="72"/>
          <w:szCs w:val="72"/>
          <w:highlight w:val="none"/>
          <w:shd w:val="clear" w:color="auto" w:fill="auto"/>
        </w:rPr>
      </w:pPr>
    </w:p>
    <w:p>
      <w:pPr>
        <w:pStyle w:val="368"/>
        <w:spacing w:line="360" w:lineRule="auto"/>
        <w:rPr>
          <w:rFonts w:hint="eastAsia" w:ascii="宋体" w:hAnsi="宋体" w:eastAsia="宋体" w:cs="宋体"/>
          <w:color w:val="auto"/>
          <w:sz w:val="72"/>
          <w:szCs w:val="72"/>
          <w:highlight w:val="none"/>
          <w:shd w:val="clear" w:color="auto" w:fill="auto"/>
        </w:rPr>
      </w:pPr>
    </w:p>
    <w:p>
      <w:pPr>
        <w:spacing w:line="360" w:lineRule="auto"/>
        <w:jc w:val="center"/>
        <w:rPr>
          <w:rFonts w:hint="eastAsia" w:ascii="宋体" w:hAnsi="宋体" w:eastAsia="宋体" w:cs="宋体"/>
          <w:b/>
          <w:bCs/>
          <w:color w:val="auto"/>
          <w:sz w:val="72"/>
          <w:szCs w:val="72"/>
          <w:highlight w:val="none"/>
          <w:shd w:val="clear" w:color="auto" w:fill="auto"/>
        </w:rPr>
      </w:pPr>
      <w:r>
        <w:rPr>
          <w:rFonts w:hint="eastAsia" w:ascii="宋体" w:hAnsi="宋体" w:eastAsia="宋体" w:cs="宋体"/>
          <w:b/>
          <w:bCs/>
          <w:color w:val="auto"/>
          <w:sz w:val="72"/>
          <w:szCs w:val="72"/>
          <w:highlight w:val="none"/>
          <w:shd w:val="clear" w:color="auto" w:fill="auto"/>
        </w:rPr>
        <w:t>招 标 文 件</w:t>
      </w:r>
    </w:p>
    <w:p>
      <w:pPr>
        <w:spacing w:line="360" w:lineRule="auto"/>
        <w:jc w:val="center"/>
        <w:rPr>
          <w:rStyle w:val="66"/>
          <w:rFonts w:hint="eastAsia" w:ascii="宋体" w:hAnsi="宋体" w:eastAsia="宋体" w:cs="宋体"/>
          <w:color w:val="auto"/>
          <w:sz w:val="48"/>
          <w:highlight w:val="none"/>
          <w:shd w:val="clear" w:color="auto" w:fill="auto"/>
        </w:rPr>
      </w:pPr>
    </w:p>
    <w:p>
      <w:pPr>
        <w:spacing w:line="360" w:lineRule="auto"/>
        <w:jc w:val="center"/>
        <w:rPr>
          <w:rFonts w:hint="eastAsia" w:ascii="宋体" w:hAnsi="宋体" w:eastAsia="宋体" w:cs="宋体"/>
          <w:color w:val="auto"/>
          <w:sz w:val="32"/>
          <w:szCs w:val="32"/>
          <w:highlight w:val="none"/>
          <w:shd w:val="clear" w:color="auto" w:fill="auto"/>
        </w:rPr>
      </w:pPr>
    </w:p>
    <w:p>
      <w:pPr>
        <w:spacing w:line="360" w:lineRule="auto"/>
        <w:jc w:val="center"/>
        <w:rPr>
          <w:rFonts w:hint="eastAsia" w:ascii="宋体" w:hAnsi="宋体" w:eastAsia="宋体" w:cs="宋体"/>
          <w:color w:val="auto"/>
          <w:highlight w:val="none"/>
          <w:shd w:val="clear" w:color="auto" w:fill="auto"/>
        </w:rPr>
      </w:pPr>
    </w:p>
    <w:p>
      <w:pPr>
        <w:spacing w:line="360" w:lineRule="auto"/>
        <w:jc w:val="center"/>
        <w:rPr>
          <w:rFonts w:hint="eastAsia" w:ascii="宋体" w:hAnsi="宋体" w:eastAsia="宋体" w:cs="宋体"/>
          <w:color w:val="auto"/>
          <w:highlight w:val="none"/>
          <w:shd w:val="clear" w:color="auto" w:fill="auto"/>
        </w:rPr>
      </w:pPr>
    </w:p>
    <w:p>
      <w:pPr>
        <w:spacing w:line="360" w:lineRule="auto"/>
        <w:jc w:val="center"/>
        <w:rPr>
          <w:rFonts w:hint="eastAsia" w:ascii="宋体" w:hAnsi="宋体" w:eastAsia="宋体" w:cs="宋体"/>
          <w:color w:val="auto"/>
          <w:highlight w:val="none"/>
          <w:shd w:val="clear" w:color="auto" w:fill="auto"/>
        </w:rPr>
      </w:pPr>
    </w:p>
    <w:p>
      <w:pPr>
        <w:pStyle w:val="368"/>
        <w:spacing w:line="360" w:lineRule="auto"/>
        <w:rPr>
          <w:rFonts w:hint="eastAsia" w:ascii="宋体" w:hAnsi="宋体" w:eastAsia="宋体" w:cs="宋体"/>
          <w:color w:val="auto"/>
          <w:highlight w:val="none"/>
          <w:shd w:val="clear" w:color="auto" w:fill="auto"/>
        </w:rPr>
      </w:pPr>
    </w:p>
    <w:p>
      <w:pPr>
        <w:pStyle w:val="368"/>
        <w:spacing w:line="360" w:lineRule="auto"/>
        <w:rPr>
          <w:rFonts w:hint="eastAsia" w:ascii="宋体" w:hAnsi="宋体" w:eastAsia="宋体" w:cs="宋体"/>
          <w:color w:val="auto"/>
          <w:highlight w:val="none"/>
          <w:shd w:val="clear" w:color="auto" w:fill="auto"/>
        </w:rPr>
      </w:pPr>
    </w:p>
    <w:p>
      <w:pPr>
        <w:pStyle w:val="368"/>
        <w:spacing w:line="360" w:lineRule="auto"/>
        <w:rPr>
          <w:rFonts w:hint="eastAsia" w:ascii="宋体" w:hAnsi="宋体" w:eastAsia="宋体" w:cs="宋体"/>
          <w:color w:val="auto"/>
          <w:highlight w:val="none"/>
          <w:shd w:val="clear" w:color="auto" w:fill="auto"/>
        </w:rPr>
      </w:pPr>
    </w:p>
    <w:p>
      <w:pPr>
        <w:pStyle w:val="368"/>
        <w:spacing w:line="360" w:lineRule="auto"/>
        <w:rPr>
          <w:rFonts w:hint="eastAsia" w:ascii="宋体" w:hAnsi="宋体" w:eastAsia="宋体" w:cs="宋体"/>
          <w:color w:val="auto"/>
          <w:highlight w:val="none"/>
          <w:shd w:val="clear" w:color="auto" w:fill="auto"/>
        </w:rPr>
      </w:pPr>
    </w:p>
    <w:p>
      <w:pPr>
        <w:spacing w:line="360" w:lineRule="auto"/>
        <w:jc w:val="center"/>
        <w:rPr>
          <w:rFonts w:hint="eastAsia" w:ascii="宋体" w:hAnsi="宋体" w:eastAsia="宋体" w:cs="宋体"/>
          <w:color w:val="auto"/>
          <w:highlight w:val="none"/>
          <w:shd w:val="clear" w:color="auto" w:fill="auto"/>
        </w:rPr>
      </w:pPr>
    </w:p>
    <w:p>
      <w:pPr>
        <w:spacing w:line="360" w:lineRule="auto"/>
        <w:jc w:val="center"/>
        <w:rPr>
          <w:rFonts w:hint="eastAsia" w:ascii="宋体" w:hAnsi="宋体" w:eastAsia="宋体" w:cs="宋体"/>
          <w:color w:val="auto"/>
          <w:highlight w:val="none"/>
          <w:shd w:val="clear" w:color="auto" w:fill="auto"/>
        </w:rPr>
      </w:pPr>
    </w:p>
    <w:p>
      <w:pPr>
        <w:spacing w:line="360" w:lineRule="auto"/>
        <w:jc w:val="center"/>
        <w:rPr>
          <w:rFonts w:hint="eastAsia" w:ascii="宋体" w:hAnsi="宋体" w:eastAsia="宋体" w:cs="宋体"/>
          <w:color w:val="auto"/>
          <w:highlight w:val="none"/>
          <w:shd w:val="clear" w:color="auto" w:fill="auto"/>
        </w:rPr>
      </w:pPr>
    </w:p>
    <w:p>
      <w:pPr>
        <w:spacing w:line="360" w:lineRule="auto"/>
        <w:ind w:firstLine="1687" w:firstLineChars="600"/>
        <w:jc w:val="both"/>
        <w:rPr>
          <w:rFonts w:hint="eastAsia" w:ascii="宋体" w:hAnsi="宋体" w:eastAsia="宋体" w:cs="宋体"/>
          <w:b/>
          <w:color w:val="auto"/>
          <w:kern w:val="0"/>
          <w:sz w:val="28"/>
          <w:szCs w:val="28"/>
          <w:highlight w:val="none"/>
          <w:shd w:val="clear" w:color="auto" w:fill="auto"/>
        </w:rPr>
      </w:pPr>
      <w:r>
        <w:rPr>
          <w:rFonts w:hint="eastAsia" w:ascii="宋体" w:hAnsi="宋体" w:eastAsia="宋体" w:cs="宋体"/>
          <w:b/>
          <w:color w:val="auto"/>
          <w:kern w:val="0"/>
          <w:sz w:val="28"/>
          <w:szCs w:val="28"/>
          <w:highlight w:val="none"/>
          <w:shd w:val="clear" w:color="auto" w:fill="auto"/>
        </w:rPr>
        <w:t>招标人：广佛（佛冈）产业园高新投资开发有限公司</w:t>
      </w:r>
    </w:p>
    <w:p>
      <w:pPr>
        <w:spacing w:line="360" w:lineRule="auto"/>
        <w:ind w:firstLine="1687" w:firstLineChars="600"/>
        <w:jc w:val="both"/>
        <w:rPr>
          <w:rFonts w:hint="eastAsia" w:ascii="宋体" w:hAnsi="宋体" w:eastAsia="宋体" w:cs="宋体"/>
          <w:b/>
          <w:color w:val="auto"/>
          <w:kern w:val="0"/>
          <w:sz w:val="28"/>
          <w:szCs w:val="28"/>
          <w:highlight w:val="none"/>
          <w:shd w:val="clear" w:color="auto" w:fill="auto"/>
        </w:rPr>
      </w:pPr>
      <w:r>
        <w:rPr>
          <w:rFonts w:hint="eastAsia" w:ascii="宋体" w:hAnsi="宋体" w:eastAsia="宋体" w:cs="宋体"/>
          <w:b/>
          <w:color w:val="auto"/>
          <w:kern w:val="0"/>
          <w:sz w:val="28"/>
          <w:szCs w:val="28"/>
          <w:highlight w:val="none"/>
          <w:shd w:val="clear" w:color="auto" w:fill="auto"/>
        </w:rPr>
        <w:t>招标代理机构：广州筑正工程建设管理有限公司</w:t>
      </w:r>
    </w:p>
    <w:p>
      <w:pPr>
        <w:spacing w:line="360" w:lineRule="auto"/>
        <w:ind w:firstLine="1687" w:firstLineChars="600"/>
        <w:jc w:val="both"/>
        <w:rPr>
          <w:rFonts w:hint="eastAsia" w:ascii="宋体" w:hAnsi="宋体" w:eastAsia="宋体" w:cs="宋体"/>
          <w:b/>
          <w:color w:val="auto"/>
          <w:kern w:val="0"/>
          <w:sz w:val="28"/>
          <w:szCs w:val="28"/>
          <w:highlight w:val="none"/>
          <w:shd w:val="clear" w:color="auto" w:fill="auto"/>
        </w:rPr>
      </w:pPr>
      <w:r>
        <w:rPr>
          <w:rFonts w:hint="eastAsia" w:ascii="宋体" w:hAnsi="宋体" w:eastAsia="宋体" w:cs="宋体"/>
          <w:b/>
          <w:color w:val="auto"/>
          <w:kern w:val="0"/>
          <w:sz w:val="28"/>
          <w:szCs w:val="28"/>
          <w:highlight w:val="none"/>
          <w:shd w:val="clear" w:color="auto" w:fill="auto"/>
        </w:rPr>
        <w:t>日期：202</w:t>
      </w:r>
      <w:r>
        <w:rPr>
          <w:rFonts w:hint="eastAsia" w:ascii="宋体" w:hAnsi="宋体" w:eastAsia="宋体" w:cs="宋体"/>
          <w:b/>
          <w:color w:val="auto"/>
          <w:kern w:val="0"/>
          <w:sz w:val="28"/>
          <w:szCs w:val="28"/>
          <w:highlight w:val="none"/>
          <w:shd w:val="clear" w:color="auto" w:fill="auto"/>
          <w:lang w:val="en-US" w:eastAsia="zh-CN"/>
        </w:rPr>
        <w:t>2</w:t>
      </w:r>
      <w:r>
        <w:rPr>
          <w:rFonts w:hint="eastAsia" w:ascii="宋体" w:hAnsi="宋体" w:eastAsia="宋体" w:cs="宋体"/>
          <w:b/>
          <w:color w:val="auto"/>
          <w:kern w:val="0"/>
          <w:sz w:val="28"/>
          <w:szCs w:val="28"/>
          <w:highlight w:val="none"/>
          <w:shd w:val="clear" w:color="auto" w:fill="auto"/>
        </w:rPr>
        <w:t>年1月</w:t>
      </w:r>
    </w:p>
    <w:p>
      <w:pPr>
        <w:pStyle w:val="4"/>
        <w:spacing w:line="360" w:lineRule="auto"/>
        <w:jc w:val="center"/>
        <w:rPr>
          <w:rFonts w:hint="eastAsia" w:ascii="宋体" w:hAnsi="宋体" w:eastAsia="宋体" w:cs="宋体"/>
          <w:color w:val="auto"/>
          <w:highlight w:val="none"/>
          <w:shd w:val="clear" w:color="auto" w:fill="auto"/>
        </w:rPr>
        <w:sectPr>
          <w:headerReference r:id="rId5" w:type="first"/>
          <w:headerReference r:id="rId3" w:type="default"/>
          <w:headerReference r:id="rId4" w:type="even"/>
          <w:footerReference r:id="rId6" w:type="even"/>
          <w:pgSz w:w="11906" w:h="16838"/>
          <w:pgMar w:top="1440" w:right="1080" w:bottom="1440" w:left="1080" w:header="851" w:footer="992" w:gutter="0"/>
          <w:pgNumType w:start="0"/>
          <w:cols w:space="720" w:num="1"/>
          <w:titlePg/>
          <w:docGrid w:type="lines" w:linePitch="312" w:charSpace="0"/>
        </w:sectPr>
      </w:pPr>
    </w:p>
    <w:p>
      <w:pPr>
        <w:pStyle w:val="4"/>
        <w:spacing w:line="360" w:lineRule="auto"/>
        <w:jc w:val="center"/>
        <w:rPr>
          <w:rFonts w:hint="eastAsia" w:ascii="宋体" w:hAnsi="宋体" w:eastAsia="宋体" w:cs="宋体"/>
          <w:color w:val="auto"/>
          <w:highlight w:val="none"/>
          <w:shd w:val="clear" w:color="auto" w:fill="auto"/>
        </w:rPr>
      </w:pPr>
      <w:bookmarkStart w:id="5" w:name="_Toc12663"/>
      <w:bookmarkStart w:id="6" w:name="_Toc3088"/>
      <w:r>
        <w:rPr>
          <w:rFonts w:hint="eastAsia" w:ascii="宋体" w:hAnsi="宋体" w:eastAsia="宋体" w:cs="宋体"/>
          <w:color w:val="auto"/>
          <w:highlight w:val="none"/>
          <w:shd w:val="clear" w:color="auto" w:fill="auto"/>
        </w:rPr>
        <w:t>目     录</w:t>
      </w:r>
      <w:bookmarkEnd w:id="0"/>
      <w:bookmarkEnd w:id="1"/>
      <w:bookmarkEnd w:id="2"/>
      <w:bookmarkEnd w:id="3"/>
      <w:bookmarkEnd w:id="4"/>
      <w:bookmarkEnd w:id="5"/>
      <w:bookmarkEnd w:id="6"/>
    </w:p>
    <w:p>
      <w:pPr>
        <w:pStyle w:val="37"/>
        <w:tabs>
          <w:tab w:val="right" w:leader="dot" w:pos="9638"/>
        </w:tabs>
        <w:spacing w:line="480" w:lineRule="auto"/>
        <w:rPr>
          <w:rFonts w:hint="eastAsia" w:ascii="宋体" w:hAnsi="宋体" w:eastAsia="宋体" w:cs="宋体"/>
          <w:color w:val="auto"/>
          <w:sz w:val="24"/>
          <w:szCs w:val="24"/>
          <w:highlight w:val="none"/>
          <w:shd w:val="clear" w:color="auto" w:fill="auto"/>
        </w:rPr>
      </w:pPr>
      <w:bookmarkStart w:id="7" w:name="_Toc152045511"/>
      <w:bookmarkStart w:id="8" w:name="_Toc247513932"/>
      <w:bookmarkStart w:id="9" w:name="_Toc247527533"/>
      <w:bookmarkStart w:id="10" w:name="_Toc152042287"/>
      <w:bookmarkStart w:id="11" w:name="_Toc144974479"/>
      <w:r>
        <w:rPr>
          <w:rFonts w:hint="eastAsia" w:ascii="宋体" w:hAnsi="宋体" w:eastAsia="宋体" w:cs="宋体"/>
          <w:color w:val="auto"/>
          <w:sz w:val="36"/>
          <w:szCs w:val="36"/>
          <w:highlight w:val="none"/>
          <w:shd w:val="clear" w:color="auto" w:fill="auto"/>
        </w:rPr>
        <w:fldChar w:fldCharType="begin"/>
      </w:r>
      <w:r>
        <w:rPr>
          <w:rFonts w:hint="eastAsia" w:ascii="宋体" w:hAnsi="宋体" w:eastAsia="宋体" w:cs="宋体"/>
          <w:color w:val="auto"/>
          <w:sz w:val="36"/>
          <w:szCs w:val="36"/>
          <w:highlight w:val="none"/>
          <w:shd w:val="clear" w:color="auto" w:fill="auto"/>
        </w:rPr>
        <w:instrText xml:space="preserve"> TOC \o "1-2" \h \z \u </w:instrText>
      </w:r>
      <w:r>
        <w:rPr>
          <w:rFonts w:hint="eastAsia" w:ascii="宋体" w:hAnsi="宋体" w:eastAsia="宋体" w:cs="宋体"/>
          <w:color w:val="auto"/>
          <w:sz w:val="36"/>
          <w:szCs w:val="36"/>
          <w:highlight w:val="none"/>
          <w:shd w:val="clear" w:color="auto" w:fill="auto"/>
        </w:rPr>
        <w:fldChar w:fldCharType="separate"/>
      </w:r>
      <w:r>
        <w:rPr>
          <w:rFonts w:hint="eastAsia" w:ascii="宋体" w:hAnsi="宋体" w:eastAsia="宋体" w:cs="宋体"/>
          <w:color w:val="auto"/>
          <w:kern w:val="2"/>
          <w:sz w:val="24"/>
          <w:szCs w:val="36"/>
          <w:highlight w:val="none"/>
          <w:shd w:val="clear" w:color="auto" w:fill="auto"/>
        </w:rPr>
        <w:fldChar w:fldCharType="begin"/>
      </w:r>
      <w:r>
        <w:rPr>
          <w:rFonts w:hint="eastAsia" w:ascii="宋体" w:hAnsi="宋体" w:eastAsia="宋体" w:cs="宋体"/>
          <w:color w:val="auto"/>
          <w:kern w:val="2"/>
          <w:sz w:val="24"/>
          <w:szCs w:val="36"/>
          <w:highlight w:val="none"/>
          <w:shd w:val="clear" w:color="auto" w:fill="auto"/>
        </w:rPr>
        <w:instrText xml:space="preserve"> HYPERLINK \l _Toc12663 </w:instrText>
      </w:r>
      <w:r>
        <w:rPr>
          <w:rFonts w:hint="eastAsia" w:ascii="宋体" w:hAnsi="宋体" w:eastAsia="宋体" w:cs="宋体"/>
          <w:color w:val="auto"/>
          <w:kern w:val="2"/>
          <w:sz w:val="24"/>
          <w:szCs w:val="36"/>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目     录</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_Toc12663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kern w:val="2"/>
          <w:sz w:val="24"/>
          <w:szCs w:val="36"/>
          <w:highlight w:val="none"/>
          <w:shd w:val="clear" w:color="auto" w:fill="auto"/>
        </w:rPr>
        <w:fldChar w:fldCharType="end"/>
      </w:r>
    </w:p>
    <w:p>
      <w:pPr>
        <w:pStyle w:val="37"/>
        <w:tabs>
          <w:tab w:val="right" w:leader="dot" w:pos="9638"/>
        </w:tabs>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2"/>
          <w:sz w:val="24"/>
          <w:szCs w:val="36"/>
          <w:highlight w:val="none"/>
          <w:shd w:val="clear" w:color="auto" w:fill="auto"/>
        </w:rPr>
        <w:fldChar w:fldCharType="begin"/>
      </w:r>
      <w:r>
        <w:rPr>
          <w:rFonts w:hint="eastAsia" w:ascii="宋体" w:hAnsi="宋体" w:eastAsia="宋体" w:cs="宋体"/>
          <w:color w:val="auto"/>
          <w:kern w:val="2"/>
          <w:sz w:val="24"/>
          <w:szCs w:val="36"/>
          <w:highlight w:val="none"/>
          <w:shd w:val="clear" w:color="auto" w:fill="auto"/>
        </w:rPr>
        <w:instrText xml:space="preserve"> HYPERLINK \l _Toc26223 </w:instrText>
      </w:r>
      <w:r>
        <w:rPr>
          <w:rFonts w:hint="eastAsia" w:ascii="宋体" w:hAnsi="宋体" w:eastAsia="宋体" w:cs="宋体"/>
          <w:color w:val="auto"/>
          <w:kern w:val="2"/>
          <w:sz w:val="24"/>
          <w:szCs w:val="36"/>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第一章</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投标人须知</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_Toc26223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kern w:val="2"/>
          <w:sz w:val="24"/>
          <w:szCs w:val="36"/>
          <w:highlight w:val="none"/>
          <w:shd w:val="clear" w:color="auto" w:fill="auto"/>
        </w:rPr>
        <w:fldChar w:fldCharType="end"/>
      </w:r>
    </w:p>
    <w:p>
      <w:pPr>
        <w:pStyle w:val="37"/>
        <w:tabs>
          <w:tab w:val="right" w:leader="dot" w:pos="9638"/>
        </w:tabs>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2"/>
          <w:sz w:val="24"/>
          <w:szCs w:val="36"/>
          <w:highlight w:val="none"/>
          <w:shd w:val="clear" w:color="auto" w:fill="auto"/>
        </w:rPr>
        <w:fldChar w:fldCharType="begin"/>
      </w:r>
      <w:r>
        <w:rPr>
          <w:rFonts w:hint="eastAsia" w:ascii="宋体" w:hAnsi="宋体" w:eastAsia="宋体" w:cs="宋体"/>
          <w:color w:val="auto"/>
          <w:kern w:val="2"/>
          <w:sz w:val="24"/>
          <w:szCs w:val="36"/>
          <w:highlight w:val="none"/>
          <w:shd w:val="clear" w:color="auto" w:fill="auto"/>
        </w:rPr>
        <w:instrText xml:space="preserve"> HYPERLINK \l _Toc20226 </w:instrText>
      </w:r>
      <w:r>
        <w:rPr>
          <w:rFonts w:hint="eastAsia" w:ascii="宋体" w:hAnsi="宋体" w:eastAsia="宋体" w:cs="宋体"/>
          <w:color w:val="auto"/>
          <w:kern w:val="2"/>
          <w:sz w:val="24"/>
          <w:szCs w:val="36"/>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第二章</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评标办法（综合评分法）</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_Toc20226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23</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kern w:val="2"/>
          <w:sz w:val="24"/>
          <w:szCs w:val="36"/>
          <w:highlight w:val="none"/>
          <w:shd w:val="clear" w:color="auto" w:fill="auto"/>
        </w:rPr>
        <w:fldChar w:fldCharType="end"/>
      </w:r>
    </w:p>
    <w:p>
      <w:pPr>
        <w:pStyle w:val="37"/>
        <w:tabs>
          <w:tab w:val="right" w:leader="dot" w:pos="9638"/>
        </w:tabs>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2"/>
          <w:sz w:val="24"/>
          <w:szCs w:val="36"/>
          <w:highlight w:val="none"/>
          <w:shd w:val="clear" w:color="auto" w:fill="auto"/>
        </w:rPr>
        <w:fldChar w:fldCharType="begin"/>
      </w:r>
      <w:r>
        <w:rPr>
          <w:rFonts w:hint="eastAsia" w:ascii="宋体" w:hAnsi="宋体" w:eastAsia="宋体" w:cs="宋体"/>
          <w:color w:val="auto"/>
          <w:kern w:val="2"/>
          <w:sz w:val="24"/>
          <w:szCs w:val="36"/>
          <w:highlight w:val="none"/>
          <w:shd w:val="clear" w:color="auto" w:fill="auto"/>
        </w:rPr>
        <w:instrText xml:space="preserve"> HYPERLINK \l _Toc22499 </w:instrText>
      </w:r>
      <w:r>
        <w:rPr>
          <w:rFonts w:hint="eastAsia" w:ascii="宋体" w:hAnsi="宋体" w:eastAsia="宋体" w:cs="宋体"/>
          <w:color w:val="auto"/>
          <w:kern w:val="2"/>
          <w:sz w:val="24"/>
          <w:szCs w:val="36"/>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第三章</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合同条款及格式</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_Toc22499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40</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kern w:val="2"/>
          <w:sz w:val="24"/>
          <w:szCs w:val="36"/>
          <w:highlight w:val="none"/>
          <w:shd w:val="clear" w:color="auto" w:fill="auto"/>
        </w:rPr>
        <w:fldChar w:fldCharType="end"/>
      </w:r>
    </w:p>
    <w:p>
      <w:pPr>
        <w:pStyle w:val="37"/>
        <w:tabs>
          <w:tab w:val="right" w:leader="dot" w:pos="9638"/>
        </w:tabs>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2"/>
          <w:sz w:val="24"/>
          <w:szCs w:val="36"/>
          <w:highlight w:val="none"/>
          <w:shd w:val="clear" w:color="auto" w:fill="auto"/>
        </w:rPr>
        <w:fldChar w:fldCharType="begin"/>
      </w:r>
      <w:r>
        <w:rPr>
          <w:rFonts w:hint="eastAsia" w:ascii="宋体" w:hAnsi="宋体" w:eastAsia="宋体" w:cs="宋体"/>
          <w:color w:val="auto"/>
          <w:kern w:val="2"/>
          <w:sz w:val="24"/>
          <w:szCs w:val="36"/>
          <w:highlight w:val="none"/>
          <w:shd w:val="clear" w:color="auto" w:fill="auto"/>
        </w:rPr>
        <w:instrText xml:space="preserve"> HYPERLINK \l _Toc15197 </w:instrText>
      </w:r>
      <w:r>
        <w:rPr>
          <w:rFonts w:hint="eastAsia" w:ascii="宋体" w:hAnsi="宋体" w:eastAsia="宋体" w:cs="宋体"/>
          <w:color w:val="auto"/>
          <w:kern w:val="2"/>
          <w:sz w:val="24"/>
          <w:szCs w:val="36"/>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第四章</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发包人要求</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_Toc15197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41</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kern w:val="2"/>
          <w:sz w:val="24"/>
          <w:szCs w:val="36"/>
          <w:highlight w:val="none"/>
          <w:shd w:val="clear" w:color="auto" w:fill="auto"/>
        </w:rPr>
        <w:fldChar w:fldCharType="end"/>
      </w:r>
    </w:p>
    <w:p>
      <w:pPr>
        <w:pStyle w:val="37"/>
        <w:tabs>
          <w:tab w:val="right" w:leader="dot" w:pos="9638"/>
        </w:tabs>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2"/>
          <w:sz w:val="24"/>
          <w:szCs w:val="36"/>
          <w:highlight w:val="none"/>
          <w:shd w:val="clear" w:color="auto" w:fill="auto"/>
        </w:rPr>
        <w:fldChar w:fldCharType="begin"/>
      </w:r>
      <w:r>
        <w:rPr>
          <w:rFonts w:hint="eastAsia" w:ascii="宋体" w:hAnsi="宋体" w:eastAsia="宋体" w:cs="宋体"/>
          <w:color w:val="auto"/>
          <w:kern w:val="2"/>
          <w:sz w:val="24"/>
          <w:szCs w:val="36"/>
          <w:highlight w:val="none"/>
          <w:shd w:val="clear" w:color="auto" w:fill="auto"/>
        </w:rPr>
        <w:instrText xml:space="preserve"> HYPERLINK \l _Toc20561 </w:instrText>
      </w:r>
      <w:r>
        <w:rPr>
          <w:rFonts w:hint="eastAsia" w:ascii="宋体" w:hAnsi="宋体" w:eastAsia="宋体" w:cs="宋体"/>
          <w:color w:val="auto"/>
          <w:kern w:val="2"/>
          <w:sz w:val="24"/>
          <w:szCs w:val="36"/>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第五章</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投标文件格式</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_Toc20561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42</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kern w:val="2"/>
          <w:sz w:val="24"/>
          <w:szCs w:val="36"/>
          <w:highlight w:val="none"/>
          <w:shd w:val="clear" w:color="auto" w:fill="auto"/>
        </w:rPr>
        <w:fldChar w:fldCharType="end"/>
      </w:r>
    </w:p>
    <w:p>
      <w:pPr>
        <w:pStyle w:val="4"/>
        <w:spacing w:line="480" w:lineRule="auto"/>
        <w:jc w:val="center"/>
        <w:rPr>
          <w:rFonts w:hint="eastAsia" w:ascii="宋体" w:hAnsi="宋体" w:eastAsia="宋体" w:cs="宋体"/>
          <w:color w:val="auto"/>
          <w:sz w:val="56"/>
          <w:szCs w:val="56"/>
          <w:highlight w:val="none"/>
          <w:shd w:val="clear" w:color="auto" w:fill="auto"/>
        </w:rPr>
        <w:sectPr>
          <w:footerReference r:id="rId8" w:type="first"/>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eastAsia="宋体" w:cs="宋体"/>
          <w:color w:val="auto"/>
          <w:kern w:val="2"/>
          <w:sz w:val="56"/>
          <w:szCs w:val="36"/>
          <w:highlight w:val="none"/>
          <w:shd w:val="clear" w:color="auto" w:fill="auto"/>
        </w:rPr>
        <w:fldChar w:fldCharType="end"/>
      </w:r>
    </w:p>
    <w:bookmarkEnd w:id="7"/>
    <w:bookmarkEnd w:id="8"/>
    <w:bookmarkEnd w:id="9"/>
    <w:bookmarkEnd w:id="10"/>
    <w:bookmarkEnd w:id="11"/>
    <w:p>
      <w:pPr>
        <w:pStyle w:val="4"/>
        <w:spacing w:line="360" w:lineRule="auto"/>
        <w:jc w:val="center"/>
        <w:rPr>
          <w:rFonts w:hint="eastAsia" w:ascii="宋体" w:hAnsi="宋体" w:eastAsia="宋体" w:cs="宋体"/>
          <w:color w:val="auto"/>
          <w:highlight w:val="none"/>
          <w:shd w:val="clear" w:color="auto" w:fill="auto"/>
        </w:rPr>
      </w:pPr>
      <w:bookmarkStart w:id="12" w:name="_Toc26223"/>
      <w:bookmarkStart w:id="13" w:name="_Toc144974495"/>
      <w:bookmarkStart w:id="14" w:name="_Toc152045527"/>
      <w:bookmarkStart w:id="15" w:name="_Toc247527551"/>
      <w:bookmarkStart w:id="16" w:name="_Toc247513950"/>
      <w:bookmarkStart w:id="17" w:name="_Toc152042303"/>
      <w:bookmarkStart w:id="18" w:name="_Toc31867"/>
      <w:r>
        <w:rPr>
          <w:rFonts w:hint="eastAsia" w:ascii="宋体" w:hAnsi="宋体" w:eastAsia="宋体" w:cs="宋体"/>
          <w:color w:val="auto"/>
          <w:highlight w:val="none"/>
          <w:shd w:val="clear" w:color="auto" w:fill="auto"/>
        </w:rPr>
        <w:t>第一章 投标人须知</w:t>
      </w:r>
      <w:bookmarkEnd w:id="12"/>
      <w:bookmarkEnd w:id="13"/>
      <w:bookmarkEnd w:id="14"/>
      <w:bookmarkEnd w:id="15"/>
      <w:bookmarkEnd w:id="16"/>
      <w:bookmarkEnd w:id="17"/>
      <w:bookmarkEnd w:id="18"/>
    </w:p>
    <w:p>
      <w:pPr>
        <w:pStyle w:val="2"/>
        <w:spacing w:line="360" w:lineRule="auto"/>
        <w:jc w:val="center"/>
        <w:rPr>
          <w:rFonts w:hint="eastAsia" w:ascii="宋体" w:hAnsi="宋体" w:eastAsia="宋体" w:cs="宋体"/>
          <w:color w:val="auto"/>
          <w:highlight w:val="none"/>
          <w:shd w:val="clear" w:color="auto" w:fill="auto"/>
        </w:rPr>
      </w:pPr>
      <w:bookmarkStart w:id="19" w:name="_Toc443505821"/>
      <w:bookmarkStart w:id="20" w:name="_Toc144974496"/>
      <w:bookmarkStart w:id="21" w:name="_Toc247513951"/>
      <w:bookmarkStart w:id="22" w:name="_Toc152045528"/>
      <w:bookmarkStart w:id="23" w:name="_Toc247527552"/>
      <w:bookmarkStart w:id="24" w:name="_Toc28526"/>
      <w:bookmarkStart w:id="25" w:name="_Toc152042304"/>
      <w:bookmarkStart w:id="26" w:name="_Toc23825"/>
      <w:bookmarkStart w:id="27" w:name="_Toc362816479"/>
      <w:bookmarkStart w:id="28" w:name="_Toc357089510"/>
      <w:bookmarkStart w:id="29" w:name="_Toc300834948"/>
      <w:r>
        <w:rPr>
          <w:rFonts w:hint="eastAsia" w:ascii="宋体" w:hAnsi="宋体" w:eastAsia="宋体" w:cs="宋体"/>
          <w:color w:val="auto"/>
          <w:highlight w:val="none"/>
          <w:shd w:val="clear" w:color="auto" w:fill="auto"/>
        </w:rPr>
        <w:t>投标人须知前附表</w:t>
      </w:r>
      <w:bookmarkEnd w:id="19"/>
      <w:bookmarkEnd w:id="20"/>
      <w:bookmarkEnd w:id="21"/>
      <w:bookmarkEnd w:id="22"/>
      <w:bookmarkEnd w:id="23"/>
      <w:bookmarkEnd w:id="24"/>
      <w:bookmarkEnd w:id="25"/>
      <w:bookmarkEnd w:id="26"/>
      <w:bookmarkEnd w:id="27"/>
      <w:bookmarkEnd w:id="28"/>
      <w:bookmarkEnd w:id="29"/>
    </w:p>
    <w:tbl>
      <w:tblPr>
        <w:tblStyle w:val="55"/>
        <w:tblW w:w="4995" w:type="pct"/>
        <w:tblInd w:w="0" w:type="dxa"/>
        <w:tblLayout w:type="autofit"/>
        <w:tblCellMar>
          <w:top w:w="0" w:type="dxa"/>
          <w:left w:w="108" w:type="dxa"/>
          <w:bottom w:w="0" w:type="dxa"/>
          <w:right w:w="108" w:type="dxa"/>
        </w:tblCellMar>
      </w:tblPr>
      <w:tblGrid>
        <w:gridCol w:w="846"/>
        <w:gridCol w:w="2165"/>
        <w:gridCol w:w="6941"/>
      </w:tblGrid>
      <w:tr>
        <w:tblPrEx>
          <w:tblCellMar>
            <w:top w:w="0" w:type="dxa"/>
            <w:left w:w="108" w:type="dxa"/>
            <w:bottom w:w="0" w:type="dxa"/>
            <w:right w:w="108" w:type="dxa"/>
          </w:tblCellMar>
        </w:tblPrEx>
        <w:trPr>
          <w:trHeight w:val="272" w:hRule="atLeast"/>
          <w:tblHeader/>
        </w:trPr>
        <w:tc>
          <w:tcPr>
            <w:tcW w:w="403" w:type="pct"/>
            <w:tcBorders>
              <w:top w:val="single" w:color="auto" w:sz="4" w:space="0"/>
              <w:left w:val="single" w:color="auto" w:sz="4" w:space="0"/>
              <w:bottom w:val="single" w:color="auto" w:sz="4" w:space="0"/>
              <w:right w:val="single" w:color="auto" w:sz="4" w:space="0"/>
            </w:tcBorders>
            <w:vAlign w:val="center"/>
          </w:tcPr>
          <w:p>
            <w:pPr>
              <w:snapToGrid w:val="0"/>
              <w:ind w:left="-134" w:leftChars="-64" w:right="-107" w:rightChars="-51"/>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条款号</w:t>
            </w:r>
          </w:p>
        </w:tc>
        <w:tc>
          <w:tcPr>
            <w:tcW w:w="10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条  款  名  称</w:t>
            </w:r>
          </w:p>
        </w:tc>
        <w:tc>
          <w:tcPr>
            <w:tcW w:w="349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编  列  内  容</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1.1.1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招标人</w:t>
            </w:r>
          </w:p>
        </w:tc>
        <w:tc>
          <w:tcPr>
            <w:tcW w:w="349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招标人名称：广佛（佛冈）产业园高新投资开发有限公司</w:t>
            </w:r>
          </w:p>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地址：</w:t>
            </w:r>
            <w:r>
              <w:rPr>
                <w:rFonts w:hint="eastAsia" w:ascii="宋体" w:hAnsi="宋体" w:eastAsia="宋体" w:cs="宋体"/>
                <w:color w:val="auto"/>
                <w:kern w:val="2"/>
                <w:sz w:val="21"/>
                <w:szCs w:val="21"/>
                <w:highlight w:val="none"/>
                <w:u w:val="none"/>
                <w:shd w:val="clear" w:color="auto" w:fill="auto"/>
              </w:rPr>
              <w:t>清远市佛冈县广佛（佛冈）产业园</w:t>
            </w:r>
          </w:p>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联系人：李工</w:t>
            </w:r>
          </w:p>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联系电话：</w:t>
            </w:r>
            <w:r>
              <w:rPr>
                <w:rFonts w:hint="eastAsia" w:ascii="宋体" w:hAnsi="宋体" w:eastAsia="宋体" w:cs="宋体"/>
                <w:color w:val="auto"/>
                <w:sz w:val="21"/>
                <w:szCs w:val="21"/>
                <w:highlight w:val="none"/>
                <w:shd w:val="clear" w:color="auto" w:fill="auto"/>
                <w:lang w:bidi="ar"/>
              </w:rPr>
              <w:t>0763-4633709</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1.1.2</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招标代理机构</w:t>
            </w:r>
          </w:p>
        </w:tc>
        <w:tc>
          <w:tcPr>
            <w:tcW w:w="3497"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名称：广州筑正工程建设管理有限公司</w:t>
            </w:r>
          </w:p>
          <w:p>
            <w:pPr>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地址：广州市黄埔区水西路197号敏捷广场D3栋1801-1820房</w:t>
            </w:r>
          </w:p>
          <w:p>
            <w:pPr>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联系人：林工      </w:t>
            </w:r>
          </w:p>
          <w:p>
            <w:pPr>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联系电话：020-82165699/13725411566</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1.1.3</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项目名称</w:t>
            </w:r>
          </w:p>
        </w:tc>
        <w:tc>
          <w:tcPr>
            <w:tcW w:w="3497"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广佛（佛冈）产业园首期基础公建配套及生态水利设施项目核心区市政配套完善工程勘察设计施工总承包</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1.1.4</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建设地点</w:t>
            </w:r>
          </w:p>
        </w:tc>
        <w:tc>
          <w:tcPr>
            <w:tcW w:w="3497"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清远市佛冈县广佛（佛冈）产业园。</w:t>
            </w:r>
          </w:p>
        </w:tc>
      </w:tr>
      <w:tr>
        <w:tblPrEx>
          <w:tblCellMar>
            <w:top w:w="0" w:type="dxa"/>
            <w:left w:w="108" w:type="dxa"/>
            <w:bottom w:w="0" w:type="dxa"/>
            <w:right w:w="108" w:type="dxa"/>
          </w:tblCellMar>
        </w:tblPrEx>
        <w:trPr>
          <w:trHeight w:val="90"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1.2.1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资金来源及比例</w:t>
            </w:r>
          </w:p>
        </w:tc>
        <w:tc>
          <w:tcPr>
            <w:tcW w:w="3497"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财政资金</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1.2.2</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资金落实情况</w:t>
            </w:r>
          </w:p>
        </w:tc>
        <w:tc>
          <w:tcPr>
            <w:tcW w:w="349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已落实</w:t>
            </w:r>
          </w:p>
        </w:tc>
      </w:tr>
      <w:tr>
        <w:tblPrEx>
          <w:tblCellMar>
            <w:top w:w="0" w:type="dxa"/>
            <w:left w:w="108" w:type="dxa"/>
            <w:bottom w:w="0" w:type="dxa"/>
            <w:right w:w="108" w:type="dxa"/>
          </w:tblCellMar>
        </w:tblPrEx>
        <w:trPr>
          <w:trHeight w:val="921"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1.3.1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招标范围</w:t>
            </w:r>
          </w:p>
        </w:tc>
        <w:tc>
          <w:tcPr>
            <w:tcW w:w="349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见本项目招标公告第五条</w:t>
            </w:r>
          </w:p>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pacing w:val="-2"/>
                <w:szCs w:val="21"/>
                <w:highlight w:val="none"/>
                <w:shd w:val="clear" w:color="auto" w:fill="auto"/>
              </w:rPr>
              <w:t>备注：招标人有权根据项目的实际情况增加和减少工作内容。承包人资质承包范围不能涵盖或不具备相应能力的部分专业工程，可委托具备相应专业资质和能力的单位实施，但该实施单位需获得发包人批准。</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1.3.2</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计划工期</w:t>
            </w:r>
          </w:p>
        </w:tc>
        <w:tc>
          <w:tcPr>
            <w:tcW w:w="349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见本项目招标公告</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1.3.3</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质量标准</w:t>
            </w:r>
          </w:p>
        </w:tc>
        <w:tc>
          <w:tcPr>
            <w:tcW w:w="349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pacing w:val="-2"/>
                <w:szCs w:val="21"/>
                <w:highlight w:val="none"/>
                <w:shd w:val="clear" w:color="auto" w:fill="auto"/>
              </w:rPr>
            </w:pPr>
            <w:r>
              <w:rPr>
                <w:rFonts w:hint="eastAsia" w:ascii="宋体" w:hAnsi="宋体" w:eastAsia="宋体" w:cs="宋体"/>
                <w:color w:val="auto"/>
                <w:spacing w:val="-2"/>
                <w:szCs w:val="21"/>
                <w:highlight w:val="none"/>
                <w:shd w:val="clear" w:color="auto" w:fill="auto"/>
              </w:rPr>
              <w:t>勘察设计要求：符合《工程勘察质量评定办法》、《建设工程勘察设计管理条例》、《建筑工程设计文件编制深度规范》、《市政工程设计文件编制深度规定》及《建设工程质量管理条例》等国家及地方有关工程勘察设计管理法规、规章和行业相关规范技术标准等要求。</w:t>
            </w:r>
          </w:p>
          <w:p>
            <w:pPr>
              <w:rPr>
                <w:rFonts w:hint="eastAsia" w:ascii="宋体" w:hAnsi="宋体" w:eastAsia="宋体" w:cs="宋体"/>
                <w:color w:val="auto"/>
                <w:spacing w:val="-2"/>
                <w:szCs w:val="21"/>
                <w:highlight w:val="none"/>
                <w:shd w:val="clear" w:color="auto" w:fill="auto"/>
              </w:rPr>
            </w:pPr>
            <w:r>
              <w:rPr>
                <w:rFonts w:hint="eastAsia" w:ascii="宋体" w:hAnsi="宋体" w:eastAsia="宋体" w:cs="宋体"/>
                <w:color w:val="auto"/>
                <w:spacing w:val="-2"/>
                <w:szCs w:val="21"/>
                <w:highlight w:val="none"/>
                <w:shd w:val="clear" w:color="auto" w:fill="auto"/>
              </w:rPr>
              <w:t>施工要求：符合设计图纸要求和国家、省、市相关法律法规规定要求及行业颁发的工程质量合格标准。</w:t>
            </w:r>
          </w:p>
          <w:p>
            <w:pPr>
              <w:rPr>
                <w:rFonts w:hint="eastAsia" w:ascii="宋体" w:hAnsi="宋体" w:eastAsia="宋体" w:cs="宋体"/>
                <w:bCs/>
                <w:color w:val="auto"/>
                <w:szCs w:val="21"/>
                <w:highlight w:val="none"/>
                <w:shd w:val="clear" w:color="auto" w:fill="auto"/>
              </w:rPr>
            </w:pPr>
            <w:r>
              <w:rPr>
                <w:rFonts w:hint="eastAsia" w:ascii="宋体" w:hAnsi="宋体" w:eastAsia="宋体" w:cs="宋体"/>
                <w:color w:val="auto"/>
                <w:spacing w:val="-2"/>
                <w:szCs w:val="21"/>
                <w:highlight w:val="none"/>
                <w:shd w:val="clear" w:color="auto" w:fill="auto"/>
              </w:rPr>
              <w:t>工程质量目标：合格。</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1.4.1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投标人资质条件、能力和信誉</w:t>
            </w:r>
          </w:p>
        </w:tc>
        <w:tc>
          <w:tcPr>
            <w:tcW w:w="349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见本项目招标公告</w:t>
            </w:r>
          </w:p>
        </w:tc>
      </w:tr>
      <w:tr>
        <w:tblPrEx>
          <w:tblCellMar>
            <w:top w:w="0" w:type="dxa"/>
            <w:left w:w="108" w:type="dxa"/>
            <w:bottom w:w="0" w:type="dxa"/>
            <w:right w:w="108" w:type="dxa"/>
          </w:tblCellMar>
        </w:tblPrEx>
        <w:trPr>
          <w:trHeight w:val="90"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1.4.2</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是否接受联合体投标</w:t>
            </w:r>
          </w:p>
        </w:tc>
        <w:tc>
          <w:tcPr>
            <w:tcW w:w="3497" w:type="pct"/>
            <w:tcBorders>
              <w:top w:val="single" w:color="auto" w:sz="4" w:space="0"/>
              <w:left w:val="single" w:color="auto" w:sz="4" w:space="0"/>
              <w:bottom w:val="single" w:color="auto" w:sz="4" w:space="0"/>
              <w:right w:val="single" w:color="auto" w:sz="4" w:space="0"/>
            </w:tcBorders>
            <w:vAlign w:val="center"/>
          </w:tcPr>
          <w:p>
            <w:pPr>
              <w:pStyle w:val="19"/>
              <w:topLinePunct/>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□不接受</w:t>
            </w:r>
          </w:p>
          <w:p>
            <w:pPr>
              <w:adjustRightInd w:val="0"/>
              <w:snapToGrid w:val="0"/>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w:t>
            </w:r>
            <w:r>
              <w:rPr>
                <w:rFonts w:hint="eastAsia" w:ascii="宋体" w:hAnsi="宋体" w:eastAsia="宋体" w:cs="宋体"/>
                <w:color w:val="auto"/>
                <w:szCs w:val="21"/>
                <w:highlight w:val="none"/>
                <w:shd w:val="clear" w:color="auto" w:fill="auto"/>
              </w:rPr>
              <w:t>接受，应满足下列要求：</w:t>
            </w:r>
            <w:r>
              <w:rPr>
                <w:rFonts w:hint="eastAsia" w:ascii="宋体" w:hAnsi="宋体" w:eastAsia="宋体" w:cs="宋体"/>
                <w:color w:val="auto"/>
                <w:szCs w:val="21"/>
                <w:highlight w:val="none"/>
                <w:u w:val="single"/>
                <w:shd w:val="clear" w:color="auto" w:fill="auto"/>
              </w:rPr>
              <w:t>详见本项目招标公告。</w:t>
            </w:r>
          </w:p>
        </w:tc>
      </w:tr>
      <w:tr>
        <w:tblPrEx>
          <w:tblCellMar>
            <w:top w:w="0" w:type="dxa"/>
            <w:left w:w="108" w:type="dxa"/>
            <w:bottom w:w="0" w:type="dxa"/>
            <w:right w:w="108" w:type="dxa"/>
          </w:tblCellMar>
        </w:tblPrEx>
        <w:trPr>
          <w:trHeight w:val="545"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1.5</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费用承担和设计成果补偿</w:t>
            </w:r>
          </w:p>
        </w:tc>
        <w:tc>
          <w:tcPr>
            <w:tcW w:w="349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■不补偿</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Cs w:val="21"/>
                <w:highlight w:val="none"/>
                <w:shd w:val="clear" w:color="auto" w:fill="auto"/>
              </w:rPr>
              <w:t>□</w:t>
            </w:r>
            <w:r>
              <w:rPr>
                <w:rFonts w:hint="eastAsia" w:ascii="宋体" w:hAnsi="宋体" w:eastAsia="宋体" w:cs="宋体"/>
                <w:color w:val="auto"/>
                <w:szCs w:val="21"/>
                <w:highlight w:val="none"/>
                <w:shd w:val="clear" w:color="auto" w:fill="auto"/>
              </w:rPr>
              <w:t>补偿</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1.9.1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踏勘</w:t>
            </w:r>
          </w:p>
        </w:tc>
        <w:tc>
          <w:tcPr>
            <w:tcW w:w="3497"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w:t>
            </w:r>
            <w:r>
              <w:rPr>
                <w:rFonts w:hint="eastAsia" w:ascii="宋体" w:hAnsi="宋体" w:eastAsia="宋体" w:cs="宋体"/>
                <w:color w:val="auto"/>
                <w:szCs w:val="21"/>
                <w:highlight w:val="none"/>
                <w:shd w:val="clear" w:color="auto" w:fill="auto"/>
              </w:rPr>
              <w:t>不组织：自行踏勘。</w:t>
            </w:r>
          </w:p>
          <w:p>
            <w:pPr>
              <w:adjustRightInd w:val="0"/>
              <w:snapToGrid w:val="0"/>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Cs w:val="21"/>
                <w:highlight w:val="none"/>
                <w:shd w:val="clear" w:color="auto" w:fill="auto"/>
              </w:rPr>
              <w:t>组织，踏勘时间：</w:t>
            </w:r>
          </w:p>
          <w:p>
            <w:pPr>
              <w:adjustRightInd w:val="0"/>
              <w:snapToGrid w:val="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踏勘集中地点：</w:t>
            </w:r>
            <w:r>
              <w:rPr>
                <w:rFonts w:hint="eastAsia" w:ascii="宋体" w:hAnsi="宋体" w:eastAsia="宋体" w:cs="宋体"/>
                <w:color w:val="auto"/>
                <w:szCs w:val="21"/>
                <w:highlight w:val="none"/>
                <w:u w:val="single"/>
                <w:shd w:val="clear" w:color="auto" w:fill="auto"/>
              </w:rPr>
              <w:t>/</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1.10.1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投标预备会</w:t>
            </w:r>
          </w:p>
        </w:tc>
        <w:tc>
          <w:tcPr>
            <w:tcW w:w="3497"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■不召开</w:t>
            </w:r>
          </w:p>
          <w:p>
            <w:pPr>
              <w:adjustRightInd w:val="0"/>
              <w:snapToGrid w:val="0"/>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kern w:val="0"/>
                <w:szCs w:val="21"/>
                <w:highlight w:val="none"/>
                <w:shd w:val="clear" w:color="auto" w:fill="auto"/>
              </w:rPr>
              <w:t>召开，召开时间：另行通知</w:t>
            </w:r>
          </w:p>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 xml:space="preserve">召开地点： </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1.10.2</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投标人提出问题的截止时间</w:t>
            </w:r>
          </w:p>
        </w:tc>
        <w:tc>
          <w:tcPr>
            <w:tcW w:w="3497"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1.方式：网上答疑。网上答疑的相关事项详见招标文件第一章投标人须知第2.2款。</w:t>
            </w:r>
          </w:p>
          <w:p>
            <w:pP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szCs w:val="21"/>
                <w:highlight w:val="none"/>
                <w:shd w:val="clear" w:color="auto" w:fill="auto"/>
              </w:rPr>
              <w:t>2.投标人质疑期限：在递交投标文件截止日期前18日。</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1.10.3</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招标人书面澄清的时间</w:t>
            </w:r>
          </w:p>
        </w:tc>
        <w:tc>
          <w:tcPr>
            <w:tcW w:w="3497"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投标截止时间15日前</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1.11.1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招标人规定由分包人承担的工作</w:t>
            </w:r>
          </w:p>
        </w:tc>
        <w:tc>
          <w:tcPr>
            <w:tcW w:w="349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无</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1.11.2</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投标人拟分包的工作</w:t>
            </w:r>
          </w:p>
        </w:tc>
        <w:tc>
          <w:tcPr>
            <w:tcW w:w="3497"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Cs w:val="21"/>
                <w:highlight w:val="none"/>
                <w:shd w:val="clear" w:color="auto" w:fill="auto"/>
              </w:rPr>
              <w:t>不允许</w:t>
            </w:r>
          </w:p>
          <w:p>
            <w:pP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szCs w:val="21"/>
                <w:highlight w:val="none"/>
                <w:shd w:val="clear" w:color="auto" w:fill="auto"/>
              </w:rPr>
              <w:t>■允许，</w:t>
            </w:r>
            <w:r>
              <w:rPr>
                <w:rFonts w:hint="eastAsia" w:ascii="宋体" w:hAnsi="宋体" w:eastAsia="宋体" w:cs="宋体"/>
                <w:color w:val="auto"/>
                <w:kern w:val="0"/>
                <w:szCs w:val="21"/>
                <w:highlight w:val="none"/>
                <w:u w:val="single"/>
                <w:shd w:val="clear" w:color="auto" w:fill="auto"/>
              </w:rPr>
              <w:t>允许非主体、非关键性工程进行分包。</w:t>
            </w:r>
          </w:p>
          <w:p>
            <w:pPr>
              <w:ind w:firstLine="840" w:firstLineChars="4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分包内容要求：经监理工程师及发包人同意后可依法分包,且需报发包人备案。</w:t>
            </w:r>
          </w:p>
          <w:p>
            <w:pPr>
              <w:ind w:firstLine="840" w:firstLineChars="4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分包金额要求：无</w:t>
            </w:r>
          </w:p>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u w:val="single"/>
                <w:shd w:val="clear" w:color="auto" w:fill="auto"/>
              </w:rPr>
              <w:t>对分包人的资质要求：符合有关法律法规和文件规定，并不得再次分包。</w:t>
            </w:r>
          </w:p>
        </w:tc>
      </w:tr>
      <w:tr>
        <w:tblPrEx>
          <w:tblCellMar>
            <w:top w:w="0" w:type="dxa"/>
            <w:left w:w="108" w:type="dxa"/>
            <w:bottom w:w="0" w:type="dxa"/>
            <w:right w:w="108" w:type="dxa"/>
          </w:tblCellMar>
        </w:tblPrEx>
        <w:trPr>
          <w:trHeight w:val="154"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1.12</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偏离</w:t>
            </w:r>
          </w:p>
        </w:tc>
        <w:tc>
          <w:tcPr>
            <w:tcW w:w="3497"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■不允许</w:t>
            </w:r>
          </w:p>
          <w:p>
            <w:pPr>
              <w:adjustRightInd w:val="0"/>
              <w:snapToGrid w:val="0"/>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Cs w:val="21"/>
                <w:highlight w:val="none"/>
                <w:shd w:val="clear" w:color="auto" w:fill="auto"/>
              </w:rPr>
              <w:t>允许，允许偏离的内容、偏离范围和幅度</w:t>
            </w:r>
          </w:p>
        </w:tc>
      </w:tr>
      <w:tr>
        <w:tblPrEx>
          <w:tblCellMar>
            <w:top w:w="0" w:type="dxa"/>
            <w:left w:w="108" w:type="dxa"/>
            <w:bottom w:w="0" w:type="dxa"/>
            <w:right w:w="108" w:type="dxa"/>
          </w:tblCellMar>
        </w:tblPrEx>
        <w:trPr>
          <w:trHeight w:val="90"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构成招标文件的其他资料</w:t>
            </w:r>
          </w:p>
        </w:tc>
        <w:tc>
          <w:tcPr>
            <w:tcW w:w="349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u w:val="single"/>
                <w:shd w:val="clear" w:color="auto" w:fill="auto"/>
              </w:rPr>
              <w:t>答疑纪要、澄清文件等（如有）</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2.2.2</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投标人要求澄清招标文件的截止时间</w:t>
            </w:r>
          </w:p>
        </w:tc>
        <w:tc>
          <w:tcPr>
            <w:tcW w:w="349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同投标人提出问题的截止时间</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2.2.3</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投标人确认收到答疑纪要或澄清的时间</w:t>
            </w:r>
          </w:p>
        </w:tc>
        <w:tc>
          <w:tcPr>
            <w:tcW w:w="3497"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在广州公共资源交易中心网上答疑专区发布时视为投标人收到。</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2.3.2</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投标人确认收到招标文件修改的时间</w:t>
            </w:r>
          </w:p>
        </w:tc>
        <w:tc>
          <w:tcPr>
            <w:tcW w:w="3497"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在广州公共资源交易中心网上答疑专区发布时视为投标人收到。</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3.1.1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构成投标文件的其他资料</w:t>
            </w:r>
          </w:p>
        </w:tc>
        <w:tc>
          <w:tcPr>
            <w:tcW w:w="3497"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见第五章《投标文件格式》要求。</w:t>
            </w:r>
          </w:p>
        </w:tc>
      </w:tr>
      <w:tr>
        <w:tblPrEx>
          <w:tblCellMar>
            <w:top w:w="0" w:type="dxa"/>
            <w:left w:w="108" w:type="dxa"/>
            <w:bottom w:w="0" w:type="dxa"/>
            <w:right w:w="108" w:type="dxa"/>
          </w:tblCellMar>
        </w:tblPrEx>
        <w:trPr>
          <w:trHeight w:val="90"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3.2.3</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最高投标限价</w:t>
            </w:r>
          </w:p>
        </w:tc>
        <w:tc>
          <w:tcPr>
            <w:tcW w:w="349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Cs w:val="21"/>
                <w:highlight w:val="none"/>
                <w:shd w:val="clear" w:color="auto" w:fill="auto"/>
              </w:rPr>
              <w:t>招标控制价：人</w:t>
            </w:r>
            <w:r>
              <w:rPr>
                <w:rFonts w:hint="eastAsia" w:ascii="宋体" w:hAnsi="宋体" w:eastAsia="宋体" w:cs="宋体"/>
                <w:color w:val="auto"/>
                <w:sz w:val="21"/>
                <w:szCs w:val="21"/>
                <w:highlight w:val="none"/>
                <w:shd w:val="clear" w:color="auto" w:fill="auto"/>
              </w:rPr>
              <w:t>民币</w:t>
            </w:r>
            <w:r>
              <w:rPr>
                <w:rFonts w:hint="eastAsia" w:ascii="宋体" w:hAnsi="宋体" w:eastAsia="宋体" w:cs="宋体"/>
                <w:color w:val="auto"/>
                <w:sz w:val="21"/>
                <w:szCs w:val="21"/>
                <w:highlight w:val="none"/>
                <w:shd w:val="clear" w:color="auto" w:fill="auto"/>
                <w:lang w:val="en-US" w:eastAsia="zh-CN"/>
              </w:rPr>
              <w:t>17723.27</w:t>
            </w:r>
            <w:r>
              <w:rPr>
                <w:rFonts w:hint="eastAsia" w:ascii="宋体" w:hAnsi="宋体" w:eastAsia="宋体" w:cs="宋体"/>
                <w:color w:val="auto"/>
                <w:sz w:val="21"/>
                <w:szCs w:val="21"/>
                <w:highlight w:val="none"/>
                <w:shd w:val="clear" w:color="auto" w:fill="auto"/>
              </w:rPr>
              <w:t>万元（其中：建安费最高限价为</w:t>
            </w:r>
            <w:r>
              <w:rPr>
                <w:rFonts w:hint="eastAsia" w:ascii="宋体" w:hAnsi="宋体" w:eastAsia="宋体" w:cs="宋体"/>
                <w:color w:val="auto"/>
                <w:sz w:val="21"/>
                <w:szCs w:val="21"/>
                <w:highlight w:val="none"/>
                <w:shd w:val="clear" w:color="auto" w:fill="auto"/>
                <w:lang w:val="en-US" w:eastAsia="zh-CN"/>
              </w:rPr>
              <w:t>17033.79</w:t>
            </w:r>
            <w:r>
              <w:rPr>
                <w:rFonts w:hint="eastAsia" w:ascii="宋体" w:hAnsi="宋体" w:eastAsia="宋体" w:cs="宋体"/>
                <w:color w:val="auto"/>
                <w:sz w:val="21"/>
                <w:szCs w:val="21"/>
                <w:highlight w:val="none"/>
                <w:shd w:val="clear" w:color="auto" w:fill="auto"/>
              </w:rPr>
              <w:t>万元；勘察费投标最高限价</w:t>
            </w:r>
            <w:r>
              <w:rPr>
                <w:rFonts w:hint="eastAsia" w:ascii="宋体" w:hAnsi="宋体" w:eastAsia="宋体" w:cs="宋体"/>
                <w:color w:val="auto"/>
                <w:sz w:val="21"/>
                <w:szCs w:val="21"/>
                <w:highlight w:val="none"/>
                <w:shd w:val="clear" w:color="auto" w:fill="auto"/>
                <w:lang w:val="en-US" w:eastAsia="zh-CN"/>
              </w:rPr>
              <w:t>197.23</w:t>
            </w:r>
            <w:r>
              <w:rPr>
                <w:rFonts w:hint="eastAsia" w:ascii="宋体" w:hAnsi="宋体" w:eastAsia="宋体" w:cs="宋体"/>
                <w:color w:val="auto"/>
                <w:sz w:val="21"/>
                <w:szCs w:val="21"/>
                <w:highlight w:val="none"/>
                <w:shd w:val="clear" w:color="auto" w:fill="auto"/>
              </w:rPr>
              <w:t>万元；设计费投标最高限价为</w:t>
            </w:r>
            <w:r>
              <w:rPr>
                <w:rFonts w:hint="eastAsia" w:ascii="宋体" w:hAnsi="宋体" w:eastAsia="宋体" w:cs="宋体"/>
                <w:color w:val="auto"/>
                <w:sz w:val="21"/>
                <w:szCs w:val="21"/>
                <w:highlight w:val="none"/>
                <w:shd w:val="clear" w:color="auto" w:fill="auto"/>
                <w:lang w:val="en-US" w:eastAsia="zh-CN"/>
              </w:rPr>
              <w:t>492.25</w:t>
            </w:r>
            <w:r>
              <w:rPr>
                <w:rFonts w:hint="eastAsia" w:ascii="宋体" w:hAnsi="宋体" w:eastAsia="宋体" w:cs="宋体"/>
                <w:color w:val="auto"/>
                <w:sz w:val="21"/>
                <w:szCs w:val="21"/>
                <w:highlight w:val="none"/>
                <w:shd w:val="clear" w:color="auto" w:fill="auto"/>
              </w:rPr>
              <w:t>万元）</w:t>
            </w:r>
          </w:p>
          <w:p>
            <w:pPr>
              <w:numPr>
                <w:ilvl w:val="0"/>
                <w:numId w:val="0"/>
              </w:numPr>
              <w:spacing w:line="24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none"/>
                <w:shd w:val="clear" w:color="auto" w:fill="auto"/>
                <w:lang w:val="en-US" w:eastAsia="zh-CN"/>
              </w:rPr>
              <w:t>其中各子项限价如下：</w:t>
            </w:r>
          </w:p>
          <w:p>
            <w:pPr>
              <w:numPr>
                <w:ilvl w:val="0"/>
                <w:numId w:val="1"/>
              </w:numPr>
              <w:spacing w:line="240" w:lineRule="auto"/>
              <w:ind w:leftChars="0"/>
              <w:jc w:val="left"/>
              <w:rPr>
                <w:rFonts w:hint="eastAsia" w:ascii="宋体" w:hAnsi="宋体" w:eastAsia="宋体" w:cs="宋体"/>
                <w:i w:val="0"/>
                <w:iCs w:val="0"/>
                <w:color w:val="auto"/>
                <w:kern w:val="2"/>
                <w:sz w:val="21"/>
                <w:szCs w:val="21"/>
                <w:highlight w:val="none"/>
                <w:u w:val="none"/>
                <w:shd w:val="clear" w:color="auto" w:fill="auto"/>
                <w:lang w:val="en-US" w:eastAsia="zh-CN" w:bidi="ar"/>
              </w:rPr>
            </w:pPr>
            <w:r>
              <w:rPr>
                <w:rFonts w:hint="eastAsia" w:ascii="宋体" w:hAnsi="宋体" w:eastAsia="宋体" w:cs="宋体"/>
                <w:i w:val="0"/>
                <w:iCs w:val="0"/>
                <w:color w:val="auto"/>
                <w:kern w:val="2"/>
                <w:sz w:val="21"/>
                <w:szCs w:val="21"/>
                <w:highlight w:val="none"/>
                <w:u w:val="none"/>
                <w:shd w:val="clear" w:color="auto" w:fill="auto"/>
                <w:lang w:val="en-US" w:eastAsia="zh-CN" w:bidi="ar"/>
              </w:rPr>
              <w:t>广佛（佛冈）产业园规划19路（一横路至2号泵站） 工程：建安费最高投标限价2775.21万元；设计费最高限价80.99万元；勘察费最高限价32.13万元；</w:t>
            </w:r>
          </w:p>
          <w:p>
            <w:pPr>
              <w:numPr>
                <w:ilvl w:val="0"/>
                <w:numId w:val="1"/>
              </w:numPr>
              <w:spacing w:line="240" w:lineRule="auto"/>
              <w:ind w:leftChars="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广佛（佛冈）产业园规划20路</w:t>
            </w:r>
            <w:r>
              <w:rPr>
                <w:rFonts w:hint="eastAsia" w:ascii="宋体" w:hAnsi="宋体" w:eastAsia="宋体" w:cs="宋体"/>
                <w:color w:val="auto"/>
                <w:sz w:val="21"/>
                <w:szCs w:val="21"/>
                <w:highlight w:val="none"/>
                <w:shd w:val="clear" w:color="auto" w:fill="auto"/>
                <w:lang w:val="en-US" w:eastAsia="zh-CN"/>
              </w:rPr>
              <w:t>工程</w:t>
            </w:r>
            <w:r>
              <w:rPr>
                <w:rFonts w:hint="eastAsia" w:ascii="宋体" w:hAnsi="宋体" w:eastAsia="宋体" w:cs="宋体"/>
                <w:color w:val="auto"/>
                <w:sz w:val="21"/>
                <w:szCs w:val="21"/>
                <w:highlight w:val="none"/>
                <w:shd w:val="clear" w:color="auto" w:fill="auto"/>
              </w:rPr>
              <w:t>：建安费最高投标限价</w:t>
            </w:r>
            <w:r>
              <w:rPr>
                <w:rFonts w:hint="eastAsia" w:ascii="宋体" w:hAnsi="宋体" w:eastAsia="宋体" w:cs="宋体"/>
                <w:color w:val="auto"/>
                <w:sz w:val="21"/>
                <w:szCs w:val="21"/>
                <w:highlight w:val="none"/>
                <w:shd w:val="clear" w:color="auto" w:fill="auto"/>
                <w:lang w:val="en-US" w:eastAsia="zh-CN"/>
              </w:rPr>
              <w:t>5452.17</w:t>
            </w:r>
            <w:r>
              <w:rPr>
                <w:rFonts w:hint="eastAsia" w:ascii="宋体" w:hAnsi="宋体" w:eastAsia="宋体" w:cs="宋体"/>
                <w:color w:val="auto"/>
                <w:sz w:val="21"/>
                <w:szCs w:val="21"/>
                <w:highlight w:val="none"/>
                <w:shd w:val="clear" w:color="auto" w:fill="auto"/>
              </w:rPr>
              <w:t>万元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i w:val="0"/>
                <w:iCs w:val="0"/>
                <w:color w:val="auto"/>
                <w:kern w:val="2"/>
                <w:sz w:val="21"/>
                <w:szCs w:val="21"/>
                <w:highlight w:val="none"/>
                <w:u w:val="none"/>
                <w:shd w:val="clear" w:color="auto" w:fill="auto"/>
                <w:lang w:val="en-US" w:eastAsia="zh-CN" w:bidi="ar"/>
              </w:rPr>
              <w:t>设计费最高限价148.01万元；勘察费最高限价63.13万元；</w:t>
            </w:r>
          </w:p>
          <w:p>
            <w:pPr>
              <w:numPr>
                <w:ilvl w:val="0"/>
                <w:numId w:val="1"/>
              </w:numPr>
              <w:spacing w:line="240" w:lineRule="auto"/>
              <w:ind w:leftChars="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广佛（佛冈）产业园</w:t>
            </w:r>
            <w:r>
              <w:rPr>
                <w:rFonts w:hint="eastAsia" w:ascii="宋体" w:hAnsi="宋体" w:eastAsia="宋体" w:cs="宋体"/>
                <w:color w:val="auto"/>
                <w:sz w:val="21"/>
                <w:szCs w:val="21"/>
                <w:highlight w:val="none"/>
                <w:shd w:val="clear" w:color="auto" w:fill="auto"/>
                <w:lang w:eastAsia="zh-CN"/>
              </w:rPr>
              <w:t>规划3</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路工程：</w:t>
            </w:r>
            <w:r>
              <w:rPr>
                <w:rFonts w:hint="eastAsia" w:ascii="宋体" w:hAnsi="宋体" w:eastAsia="宋体" w:cs="宋体"/>
                <w:color w:val="auto"/>
                <w:sz w:val="21"/>
                <w:szCs w:val="21"/>
                <w:highlight w:val="none"/>
                <w:shd w:val="clear" w:color="auto" w:fill="auto"/>
              </w:rPr>
              <w:t>建安费最高投标限价</w:t>
            </w:r>
            <w:r>
              <w:rPr>
                <w:rFonts w:hint="eastAsia" w:ascii="宋体" w:hAnsi="宋体" w:eastAsia="宋体" w:cs="宋体"/>
                <w:color w:val="auto"/>
                <w:sz w:val="21"/>
                <w:szCs w:val="21"/>
                <w:highlight w:val="none"/>
                <w:shd w:val="clear" w:color="auto" w:fill="auto"/>
                <w:lang w:val="en-US" w:eastAsia="zh-CN"/>
              </w:rPr>
              <w:t>621.22</w:t>
            </w:r>
            <w:r>
              <w:rPr>
                <w:rFonts w:hint="eastAsia" w:ascii="宋体" w:hAnsi="宋体" w:eastAsia="宋体" w:cs="宋体"/>
                <w:color w:val="auto"/>
                <w:sz w:val="21"/>
                <w:szCs w:val="21"/>
                <w:highlight w:val="none"/>
                <w:shd w:val="clear" w:color="auto" w:fill="auto"/>
              </w:rPr>
              <w:t>万元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i w:val="0"/>
                <w:iCs w:val="0"/>
                <w:color w:val="auto"/>
                <w:kern w:val="2"/>
                <w:sz w:val="21"/>
                <w:szCs w:val="21"/>
                <w:highlight w:val="none"/>
                <w:u w:val="none"/>
                <w:shd w:val="clear" w:color="auto" w:fill="auto"/>
                <w:lang w:val="en-US" w:eastAsia="zh-CN" w:bidi="ar"/>
              </w:rPr>
              <w:t>设计费最高限价21.13万元；勘察费最高限价7.19万元；</w:t>
            </w:r>
          </w:p>
          <w:p>
            <w:pPr>
              <w:numPr>
                <w:ilvl w:val="0"/>
                <w:numId w:val="1"/>
              </w:numPr>
              <w:spacing w:line="240" w:lineRule="auto"/>
              <w:ind w:leftChars="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广佛（佛冈）产业园规划33路工程：建安费最高投标限价967.73万元；</w:t>
            </w:r>
            <w:r>
              <w:rPr>
                <w:rFonts w:hint="eastAsia" w:ascii="宋体" w:hAnsi="宋体" w:eastAsia="宋体" w:cs="宋体"/>
                <w:i w:val="0"/>
                <w:iCs w:val="0"/>
                <w:color w:val="auto"/>
                <w:kern w:val="2"/>
                <w:sz w:val="21"/>
                <w:szCs w:val="21"/>
                <w:highlight w:val="none"/>
                <w:u w:val="none"/>
                <w:shd w:val="clear" w:color="auto" w:fill="auto"/>
                <w:lang w:val="en-US" w:eastAsia="zh-CN" w:bidi="ar"/>
              </w:rPr>
              <w:t>设计费最高限价31.53万元；勘察费最高限价11.21万元；</w:t>
            </w:r>
          </w:p>
          <w:p>
            <w:pPr>
              <w:numPr>
                <w:ilvl w:val="0"/>
                <w:numId w:val="1"/>
              </w:numPr>
              <w:spacing w:line="240" w:lineRule="auto"/>
              <w:ind w:leftChars="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广佛（佛冈）产业园道路绿化升级工程（一期）：建安费最高投标限价3126.59万元；设计费最高限价</w:t>
            </w:r>
            <w:r>
              <w:rPr>
                <w:rFonts w:hint="eastAsia" w:ascii="宋体" w:hAnsi="宋体" w:eastAsia="宋体" w:cs="宋体"/>
                <w:i w:val="0"/>
                <w:iCs w:val="0"/>
                <w:color w:val="auto"/>
                <w:kern w:val="0"/>
                <w:sz w:val="21"/>
                <w:szCs w:val="21"/>
                <w:highlight w:val="none"/>
                <w:u w:val="none"/>
                <w:shd w:val="clear" w:color="auto" w:fill="auto"/>
                <w:lang w:val="en-US" w:eastAsia="zh-CN" w:bidi="ar"/>
              </w:rPr>
              <w:t>90.04</w:t>
            </w:r>
            <w:r>
              <w:rPr>
                <w:rFonts w:hint="eastAsia" w:ascii="宋体" w:hAnsi="宋体" w:eastAsia="宋体" w:cs="宋体"/>
                <w:color w:val="auto"/>
                <w:sz w:val="21"/>
                <w:szCs w:val="21"/>
                <w:highlight w:val="none"/>
                <w:shd w:val="clear" w:color="auto" w:fill="auto"/>
                <w:lang w:val="en-US" w:eastAsia="zh-CN"/>
              </w:rPr>
              <w:t>万元；勘察费最高限价36.2万元；</w:t>
            </w:r>
          </w:p>
          <w:p>
            <w:pPr>
              <w:numPr>
                <w:ilvl w:val="0"/>
                <w:numId w:val="1"/>
              </w:numPr>
              <w:spacing w:line="240" w:lineRule="auto"/>
              <w:ind w:leftChars="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广佛（佛冈）产业园入园大道一纵路、入园大道一横路（中段）、规划18路、规划25路照明工程</w:t>
            </w:r>
            <w:r>
              <w:rPr>
                <w:rFonts w:hint="eastAsia" w:ascii="宋体" w:hAnsi="宋体" w:eastAsia="宋体" w:cs="宋体"/>
                <w:color w:val="auto"/>
                <w:sz w:val="21"/>
                <w:szCs w:val="21"/>
                <w:highlight w:val="none"/>
                <w:shd w:val="clear" w:color="auto" w:fill="auto"/>
              </w:rPr>
              <w:t>：建安费最高投标限价</w:t>
            </w:r>
            <w:r>
              <w:rPr>
                <w:rFonts w:hint="eastAsia" w:ascii="宋体" w:hAnsi="宋体" w:eastAsia="宋体" w:cs="宋体"/>
                <w:color w:val="auto"/>
                <w:sz w:val="21"/>
                <w:szCs w:val="21"/>
                <w:highlight w:val="none"/>
                <w:shd w:val="clear" w:color="auto" w:fill="auto"/>
                <w:lang w:val="en-US" w:eastAsia="zh-CN"/>
              </w:rPr>
              <w:t>3324.23</w:t>
            </w:r>
            <w:r>
              <w:rPr>
                <w:rFonts w:hint="eastAsia" w:ascii="宋体" w:hAnsi="宋体" w:eastAsia="宋体" w:cs="宋体"/>
                <w:color w:val="auto"/>
                <w:sz w:val="21"/>
                <w:szCs w:val="21"/>
                <w:highlight w:val="none"/>
                <w:shd w:val="clear" w:color="auto" w:fill="auto"/>
              </w:rPr>
              <w:t>万元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设计费最高限价</w:t>
            </w:r>
            <w:r>
              <w:rPr>
                <w:rFonts w:hint="eastAsia" w:ascii="宋体" w:hAnsi="宋体" w:eastAsia="宋体" w:cs="宋体"/>
                <w:i w:val="0"/>
                <w:iCs w:val="0"/>
                <w:color w:val="auto"/>
                <w:kern w:val="0"/>
                <w:sz w:val="21"/>
                <w:szCs w:val="21"/>
                <w:highlight w:val="none"/>
                <w:u w:val="none"/>
                <w:shd w:val="clear" w:color="auto" w:fill="auto"/>
                <w:lang w:val="en-US" w:eastAsia="zh-CN" w:bidi="ar"/>
              </w:rPr>
              <w:t>95.04</w:t>
            </w:r>
            <w:r>
              <w:rPr>
                <w:rFonts w:hint="eastAsia" w:ascii="宋体" w:hAnsi="宋体" w:eastAsia="宋体" w:cs="宋体"/>
                <w:color w:val="auto"/>
                <w:sz w:val="21"/>
                <w:szCs w:val="21"/>
                <w:highlight w:val="none"/>
                <w:shd w:val="clear" w:color="auto" w:fill="auto"/>
                <w:lang w:val="en-US" w:eastAsia="zh-CN"/>
              </w:rPr>
              <w:t>万元；勘察费最高限价</w:t>
            </w:r>
            <w:r>
              <w:rPr>
                <w:rFonts w:hint="eastAsia" w:ascii="宋体" w:hAnsi="宋体" w:eastAsia="宋体" w:cs="宋体"/>
                <w:i w:val="0"/>
                <w:iCs w:val="0"/>
                <w:color w:val="auto"/>
                <w:kern w:val="0"/>
                <w:sz w:val="21"/>
                <w:szCs w:val="21"/>
                <w:highlight w:val="none"/>
                <w:u w:val="none"/>
                <w:shd w:val="clear" w:color="auto" w:fill="auto"/>
                <w:lang w:val="en-US" w:eastAsia="zh-CN" w:bidi="ar"/>
              </w:rPr>
              <w:t>38.49</w:t>
            </w:r>
            <w:r>
              <w:rPr>
                <w:rFonts w:hint="eastAsia" w:ascii="宋体" w:hAnsi="宋体" w:eastAsia="宋体" w:cs="宋体"/>
                <w:color w:val="auto"/>
                <w:sz w:val="21"/>
                <w:szCs w:val="21"/>
                <w:highlight w:val="none"/>
                <w:shd w:val="clear" w:color="auto" w:fill="auto"/>
                <w:lang w:val="en-US" w:eastAsia="zh-CN"/>
              </w:rPr>
              <w:t>万元；</w:t>
            </w:r>
          </w:p>
          <w:p>
            <w:pPr>
              <w:numPr>
                <w:ilvl w:val="0"/>
                <w:numId w:val="1"/>
              </w:numPr>
              <w:spacing w:line="240" w:lineRule="auto"/>
              <w:ind w:leftChars="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广佛（佛冈）产业园市民休闲建设配套项目</w:t>
            </w:r>
            <w:r>
              <w:rPr>
                <w:rFonts w:hint="eastAsia" w:ascii="宋体" w:hAnsi="宋体" w:eastAsia="宋体" w:cs="宋体"/>
                <w:color w:val="auto"/>
                <w:sz w:val="21"/>
                <w:szCs w:val="21"/>
                <w:highlight w:val="none"/>
                <w:shd w:val="clear" w:color="auto" w:fill="auto"/>
              </w:rPr>
              <w:t>：建安费最高投标限价</w:t>
            </w:r>
            <w:r>
              <w:rPr>
                <w:rFonts w:hint="eastAsia" w:ascii="宋体" w:hAnsi="宋体" w:eastAsia="宋体" w:cs="宋体"/>
                <w:color w:val="auto"/>
                <w:sz w:val="21"/>
                <w:szCs w:val="21"/>
                <w:highlight w:val="none"/>
                <w:shd w:val="clear" w:color="auto" w:fill="auto"/>
                <w:lang w:val="en-US" w:eastAsia="zh-CN"/>
              </w:rPr>
              <w:t>766.64</w:t>
            </w:r>
            <w:r>
              <w:rPr>
                <w:rFonts w:hint="eastAsia" w:ascii="宋体" w:hAnsi="宋体" w:eastAsia="宋体" w:cs="宋体"/>
                <w:color w:val="auto"/>
                <w:sz w:val="21"/>
                <w:szCs w:val="21"/>
                <w:highlight w:val="none"/>
                <w:shd w:val="clear" w:color="auto" w:fill="auto"/>
              </w:rPr>
              <w:t>万元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设计费最高限价</w:t>
            </w:r>
            <w:r>
              <w:rPr>
                <w:rFonts w:hint="eastAsia" w:ascii="宋体" w:hAnsi="宋体" w:eastAsia="宋体" w:cs="宋体"/>
                <w:i w:val="0"/>
                <w:iCs w:val="0"/>
                <w:color w:val="auto"/>
                <w:kern w:val="0"/>
                <w:sz w:val="21"/>
                <w:szCs w:val="21"/>
                <w:highlight w:val="none"/>
                <w:u w:val="none"/>
                <w:shd w:val="clear" w:color="auto" w:fill="auto"/>
                <w:lang w:val="en-US" w:eastAsia="zh-CN" w:bidi="ar"/>
              </w:rPr>
              <w:t>25.51</w:t>
            </w:r>
            <w:r>
              <w:rPr>
                <w:rFonts w:hint="eastAsia" w:ascii="宋体" w:hAnsi="宋体" w:eastAsia="宋体" w:cs="宋体"/>
                <w:color w:val="auto"/>
                <w:sz w:val="21"/>
                <w:szCs w:val="21"/>
                <w:highlight w:val="none"/>
                <w:shd w:val="clear" w:color="auto" w:fill="auto"/>
                <w:lang w:val="en-US" w:eastAsia="zh-CN"/>
              </w:rPr>
              <w:t>万元；勘察费最高限价</w:t>
            </w:r>
            <w:r>
              <w:rPr>
                <w:rFonts w:hint="eastAsia" w:ascii="宋体" w:hAnsi="宋体" w:eastAsia="宋体" w:cs="宋体"/>
                <w:i w:val="0"/>
                <w:iCs w:val="0"/>
                <w:color w:val="auto"/>
                <w:kern w:val="0"/>
                <w:sz w:val="21"/>
                <w:szCs w:val="21"/>
                <w:highlight w:val="none"/>
                <w:u w:val="none"/>
                <w:shd w:val="clear" w:color="auto" w:fill="auto"/>
                <w:lang w:val="en-US" w:eastAsia="zh-CN" w:bidi="ar"/>
              </w:rPr>
              <w:t>8.88</w:t>
            </w:r>
            <w:r>
              <w:rPr>
                <w:rFonts w:hint="eastAsia" w:ascii="宋体" w:hAnsi="宋体" w:eastAsia="宋体" w:cs="宋体"/>
                <w:color w:val="auto"/>
                <w:sz w:val="21"/>
                <w:szCs w:val="21"/>
                <w:highlight w:val="none"/>
                <w:shd w:val="clear" w:color="auto" w:fill="auto"/>
                <w:lang w:val="en-US" w:eastAsia="zh-CN"/>
              </w:rPr>
              <w:t>万元。</w:t>
            </w:r>
          </w:p>
        </w:tc>
      </w:tr>
      <w:tr>
        <w:tblPrEx>
          <w:tblCellMar>
            <w:top w:w="0" w:type="dxa"/>
            <w:left w:w="108" w:type="dxa"/>
            <w:bottom w:w="0" w:type="dxa"/>
            <w:right w:w="108" w:type="dxa"/>
          </w:tblCellMar>
        </w:tblPrEx>
        <w:trPr>
          <w:trHeight w:val="90"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3.2.4</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投标报价要求</w:t>
            </w:r>
          </w:p>
        </w:tc>
        <w:tc>
          <w:tcPr>
            <w:tcW w:w="3497"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u w:val="single"/>
                <w:shd w:val="clear" w:color="auto" w:fill="auto"/>
              </w:rPr>
              <w:t>详见招标公告第十三款“费用”。</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3.3.1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投标有效期</w:t>
            </w:r>
          </w:p>
        </w:tc>
        <w:tc>
          <w:tcPr>
            <w:tcW w:w="3497"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szCs w:val="21"/>
                <w:highlight w:val="none"/>
                <w:u w:val="single"/>
                <w:shd w:val="clear" w:color="auto" w:fill="auto"/>
                <w:lang w:val="en-US" w:eastAsia="zh-CN"/>
              </w:rPr>
              <w:t>120</w:t>
            </w:r>
            <w:r>
              <w:rPr>
                <w:rFonts w:hint="eastAsia" w:ascii="宋体" w:hAnsi="宋体" w:eastAsia="宋体" w:cs="宋体"/>
                <w:color w:val="auto"/>
                <w:szCs w:val="21"/>
                <w:highlight w:val="none"/>
                <w:u w:val="single"/>
                <w:shd w:val="clear" w:color="auto" w:fill="auto"/>
              </w:rPr>
              <w:t>日历天（从递交投标文件截止之日计起），如出现异议或投诉，则投标有效期自动延长至异议或投诉处理结束，确定中标人并发放中标通知书为止。</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3.4.1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投标担保</w:t>
            </w:r>
          </w:p>
        </w:tc>
        <w:tc>
          <w:tcPr>
            <w:tcW w:w="3497" w:type="pct"/>
            <w:tcBorders>
              <w:top w:val="single" w:color="auto" w:sz="4" w:space="0"/>
              <w:left w:val="single" w:color="auto" w:sz="4" w:space="0"/>
              <w:bottom w:val="single" w:color="auto" w:sz="4" w:space="0"/>
              <w:right w:val="single" w:color="auto" w:sz="4" w:space="0"/>
            </w:tcBorders>
            <w:vAlign w:val="center"/>
          </w:tcPr>
          <w:p>
            <w:pPr>
              <w:widowControl/>
              <w:ind w:left="-2" w:firstLine="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投标担保的金额：人民币贰拾万元</w:t>
            </w:r>
          </w:p>
          <w:p>
            <w:pPr>
              <w:widowControl/>
              <w:ind w:left="-2" w:firstLine="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投标保证金的形式：采用现金汇（转）、投标保函、保险</w:t>
            </w:r>
            <w:r>
              <w:rPr>
                <w:rFonts w:hint="eastAsia" w:ascii="宋体" w:hAnsi="宋体" w:eastAsia="宋体" w:cs="宋体"/>
                <w:color w:val="auto"/>
                <w:szCs w:val="21"/>
                <w:highlight w:val="none"/>
                <w:shd w:val="clear" w:color="auto" w:fill="auto"/>
                <w:lang w:val="en-US" w:eastAsia="zh-CN"/>
              </w:rPr>
              <w:t>等形</w:t>
            </w:r>
            <w:r>
              <w:rPr>
                <w:rFonts w:hint="eastAsia" w:ascii="宋体" w:hAnsi="宋体" w:eastAsia="宋体" w:cs="宋体"/>
                <w:color w:val="auto"/>
                <w:szCs w:val="21"/>
                <w:highlight w:val="none"/>
                <w:shd w:val="clear" w:color="auto" w:fill="auto"/>
              </w:rPr>
              <w:t>式。</w:t>
            </w:r>
          </w:p>
          <w:p>
            <w:pPr>
              <w:widowControl/>
              <w:ind w:left="-2" w:firstLine="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保证金收取方式：采用现金汇（转）形式的，由广州公共资源交易中心代收,投标人须在投标截止时间前将保证金转（汇）入其账户，且所有保证金必须由投标单位（或联合体主办方）的银行基本账户转出。投标保证金到账情况以开标时广州公共资源交易中心数据库查询的信息为准。具体操作要求详见广州公共资源交易中心有关指引，递交事宜请自行咨询交易中心。</w:t>
            </w:r>
          </w:p>
          <w:p>
            <w:pPr>
              <w:widowControl/>
              <w:ind w:left="-2" w:firstLine="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投标保证金汇入账户如下：</w:t>
            </w:r>
          </w:p>
          <w:p>
            <w:pPr>
              <w:widowControl/>
              <w:ind w:left="-2" w:firstLine="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开户银行：中国建设银行天润路支行</w:t>
            </w:r>
            <w:r>
              <w:rPr>
                <w:rFonts w:hint="eastAsia" w:ascii="宋体" w:hAnsi="宋体" w:eastAsia="宋体" w:cs="宋体"/>
                <w:color w:val="auto"/>
                <w:szCs w:val="21"/>
                <w:highlight w:val="none"/>
                <w:shd w:val="clear" w:color="auto" w:fill="auto"/>
              </w:rPr>
              <w:tab/>
            </w:r>
          </w:p>
          <w:p>
            <w:pPr>
              <w:widowControl/>
              <w:ind w:left="-2" w:firstLine="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帐号：44001583404059333333</w:t>
            </w:r>
          </w:p>
          <w:p>
            <w:pPr>
              <w:widowControl/>
              <w:ind w:left="-2" w:firstLine="2"/>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户名：</w:t>
            </w:r>
            <w:r>
              <w:rPr>
                <w:rFonts w:hint="eastAsia" w:ascii="宋体" w:hAnsi="宋体" w:eastAsia="宋体" w:cs="宋体"/>
                <w:color w:val="auto"/>
                <w:szCs w:val="21"/>
                <w:highlight w:val="none"/>
                <w:shd w:val="clear" w:color="auto" w:fill="auto"/>
                <w:lang w:val="en-US" w:eastAsia="zh-CN"/>
              </w:rPr>
              <w:t>广州交易集团有限公司</w:t>
            </w:r>
          </w:p>
          <w:p>
            <w:pPr>
              <w:widowControl/>
              <w:ind w:left="-2" w:firstLine="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(如为联合体，由联合体主办方提交)</w:t>
            </w:r>
          </w:p>
          <w:p>
            <w:pPr>
              <w:widowControl/>
              <w:ind w:left="-2" w:firstLine="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采用转账形式的：招标人与中标人签订合同后5日内，向未中标的投标人和中标人退还投标保证金（不计息退还）；</w:t>
            </w:r>
          </w:p>
          <w:p>
            <w:pPr>
              <w:widowControl/>
              <w:ind w:left="-2" w:firstLine="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如采用投标保函或保险等形式提交的投标保证金的，投标保函或保险需开具给招标人（保险受益人须为招标人）在开标前不强制要求提交相关文本原件，但投标人应在投标文件中提交投标保函或保险的扫描件并加盖投标人公章。评审结束后，中标候选人应在中标候选人公示前提交其办理的投标保函或投标保证保险扫描件并在网上予以公示。</w:t>
            </w:r>
          </w:p>
        </w:tc>
      </w:tr>
      <w:tr>
        <w:tblPrEx>
          <w:tblCellMar>
            <w:top w:w="0" w:type="dxa"/>
            <w:left w:w="108" w:type="dxa"/>
            <w:bottom w:w="0" w:type="dxa"/>
            <w:right w:w="108" w:type="dxa"/>
          </w:tblCellMar>
        </w:tblPrEx>
        <w:trPr>
          <w:trHeight w:val="789"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3.6</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是否允许递交备选投标方案</w:t>
            </w:r>
          </w:p>
        </w:tc>
        <w:tc>
          <w:tcPr>
            <w:tcW w:w="3497"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■不允许</w:t>
            </w:r>
          </w:p>
          <w:p>
            <w:pPr>
              <w:adjustRightInd w:val="0"/>
              <w:snapToGrid w:val="0"/>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Cs w:val="21"/>
                <w:highlight w:val="none"/>
                <w:shd w:val="clear" w:color="auto" w:fill="auto"/>
              </w:rPr>
              <w:t>允许</w:t>
            </w:r>
          </w:p>
        </w:tc>
      </w:tr>
      <w:tr>
        <w:tblPrEx>
          <w:tblCellMar>
            <w:top w:w="0" w:type="dxa"/>
            <w:left w:w="108" w:type="dxa"/>
            <w:bottom w:w="0" w:type="dxa"/>
            <w:right w:w="108" w:type="dxa"/>
          </w:tblCellMar>
        </w:tblPrEx>
        <w:trPr>
          <w:trHeight w:val="90"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4.2.1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递交投标文件及投标登记时间和地点</w:t>
            </w:r>
          </w:p>
        </w:tc>
        <w:tc>
          <w:tcPr>
            <w:tcW w:w="3497" w:type="pct"/>
            <w:tcBorders>
              <w:top w:val="single" w:color="auto" w:sz="4" w:space="0"/>
              <w:left w:val="single" w:color="auto" w:sz="4" w:space="0"/>
              <w:bottom w:val="single" w:color="auto" w:sz="4" w:space="0"/>
              <w:right w:val="single" w:color="auto" w:sz="4" w:space="0"/>
            </w:tcBorders>
            <w:vAlign w:val="center"/>
          </w:tcPr>
          <w:p>
            <w:pPr>
              <w:ind w:left="210" w:hanging="210" w:hangingChars="1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递交开始时间：202</w:t>
            </w:r>
            <w:r>
              <w:rPr>
                <w:rFonts w:hint="eastAsia" w:ascii="宋体" w:hAnsi="宋体" w:eastAsia="宋体" w:cs="宋体"/>
                <w:color w:val="auto"/>
                <w:szCs w:val="21"/>
                <w:highlight w:val="none"/>
                <w:u w:val="single"/>
                <w:shd w:val="clear" w:color="auto" w:fill="auto"/>
                <w:lang w:val="en-US" w:eastAsia="zh-CN"/>
              </w:rPr>
              <w:t>2</w:t>
            </w:r>
            <w:r>
              <w:rPr>
                <w:rFonts w:hint="eastAsia" w:ascii="宋体" w:hAnsi="宋体" w:eastAsia="宋体" w:cs="宋体"/>
                <w:color w:val="auto"/>
                <w:szCs w:val="21"/>
                <w:highlight w:val="none"/>
                <w:u w:val="single"/>
                <w:shd w:val="clear" w:color="auto" w:fill="auto"/>
              </w:rPr>
              <w:t>年  月  日  时  分；</w:t>
            </w:r>
          </w:p>
          <w:p>
            <w:pPr>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递交截止时间：202</w:t>
            </w:r>
            <w:r>
              <w:rPr>
                <w:rFonts w:hint="eastAsia" w:ascii="宋体" w:hAnsi="宋体" w:eastAsia="宋体" w:cs="宋体"/>
                <w:color w:val="auto"/>
                <w:szCs w:val="21"/>
                <w:highlight w:val="none"/>
                <w:u w:val="single"/>
                <w:shd w:val="clear" w:color="auto" w:fill="auto"/>
                <w:lang w:val="en-US" w:eastAsia="zh-CN"/>
              </w:rPr>
              <w:t>2</w:t>
            </w:r>
            <w:r>
              <w:rPr>
                <w:rFonts w:hint="eastAsia" w:ascii="宋体" w:hAnsi="宋体" w:eastAsia="宋体" w:cs="宋体"/>
                <w:color w:val="auto"/>
                <w:szCs w:val="21"/>
                <w:highlight w:val="none"/>
                <w:u w:val="single"/>
                <w:shd w:val="clear" w:color="auto" w:fill="auto"/>
              </w:rPr>
              <w:t>年  月  日  时  分；</w:t>
            </w:r>
          </w:p>
          <w:p>
            <w:pPr>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地点：广州公共资源交易中心黄埔区交易部（广州市黄埔区水西路32号四楼（汇丽国际D栋写字楼四楼））指定开标室；</w:t>
            </w:r>
          </w:p>
          <w:p>
            <w:pPr>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本项目日程安排及地点信息可在广州公共资源交易中心网站进行查询。</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4.2.4</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是否退还投标文件</w:t>
            </w:r>
          </w:p>
        </w:tc>
        <w:tc>
          <w:tcPr>
            <w:tcW w:w="3497" w:type="pct"/>
            <w:tcBorders>
              <w:top w:val="single" w:color="auto" w:sz="4" w:space="0"/>
              <w:left w:val="single" w:color="auto" w:sz="4" w:space="0"/>
              <w:bottom w:val="single" w:color="auto" w:sz="4" w:space="0"/>
              <w:right w:val="single" w:color="auto" w:sz="4" w:space="0"/>
            </w:tcBorders>
            <w:vAlign w:val="center"/>
          </w:tcPr>
          <w:p>
            <w:pPr>
              <w:widowControl/>
              <w:topLinePunc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■否</w:t>
            </w:r>
          </w:p>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□是</w:t>
            </w:r>
          </w:p>
        </w:tc>
      </w:tr>
      <w:tr>
        <w:tblPrEx>
          <w:tblCellMar>
            <w:top w:w="0" w:type="dxa"/>
            <w:left w:w="108" w:type="dxa"/>
            <w:bottom w:w="0" w:type="dxa"/>
            <w:right w:w="108" w:type="dxa"/>
          </w:tblCellMar>
        </w:tblPrEx>
        <w:trPr>
          <w:trHeight w:val="362" w:hRule="atLeast"/>
        </w:trPr>
        <w:tc>
          <w:tcPr>
            <w:tcW w:w="403" w:type="pc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5.1</w:t>
            </w:r>
          </w:p>
        </w:tc>
        <w:tc>
          <w:tcPr>
            <w:tcW w:w="1099" w:type="pc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开标时间和地点</w:t>
            </w:r>
          </w:p>
        </w:tc>
        <w:tc>
          <w:tcPr>
            <w:tcW w:w="3497" w:type="pct"/>
            <w:tcBorders>
              <w:top w:val="single" w:color="auto" w:sz="4" w:space="0"/>
              <w:left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本项目投标文件勘察</w:t>
            </w:r>
            <w:r>
              <w:rPr>
                <w:rFonts w:hint="eastAsia" w:ascii="宋体" w:hAnsi="宋体" w:eastAsia="宋体" w:cs="宋体"/>
                <w:color w:val="auto"/>
                <w:szCs w:val="21"/>
                <w:highlight w:val="none"/>
                <w:shd w:val="clear" w:color="auto" w:fill="auto"/>
              </w:rPr>
              <w:t>设计标与施工标</w:t>
            </w:r>
            <w:r>
              <w:rPr>
                <w:rFonts w:hint="eastAsia" w:ascii="宋体" w:hAnsi="宋体" w:eastAsia="宋体" w:cs="宋体"/>
                <w:color w:val="auto"/>
                <w:kern w:val="0"/>
                <w:szCs w:val="21"/>
                <w:highlight w:val="none"/>
                <w:shd w:val="clear" w:color="auto" w:fill="auto"/>
              </w:rPr>
              <w:t>同时开启。</w:t>
            </w:r>
          </w:p>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开标开始时间：年</w:t>
            </w:r>
            <w:r>
              <w:rPr>
                <w:rFonts w:hint="eastAsia" w:ascii="宋体" w:hAnsi="宋体" w:eastAsia="宋体" w:cs="宋体"/>
                <w:color w:val="auto"/>
                <w:szCs w:val="21"/>
                <w:highlight w:val="none"/>
                <w:u w:val="single"/>
                <w:shd w:val="clear" w:color="auto" w:fill="auto"/>
              </w:rPr>
              <w:t xml:space="preserve">  月  日</w:t>
            </w:r>
            <w:r>
              <w:rPr>
                <w:rFonts w:hint="eastAsia" w:ascii="宋体" w:hAnsi="宋体" w:eastAsia="宋体" w:cs="宋体"/>
                <w:color w:val="auto"/>
                <w:kern w:val="0"/>
                <w:szCs w:val="21"/>
                <w:highlight w:val="none"/>
                <w:shd w:val="clear" w:color="auto" w:fill="auto"/>
              </w:rPr>
              <w:t>时分；</w:t>
            </w:r>
          </w:p>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地点：</w:t>
            </w:r>
            <w:r>
              <w:rPr>
                <w:rFonts w:hint="eastAsia" w:ascii="宋体" w:hAnsi="宋体" w:eastAsia="宋体" w:cs="宋体"/>
                <w:color w:val="auto"/>
                <w:szCs w:val="21"/>
                <w:highlight w:val="none"/>
                <w:u w:val="single"/>
                <w:shd w:val="clear" w:color="auto" w:fill="auto"/>
              </w:rPr>
              <w:t>广州公共资源交易中心黄埔区交易部（广州黄埔区水西路32号四楼（汇丽国际D栋写字楼四楼））指定开标室；</w:t>
            </w:r>
          </w:p>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szCs w:val="21"/>
                <w:highlight w:val="none"/>
                <w:u w:val="single"/>
                <w:shd w:val="clear" w:color="auto" w:fill="auto"/>
              </w:rPr>
              <w:t>本项目日程安排及地点信息可在广州公共资源交易中心网站进行查询。</w:t>
            </w:r>
          </w:p>
        </w:tc>
      </w:tr>
      <w:tr>
        <w:tblPrEx>
          <w:tblCellMar>
            <w:top w:w="0" w:type="dxa"/>
            <w:left w:w="108" w:type="dxa"/>
            <w:bottom w:w="0" w:type="dxa"/>
            <w:right w:w="108" w:type="dxa"/>
          </w:tblCellMar>
        </w:tblPrEx>
        <w:trPr>
          <w:trHeight w:val="60"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6.1.1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评标委员会的组建</w:t>
            </w:r>
          </w:p>
        </w:tc>
        <w:tc>
          <w:tcPr>
            <w:tcW w:w="3497"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评标委员会分为设计评审组、施工评审组</w:t>
            </w:r>
            <w:r>
              <w:rPr>
                <w:rFonts w:hint="eastAsia" w:ascii="宋体" w:hAnsi="宋体" w:eastAsia="宋体" w:cs="宋体"/>
                <w:color w:val="auto"/>
                <w:szCs w:val="21"/>
                <w:highlight w:val="none"/>
                <w:u w:val="single"/>
                <w:shd w:val="clear" w:color="auto" w:fill="auto"/>
              </w:rPr>
              <w:t>（资格审查由施工评审组负责）</w:t>
            </w:r>
            <w:r>
              <w:rPr>
                <w:rFonts w:hint="eastAsia" w:ascii="宋体" w:hAnsi="宋体" w:eastAsia="宋体" w:cs="宋体"/>
                <w:color w:val="auto"/>
                <w:kern w:val="0"/>
                <w:szCs w:val="21"/>
                <w:highlight w:val="none"/>
                <w:shd w:val="clear" w:color="auto" w:fill="auto"/>
              </w:rPr>
              <w:t>，由招标人</w:t>
            </w:r>
            <w:r>
              <w:rPr>
                <w:rFonts w:hint="eastAsia" w:ascii="宋体" w:hAnsi="宋体" w:eastAsia="宋体" w:cs="宋体"/>
                <w:color w:val="auto"/>
                <w:szCs w:val="21"/>
                <w:highlight w:val="none"/>
                <w:u w:val="single"/>
                <w:shd w:val="clear" w:color="auto" w:fill="auto"/>
              </w:rPr>
              <w:t>在开标前</w:t>
            </w:r>
            <w:r>
              <w:rPr>
                <w:rFonts w:hint="eastAsia" w:ascii="宋体" w:hAnsi="宋体" w:eastAsia="宋体" w:cs="宋体"/>
                <w:color w:val="auto"/>
                <w:kern w:val="0"/>
                <w:szCs w:val="21"/>
                <w:highlight w:val="none"/>
                <w:shd w:val="clear" w:color="auto" w:fill="auto"/>
              </w:rPr>
              <w:t>依法组建。</w:t>
            </w:r>
          </w:p>
        </w:tc>
      </w:tr>
      <w:tr>
        <w:tblPrEx>
          <w:tblCellMar>
            <w:top w:w="0" w:type="dxa"/>
            <w:left w:w="108" w:type="dxa"/>
            <w:bottom w:w="0" w:type="dxa"/>
            <w:right w:w="108" w:type="dxa"/>
          </w:tblCellMar>
        </w:tblPrEx>
        <w:trPr>
          <w:trHeight w:val="60"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7.1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是否授权评标委员会确定中标人</w:t>
            </w:r>
          </w:p>
        </w:tc>
        <w:tc>
          <w:tcPr>
            <w:tcW w:w="3497"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□是</w:t>
            </w:r>
          </w:p>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■否，推荐的中标候选人数：</w:t>
            </w:r>
            <w:r>
              <w:rPr>
                <w:rFonts w:hint="eastAsia" w:ascii="宋体" w:hAnsi="宋体" w:eastAsia="宋体" w:cs="宋体"/>
                <w:color w:val="auto"/>
                <w:kern w:val="0"/>
                <w:szCs w:val="21"/>
                <w:highlight w:val="none"/>
                <w:u w:val="single"/>
                <w:shd w:val="clear" w:color="auto" w:fill="auto"/>
              </w:rPr>
              <w:t>3人</w:t>
            </w:r>
          </w:p>
        </w:tc>
      </w:tr>
      <w:tr>
        <w:tblPrEx>
          <w:tblCellMar>
            <w:top w:w="0" w:type="dxa"/>
            <w:left w:w="108" w:type="dxa"/>
            <w:bottom w:w="0" w:type="dxa"/>
            <w:right w:w="108" w:type="dxa"/>
          </w:tblCellMar>
        </w:tblPrEx>
        <w:trPr>
          <w:trHeight w:val="549" w:hRule="atLeast"/>
        </w:trPr>
        <w:tc>
          <w:tcPr>
            <w:tcW w:w="403" w:type="pc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7.2</w:t>
            </w:r>
          </w:p>
        </w:tc>
        <w:tc>
          <w:tcPr>
            <w:tcW w:w="1099" w:type="pc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中标候选人公示媒介</w:t>
            </w:r>
          </w:p>
        </w:tc>
        <w:tc>
          <w:tcPr>
            <w:tcW w:w="3497" w:type="pct"/>
            <w:tcBorders>
              <w:top w:val="single" w:color="auto" w:sz="4" w:space="0"/>
              <w:left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广州公共资源交易中心网站、中国招标投标公共服务平台、广东省招标投标监管网。</w:t>
            </w:r>
          </w:p>
        </w:tc>
      </w:tr>
      <w:tr>
        <w:tblPrEx>
          <w:tblCellMar>
            <w:top w:w="0" w:type="dxa"/>
            <w:left w:w="108" w:type="dxa"/>
            <w:bottom w:w="0" w:type="dxa"/>
            <w:right w:w="108" w:type="dxa"/>
          </w:tblCellMar>
        </w:tblPrEx>
        <w:trPr>
          <w:trHeight w:val="211"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7.4.1</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履约担保</w:t>
            </w:r>
          </w:p>
        </w:tc>
        <w:tc>
          <w:tcPr>
            <w:tcW w:w="3497"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履约担保的形式：</w:t>
            </w:r>
            <w:r>
              <w:rPr>
                <w:rFonts w:hint="eastAsia" w:ascii="宋体" w:hAnsi="宋体" w:eastAsia="宋体" w:cs="宋体"/>
                <w:color w:val="auto"/>
                <w:szCs w:val="21"/>
                <w:highlight w:val="none"/>
                <w:shd w:val="clear" w:color="auto" w:fill="auto"/>
              </w:rPr>
              <w:t>银行保函</w:t>
            </w:r>
          </w:p>
          <w:p>
            <w:pPr>
              <w:widowControl/>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kern w:val="0"/>
                <w:szCs w:val="21"/>
                <w:highlight w:val="none"/>
                <w:shd w:val="clear" w:color="auto" w:fill="auto"/>
              </w:rPr>
              <w:t>履约担保的金额：</w:t>
            </w:r>
            <w:r>
              <w:rPr>
                <w:rFonts w:hint="eastAsia" w:ascii="宋体" w:hAnsi="宋体" w:eastAsia="宋体" w:cs="宋体"/>
                <w:color w:val="auto"/>
                <w:szCs w:val="21"/>
                <w:highlight w:val="none"/>
                <w:u w:val="single"/>
                <w:shd w:val="clear" w:color="auto" w:fill="auto"/>
              </w:rPr>
              <w:t>中标人提供的履约担保为中标价款的10% 。</w:t>
            </w:r>
          </w:p>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szCs w:val="21"/>
                <w:highlight w:val="none"/>
                <w:u w:val="single"/>
                <w:shd w:val="clear" w:color="auto" w:fill="auto"/>
              </w:rPr>
              <w:t>履约担保和预付款担保均指施工部分，勘察和设计无需担保。</w:t>
            </w:r>
          </w:p>
        </w:tc>
      </w:tr>
      <w:tr>
        <w:tblPrEx>
          <w:tblCellMar>
            <w:top w:w="0" w:type="dxa"/>
            <w:left w:w="108" w:type="dxa"/>
            <w:bottom w:w="0" w:type="dxa"/>
            <w:right w:w="108" w:type="dxa"/>
          </w:tblCellMar>
        </w:tblPrEx>
        <w:trPr>
          <w:trHeight w:val="364"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9</w:t>
            </w:r>
          </w:p>
        </w:tc>
        <w:tc>
          <w:tcPr>
            <w:tcW w:w="4596"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需要补充的其他内容</w:t>
            </w:r>
          </w:p>
        </w:tc>
      </w:tr>
      <w:tr>
        <w:tblPrEx>
          <w:tblCellMar>
            <w:top w:w="0" w:type="dxa"/>
            <w:left w:w="108" w:type="dxa"/>
            <w:bottom w:w="0" w:type="dxa"/>
            <w:right w:w="108" w:type="dxa"/>
          </w:tblCellMar>
        </w:tblPrEx>
        <w:trPr>
          <w:trHeight w:val="90" w:hRule="atLeast"/>
        </w:trPr>
        <w:tc>
          <w:tcPr>
            <w:tcW w:w="4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9.1</w:t>
            </w:r>
          </w:p>
        </w:tc>
        <w:tc>
          <w:tcPr>
            <w:tcW w:w="4596" w:type="pct"/>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lang w:val="zh-CN"/>
              </w:rPr>
            </w:pPr>
            <w:r>
              <w:rPr>
                <w:rFonts w:hint="eastAsia" w:ascii="宋体" w:hAnsi="宋体" w:eastAsia="宋体" w:cs="宋体"/>
                <w:color w:val="auto"/>
                <w:kern w:val="0"/>
                <w:szCs w:val="21"/>
                <w:highlight w:val="none"/>
                <w:shd w:val="clear" w:color="auto" w:fill="auto"/>
                <w:lang w:val="zh-CN"/>
              </w:rPr>
              <w:t>在招标和合同实施期间，业主要求投标人和承包人遵守最高的道德标准。</w:t>
            </w:r>
          </w:p>
          <w:p>
            <w:pPr>
              <w:widowControl/>
              <w:rPr>
                <w:rFonts w:hint="eastAsia" w:ascii="宋体" w:hAnsi="宋体" w:eastAsia="宋体" w:cs="宋体"/>
                <w:color w:val="auto"/>
                <w:kern w:val="0"/>
                <w:szCs w:val="21"/>
                <w:highlight w:val="none"/>
                <w:shd w:val="clear" w:color="auto" w:fill="auto"/>
                <w:lang w:val="zh-CN"/>
              </w:rPr>
            </w:pPr>
            <w:r>
              <w:rPr>
                <w:rFonts w:hint="eastAsia" w:ascii="宋体" w:hAnsi="宋体" w:eastAsia="宋体" w:cs="宋体"/>
                <w:color w:val="auto"/>
                <w:kern w:val="0"/>
                <w:szCs w:val="21"/>
                <w:highlight w:val="none"/>
                <w:shd w:val="clear" w:color="auto" w:fill="auto"/>
                <w:lang w:val="zh-CN"/>
              </w:rPr>
              <w:t>1、对本条款的规定，特定义如下词汇：</w:t>
            </w:r>
          </w:p>
          <w:p>
            <w:pPr>
              <w:widowControl/>
              <w:rPr>
                <w:rFonts w:hint="eastAsia" w:ascii="宋体" w:hAnsi="宋体" w:eastAsia="宋体" w:cs="宋体"/>
                <w:color w:val="auto"/>
                <w:kern w:val="0"/>
                <w:szCs w:val="21"/>
                <w:highlight w:val="none"/>
                <w:shd w:val="clear" w:color="auto" w:fill="auto"/>
                <w:lang w:val="zh-CN"/>
              </w:rPr>
            </w:pPr>
            <w:r>
              <w:rPr>
                <w:rFonts w:hint="eastAsia" w:ascii="宋体" w:hAnsi="宋体" w:eastAsia="宋体" w:cs="宋体"/>
                <w:color w:val="auto"/>
                <w:kern w:val="0"/>
                <w:szCs w:val="21"/>
                <w:highlight w:val="none"/>
                <w:shd w:val="clear" w:color="auto" w:fill="auto"/>
                <w:lang w:val="zh-CN"/>
              </w:rPr>
              <w:t>1）、“腐败行为”是指在招标或合同执行期间，通过提供、给予、接受或索要任何有价值的东西，从而影响招标人有关人员工作的行为；</w:t>
            </w:r>
          </w:p>
          <w:p>
            <w:pPr>
              <w:widowControl/>
              <w:rPr>
                <w:rFonts w:hint="eastAsia" w:ascii="宋体" w:hAnsi="宋体" w:eastAsia="宋体" w:cs="宋体"/>
                <w:color w:val="auto"/>
                <w:kern w:val="0"/>
                <w:szCs w:val="21"/>
                <w:highlight w:val="none"/>
                <w:shd w:val="clear" w:color="auto" w:fill="auto"/>
                <w:lang w:val="zh-CN"/>
              </w:rPr>
            </w:pPr>
            <w:r>
              <w:rPr>
                <w:rFonts w:hint="eastAsia" w:ascii="宋体" w:hAnsi="宋体" w:eastAsia="宋体" w:cs="宋体"/>
                <w:color w:val="auto"/>
                <w:kern w:val="0"/>
                <w:szCs w:val="21"/>
                <w:highlight w:val="none"/>
                <w:shd w:val="clear" w:color="auto" w:fill="auto"/>
                <w:lang w:val="zh-CN"/>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pPr>
              <w:widowControl/>
              <w:rPr>
                <w:rFonts w:hint="eastAsia" w:ascii="宋体" w:hAnsi="宋体" w:eastAsia="宋体" w:cs="宋体"/>
                <w:b/>
                <w:bCs/>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lang w:val="zh-CN"/>
              </w:rPr>
              <w:t>2、如果投标人被认定在本招标的竞争中有腐败或欺诈行为，则会被取消投标资格。</w:t>
            </w:r>
          </w:p>
        </w:tc>
      </w:tr>
      <w:tr>
        <w:tblPrEx>
          <w:tblCellMar>
            <w:top w:w="0" w:type="dxa"/>
            <w:left w:w="108" w:type="dxa"/>
            <w:bottom w:w="0" w:type="dxa"/>
            <w:right w:w="108" w:type="dxa"/>
          </w:tblCellMar>
        </w:tblPrEx>
        <w:trPr>
          <w:trHeight w:val="605" w:hRule="atLeast"/>
        </w:trPr>
        <w:tc>
          <w:tcPr>
            <w:tcW w:w="4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9.2</w:t>
            </w:r>
          </w:p>
        </w:tc>
        <w:tc>
          <w:tcPr>
            <w:tcW w:w="4596" w:type="pct"/>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项目管理目标：</w:t>
            </w:r>
          </w:p>
          <w:p>
            <w:pPr>
              <w:spacing w:line="276"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职业健康安全管理目标：杜绝死亡事故、杜绝火灾事故、杜绝重大机械事故。改善劳动条件，预防职业病，工地防尘、防毒、防噪音、通风、照明、取暖、降温、防幅射及防物理因素危害等，均符合国家和地方政府主管理部门颁布的相关规定。</w:t>
            </w:r>
          </w:p>
          <w:p>
            <w:pPr>
              <w:spacing w:line="276"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环境管理目标：不发生重大环境污染。</w:t>
            </w:r>
          </w:p>
          <w:p>
            <w:pPr>
              <w:spacing w:line="276"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2.质量目标：按招标文件质量标准要求，具体按合同约定；</w:t>
            </w:r>
          </w:p>
          <w:p>
            <w:pPr>
              <w:spacing w:line="276"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3.费用目标：确保项目总投资不超过工程概算、预算，具体按合同约定；</w:t>
            </w:r>
          </w:p>
          <w:p>
            <w:pPr>
              <w:widowControl/>
              <w:rPr>
                <w:rFonts w:hint="eastAsia" w:ascii="宋体" w:hAnsi="宋体" w:eastAsia="宋体" w:cs="宋体"/>
                <w:color w:val="auto"/>
                <w:kern w:val="0"/>
                <w:szCs w:val="21"/>
                <w:highlight w:val="none"/>
                <w:shd w:val="clear" w:color="auto" w:fill="auto"/>
                <w:lang w:val="zh-CN"/>
              </w:rPr>
            </w:pPr>
            <w:r>
              <w:rPr>
                <w:rFonts w:hint="eastAsia" w:ascii="宋体" w:hAnsi="宋体" w:eastAsia="宋体" w:cs="宋体"/>
                <w:color w:val="auto"/>
                <w:szCs w:val="21"/>
                <w:highlight w:val="none"/>
                <w:shd w:val="clear" w:color="auto" w:fill="auto"/>
              </w:rPr>
              <w:t>4.进度目标：确保项目建设进度满足招标文件工期要求，具体按合同约定。</w:t>
            </w:r>
          </w:p>
        </w:tc>
      </w:tr>
      <w:tr>
        <w:tblPrEx>
          <w:tblCellMar>
            <w:top w:w="0" w:type="dxa"/>
            <w:left w:w="108" w:type="dxa"/>
            <w:bottom w:w="0" w:type="dxa"/>
            <w:right w:w="108" w:type="dxa"/>
          </w:tblCellMar>
        </w:tblPrEx>
        <w:trPr>
          <w:trHeight w:val="90" w:hRule="atLeast"/>
        </w:trPr>
        <w:tc>
          <w:tcPr>
            <w:tcW w:w="4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9.3</w:t>
            </w:r>
          </w:p>
        </w:tc>
        <w:tc>
          <w:tcPr>
            <w:tcW w:w="4596" w:type="pct"/>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建设工程质量检测管理办法：</w:t>
            </w:r>
          </w:p>
          <w:p>
            <w:pPr>
              <w:spacing w:line="276"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根据《建设工程质量检测管理办法》（2005年建设部令第141号）第十二条规定，建设工程质量、安全检测业务应由建设单位依法委托，不列入本次招标范围。招标文件中与此条不一致的，以此条为准。</w:t>
            </w:r>
          </w:p>
          <w:p>
            <w:pPr>
              <w:widowControl/>
              <w:rPr>
                <w:rFonts w:hint="eastAsia" w:ascii="宋体" w:hAnsi="宋体" w:eastAsia="宋体" w:cs="宋体"/>
                <w:color w:val="auto"/>
                <w:kern w:val="0"/>
                <w:szCs w:val="21"/>
                <w:highlight w:val="none"/>
                <w:shd w:val="clear" w:color="auto" w:fill="auto"/>
                <w:lang w:val="zh-CN"/>
              </w:rPr>
            </w:pPr>
            <w:r>
              <w:rPr>
                <w:rFonts w:hint="eastAsia" w:ascii="宋体" w:hAnsi="宋体" w:eastAsia="宋体" w:cs="宋体"/>
                <w:color w:val="auto"/>
                <w:szCs w:val="21"/>
                <w:highlight w:val="none"/>
                <w:shd w:val="clear" w:color="auto" w:fill="auto"/>
              </w:rPr>
              <w:t>建设单位和中标人均不得委托近两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9.4</w:t>
            </w:r>
          </w:p>
        </w:tc>
        <w:tc>
          <w:tcPr>
            <w:tcW w:w="4596" w:type="pct"/>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施工保修期限：按照《建设工程质量管理条例》规定。</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9.5</w:t>
            </w:r>
          </w:p>
        </w:tc>
        <w:tc>
          <w:tcPr>
            <w:tcW w:w="4596" w:type="pct"/>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承包方式：包勘察、包设计、包工、包料、包设备、包工期、包质量、包造价控制、包安全、包文明施工、包项目协调管理、包验收移交、包竣工资料收集整理、包保修、综合单价包干。</w:t>
            </w:r>
          </w:p>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中标价作为签订设计施工总承包合同的暂定价，中标单位送审施工图预算不得高于施工（即建安工程费，下同）投标最高限价。</w:t>
            </w:r>
          </w:p>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结算方式具体按合同条款规定。</w:t>
            </w:r>
          </w:p>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应实行限额设计施工，初步设计的建设内容和建设标准不得超过可行性研究报告批复的范围，编制工程概算不得超过经批准的可行性研究报告总投资。固定资产投资应当坚持估算控制概算，概算控制决算的原则。工程变更需经过建设单位审定后方可实施。</w:t>
            </w:r>
          </w:p>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工程实施阶段造价控制的措施：</w:t>
            </w:r>
          </w:p>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严格实行限额设计。要求中标单位按照批准的可行性研究报告的投资估算控制初步设计,以施工图为基础编制工程预算,同时各专业在保证达到使用功能的前提下,按分配的投资限额控制设计,确保不超最高投标限价。严格执行概算、预算、结算、决算的基建审批程序，合理确定和有效控制建设成本。</w:t>
            </w:r>
          </w:p>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2.严格控制设计变更及现场签证。要求中标单位充分发挥设计施工总承包的优势，于设计前期工作阶段尽可能优化设计方案，减少施工过程中的设计变更及现场签证的发生。</w:t>
            </w:r>
          </w:p>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按合同约定，中标单位施工方根据施工图编制工程预算，与中标单位设计方编制的工程概算建安费进行对比、查漏补缺，双方确认并经建设单位审批后工程概算、施工图预算同时送财政评审。经园区财政部门评审审定的施工图预算作为合同暂定价调整的依据。调整原则为：（1）建安工程费中标下浮率=（1-建安工程费中标价格÷建安工程费最高投标限价）×100%；（2）分部分项工程的综合单价=园区财政部门评审审定的施工图预算分部分项工程综合单价×（1-中标下浮率）</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结算时综合单价包干、工程量按实计算；（3）措施项目费除不可竞争费用“绿色施工安全防护措施费”外，其他均执行中标下浮率。以园区财政部门评审审定的施工图预算中对应部分的措施项目费为基础进行调整；（4）其他项目费以园区财政部门评审审定的施工图预算中的相应项目费率执行；（5）税金按国家规定费率计算。</w:t>
            </w:r>
          </w:p>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4．工程预付款、工程进度款的支付方式：</w:t>
            </w:r>
          </w:p>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（1）工程预付款：本工程</w:t>
            </w:r>
            <w:r>
              <w:rPr>
                <w:rFonts w:hint="eastAsia" w:ascii="宋体" w:hAnsi="宋体" w:eastAsia="宋体" w:cs="宋体"/>
                <w:color w:val="auto"/>
                <w:szCs w:val="21"/>
                <w:highlight w:val="none"/>
                <w:shd w:val="clear" w:color="auto" w:fill="auto"/>
                <w:lang w:val="en-US" w:eastAsia="zh-CN"/>
              </w:rPr>
              <w:t>设置</w:t>
            </w:r>
            <w:r>
              <w:rPr>
                <w:rFonts w:hint="eastAsia" w:ascii="宋体" w:hAnsi="宋体" w:eastAsia="宋体" w:cs="宋体"/>
                <w:color w:val="auto"/>
                <w:szCs w:val="21"/>
                <w:highlight w:val="none"/>
                <w:shd w:val="clear" w:color="auto" w:fill="auto"/>
              </w:rPr>
              <w:t>预付款</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val="en-US" w:eastAsia="zh-CN"/>
              </w:rPr>
              <w:t>施工费中标价的10%</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w:t>
            </w:r>
          </w:p>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（2）工程进度款：发包方根据不同阶段的审核意见支付不同比例的工程进度款，具体如下：</w:t>
            </w:r>
          </w:p>
          <w:p>
            <w:pPr>
              <w:widowControl/>
              <w:snapToGrid/>
              <w:spacing w:line="240" w:lineRule="auto"/>
              <w:ind w:firstLine="0" w:firstLineChars="0"/>
              <w:rPr>
                <w:rFonts w:hint="eastAsia" w:ascii="宋体" w:hAnsi="宋体" w:eastAsia="宋体" w:cs="宋体"/>
                <w:bCs w:val="0"/>
                <w:snapToGrid/>
                <w:color w:val="auto"/>
                <w:sz w:val="21"/>
                <w:szCs w:val="21"/>
                <w:highlight w:val="none"/>
                <w:u w:val="none"/>
                <w:shd w:val="clear" w:color="auto" w:fill="auto"/>
              </w:rPr>
            </w:pPr>
            <w:r>
              <w:rPr>
                <w:rFonts w:hint="eastAsia" w:ascii="宋体" w:hAnsi="宋体" w:eastAsia="宋体" w:cs="宋体"/>
                <w:bCs w:val="0"/>
                <w:snapToGrid/>
                <w:color w:val="auto"/>
                <w:sz w:val="21"/>
                <w:szCs w:val="21"/>
                <w:highlight w:val="none"/>
                <w:u w:val="none"/>
                <w:shd w:val="clear" w:color="auto" w:fill="auto"/>
              </w:rPr>
              <w:t>①在施工图预算未审定期间，发包人按审定月度完成工程量的</w:t>
            </w:r>
            <w:r>
              <w:rPr>
                <w:rFonts w:hint="eastAsia" w:ascii="宋体" w:hAnsi="宋体" w:eastAsia="宋体" w:cs="宋体"/>
                <w:bCs w:val="0"/>
                <w:snapToGrid/>
                <w:color w:val="auto"/>
                <w:sz w:val="21"/>
                <w:szCs w:val="21"/>
                <w:highlight w:val="none"/>
                <w:u w:val="none"/>
                <w:shd w:val="clear" w:color="auto" w:fill="auto"/>
                <w:lang w:val="en-US" w:eastAsia="zh-CN"/>
              </w:rPr>
              <w:t>65</w:t>
            </w:r>
            <w:r>
              <w:rPr>
                <w:rFonts w:hint="eastAsia" w:ascii="宋体" w:hAnsi="宋体" w:eastAsia="宋体" w:cs="宋体"/>
                <w:bCs w:val="0"/>
                <w:snapToGrid/>
                <w:color w:val="auto"/>
                <w:sz w:val="21"/>
                <w:szCs w:val="21"/>
                <w:highlight w:val="none"/>
                <w:u w:val="none"/>
                <w:shd w:val="clear" w:color="auto" w:fill="auto"/>
              </w:rPr>
              <w:t>%并扣除应扣回的</w:t>
            </w:r>
            <w:r>
              <w:rPr>
                <w:rFonts w:hint="eastAsia" w:ascii="宋体" w:hAnsi="宋体" w:eastAsia="宋体" w:cs="宋体"/>
                <w:bCs w:val="0"/>
                <w:snapToGrid/>
                <w:color w:val="auto"/>
                <w:sz w:val="21"/>
                <w:szCs w:val="21"/>
                <w:highlight w:val="none"/>
                <w:u w:val="none"/>
                <w:shd w:val="clear" w:color="auto" w:fill="auto"/>
                <w:lang w:val="en-US" w:eastAsia="zh-CN"/>
              </w:rPr>
              <w:t>预付款</w:t>
            </w:r>
            <w:r>
              <w:rPr>
                <w:rFonts w:hint="eastAsia" w:ascii="宋体" w:hAnsi="宋体" w:eastAsia="宋体" w:cs="宋体"/>
                <w:bCs w:val="0"/>
                <w:snapToGrid/>
                <w:color w:val="auto"/>
                <w:sz w:val="21"/>
                <w:szCs w:val="21"/>
                <w:highlight w:val="none"/>
                <w:u w:val="none"/>
                <w:shd w:val="clear" w:color="auto" w:fill="auto"/>
              </w:rPr>
              <w:t>（</w:t>
            </w:r>
            <w:r>
              <w:rPr>
                <w:rFonts w:hint="eastAsia" w:ascii="宋体" w:hAnsi="宋体" w:eastAsia="宋体" w:cs="宋体"/>
                <w:bCs w:val="0"/>
                <w:snapToGrid/>
                <w:color w:val="auto"/>
                <w:sz w:val="21"/>
                <w:szCs w:val="21"/>
                <w:highlight w:val="none"/>
                <w:u w:val="none"/>
                <w:shd w:val="clear" w:color="auto" w:fill="auto"/>
                <w:lang w:val="en-US" w:eastAsia="zh-CN"/>
              </w:rPr>
              <w:t>每期</w:t>
            </w:r>
            <w:r>
              <w:rPr>
                <w:rFonts w:hint="eastAsia" w:ascii="宋体" w:hAnsi="宋体" w:eastAsia="宋体" w:cs="宋体"/>
                <w:bCs w:val="0"/>
                <w:snapToGrid/>
                <w:color w:val="auto"/>
                <w:sz w:val="21"/>
                <w:szCs w:val="21"/>
                <w:highlight w:val="none"/>
                <w:u w:val="none"/>
                <w:shd w:val="clear" w:color="auto" w:fill="auto"/>
              </w:rPr>
              <w:t>按审定月度完成工程量的</w:t>
            </w:r>
            <w:r>
              <w:rPr>
                <w:rFonts w:hint="eastAsia" w:ascii="宋体" w:hAnsi="宋体" w:eastAsia="宋体" w:cs="宋体"/>
                <w:bCs w:val="0"/>
                <w:snapToGrid/>
                <w:color w:val="auto"/>
                <w:sz w:val="21"/>
                <w:szCs w:val="21"/>
                <w:highlight w:val="none"/>
                <w:u w:val="none"/>
                <w:shd w:val="clear" w:color="auto" w:fill="auto"/>
                <w:lang w:val="en-US" w:eastAsia="zh-CN"/>
              </w:rPr>
              <w:t>65</w:t>
            </w:r>
            <w:r>
              <w:rPr>
                <w:rFonts w:hint="eastAsia" w:ascii="宋体" w:hAnsi="宋体" w:eastAsia="宋体" w:cs="宋体"/>
                <w:bCs w:val="0"/>
                <w:snapToGrid/>
                <w:color w:val="auto"/>
                <w:sz w:val="21"/>
                <w:szCs w:val="21"/>
                <w:highlight w:val="none"/>
                <w:u w:val="none"/>
                <w:shd w:val="clear" w:color="auto" w:fill="auto"/>
              </w:rPr>
              <w:t>%中之50%</w:t>
            </w:r>
            <w:r>
              <w:rPr>
                <w:rFonts w:hint="eastAsia" w:ascii="宋体" w:hAnsi="宋体" w:eastAsia="宋体" w:cs="宋体"/>
                <w:bCs w:val="0"/>
                <w:snapToGrid/>
                <w:color w:val="auto"/>
                <w:sz w:val="21"/>
                <w:szCs w:val="21"/>
                <w:highlight w:val="none"/>
                <w:u w:val="none"/>
                <w:shd w:val="clear" w:color="auto" w:fill="auto"/>
                <w:lang w:val="en-US" w:eastAsia="zh-CN"/>
              </w:rPr>
              <w:t>扣回预付款</w:t>
            </w:r>
            <w:r>
              <w:rPr>
                <w:rFonts w:hint="eastAsia" w:ascii="宋体" w:hAnsi="宋体" w:eastAsia="宋体" w:cs="宋体"/>
                <w:bCs w:val="0"/>
                <w:snapToGrid/>
                <w:color w:val="auto"/>
                <w:sz w:val="21"/>
                <w:szCs w:val="21"/>
                <w:highlight w:val="none"/>
                <w:u w:val="none"/>
                <w:shd w:val="clear" w:color="auto" w:fill="auto"/>
                <w:lang w:eastAsia="zh-CN"/>
              </w:rPr>
              <w:t>，</w:t>
            </w:r>
            <w:r>
              <w:rPr>
                <w:rFonts w:hint="eastAsia" w:ascii="宋体" w:hAnsi="宋体" w:eastAsia="宋体" w:cs="宋体"/>
                <w:bCs w:val="0"/>
                <w:snapToGrid/>
                <w:color w:val="auto"/>
                <w:sz w:val="21"/>
                <w:szCs w:val="21"/>
                <w:highlight w:val="none"/>
                <w:u w:val="none"/>
                <w:shd w:val="clear" w:color="auto" w:fill="auto"/>
                <w:lang w:val="en-US" w:eastAsia="zh-CN"/>
              </w:rPr>
              <w:t>直至全部扣回为止</w:t>
            </w:r>
            <w:r>
              <w:rPr>
                <w:rFonts w:hint="eastAsia" w:ascii="宋体" w:hAnsi="宋体" w:eastAsia="宋体" w:cs="宋体"/>
                <w:bCs w:val="0"/>
                <w:snapToGrid/>
                <w:color w:val="auto"/>
                <w:sz w:val="21"/>
                <w:szCs w:val="21"/>
                <w:highlight w:val="none"/>
                <w:u w:val="none"/>
                <w:shd w:val="clear" w:color="auto" w:fill="auto"/>
              </w:rPr>
              <w:t>）后支付工程进度款。；</w:t>
            </w:r>
          </w:p>
          <w:p>
            <w:pPr>
              <w:widowControl/>
              <w:snapToGrid/>
              <w:spacing w:line="240" w:lineRule="auto"/>
              <w:ind w:firstLine="0" w:firstLineChars="0"/>
              <w:rPr>
                <w:rFonts w:hint="eastAsia" w:ascii="宋体" w:hAnsi="宋体" w:eastAsia="宋体" w:cs="宋体"/>
                <w:bCs w:val="0"/>
                <w:snapToGrid/>
                <w:color w:val="auto"/>
                <w:sz w:val="21"/>
                <w:szCs w:val="21"/>
                <w:highlight w:val="none"/>
                <w:u w:val="none"/>
                <w:shd w:val="clear" w:color="auto" w:fill="auto"/>
              </w:rPr>
            </w:pPr>
            <w:r>
              <w:rPr>
                <w:rFonts w:hint="eastAsia" w:ascii="宋体" w:hAnsi="宋体" w:eastAsia="宋体" w:cs="宋体"/>
                <w:bCs w:val="0"/>
                <w:snapToGrid/>
                <w:color w:val="auto"/>
                <w:sz w:val="21"/>
                <w:szCs w:val="21"/>
                <w:highlight w:val="none"/>
                <w:u w:val="none"/>
                <w:shd w:val="clear" w:color="auto" w:fill="auto"/>
              </w:rPr>
              <w:t>②园区财政部门评审审定工程预算之后，根据审定施工图预算对合同暂定价及工程量清单综合单价进行调整，按调整后的工程量清单综合单价及现场监理审核并经发包方确认的工程量进行计价，发包人按审定月度完成工程量的</w:t>
            </w:r>
            <w:r>
              <w:rPr>
                <w:rFonts w:hint="eastAsia" w:ascii="宋体" w:hAnsi="宋体" w:eastAsia="宋体" w:cs="宋体"/>
                <w:bCs w:val="0"/>
                <w:snapToGrid/>
                <w:color w:val="auto"/>
                <w:sz w:val="21"/>
                <w:szCs w:val="21"/>
                <w:highlight w:val="none"/>
                <w:u w:val="none"/>
                <w:shd w:val="clear" w:color="auto" w:fill="auto"/>
                <w:lang w:val="en-US" w:eastAsia="zh-CN"/>
              </w:rPr>
              <w:t>8</w:t>
            </w:r>
            <w:r>
              <w:rPr>
                <w:rFonts w:hint="eastAsia" w:ascii="宋体" w:hAnsi="宋体" w:eastAsia="宋体" w:cs="宋体"/>
                <w:bCs w:val="0"/>
                <w:snapToGrid/>
                <w:color w:val="auto"/>
                <w:sz w:val="21"/>
                <w:szCs w:val="21"/>
                <w:highlight w:val="none"/>
                <w:u w:val="none"/>
                <w:shd w:val="clear" w:color="auto" w:fill="auto"/>
              </w:rPr>
              <w:t>5%并扣除应扣回的</w:t>
            </w:r>
            <w:r>
              <w:rPr>
                <w:rFonts w:hint="eastAsia" w:ascii="宋体" w:hAnsi="宋体" w:eastAsia="宋体" w:cs="宋体"/>
                <w:bCs w:val="0"/>
                <w:snapToGrid/>
                <w:color w:val="auto"/>
                <w:sz w:val="21"/>
                <w:szCs w:val="21"/>
                <w:highlight w:val="none"/>
                <w:u w:val="none"/>
                <w:shd w:val="clear" w:color="auto" w:fill="auto"/>
                <w:lang w:val="en-US" w:eastAsia="zh-CN"/>
              </w:rPr>
              <w:t>预付款</w:t>
            </w:r>
            <w:r>
              <w:rPr>
                <w:rFonts w:hint="eastAsia" w:ascii="宋体" w:hAnsi="宋体" w:eastAsia="宋体" w:cs="宋体"/>
                <w:bCs w:val="0"/>
                <w:snapToGrid/>
                <w:color w:val="auto"/>
                <w:sz w:val="21"/>
                <w:szCs w:val="21"/>
                <w:highlight w:val="none"/>
                <w:u w:val="none"/>
                <w:shd w:val="clear" w:color="auto" w:fill="auto"/>
              </w:rPr>
              <w:t>（</w:t>
            </w:r>
            <w:r>
              <w:rPr>
                <w:rFonts w:hint="eastAsia" w:ascii="宋体" w:hAnsi="宋体" w:eastAsia="宋体" w:cs="宋体"/>
                <w:bCs w:val="0"/>
                <w:snapToGrid/>
                <w:color w:val="auto"/>
                <w:sz w:val="21"/>
                <w:szCs w:val="21"/>
                <w:highlight w:val="none"/>
                <w:u w:val="none"/>
                <w:shd w:val="clear" w:color="auto" w:fill="auto"/>
                <w:lang w:val="en-US" w:eastAsia="zh-CN"/>
              </w:rPr>
              <w:t>每期</w:t>
            </w:r>
            <w:r>
              <w:rPr>
                <w:rFonts w:hint="eastAsia" w:ascii="宋体" w:hAnsi="宋体" w:eastAsia="宋体" w:cs="宋体"/>
                <w:bCs w:val="0"/>
                <w:snapToGrid/>
                <w:color w:val="auto"/>
                <w:sz w:val="21"/>
                <w:szCs w:val="21"/>
                <w:highlight w:val="none"/>
                <w:u w:val="none"/>
                <w:shd w:val="clear" w:color="auto" w:fill="auto"/>
              </w:rPr>
              <w:t>按审定月度完成工程量的</w:t>
            </w:r>
            <w:r>
              <w:rPr>
                <w:rFonts w:hint="eastAsia" w:ascii="宋体" w:hAnsi="宋体" w:eastAsia="宋体" w:cs="宋体"/>
                <w:bCs w:val="0"/>
                <w:snapToGrid/>
                <w:color w:val="auto"/>
                <w:sz w:val="21"/>
                <w:szCs w:val="21"/>
                <w:highlight w:val="none"/>
                <w:u w:val="none"/>
                <w:shd w:val="clear" w:color="auto" w:fill="auto"/>
                <w:lang w:val="en-US" w:eastAsia="zh-CN"/>
              </w:rPr>
              <w:t>8</w:t>
            </w:r>
            <w:r>
              <w:rPr>
                <w:rFonts w:hint="eastAsia" w:ascii="宋体" w:hAnsi="宋体" w:eastAsia="宋体" w:cs="宋体"/>
                <w:bCs w:val="0"/>
                <w:snapToGrid/>
                <w:color w:val="auto"/>
                <w:sz w:val="21"/>
                <w:szCs w:val="21"/>
                <w:highlight w:val="none"/>
                <w:u w:val="none"/>
                <w:shd w:val="clear" w:color="auto" w:fill="auto"/>
              </w:rPr>
              <w:t>5%中之50%</w:t>
            </w:r>
            <w:r>
              <w:rPr>
                <w:rFonts w:hint="eastAsia" w:ascii="宋体" w:hAnsi="宋体" w:eastAsia="宋体" w:cs="宋体"/>
                <w:bCs w:val="0"/>
                <w:snapToGrid/>
                <w:color w:val="auto"/>
                <w:sz w:val="21"/>
                <w:szCs w:val="21"/>
                <w:highlight w:val="none"/>
                <w:u w:val="none"/>
                <w:shd w:val="clear" w:color="auto" w:fill="auto"/>
                <w:lang w:val="en-US" w:eastAsia="zh-CN"/>
              </w:rPr>
              <w:t>扣回预付款</w:t>
            </w:r>
            <w:r>
              <w:rPr>
                <w:rFonts w:hint="eastAsia" w:ascii="宋体" w:hAnsi="宋体" w:eastAsia="宋体" w:cs="宋体"/>
                <w:bCs w:val="0"/>
                <w:snapToGrid/>
                <w:color w:val="auto"/>
                <w:sz w:val="21"/>
                <w:szCs w:val="21"/>
                <w:highlight w:val="none"/>
                <w:u w:val="none"/>
                <w:shd w:val="clear" w:color="auto" w:fill="auto"/>
                <w:lang w:eastAsia="zh-CN"/>
              </w:rPr>
              <w:t>，</w:t>
            </w:r>
            <w:r>
              <w:rPr>
                <w:rFonts w:hint="eastAsia" w:ascii="宋体" w:hAnsi="宋体" w:eastAsia="宋体" w:cs="宋体"/>
                <w:bCs w:val="0"/>
                <w:snapToGrid/>
                <w:color w:val="auto"/>
                <w:sz w:val="21"/>
                <w:szCs w:val="21"/>
                <w:highlight w:val="none"/>
                <w:u w:val="none"/>
                <w:shd w:val="clear" w:color="auto" w:fill="auto"/>
                <w:lang w:val="en-US" w:eastAsia="zh-CN"/>
              </w:rPr>
              <w:t>直至全部扣回为止</w:t>
            </w:r>
            <w:r>
              <w:rPr>
                <w:rFonts w:hint="eastAsia" w:ascii="宋体" w:hAnsi="宋体" w:eastAsia="宋体" w:cs="宋体"/>
                <w:bCs w:val="0"/>
                <w:snapToGrid/>
                <w:color w:val="auto"/>
                <w:sz w:val="21"/>
                <w:szCs w:val="21"/>
                <w:highlight w:val="none"/>
                <w:u w:val="none"/>
                <w:shd w:val="clear" w:color="auto" w:fill="auto"/>
              </w:rPr>
              <w:t>）后支付工程进度款；</w:t>
            </w:r>
          </w:p>
          <w:p>
            <w:pPr>
              <w:widowControl/>
              <w:snapToGrid/>
              <w:spacing w:line="240" w:lineRule="auto"/>
              <w:ind w:firstLine="0" w:firstLineChars="0"/>
              <w:rPr>
                <w:rFonts w:hint="eastAsia" w:ascii="宋体" w:hAnsi="宋体" w:eastAsia="宋体" w:cs="宋体"/>
                <w:bCs w:val="0"/>
                <w:snapToGrid/>
                <w:color w:val="auto"/>
                <w:sz w:val="21"/>
                <w:szCs w:val="21"/>
                <w:highlight w:val="none"/>
                <w:u w:val="none"/>
                <w:shd w:val="clear" w:color="auto" w:fill="auto"/>
              </w:rPr>
            </w:pPr>
            <w:r>
              <w:rPr>
                <w:rFonts w:hint="eastAsia" w:ascii="宋体" w:hAnsi="宋体" w:eastAsia="宋体" w:cs="宋体"/>
                <w:bCs w:val="0"/>
                <w:snapToGrid/>
                <w:color w:val="auto"/>
                <w:sz w:val="21"/>
                <w:szCs w:val="21"/>
                <w:highlight w:val="none"/>
                <w:u w:val="none"/>
                <w:shd w:val="clear" w:color="auto" w:fill="auto"/>
              </w:rPr>
              <w:t>③园区财政部门评审审定工程预算后申请的第一笔工程进度款支付（仅适用于工程预算审定前已支付过进度款的情况），需根据园区财政部门评审审定施工图预算中工程量清单综合单价及累计完成工程量对本次应支付进度款进行修正，具体为：本次应支付进度款=累计应支付进度款-累计已支付进度款；</w:t>
            </w:r>
          </w:p>
          <w:p>
            <w:pPr>
              <w:widowControl/>
              <w:rPr>
                <w:rFonts w:hint="eastAsia" w:ascii="宋体" w:hAnsi="宋体" w:eastAsia="宋体" w:cs="宋体"/>
                <w:bCs w:val="0"/>
                <w:snapToGrid/>
                <w:color w:val="auto"/>
                <w:sz w:val="21"/>
                <w:szCs w:val="21"/>
                <w:highlight w:val="none"/>
                <w:u w:val="none"/>
                <w:shd w:val="clear" w:color="auto" w:fill="auto"/>
              </w:rPr>
            </w:pPr>
            <w:r>
              <w:rPr>
                <w:rFonts w:hint="eastAsia" w:ascii="宋体" w:hAnsi="宋体" w:eastAsia="宋体" w:cs="宋体"/>
                <w:bCs w:val="0"/>
                <w:snapToGrid/>
                <w:color w:val="auto"/>
                <w:sz w:val="21"/>
                <w:szCs w:val="21"/>
                <w:highlight w:val="none"/>
                <w:u w:val="none"/>
                <w:shd w:val="clear" w:color="auto" w:fill="auto"/>
              </w:rPr>
              <w:t>④工程通过验收并经园区财政评审部门审定施工结算后支付工程款至结算价（扣除安全防护、文明施工措施费）的97%；工程结算价款额度的3%作为质量保修金，待缺陷责任期结束后结清。</w:t>
            </w:r>
          </w:p>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5.工程概预算编审问题</w:t>
            </w:r>
          </w:p>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原则上中标单位只可申报一次完整的工程预算，申报预算不得高于建安工程费最高投标限价。如因项目特殊情况确须分次或分段申报工程预算并进行工程款支付的，应报园区管委会研究决定具体的申报拆分原则，累次申报造价合计不得高于建安工程费最高投标限价。在图纸稳定且施工图审查完成之后，中标单位需在一个月之内报送工程概算、预算到园区财政部门同步审核，已经园区财政部门审核确认的部分，如发生工程内容的变化，应在园区财政部门审定工程预算后，按合同约定的变更或签证计价原则，以变更或签证方式进行申报。</w:t>
            </w:r>
          </w:p>
          <w:p>
            <w:pPr>
              <w:widowControl/>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u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工程结算阶段</w:t>
            </w:r>
          </w:p>
          <w:p>
            <w:pPr>
              <w:widowControl/>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（1）</w:t>
            </w:r>
            <w:r>
              <w:rPr>
                <w:rFonts w:hint="eastAsia" w:ascii="宋体" w:hAnsi="宋体" w:eastAsia="宋体" w:cs="宋体"/>
                <w:b w:val="0"/>
                <w:bCs w:val="0"/>
                <w:color w:val="auto"/>
                <w:kern w:val="2"/>
                <w:sz w:val="21"/>
                <w:szCs w:val="21"/>
                <w:highlight w:val="none"/>
                <w:u w:val="none"/>
                <w:shd w:val="clear" w:color="auto" w:fill="auto"/>
                <w:lang w:val="en-US" w:eastAsia="zh-CN"/>
              </w:rPr>
              <w:t>结算送审严格执行基建程序中的审批流程，合同条款中约定工程结算应进行园区财政投资评审，并以经园区财政部门评审的工程结算价作为竣工结算价款拨付的依据。</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9.6</w:t>
            </w:r>
          </w:p>
        </w:tc>
        <w:tc>
          <w:tcPr>
            <w:tcW w:w="4596" w:type="pct"/>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项目的监理、施工图审查、第三方检测工作、可行性研究报告的编制工作、节能评估服务、造价咨询工作不列入本次招标范围。</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10</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电子招标投标</w:t>
            </w:r>
          </w:p>
        </w:tc>
        <w:tc>
          <w:tcPr>
            <w:tcW w:w="349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□否</w:t>
            </w:r>
            <w:r>
              <w:rPr>
                <w:rFonts w:hint="eastAsia" w:ascii="宋体" w:hAnsi="宋体" w:eastAsia="宋体" w:cs="宋体"/>
                <w:color w:val="auto"/>
                <w:szCs w:val="21"/>
                <w:highlight w:val="none"/>
                <w:u w:val="single"/>
                <w:shd w:val="clear" w:color="auto" w:fill="auto"/>
              </w:rPr>
              <w:t>，投标人需按招标文件要求提交纸质文件及电子光盘或U盘。</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kern w:val="2"/>
                <w:sz w:val="21"/>
                <w:szCs w:val="21"/>
                <w:highlight w:val="none"/>
                <w:shd w:val="clear" w:color="auto" w:fill="auto"/>
                <w:lang w:val="zh-CN"/>
              </w:rPr>
              <w:t>是</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1、投标文件形式：投标文件全部采用电子文档，投标文件应按广州公共资源交易中心数字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手签后扫描上传。具体操作详见：《房屋建筑和市政基础设施工程全流程电子化项目专章》。</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2、投标文件的修改与撤回：投标人修改或撤回已递交的投标文件，需在广州公共资源交易中心数字交易平台发出撤回通知，并按要求加盖电子印章。电子招标投标交易平台收到通知后，即时向投标人发出确认回执通知。投标人撤回投标文件的，招标人自收到投标人书面撤回通知之日起5日内退还已收取的投标保证金。</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w:t>
            </w:r>
            <w:r>
              <w:rPr>
                <w:rFonts w:hint="eastAsia" w:ascii="宋体" w:hAnsi="宋体" w:eastAsia="宋体" w:cs="宋体"/>
                <w:b/>
                <w:bCs/>
                <w:color w:val="auto"/>
                <w:kern w:val="2"/>
                <w:sz w:val="21"/>
                <w:szCs w:val="21"/>
                <w:highlight w:val="none"/>
                <w:shd w:val="clear" w:color="auto" w:fill="auto"/>
                <w:lang w:val="zh-CN"/>
              </w:rPr>
              <w:t>投标人也可不提交投标文件光盘或u盘(备用)。</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4、投标文件的递交：</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①投标文件递交的截止时间（投标截止时间，下同）为202</w:t>
            </w:r>
            <w:r>
              <w:rPr>
                <w:rFonts w:hint="eastAsia" w:ascii="宋体" w:hAnsi="宋体" w:eastAsia="宋体" w:cs="宋体"/>
                <w:color w:val="auto"/>
                <w:kern w:val="2"/>
                <w:sz w:val="21"/>
                <w:szCs w:val="21"/>
                <w:highlight w:val="none"/>
                <w:shd w:val="clear" w:color="auto" w:fill="auto"/>
                <w:lang w:val="en-US" w:eastAsia="zh-CN"/>
              </w:rPr>
              <w:t>2</w:t>
            </w:r>
            <w:r>
              <w:rPr>
                <w:rFonts w:hint="eastAsia" w:ascii="宋体" w:hAnsi="宋体" w:eastAsia="宋体" w:cs="宋体"/>
                <w:color w:val="auto"/>
                <w:kern w:val="2"/>
                <w:sz w:val="21"/>
                <w:szCs w:val="21"/>
                <w:highlight w:val="none"/>
                <w:shd w:val="clear" w:color="auto" w:fill="auto"/>
                <w:lang w:val="zh-CN"/>
              </w:rPr>
              <w:t>年  月  日  时  分，投标人应在截止时间前通过电子招标投标交易平台递交电子投标文件。</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②提交投标文件备用光盘或u盘。</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投标文件光盘或u盘(备用)递交时间：2022年  月  日  时  分至2022年  月  日  时  分，地点：                 。</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③投标人完成电子投标上传后，电子招标投标交易平台即时向投标人发出递交回执通知。递交时间以递交回执通知载明的传输时间为准。</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④逾期送达的投标文件，电子招标投标交易平台将予以拒收。</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5、投标文件加密要求：</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①网上递交的电子投标文件须进行加密。具体操作详见交易平台相关操作指南。</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②未按要求加密的投标文件，招标人将予以拒收。</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6、投标文件解密失败的补救方案：</w:t>
            </w:r>
          </w:p>
          <w:p>
            <w:pPr>
              <w:pStyle w:val="28"/>
              <w:rPr>
                <w:rFonts w:hint="eastAsia" w:ascii="宋体" w:hAnsi="宋体" w:eastAsia="宋体" w:cs="宋体"/>
                <w:color w:val="auto"/>
                <w:kern w:val="2"/>
                <w:sz w:val="21"/>
                <w:szCs w:val="21"/>
                <w:highlight w:val="none"/>
                <w:shd w:val="clear" w:color="auto" w:fill="auto"/>
                <w:lang w:val="zh-CN"/>
              </w:rPr>
            </w:pPr>
            <w:r>
              <w:rPr>
                <w:rFonts w:hint="eastAsia" w:ascii="宋体" w:hAnsi="宋体" w:eastAsia="宋体" w:cs="宋体"/>
                <w:color w:val="auto"/>
                <w:kern w:val="2"/>
                <w:sz w:val="21"/>
                <w:szCs w:val="21"/>
                <w:highlight w:val="none"/>
                <w:shd w:val="clear" w:color="auto" w:fill="auto"/>
                <w:lang w:val="zh-CN"/>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zh-CN"/>
              </w:rPr>
              <w:t>除发生上述情况外，开标评标均以投标人通过交易平台网上递交的电子投标文件为准。</w:t>
            </w:r>
          </w:p>
        </w:tc>
      </w:tr>
      <w:tr>
        <w:tblPrEx>
          <w:tblCellMar>
            <w:top w:w="0" w:type="dxa"/>
            <w:left w:w="108" w:type="dxa"/>
            <w:bottom w:w="0" w:type="dxa"/>
            <w:right w:w="108" w:type="dxa"/>
          </w:tblCellMar>
        </w:tblPrEx>
        <w:trPr>
          <w:trHeight w:val="281" w:hRule="atLeast"/>
        </w:trPr>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szCs w:val="21"/>
                <w:highlight w:val="none"/>
                <w:shd w:val="clear" w:color="auto" w:fill="auto"/>
              </w:rPr>
              <w:t>11</w:t>
            </w:r>
          </w:p>
        </w:tc>
        <w:tc>
          <w:tcPr>
            <w:tcW w:w="1099"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szCs w:val="21"/>
                <w:highlight w:val="none"/>
                <w:shd w:val="clear" w:color="auto" w:fill="auto"/>
              </w:rPr>
              <w:t>招标代理服务酬金</w:t>
            </w:r>
          </w:p>
        </w:tc>
        <w:tc>
          <w:tcPr>
            <w:tcW w:w="3497" w:type="pct"/>
            <w:tcBorders>
              <w:top w:val="single" w:color="auto" w:sz="4" w:space="0"/>
              <w:left w:val="single" w:color="auto" w:sz="4" w:space="0"/>
              <w:bottom w:val="single" w:color="auto" w:sz="4" w:space="0"/>
              <w:right w:val="single" w:color="auto" w:sz="4" w:space="0"/>
            </w:tcBorders>
            <w:vAlign w:val="center"/>
          </w:tcPr>
          <w:p>
            <w:pPr>
              <w:pStyle w:val="19"/>
              <w:topLinePunct/>
              <w:jc w:val="left"/>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由招标人支付本项目的招标代理酬金</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12</w:t>
            </w:r>
          </w:p>
        </w:tc>
        <w:tc>
          <w:tcPr>
            <w:tcW w:w="1099"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施工企业专业诚信评价排名计分</w:t>
            </w:r>
          </w:p>
        </w:tc>
        <w:tc>
          <w:tcPr>
            <w:tcW w:w="3497" w:type="pct"/>
            <w:tcBorders>
              <w:top w:val="single" w:color="auto" w:sz="4" w:space="0"/>
              <w:left w:val="single" w:color="auto" w:sz="4" w:space="0"/>
              <w:bottom w:val="single" w:color="auto" w:sz="4" w:space="0"/>
              <w:right w:val="single" w:color="auto" w:sz="4" w:space="0"/>
            </w:tcBorders>
            <w:vAlign w:val="center"/>
          </w:tcPr>
          <w:p>
            <w:pPr>
              <w:pStyle w:val="28"/>
              <w:widowControl/>
              <w:rPr>
                <w:rFonts w:hint="eastAsia" w:ascii="宋体" w:hAnsi="宋体" w:eastAsia="宋体" w:cs="宋体"/>
                <w:b/>
                <w:color w:val="auto"/>
                <w:kern w:val="0"/>
                <w:sz w:val="21"/>
                <w:szCs w:val="21"/>
                <w:highlight w:val="none"/>
                <w:shd w:val="clear" w:color="auto" w:fill="auto"/>
              </w:rPr>
            </w:pPr>
            <w:r>
              <w:rPr>
                <w:rFonts w:hint="eastAsia" w:ascii="宋体" w:hAnsi="宋体" w:eastAsia="宋体" w:cs="宋体"/>
                <w:b/>
                <w:color w:val="auto"/>
                <w:kern w:val="2"/>
                <w:sz w:val="21"/>
                <w:szCs w:val="21"/>
                <w:highlight w:val="none"/>
                <w:u w:val="single"/>
                <w:shd w:val="clear" w:color="auto" w:fill="auto"/>
                <w:lang w:val="zh-CN"/>
              </w:rPr>
              <w:t>本项目不设置诚信排名计分。</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13</w:t>
            </w:r>
          </w:p>
        </w:tc>
        <w:tc>
          <w:tcPr>
            <w:tcW w:w="1099"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其他</w:t>
            </w:r>
          </w:p>
        </w:tc>
        <w:tc>
          <w:tcPr>
            <w:tcW w:w="3497"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根据《关于优化建筑工程项目负责人投标有关问题的指引》（2019年第4期）要求，投标登记环节、填报中标候选人公示信息环节、招标人（招标代理）与中标人签订合同及办理施工许可前，在校验广州公共资源交易中心企业库（包含广州市房建和市政企业库）项目负责人锁定情况的基础上，增加校验广东省建筑市场监管公共服务平台项目负责人锁定情况，发现投标人委派的项目负责人已在其他在建项目中任职、不符合任职数量规定时，按《关于优化建筑工程项目负责人投标有关问题的指引》（2019年第4期）处理。</w:t>
            </w:r>
          </w:p>
        </w:tc>
      </w:tr>
      <w:tr>
        <w:tblPrEx>
          <w:tblCellMar>
            <w:top w:w="0" w:type="dxa"/>
            <w:left w:w="108" w:type="dxa"/>
            <w:bottom w:w="0" w:type="dxa"/>
            <w:right w:w="108" w:type="dxa"/>
          </w:tblCellMar>
        </w:tblPrEx>
        <w:trPr>
          <w:trHeight w:val="246" w:hRule="atLeast"/>
        </w:trPr>
        <w:tc>
          <w:tcPr>
            <w:tcW w:w="40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14</w:t>
            </w:r>
          </w:p>
        </w:tc>
        <w:tc>
          <w:tcPr>
            <w:tcW w:w="1099"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主要材料推荐选用</w:t>
            </w:r>
          </w:p>
        </w:tc>
        <w:tc>
          <w:tcPr>
            <w:tcW w:w="3497"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本工程采用的主要材料推荐选用《广州开发区财政投资建设项目管理中心材料设备参考品牌库2019年修订第二版》（穗开建管〔20</w:t>
            </w:r>
            <w:r>
              <w:rPr>
                <w:rFonts w:hint="eastAsia" w:ascii="宋体" w:hAnsi="宋体" w:eastAsia="宋体" w:cs="宋体"/>
                <w:color w:val="auto"/>
                <w:szCs w:val="21"/>
                <w:highlight w:val="none"/>
                <w:shd w:val="clear" w:color="auto" w:fill="auto"/>
                <w:lang w:val="en-US" w:eastAsia="zh-CN"/>
              </w:rPr>
              <w:t>20</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31</w:t>
            </w:r>
            <w:r>
              <w:rPr>
                <w:rFonts w:hint="eastAsia" w:ascii="宋体" w:hAnsi="宋体" w:eastAsia="宋体" w:cs="宋体"/>
                <w:color w:val="auto"/>
                <w:szCs w:val="21"/>
                <w:highlight w:val="none"/>
                <w:shd w:val="clear" w:color="auto" w:fill="auto"/>
              </w:rPr>
              <w:t xml:space="preserve">号）中第  </w:t>
            </w:r>
            <w:r>
              <w:rPr>
                <w:rFonts w:hint="eastAsia" w:ascii="宋体" w:hAnsi="宋体" w:eastAsia="宋体" w:cs="宋体"/>
                <w:color w:val="auto"/>
                <w:szCs w:val="21"/>
                <w:highlight w:val="none"/>
                <w:shd w:val="clear" w:color="auto" w:fill="auto"/>
                <w:lang w:val="en-US" w:eastAsia="zh-CN"/>
              </w:rPr>
              <w:t>C</w:t>
            </w:r>
            <w:r>
              <w:rPr>
                <w:rFonts w:hint="eastAsia" w:ascii="宋体" w:hAnsi="宋体" w:eastAsia="宋体" w:cs="宋体"/>
                <w:color w:val="auto"/>
                <w:szCs w:val="21"/>
                <w:highlight w:val="none"/>
                <w:shd w:val="clear" w:color="auto" w:fill="auto"/>
              </w:rPr>
              <w:t xml:space="preserve">  档次品牌、厂家或选用相当于该档次（或以上）的产品。所有材料品牌选择均须报发包人、监理工程师确认，且经检验合格后方能使用。</w:t>
            </w:r>
          </w:p>
        </w:tc>
      </w:tr>
      <w:tr>
        <w:tblPrEx>
          <w:tblCellMar>
            <w:top w:w="0" w:type="dxa"/>
            <w:left w:w="108" w:type="dxa"/>
            <w:bottom w:w="0" w:type="dxa"/>
            <w:right w:w="108" w:type="dxa"/>
          </w:tblCellMar>
        </w:tblPrEx>
        <w:trPr>
          <w:trHeight w:val="246"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需要补充的其他内容：</w:t>
            </w:r>
          </w:p>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1.关于联合体投标人评标的相关规定：如组成联合体投标的，设计部分评分以承接设计任务的单位为准；施工部分评分以承接施工任务的单位为准。</w:t>
            </w:r>
          </w:p>
          <w:p>
            <w:pPr>
              <w:widowControl/>
              <w:rPr>
                <w:rFonts w:hint="eastAsia" w:ascii="宋体" w:hAnsi="宋体" w:eastAsia="宋体" w:cs="宋体"/>
                <w:color w:val="auto"/>
                <w:szCs w:val="21"/>
                <w:highlight w:val="none"/>
                <w:shd w:val="clear" w:color="auto" w:fill="auto"/>
              </w:rPr>
            </w:pPr>
            <w:r>
              <w:rPr>
                <w:rFonts w:hint="eastAsia" w:ascii="宋体" w:hAnsi="宋体" w:eastAsia="宋体" w:cs="宋体"/>
                <w:b/>
                <w:color w:val="auto"/>
                <w:szCs w:val="21"/>
                <w:highlight w:val="none"/>
                <w:u w:val="single"/>
                <w:shd w:val="clear" w:color="auto" w:fill="auto"/>
              </w:rPr>
              <w:t>2.联合体投标时，除《联合体投标协议书》必须联合体各方分别按要求进行签字或盖章外，法定代表人证明书及授权委托证明书由联合体主办方出具，“投标单位”一栏可只填写联合体主办方名称及签字或盖章即可。其他资料若需要签字或盖章的均可由联合体主办方签字或盖章；投标文件封面及其他内容及落款中的“投标人”应填写联合体各方的单位全称【格式表示为：(主)XXXX公司(成)XXXX公司】，可由联合体主办方签字或盖章即可。</w:t>
            </w:r>
          </w:p>
        </w:tc>
      </w:tr>
    </w:tbl>
    <w:p>
      <w:pPr>
        <w:spacing w:line="360" w:lineRule="auto"/>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368"/>
        <w:rPr>
          <w:rFonts w:hint="eastAsia" w:ascii="宋体" w:hAnsi="宋体" w:eastAsia="宋体" w:cs="宋体"/>
          <w:color w:val="auto"/>
          <w:highlight w:val="none"/>
          <w:shd w:val="clear" w:color="auto" w:fill="auto"/>
        </w:rPr>
      </w:pPr>
    </w:p>
    <w:p>
      <w:pPr>
        <w:pStyle w:val="2"/>
        <w:spacing w:line="360" w:lineRule="auto"/>
        <w:rPr>
          <w:rFonts w:hint="eastAsia" w:ascii="宋体" w:hAnsi="宋体" w:eastAsia="宋体" w:cs="宋体"/>
          <w:color w:val="auto"/>
          <w:sz w:val="21"/>
          <w:szCs w:val="21"/>
          <w:highlight w:val="none"/>
          <w:shd w:val="clear" w:color="auto" w:fill="auto"/>
        </w:rPr>
      </w:pPr>
      <w:bookmarkStart w:id="30" w:name="_Toc144974497"/>
      <w:bookmarkStart w:id="31" w:name="_Toc13867"/>
      <w:bookmarkStart w:id="32" w:name="_Toc362816480"/>
      <w:bookmarkStart w:id="33" w:name="_Toc152045529"/>
      <w:bookmarkStart w:id="34" w:name="_Toc247527553"/>
      <w:bookmarkStart w:id="35" w:name="_Toc443505822"/>
      <w:bookmarkStart w:id="36" w:name="_Toc152042305"/>
      <w:bookmarkStart w:id="37" w:name="_Toc300834949"/>
      <w:bookmarkStart w:id="38" w:name="_Toc30689"/>
      <w:bookmarkStart w:id="39" w:name="_Toc247513952"/>
      <w:bookmarkStart w:id="40" w:name="_Toc357089511"/>
      <w:r>
        <w:rPr>
          <w:rFonts w:hint="eastAsia" w:ascii="宋体" w:hAnsi="宋体" w:eastAsia="宋体" w:cs="宋体"/>
          <w:color w:val="auto"/>
          <w:sz w:val="21"/>
          <w:szCs w:val="21"/>
          <w:highlight w:val="none"/>
          <w:shd w:val="clear" w:color="auto" w:fill="auto"/>
        </w:rPr>
        <w:t>1. 总则</w:t>
      </w:r>
      <w:bookmarkEnd w:id="30"/>
      <w:bookmarkEnd w:id="31"/>
      <w:bookmarkEnd w:id="32"/>
      <w:bookmarkEnd w:id="33"/>
      <w:bookmarkEnd w:id="34"/>
      <w:bookmarkEnd w:id="35"/>
      <w:bookmarkEnd w:id="36"/>
      <w:bookmarkEnd w:id="37"/>
      <w:bookmarkEnd w:id="38"/>
      <w:bookmarkEnd w:id="39"/>
      <w:bookmarkEnd w:id="40"/>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41" w:name="_Toc152042306"/>
      <w:bookmarkStart w:id="42" w:name="_Toc247513953"/>
      <w:bookmarkStart w:id="43" w:name="_Toc356469178"/>
      <w:bookmarkStart w:id="44" w:name="_Toc357089512"/>
      <w:bookmarkStart w:id="45" w:name="_Toc152045530"/>
      <w:bookmarkStart w:id="46" w:name="_Toc247527554"/>
      <w:bookmarkStart w:id="47" w:name="_Toc300834950"/>
      <w:bookmarkStart w:id="48" w:name="_Toc144974498"/>
      <w:bookmarkStart w:id="49" w:name="_Toc362816481"/>
      <w:r>
        <w:rPr>
          <w:rFonts w:hint="eastAsia" w:ascii="宋体" w:hAnsi="宋体" w:eastAsia="宋体" w:cs="宋体"/>
          <w:b/>
          <w:color w:val="auto"/>
          <w:sz w:val="21"/>
          <w:szCs w:val="21"/>
          <w:highlight w:val="none"/>
          <w:shd w:val="clear" w:color="auto" w:fill="auto"/>
        </w:rPr>
        <w:t>1.1 项目概况</w:t>
      </w:r>
      <w:bookmarkEnd w:id="41"/>
      <w:bookmarkEnd w:id="42"/>
      <w:bookmarkEnd w:id="43"/>
      <w:bookmarkEnd w:id="44"/>
      <w:bookmarkEnd w:id="45"/>
      <w:bookmarkEnd w:id="46"/>
      <w:bookmarkEnd w:id="47"/>
      <w:bookmarkEnd w:id="48"/>
      <w:bookmarkEnd w:id="49"/>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1.1.1 根据《中华人民共和国招标投标法》等有关法律、法规和规章的规定，本招标项目已具备招标条件，现对该项目设计施工进行总承包招标。</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1.1.2 招标人：见投标人须知前附表。</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1.1.3 招标代理机构：见投标人须知前附表。</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1.1.4 招标项目名称：见投标人须知前附表。</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1.1.5 项目建设地点：见投标人须知前附表。</w:t>
      </w:r>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50" w:name="_Toc300834951"/>
      <w:bookmarkStart w:id="51" w:name="_Toc247527555"/>
      <w:bookmarkStart w:id="52" w:name="_Toc357089513"/>
      <w:bookmarkStart w:id="53" w:name="_Toc152045531"/>
      <w:bookmarkStart w:id="54" w:name="_Toc152042307"/>
      <w:bookmarkStart w:id="55" w:name="_Toc144974499"/>
      <w:bookmarkStart w:id="56" w:name="_Toc356469179"/>
      <w:bookmarkStart w:id="57" w:name="_Toc247513954"/>
      <w:bookmarkStart w:id="58" w:name="_Toc362816482"/>
      <w:r>
        <w:rPr>
          <w:rFonts w:hint="eastAsia" w:ascii="宋体" w:hAnsi="宋体" w:eastAsia="宋体" w:cs="宋体"/>
          <w:b/>
          <w:color w:val="auto"/>
          <w:sz w:val="21"/>
          <w:szCs w:val="21"/>
          <w:highlight w:val="none"/>
          <w:shd w:val="clear" w:color="auto" w:fill="auto"/>
        </w:rPr>
        <w:t>1.2 项目的资金来源和落实情况</w:t>
      </w:r>
      <w:bookmarkEnd w:id="50"/>
      <w:bookmarkEnd w:id="51"/>
      <w:bookmarkEnd w:id="52"/>
      <w:bookmarkEnd w:id="53"/>
      <w:bookmarkEnd w:id="54"/>
      <w:bookmarkEnd w:id="55"/>
      <w:bookmarkEnd w:id="56"/>
      <w:bookmarkEnd w:id="57"/>
      <w:bookmarkEnd w:id="58"/>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1.2.1 资金来源及比例：见投标人须知前附表。</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1.2.2 资金落实情况：见投标人须知前附表。</w:t>
      </w:r>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59" w:name="_Toc247527556"/>
      <w:bookmarkStart w:id="60" w:name="_Toc152045532"/>
      <w:bookmarkStart w:id="61" w:name="_Toc152042308"/>
      <w:bookmarkStart w:id="62" w:name="_Toc247513955"/>
      <w:bookmarkStart w:id="63" w:name="_Toc144974500"/>
      <w:bookmarkStart w:id="64" w:name="_Toc362816483"/>
      <w:bookmarkStart w:id="65" w:name="_Toc300834952"/>
      <w:bookmarkStart w:id="66" w:name="_Toc356469180"/>
      <w:bookmarkStart w:id="67" w:name="_Toc357089514"/>
      <w:r>
        <w:rPr>
          <w:rFonts w:hint="eastAsia" w:ascii="宋体" w:hAnsi="宋体" w:eastAsia="宋体" w:cs="宋体"/>
          <w:b/>
          <w:color w:val="auto"/>
          <w:sz w:val="21"/>
          <w:szCs w:val="21"/>
          <w:highlight w:val="none"/>
          <w:shd w:val="clear" w:color="auto" w:fill="auto"/>
        </w:rPr>
        <w:t>1.3 招标范围、计划工期和</w:t>
      </w:r>
      <w:bookmarkEnd w:id="59"/>
      <w:bookmarkEnd w:id="60"/>
      <w:bookmarkEnd w:id="61"/>
      <w:bookmarkEnd w:id="62"/>
      <w:bookmarkEnd w:id="63"/>
      <w:r>
        <w:rPr>
          <w:rFonts w:hint="eastAsia" w:ascii="宋体" w:hAnsi="宋体" w:eastAsia="宋体" w:cs="宋体"/>
          <w:b/>
          <w:color w:val="auto"/>
          <w:sz w:val="21"/>
          <w:szCs w:val="21"/>
          <w:highlight w:val="none"/>
          <w:shd w:val="clear" w:color="auto" w:fill="auto"/>
        </w:rPr>
        <w:t>质量标准</w:t>
      </w:r>
      <w:bookmarkEnd w:id="64"/>
      <w:bookmarkEnd w:id="65"/>
      <w:bookmarkEnd w:id="66"/>
      <w:bookmarkEnd w:id="67"/>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1.3.1 招标范围：见投标人须知前附表。</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1.3.2 计划工期：见投标人须知前附表。</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1.3.3 质量标准：见投标人须知前附表。</w:t>
      </w:r>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68" w:name="_Toc144974502"/>
      <w:bookmarkStart w:id="69" w:name="_Toc152042310"/>
      <w:bookmarkStart w:id="70" w:name="_Toc152045534"/>
      <w:bookmarkStart w:id="71" w:name="_Toc247527558"/>
      <w:bookmarkStart w:id="72" w:name="_Toc247513957"/>
      <w:bookmarkStart w:id="73" w:name="_Toc300834954"/>
      <w:r>
        <w:rPr>
          <w:rFonts w:hint="eastAsia" w:ascii="宋体" w:hAnsi="宋体" w:eastAsia="宋体" w:cs="宋体"/>
          <w:b/>
          <w:color w:val="auto"/>
          <w:sz w:val="21"/>
          <w:szCs w:val="21"/>
          <w:highlight w:val="none"/>
          <w:shd w:val="clear" w:color="auto" w:fill="auto"/>
        </w:rPr>
        <w:t>1.4投标人资格要求（</w:t>
      </w:r>
      <w:r>
        <w:rPr>
          <w:rFonts w:hint="eastAsia" w:ascii="宋体" w:hAnsi="宋体" w:eastAsia="宋体" w:cs="宋体"/>
          <w:b/>
          <w:color w:val="auto"/>
          <w:sz w:val="21"/>
          <w:szCs w:val="21"/>
          <w:highlight w:val="none"/>
          <w:u w:val="single"/>
          <w:shd w:val="clear" w:color="auto" w:fill="auto"/>
        </w:rPr>
        <w:t>详见招标公告要求</w:t>
      </w:r>
      <w:r>
        <w:rPr>
          <w:rFonts w:hint="eastAsia" w:ascii="宋体" w:hAnsi="宋体" w:eastAsia="宋体" w:cs="宋体"/>
          <w:b/>
          <w:color w:val="auto"/>
          <w:sz w:val="21"/>
          <w:szCs w:val="21"/>
          <w:highlight w:val="none"/>
          <w:shd w:val="clear" w:color="auto" w:fill="auto"/>
        </w:rPr>
        <w:t>）</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 xml:space="preserve">1.4.1 </w:t>
      </w:r>
      <w:r>
        <w:rPr>
          <w:rFonts w:hint="eastAsia" w:ascii="宋体" w:hAnsi="宋体" w:eastAsia="宋体" w:cs="宋体"/>
          <w:color w:val="auto"/>
          <w:sz w:val="21"/>
          <w:szCs w:val="21"/>
          <w:highlight w:val="none"/>
          <w:u w:val="single"/>
          <w:shd w:val="clear" w:color="auto" w:fill="auto"/>
        </w:rPr>
        <w:t>投标人应是按招标公告要求成功登记的单位。</w:t>
      </w:r>
      <w:bookmarkEnd w:id="68"/>
      <w:bookmarkEnd w:id="69"/>
      <w:bookmarkEnd w:id="70"/>
      <w:bookmarkEnd w:id="71"/>
      <w:bookmarkEnd w:id="72"/>
      <w:bookmarkEnd w:id="73"/>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1.4.2 关于联合体投标</w:t>
      </w:r>
      <w:r>
        <w:rPr>
          <w:rFonts w:hint="eastAsia" w:ascii="宋体" w:hAnsi="宋体" w:eastAsia="宋体" w:cs="宋体"/>
          <w:color w:val="auto"/>
          <w:sz w:val="21"/>
          <w:szCs w:val="21"/>
          <w:highlight w:val="none"/>
          <w:shd w:val="clear" w:color="auto" w:fill="auto"/>
        </w:rPr>
        <w:t>：见投标人须知前附表。</w:t>
      </w:r>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74" w:name="_Toc152042311"/>
      <w:bookmarkStart w:id="75" w:name="_Toc247513958"/>
      <w:bookmarkStart w:id="76" w:name="_Toc144974503"/>
      <w:bookmarkStart w:id="77" w:name="_Toc152045535"/>
      <w:bookmarkStart w:id="78" w:name="_Toc247527559"/>
      <w:bookmarkStart w:id="79" w:name="_Toc300834955"/>
      <w:bookmarkStart w:id="80" w:name="_Toc357089516"/>
      <w:bookmarkStart w:id="81" w:name="_Toc356469182"/>
      <w:bookmarkStart w:id="82" w:name="_Toc362816485"/>
      <w:r>
        <w:rPr>
          <w:rFonts w:hint="eastAsia" w:ascii="宋体" w:hAnsi="宋体" w:eastAsia="宋体" w:cs="宋体"/>
          <w:b/>
          <w:color w:val="auto"/>
          <w:sz w:val="21"/>
          <w:szCs w:val="21"/>
          <w:highlight w:val="none"/>
          <w:shd w:val="clear" w:color="auto" w:fill="auto"/>
        </w:rPr>
        <w:t>1.5 费用承担</w:t>
      </w:r>
      <w:bookmarkEnd w:id="74"/>
      <w:bookmarkEnd w:id="75"/>
      <w:bookmarkEnd w:id="76"/>
      <w:bookmarkEnd w:id="77"/>
      <w:bookmarkEnd w:id="78"/>
      <w:r>
        <w:rPr>
          <w:rFonts w:hint="eastAsia" w:ascii="宋体" w:hAnsi="宋体" w:eastAsia="宋体" w:cs="宋体"/>
          <w:b/>
          <w:color w:val="auto"/>
          <w:sz w:val="21"/>
          <w:szCs w:val="21"/>
          <w:highlight w:val="none"/>
          <w:shd w:val="clear" w:color="auto" w:fill="auto"/>
        </w:rPr>
        <w:t>和设计成果补偿</w:t>
      </w:r>
      <w:bookmarkEnd w:id="79"/>
      <w:bookmarkEnd w:id="80"/>
      <w:bookmarkEnd w:id="81"/>
      <w:bookmarkEnd w:id="82"/>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1.5.1 投标人准备和参加投标活动发生的费用自理。</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1.5.2 </w:t>
      </w:r>
      <w:r>
        <w:rPr>
          <w:rFonts w:hint="eastAsia" w:ascii="宋体" w:hAnsi="宋体" w:eastAsia="宋体" w:cs="宋体"/>
          <w:color w:val="auto"/>
          <w:sz w:val="21"/>
          <w:szCs w:val="21"/>
          <w:highlight w:val="none"/>
          <w:u w:val="single"/>
          <w:shd w:val="clear" w:color="auto" w:fill="auto"/>
        </w:rPr>
        <w:t>招标人在征得未中标人的同意后有权免费使用未中标人设计成果</w:t>
      </w:r>
      <w:r>
        <w:rPr>
          <w:rFonts w:hint="eastAsia" w:ascii="宋体" w:hAnsi="宋体" w:eastAsia="宋体" w:cs="宋体"/>
          <w:color w:val="auto"/>
          <w:sz w:val="21"/>
          <w:szCs w:val="21"/>
          <w:highlight w:val="none"/>
          <w:shd w:val="clear" w:color="auto" w:fill="auto"/>
        </w:rPr>
        <w:t>。</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1.5.3 中标人应根据政府有关规定，向广州公共资源交易中心交纳交易服务费。</w:t>
      </w:r>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83" w:name="_Toc247527560"/>
      <w:bookmarkStart w:id="84" w:name="_Toc300834956"/>
      <w:bookmarkStart w:id="85" w:name="_Toc357089517"/>
      <w:bookmarkStart w:id="86" w:name="_Toc247513959"/>
      <w:bookmarkStart w:id="87" w:name="_Toc356469183"/>
      <w:bookmarkStart w:id="88" w:name="_Toc362816486"/>
      <w:bookmarkStart w:id="89" w:name="_Toc144974504"/>
      <w:bookmarkStart w:id="90" w:name="_Toc152045536"/>
      <w:bookmarkStart w:id="91" w:name="_Toc152042312"/>
      <w:r>
        <w:rPr>
          <w:rFonts w:hint="eastAsia" w:ascii="宋体" w:hAnsi="宋体" w:eastAsia="宋体" w:cs="宋体"/>
          <w:b/>
          <w:color w:val="auto"/>
          <w:sz w:val="21"/>
          <w:szCs w:val="21"/>
          <w:highlight w:val="none"/>
          <w:shd w:val="clear" w:color="auto" w:fill="auto"/>
        </w:rPr>
        <w:t>1.6 保密</w:t>
      </w:r>
      <w:bookmarkEnd w:id="83"/>
      <w:bookmarkEnd w:id="84"/>
      <w:bookmarkEnd w:id="85"/>
      <w:bookmarkEnd w:id="86"/>
      <w:bookmarkEnd w:id="87"/>
      <w:bookmarkEnd w:id="88"/>
      <w:bookmarkEnd w:id="89"/>
      <w:bookmarkEnd w:id="90"/>
      <w:bookmarkEnd w:id="91"/>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1.6.1参与招标投标活动的各方应对招标文件和投标文件中的商业和技术等秘密保密，否则应承担相应的法律责任。</w:t>
      </w:r>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92" w:name="_Toc144974505"/>
      <w:bookmarkStart w:id="93" w:name="_Toc247513960"/>
      <w:bookmarkStart w:id="94" w:name="_Toc362816487"/>
      <w:bookmarkStart w:id="95" w:name="_Toc152045537"/>
      <w:bookmarkStart w:id="96" w:name="_Toc356469184"/>
      <w:bookmarkStart w:id="97" w:name="_Toc152042313"/>
      <w:bookmarkStart w:id="98" w:name="_Toc357089518"/>
      <w:bookmarkStart w:id="99" w:name="_Toc300834957"/>
      <w:bookmarkStart w:id="100" w:name="_Toc247527561"/>
      <w:r>
        <w:rPr>
          <w:rFonts w:hint="eastAsia" w:ascii="宋体" w:hAnsi="宋体" w:eastAsia="宋体" w:cs="宋体"/>
          <w:b/>
          <w:color w:val="auto"/>
          <w:sz w:val="21"/>
          <w:szCs w:val="21"/>
          <w:highlight w:val="none"/>
          <w:shd w:val="clear" w:color="auto" w:fill="auto"/>
        </w:rPr>
        <w:t>1.7 语言</w:t>
      </w:r>
      <w:bookmarkEnd w:id="92"/>
      <w:r>
        <w:rPr>
          <w:rFonts w:hint="eastAsia" w:ascii="宋体" w:hAnsi="宋体" w:eastAsia="宋体" w:cs="宋体"/>
          <w:b/>
          <w:color w:val="auto"/>
          <w:sz w:val="21"/>
          <w:szCs w:val="21"/>
          <w:highlight w:val="none"/>
          <w:shd w:val="clear" w:color="auto" w:fill="auto"/>
        </w:rPr>
        <w:t>文字</w:t>
      </w:r>
      <w:bookmarkEnd w:id="93"/>
      <w:bookmarkEnd w:id="94"/>
      <w:bookmarkEnd w:id="95"/>
      <w:bookmarkEnd w:id="96"/>
      <w:bookmarkEnd w:id="97"/>
      <w:bookmarkEnd w:id="98"/>
      <w:bookmarkEnd w:id="99"/>
      <w:bookmarkEnd w:id="100"/>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1.7.1招标投标文件使用的语言文字为中文。专用术语使用外文的，应附有中文注释。</w:t>
      </w:r>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101" w:name="_Toc362816488"/>
      <w:bookmarkStart w:id="102" w:name="_Toc247527562"/>
      <w:bookmarkStart w:id="103" w:name="_Toc152042314"/>
      <w:bookmarkStart w:id="104" w:name="_Toc247513961"/>
      <w:bookmarkStart w:id="105" w:name="_Toc152045538"/>
      <w:bookmarkStart w:id="106" w:name="_Toc357089519"/>
      <w:bookmarkStart w:id="107" w:name="_Toc356469185"/>
      <w:bookmarkStart w:id="108" w:name="_Toc144974506"/>
      <w:bookmarkStart w:id="109" w:name="_Toc300834958"/>
      <w:r>
        <w:rPr>
          <w:rFonts w:hint="eastAsia" w:ascii="宋体" w:hAnsi="宋体" w:eastAsia="宋体" w:cs="宋体"/>
          <w:b/>
          <w:color w:val="auto"/>
          <w:sz w:val="21"/>
          <w:szCs w:val="21"/>
          <w:highlight w:val="none"/>
          <w:shd w:val="clear" w:color="auto" w:fill="auto"/>
        </w:rPr>
        <w:t>1.8 计量单位</w:t>
      </w:r>
      <w:bookmarkEnd w:id="101"/>
      <w:bookmarkEnd w:id="102"/>
      <w:bookmarkEnd w:id="103"/>
      <w:bookmarkEnd w:id="104"/>
      <w:bookmarkEnd w:id="105"/>
      <w:bookmarkEnd w:id="106"/>
      <w:bookmarkEnd w:id="107"/>
      <w:bookmarkEnd w:id="108"/>
      <w:bookmarkEnd w:id="109"/>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1.8.1 所有计量均采用中华人民共和国法定计量单位。</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1.8.2 </w:t>
      </w:r>
      <w:r>
        <w:rPr>
          <w:rFonts w:hint="eastAsia" w:ascii="宋体" w:hAnsi="宋体" w:eastAsia="宋体" w:cs="宋体"/>
          <w:color w:val="auto"/>
          <w:sz w:val="21"/>
          <w:szCs w:val="21"/>
          <w:highlight w:val="none"/>
          <w:u w:val="single"/>
          <w:shd w:val="clear" w:color="auto" w:fill="auto"/>
        </w:rPr>
        <w:t>本工程投标报价采用的币种为人民币。</w:t>
      </w:r>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110" w:name="_Toc144974507"/>
      <w:bookmarkStart w:id="111" w:name="_Toc356469186"/>
      <w:bookmarkStart w:id="112" w:name="_Toc362816489"/>
      <w:bookmarkStart w:id="113" w:name="_Toc300834959"/>
      <w:bookmarkStart w:id="114" w:name="_Toc247527563"/>
      <w:bookmarkStart w:id="115" w:name="_Toc152045539"/>
      <w:bookmarkStart w:id="116" w:name="_Toc357089520"/>
      <w:bookmarkStart w:id="117" w:name="_Toc247513962"/>
      <w:bookmarkStart w:id="118" w:name="_Toc152042315"/>
      <w:r>
        <w:rPr>
          <w:rFonts w:hint="eastAsia" w:ascii="宋体" w:hAnsi="宋体" w:eastAsia="宋体" w:cs="宋体"/>
          <w:b/>
          <w:color w:val="auto"/>
          <w:sz w:val="21"/>
          <w:szCs w:val="21"/>
          <w:highlight w:val="none"/>
          <w:shd w:val="clear" w:color="auto" w:fill="auto"/>
        </w:rPr>
        <w:t>1.9 踏勘现场</w:t>
      </w:r>
      <w:bookmarkEnd w:id="110"/>
      <w:bookmarkEnd w:id="111"/>
      <w:bookmarkEnd w:id="112"/>
      <w:bookmarkEnd w:id="113"/>
      <w:bookmarkEnd w:id="114"/>
      <w:bookmarkEnd w:id="115"/>
      <w:bookmarkEnd w:id="116"/>
      <w:bookmarkEnd w:id="117"/>
      <w:bookmarkEnd w:id="118"/>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1.9.1 投标人须知前附表规定组织踏勘现场的，招标人按投标人须知前附表规定的时间、地点组织投标人踏勘项目现场。 </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1.9.2 投标人踏勘现场发生的费用自理。</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1.9.3 除招标人的原因外，投标人自行负责在踏勘现场中所发生的人员伤亡和财产损失。</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1.9.</w:t>
      </w:r>
      <w:r>
        <w:rPr>
          <w:rFonts w:hint="eastAsia" w:ascii="宋体" w:hAnsi="宋体" w:eastAsia="宋体" w:cs="宋体"/>
          <w:color w:val="auto"/>
          <w:sz w:val="21"/>
          <w:szCs w:val="21"/>
          <w:highlight w:val="none"/>
          <w:u w:val="single"/>
          <w:shd w:val="clear" w:color="auto" w:fill="auto"/>
        </w:rPr>
        <w:t>4现场由投标人自行踏勘，投标人不进行踏勘的，视为已熟知现场条件，自行承担相关风险。招标人不对投标人自行踏勘现场作出的判断和决策负责。</w:t>
      </w:r>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119" w:name="_Toc300834961"/>
      <w:bookmarkStart w:id="120" w:name="_Toc362816491"/>
      <w:bookmarkStart w:id="121" w:name="_Toc357089522"/>
      <w:bookmarkStart w:id="122" w:name="_Toc152042317"/>
      <w:bookmarkStart w:id="123" w:name="_Toc152045541"/>
      <w:bookmarkStart w:id="124" w:name="_Toc144974509"/>
      <w:bookmarkStart w:id="125" w:name="_Toc247527565"/>
      <w:bookmarkStart w:id="126" w:name="_Toc356469188"/>
      <w:bookmarkStart w:id="127" w:name="_Toc247513964"/>
      <w:r>
        <w:rPr>
          <w:rFonts w:hint="eastAsia" w:ascii="宋体" w:hAnsi="宋体" w:eastAsia="宋体" w:cs="宋体"/>
          <w:b/>
          <w:color w:val="auto"/>
          <w:sz w:val="21"/>
          <w:szCs w:val="21"/>
          <w:highlight w:val="none"/>
          <w:shd w:val="clear" w:color="auto" w:fill="auto"/>
        </w:rPr>
        <w:t>1.10 分包</w:t>
      </w:r>
      <w:bookmarkEnd w:id="119"/>
      <w:bookmarkEnd w:id="120"/>
      <w:bookmarkEnd w:id="121"/>
      <w:bookmarkEnd w:id="122"/>
      <w:bookmarkEnd w:id="123"/>
      <w:bookmarkEnd w:id="124"/>
      <w:bookmarkEnd w:id="125"/>
      <w:bookmarkEnd w:id="126"/>
      <w:bookmarkEnd w:id="127"/>
    </w:p>
    <w:p>
      <w:pPr>
        <w:spacing w:line="360" w:lineRule="auto"/>
        <w:ind w:firstLine="567" w:firstLineChars="27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1.10.1 投标人须知前附表规定应当由分包人实施的非主体、非关键性工作，投标人应当按照</w:t>
      </w:r>
      <w:r>
        <w:rPr>
          <w:rFonts w:hint="eastAsia" w:ascii="宋体" w:hAnsi="宋体" w:eastAsia="宋体" w:cs="宋体"/>
          <w:color w:val="auto"/>
          <w:sz w:val="21"/>
          <w:szCs w:val="21"/>
          <w:highlight w:val="none"/>
          <w:u w:val="single"/>
          <w:shd w:val="clear" w:color="auto" w:fill="auto"/>
        </w:rPr>
        <w:t>第四章</w:t>
      </w:r>
      <w:r>
        <w:rPr>
          <w:rFonts w:hint="eastAsia" w:ascii="宋体" w:hAnsi="宋体" w:eastAsia="宋体" w:cs="宋体"/>
          <w:color w:val="auto"/>
          <w:sz w:val="21"/>
          <w:szCs w:val="21"/>
          <w:highlight w:val="none"/>
          <w:shd w:val="clear" w:color="auto" w:fill="auto"/>
        </w:rPr>
        <w:t>“发包人要求”规定提供分包人候选名单及其相应资料。</w:t>
      </w:r>
    </w:p>
    <w:p>
      <w:pPr>
        <w:spacing w:line="360" w:lineRule="auto"/>
        <w:ind w:firstLine="567" w:firstLineChars="27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1.10.2 招标人允许投标人在中标后将中标项目的部分非主体、非关键性工作进行分包的，应符合投标人须知前附表规定的分包内容、资质要求等限制性条件。</w:t>
      </w:r>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128" w:name="_Toc362816492"/>
      <w:bookmarkStart w:id="129" w:name="_Toc356469189"/>
      <w:bookmarkStart w:id="130" w:name="_Toc247527566"/>
      <w:bookmarkStart w:id="131" w:name="_Toc357089523"/>
      <w:bookmarkStart w:id="132" w:name="_Toc247513965"/>
      <w:bookmarkStart w:id="133" w:name="_Toc300834962"/>
      <w:r>
        <w:rPr>
          <w:rFonts w:hint="eastAsia" w:ascii="宋体" w:hAnsi="宋体" w:eastAsia="宋体" w:cs="宋体"/>
          <w:b/>
          <w:color w:val="auto"/>
          <w:sz w:val="21"/>
          <w:szCs w:val="21"/>
          <w:highlight w:val="none"/>
          <w:shd w:val="clear" w:color="auto" w:fill="auto"/>
        </w:rPr>
        <w:t>1.11 偏离</w:t>
      </w:r>
      <w:bookmarkEnd w:id="128"/>
      <w:bookmarkEnd w:id="129"/>
      <w:bookmarkEnd w:id="130"/>
      <w:bookmarkEnd w:id="131"/>
      <w:bookmarkEnd w:id="132"/>
      <w:bookmarkEnd w:id="133"/>
    </w:p>
    <w:p>
      <w:pPr>
        <w:spacing w:line="360" w:lineRule="auto"/>
        <w:ind w:firstLine="359" w:firstLineChars="171"/>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按投标人须知前附表1.12。</w:t>
      </w:r>
    </w:p>
    <w:p>
      <w:pPr>
        <w:pStyle w:val="2"/>
        <w:spacing w:line="360" w:lineRule="auto"/>
        <w:rPr>
          <w:rFonts w:hint="eastAsia" w:ascii="宋体" w:hAnsi="宋体" w:eastAsia="宋体" w:cs="宋体"/>
          <w:color w:val="auto"/>
          <w:sz w:val="21"/>
          <w:szCs w:val="21"/>
          <w:highlight w:val="none"/>
          <w:shd w:val="clear" w:color="auto" w:fill="auto"/>
        </w:rPr>
      </w:pPr>
      <w:bookmarkStart w:id="134" w:name="_Toc144974510"/>
      <w:bookmarkStart w:id="135" w:name="_Toc20791"/>
      <w:bookmarkStart w:id="136" w:name="_Toc28794"/>
      <w:bookmarkStart w:id="137" w:name="_Toc152042318"/>
      <w:bookmarkStart w:id="138" w:name="_Toc152045542"/>
      <w:bookmarkStart w:id="139" w:name="_Toc247527567"/>
      <w:bookmarkStart w:id="140" w:name="_Toc443505823"/>
      <w:bookmarkStart w:id="141" w:name="_Toc300834963"/>
      <w:bookmarkStart w:id="142" w:name="_Toc357089524"/>
      <w:bookmarkStart w:id="143" w:name="_Toc362816493"/>
      <w:bookmarkStart w:id="144" w:name="_Toc247513966"/>
      <w:r>
        <w:rPr>
          <w:rFonts w:hint="eastAsia" w:ascii="宋体" w:hAnsi="宋体" w:eastAsia="宋体" w:cs="宋体"/>
          <w:color w:val="auto"/>
          <w:sz w:val="21"/>
          <w:szCs w:val="21"/>
          <w:highlight w:val="none"/>
          <w:shd w:val="clear" w:color="auto" w:fill="auto"/>
        </w:rPr>
        <w:t>2. 招标文件</w:t>
      </w:r>
      <w:bookmarkEnd w:id="134"/>
      <w:bookmarkEnd w:id="135"/>
      <w:bookmarkEnd w:id="136"/>
      <w:bookmarkEnd w:id="137"/>
      <w:bookmarkEnd w:id="138"/>
      <w:bookmarkEnd w:id="139"/>
      <w:bookmarkEnd w:id="140"/>
      <w:bookmarkEnd w:id="141"/>
      <w:bookmarkEnd w:id="142"/>
      <w:bookmarkEnd w:id="143"/>
      <w:bookmarkEnd w:id="144"/>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145" w:name="_Toc300834964"/>
      <w:bookmarkStart w:id="146" w:name="_Toc144974511"/>
      <w:bookmarkStart w:id="147" w:name="_Toc357089525"/>
      <w:bookmarkStart w:id="148" w:name="_Toc152045543"/>
      <w:bookmarkStart w:id="149" w:name="_Toc247513967"/>
      <w:bookmarkStart w:id="150" w:name="_Toc152042319"/>
      <w:bookmarkStart w:id="151" w:name="_Toc362816494"/>
      <w:bookmarkStart w:id="152" w:name="_Toc356469191"/>
      <w:bookmarkStart w:id="153" w:name="_Toc247527568"/>
      <w:r>
        <w:rPr>
          <w:rFonts w:hint="eastAsia" w:ascii="宋体" w:hAnsi="宋体" w:eastAsia="宋体" w:cs="宋体"/>
          <w:b/>
          <w:color w:val="auto"/>
          <w:sz w:val="21"/>
          <w:szCs w:val="21"/>
          <w:highlight w:val="none"/>
          <w:shd w:val="clear" w:color="auto" w:fill="auto"/>
        </w:rPr>
        <w:t>2.1 招标文件的组成</w:t>
      </w:r>
      <w:bookmarkEnd w:id="145"/>
      <w:bookmarkEnd w:id="146"/>
      <w:bookmarkEnd w:id="147"/>
      <w:bookmarkEnd w:id="148"/>
      <w:bookmarkEnd w:id="149"/>
      <w:bookmarkEnd w:id="150"/>
      <w:bookmarkEnd w:id="151"/>
      <w:bookmarkEnd w:id="152"/>
      <w:bookmarkEnd w:id="153"/>
    </w:p>
    <w:p>
      <w:pPr>
        <w:spacing w:line="360" w:lineRule="auto"/>
        <w:ind w:firstLine="359" w:firstLineChars="171"/>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2.1.1本招标文件包括：</w:t>
      </w:r>
    </w:p>
    <w:p>
      <w:pPr>
        <w:spacing w:line="360" w:lineRule="auto"/>
        <w:ind w:firstLine="359" w:firstLineChars="171"/>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（1）投标人须知；</w:t>
      </w:r>
    </w:p>
    <w:p>
      <w:pPr>
        <w:spacing w:line="360" w:lineRule="auto"/>
        <w:ind w:firstLine="359" w:firstLineChars="171"/>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（2）评标办法；</w:t>
      </w:r>
    </w:p>
    <w:p>
      <w:pPr>
        <w:spacing w:line="360" w:lineRule="auto"/>
        <w:ind w:firstLine="359" w:firstLineChars="171"/>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（3）合同条款及格式；</w:t>
      </w:r>
    </w:p>
    <w:p>
      <w:pPr>
        <w:spacing w:line="360" w:lineRule="auto"/>
        <w:ind w:firstLine="359" w:firstLineChars="171"/>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（4）发包人要求；</w:t>
      </w:r>
    </w:p>
    <w:p>
      <w:pPr>
        <w:spacing w:line="360" w:lineRule="auto"/>
        <w:ind w:firstLine="359" w:firstLineChars="171"/>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（5）投标文件格式；</w:t>
      </w:r>
    </w:p>
    <w:p>
      <w:pPr>
        <w:spacing w:line="360" w:lineRule="auto"/>
        <w:ind w:firstLine="359" w:firstLineChars="171"/>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（6）投标人须知前附表规定的其他资料。</w:t>
      </w:r>
    </w:p>
    <w:p>
      <w:pPr>
        <w:spacing w:line="360" w:lineRule="auto"/>
        <w:ind w:firstLine="359" w:firstLineChars="171"/>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2.1.2根据本章第1.10款、第2.2款和第2.3款对招标文件所作的澄清、修改，构成招标文件的组成部分。</w:t>
      </w:r>
    </w:p>
    <w:p>
      <w:pPr>
        <w:spacing w:line="360" w:lineRule="auto"/>
        <w:ind w:firstLine="359" w:firstLineChars="171"/>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2.1.3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pPr>
        <w:spacing w:line="360" w:lineRule="auto"/>
        <w:ind w:firstLine="359" w:firstLineChars="171"/>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2.1.4投标人一旦中标，招标文件的内容对招标人和中标人双方均有约束力。</w:t>
      </w:r>
    </w:p>
    <w:p>
      <w:pPr>
        <w:spacing w:line="360" w:lineRule="auto"/>
        <w:ind w:firstLine="359" w:firstLineChars="171"/>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2.1.5发布招标公告的同时，通过广州公共资源交易中心网站发布电子招标文件、招标控制价。</w:t>
      </w:r>
    </w:p>
    <w:p>
      <w:pPr>
        <w:spacing w:line="360" w:lineRule="auto"/>
        <w:ind w:firstLine="359" w:firstLineChars="171"/>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2.1.6招标文件一经在广州公共资源交易中心网站发布，视作已发放给所有投标人。</w:t>
      </w:r>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154" w:name="_Toc152042320"/>
      <w:bookmarkStart w:id="155" w:name="_Toc247513968"/>
      <w:bookmarkStart w:id="156" w:name="_Toc152045544"/>
      <w:bookmarkStart w:id="157" w:name="_Toc356469192"/>
      <w:bookmarkStart w:id="158" w:name="_Toc144974512"/>
      <w:bookmarkStart w:id="159" w:name="_Toc362816495"/>
      <w:bookmarkStart w:id="160" w:name="_Toc300834965"/>
      <w:bookmarkStart w:id="161" w:name="_Toc247527569"/>
      <w:bookmarkStart w:id="162" w:name="_Toc357089526"/>
      <w:r>
        <w:rPr>
          <w:rFonts w:hint="eastAsia" w:ascii="宋体" w:hAnsi="宋体" w:eastAsia="宋体" w:cs="宋体"/>
          <w:b/>
          <w:color w:val="auto"/>
          <w:sz w:val="21"/>
          <w:szCs w:val="21"/>
          <w:highlight w:val="none"/>
          <w:shd w:val="clear" w:color="auto" w:fill="auto"/>
        </w:rPr>
        <w:t>2.2 招标文件的澄清</w:t>
      </w:r>
      <w:bookmarkEnd w:id="154"/>
      <w:bookmarkEnd w:id="155"/>
      <w:bookmarkEnd w:id="156"/>
      <w:bookmarkEnd w:id="157"/>
      <w:bookmarkEnd w:id="158"/>
      <w:bookmarkEnd w:id="159"/>
      <w:bookmarkEnd w:id="160"/>
      <w:bookmarkEnd w:id="161"/>
      <w:bookmarkEnd w:id="162"/>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2.2.1 投标人应仔细阅读和检查招标文件的全部内容。如发现缺页或附件不全，应及时向招标人提出，以便补齐。如有疑问，</w:t>
      </w:r>
      <w:r>
        <w:rPr>
          <w:rFonts w:hint="eastAsia" w:ascii="宋体" w:hAnsi="宋体" w:eastAsia="宋体" w:cs="宋体"/>
          <w:color w:val="auto"/>
          <w:sz w:val="21"/>
          <w:szCs w:val="21"/>
          <w:highlight w:val="none"/>
          <w:u w:val="single"/>
          <w:shd w:val="clear" w:color="auto" w:fill="auto"/>
        </w:rPr>
        <w:t>可在规定的时间内通过广州公共资源交易中心网站进入提问区域将问题提交给招标人或招标代理人，提交问题时一律不得署名。</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2.2.2招标人应在投标截止时间15日前解答投标人对招标文件提出的疑问，形成答疑纪要，在交易中心网站“建设工程-项目查询（日程安排、答疑纪要）”专区发布。</w:t>
      </w:r>
    </w:p>
    <w:p>
      <w:pPr>
        <w:pStyle w:val="53"/>
        <w:spacing w:line="360" w:lineRule="auto"/>
        <w:ind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2.2.3招标答疑纪要一经在广州公共资源交易中心网站发布，视作已发放给所有投标人。</w:t>
      </w:r>
    </w:p>
    <w:p>
      <w:pPr>
        <w:pStyle w:val="53"/>
        <w:spacing w:line="360" w:lineRule="auto"/>
        <w:ind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2.2.4招标答疑纪要为招标文件的一部分。投标人可在广州公共资源交易中心网站浏览、下载招标答疑纪要。</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rPr>
        <w:t>2.2.5若招标答疑纪要与招标文件有矛盾时，以广州公共资源交易中心网站最后发布的答疑纪要为准。</w:t>
      </w:r>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163" w:name="_Toc247513969"/>
      <w:bookmarkStart w:id="164" w:name="_Toc357089527"/>
      <w:bookmarkStart w:id="165" w:name="_Toc362816496"/>
      <w:bookmarkStart w:id="166" w:name="_Toc300834966"/>
      <w:bookmarkStart w:id="167" w:name="_Toc247527570"/>
      <w:bookmarkStart w:id="168" w:name="_Toc144974513"/>
      <w:bookmarkStart w:id="169" w:name="_Toc152042321"/>
      <w:bookmarkStart w:id="170" w:name="_Toc152045545"/>
      <w:bookmarkStart w:id="171" w:name="_Toc356469193"/>
      <w:r>
        <w:rPr>
          <w:rFonts w:hint="eastAsia" w:ascii="宋体" w:hAnsi="宋体" w:eastAsia="宋体" w:cs="宋体"/>
          <w:b/>
          <w:color w:val="auto"/>
          <w:sz w:val="21"/>
          <w:szCs w:val="21"/>
          <w:highlight w:val="none"/>
          <w:shd w:val="clear" w:color="auto" w:fill="auto"/>
        </w:rPr>
        <w:t>2.3 招标文件的修改</w:t>
      </w:r>
      <w:bookmarkEnd w:id="163"/>
      <w:bookmarkEnd w:id="164"/>
      <w:bookmarkEnd w:id="165"/>
      <w:bookmarkEnd w:id="166"/>
      <w:bookmarkEnd w:id="167"/>
      <w:bookmarkEnd w:id="168"/>
      <w:bookmarkEnd w:id="169"/>
      <w:bookmarkEnd w:id="170"/>
      <w:bookmarkEnd w:id="171"/>
    </w:p>
    <w:p>
      <w:pPr>
        <w:pStyle w:val="53"/>
        <w:spacing w:line="360" w:lineRule="auto"/>
        <w:ind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2.3.1招标文件发出后,在提交投标文件截止时间15日前，招标人可对招标文件进行必要的澄清或修改。</w:t>
      </w:r>
    </w:p>
    <w:p>
      <w:pPr>
        <w:pStyle w:val="53"/>
        <w:spacing w:line="360" w:lineRule="auto"/>
        <w:ind w:left="-1"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2.3.2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pPr>
        <w:pStyle w:val="53"/>
        <w:spacing w:line="360" w:lineRule="auto"/>
        <w:ind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2.3.3招标文件的澄清、修改均以广州公共资源交易中心网站发布的内容为准。当招标文件的澄清、修改在同一内容的表述不一致时，以广州公共资源交易中心网站最后发布的内容为准。</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2"/>
        <w:spacing w:line="360" w:lineRule="auto"/>
        <w:rPr>
          <w:rFonts w:hint="eastAsia" w:ascii="宋体" w:hAnsi="宋体" w:eastAsia="宋体" w:cs="宋体"/>
          <w:color w:val="auto"/>
          <w:sz w:val="21"/>
          <w:szCs w:val="21"/>
          <w:highlight w:val="none"/>
          <w:shd w:val="clear" w:color="auto" w:fill="auto"/>
        </w:rPr>
      </w:pPr>
      <w:bookmarkStart w:id="172" w:name="_Toc15087"/>
      <w:bookmarkStart w:id="173" w:name="_Toc443505825"/>
      <w:bookmarkStart w:id="174" w:name="_Toc375931087"/>
      <w:bookmarkStart w:id="175" w:name="_Toc26056"/>
      <w:r>
        <w:rPr>
          <w:rFonts w:hint="eastAsia" w:ascii="宋体" w:hAnsi="宋体" w:eastAsia="宋体" w:cs="宋体"/>
          <w:color w:val="auto"/>
          <w:sz w:val="21"/>
          <w:szCs w:val="21"/>
          <w:highlight w:val="none"/>
          <w:shd w:val="clear" w:color="auto" w:fill="auto"/>
        </w:rPr>
        <w:t>3. 投标文件</w:t>
      </w:r>
      <w:bookmarkEnd w:id="172"/>
      <w:bookmarkEnd w:id="173"/>
      <w:bookmarkEnd w:id="174"/>
      <w:bookmarkEnd w:id="175"/>
    </w:p>
    <w:p>
      <w:pPr>
        <w:pStyle w:val="5"/>
        <w:spacing w:line="360" w:lineRule="auto"/>
        <w:ind w:firstLine="103"/>
        <w:rPr>
          <w:rFonts w:hint="eastAsia" w:ascii="宋体" w:hAnsi="宋体" w:eastAsia="宋体" w:cs="宋体"/>
          <w:color w:val="auto"/>
          <w:sz w:val="21"/>
          <w:szCs w:val="21"/>
          <w:highlight w:val="none"/>
          <w:shd w:val="clear" w:color="auto" w:fill="auto"/>
        </w:rPr>
      </w:pPr>
      <w:bookmarkStart w:id="176" w:name="_Toc357089529"/>
      <w:bookmarkStart w:id="177" w:name="_Toc356469195"/>
      <w:bookmarkStart w:id="178" w:name="_Toc247513971"/>
      <w:bookmarkStart w:id="179" w:name="_Toc300834968"/>
      <w:bookmarkStart w:id="180" w:name="_Toc144974515"/>
      <w:bookmarkStart w:id="181" w:name="_Toc247527572"/>
      <w:bookmarkStart w:id="182" w:name="_Toc152045547"/>
      <w:bookmarkStart w:id="183" w:name="_Toc362816498"/>
      <w:bookmarkStart w:id="184" w:name="_Toc152042323"/>
      <w:r>
        <w:rPr>
          <w:rFonts w:hint="eastAsia" w:ascii="宋体" w:hAnsi="宋体" w:eastAsia="宋体" w:cs="宋体"/>
          <w:color w:val="auto"/>
          <w:sz w:val="21"/>
          <w:szCs w:val="21"/>
          <w:highlight w:val="none"/>
          <w:shd w:val="clear" w:color="auto" w:fill="auto"/>
        </w:rPr>
        <w:t>3.1 投标文件的组成</w:t>
      </w:r>
      <w:bookmarkEnd w:id="176"/>
      <w:bookmarkEnd w:id="177"/>
      <w:bookmarkEnd w:id="178"/>
      <w:bookmarkEnd w:id="179"/>
      <w:bookmarkEnd w:id="180"/>
      <w:bookmarkEnd w:id="181"/>
      <w:bookmarkEnd w:id="182"/>
      <w:bookmarkEnd w:id="183"/>
      <w:bookmarkEnd w:id="184"/>
    </w:p>
    <w:p>
      <w:pPr>
        <w:spacing w:beforeLines="50" w:line="360" w:lineRule="auto"/>
        <w:ind w:firstLine="422" w:firstLineChars="200"/>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投标文件由勘察设计技术方案投标文件、工程总承包实施方案（含资格审查）投标文件两部分组成。</w:t>
      </w:r>
    </w:p>
    <w:p>
      <w:pPr>
        <w:spacing w:beforeLines="50" w:line="360" w:lineRule="auto"/>
        <w:ind w:firstLine="422" w:firstLineChars="200"/>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3.1.1勘察设计标投标文件</w:t>
      </w:r>
    </w:p>
    <w:p>
      <w:pPr>
        <w:spacing w:line="360" w:lineRule="auto"/>
        <w:ind w:firstLine="422" w:firstLineChars="200"/>
        <w:rPr>
          <w:rFonts w:hint="eastAsia" w:ascii="宋体" w:hAnsi="宋体" w:eastAsia="宋体" w:cs="宋体"/>
          <w:b/>
          <w:bCs/>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由勘察设计技术方案投标文件组成。</w:t>
      </w:r>
      <w:r>
        <w:rPr>
          <w:rFonts w:hint="eastAsia" w:ascii="宋体" w:hAnsi="宋体" w:eastAsia="宋体" w:cs="宋体"/>
          <w:b/>
          <w:bCs/>
          <w:color w:val="auto"/>
          <w:sz w:val="21"/>
          <w:szCs w:val="21"/>
          <w:highlight w:val="none"/>
          <w:u w:val="single"/>
          <w:shd w:val="clear" w:color="auto" w:fill="auto"/>
        </w:rPr>
        <w:t>（注：</w:t>
      </w:r>
      <w:r>
        <w:rPr>
          <w:rFonts w:hint="eastAsia" w:ascii="宋体" w:hAnsi="宋体" w:eastAsia="宋体" w:cs="宋体"/>
          <w:b/>
          <w:color w:val="auto"/>
          <w:sz w:val="21"/>
          <w:szCs w:val="21"/>
          <w:highlight w:val="none"/>
          <w:u w:val="single"/>
          <w:shd w:val="clear" w:color="auto" w:fill="auto"/>
        </w:rPr>
        <w:t>勘察设计技术方案投标文件</w:t>
      </w:r>
      <w:r>
        <w:rPr>
          <w:rFonts w:hint="eastAsia" w:ascii="宋体" w:hAnsi="宋体" w:eastAsia="宋体" w:cs="宋体"/>
          <w:b/>
          <w:bCs/>
          <w:color w:val="auto"/>
          <w:sz w:val="21"/>
          <w:szCs w:val="21"/>
          <w:highlight w:val="none"/>
          <w:u w:val="single"/>
          <w:shd w:val="clear" w:color="auto" w:fill="auto"/>
        </w:rPr>
        <w:t>评审采用“暗标”形式，具体组成和编制要求如下），</w:t>
      </w:r>
      <w:r>
        <w:rPr>
          <w:rFonts w:hint="eastAsia" w:ascii="宋体" w:hAnsi="宋体" w:eastAsia="宋体" w:cs="宋体"/>
          <w:color w:val="auto"/>
          <w:sz w:val="21"/>
          <w:szCs w:val="21"/>
          <w:highlight w:val="none"/>
          <w:u w:val="single"/>
          <w:shd w:val="clear" w:color="auto" w:fill="auto"/>
        </w:rPr>
        <w:t>主要包括下列内容</w:t>
      </w:r>
      <w:r>
        <w:rPr>
          <w:rFonts w:hint="eastAsia" w:ascii="宋体" w:hAnsi="宋体" w:eastAsia="宋体" w:cs="宋体"/>
          <w:b/>
          <w:bCs/>
          <w:color w:val="auto"/>
          <w:sz w:val="21"/>
          <w:szCs w:val="21"/>
          <w:highlight w:val="none"/>
          <w:u w:val="single"/>
          <w:shd w:val="clear" w:color="auto" w:fill="auto"/>
        </w:rPr>
        <w:t>：</w:t>
      </w:r>
    </w:p>
    <w:p>
      <w:pPr>
        <w:spacing w:beforeLines="50" w:line="360" w:lineRule="auto"/>
        <w:ind w:firstLine="422" w:firstLineChars="200"/>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（1）勘察设计技术方案投标文件：</w:t>
      </w:r>
    </w:p>
    <w:p>
      <w:pPr>
        <w:spacing w:line="360" w:lineRule="auto"/>
        <w:ind w:firstLine="422" w:firstLineChars="200"/>
        <w:rPr>
          <w:rFonts w:hint="eastAsia" w:ascii="宋体" w:hAnsi="宋体" w:eastAsia="宋体" w:cs="宋体"/>
          <w:b/>
          <w:bCs/>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技术方案投标文件评审采用“暗标”形式，技术方案投标文件</w:t>
      </w:r>
      <w:r>
        <w:rPr>
          <w:rFonts w:hint="eastAsia" w:ascii="宋体" w:hAnsi="宋体" w:eastAsia="宋体" w:cs="宋体"/>
          <w:b/>
          <w:bCs/>
          <w:color w:val="auto"/>
          <w:sz w:val="21"/>
          <w:szCs w:val="21"/>
          <w:highlight w:val="none"/>
          <w:u w:val="single"/>
          <w:shd w:val="clear" w:color="auto" w:fill="auto"/>
        </w:rPr>
        <w:t>中不得出现可以辨认投标人及专业技术人员身份的名称、印章、商标、图形等。</w:t>
      </w:r>
      <w:r>
        <w:rPr>
          <w:rFonts w:hint="eastAsia" w:ascii="宋体" w:hAnsi="宋体" w:eastAsia="宋体" w:cs="宋体"/>
          <w:color w:val="auto"/>
          <w:sz w:val="21"/>
          <w:szCs w:val="21"/>
          <w:highlight w:val="none"/>
          <w:u w:val="single"/>
          <w:shd w:val="clear" w:color="auto" w:fill="auto"/>
        </w:rPr>
        <w:t>技术方案投标文件宜包含以下内容:</w:t>
      </w:r>
    </w:p>
    <w:p>
      <w:pPr>
        <w:topLinePunct/>
        <w:spacing w:line="360" w:lineRule="auto"/>
        <w:ind w:left="1079" w:leftChars="164" w:hanging="735" w:hangingChars="35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（a）设计方案，含封面、扉页和目录页，文件大小不宜超过</w:t>
      </w:r>
      <w:r>
        <w:rPr>
          <w:rFonts w:hint="eastAsia" w:ascii="宋体" w:hAnsi="宋体" w:eastAsia="宋体" w:cs="宋体"/>
          <w:color w:val="auto"/>
          <w:sz w:val="21"/>
          <w:szCs w:val="21"/>
          <w:highlight w:val="none"/>
          <w:shd w:val="clear" w:color="auto" w:fill="auto"/>
          <w:lang w:val="en-US" w:eastAsia="zh-CN"/>
        </w:rPr>
        <w:t>300页</w:t>
      </w:r>
      <w:r>
        <w:rPr>
          <w:rFonts w:hint="eastAsia" w:ascii="宋体" w:hAnsi="宋体" w:eastAsia="宋体" w:cs="宋体"/>
          <w:color w:val="auto"/>
          <w:sz w:val="21"/>
          <w:szCs w:val="21"/>
          <w:highlight w:val="none"/>
          <w:shd w:val="clear" w:color="auto" w:fill="auto"/>
        </w:rPr>
        <w:t>。</w:t>
      </w:r>
    </w:p>
    <w:p>
      <w:pPr>
        <w:topLinePunct/>
        <w:spacing w:line="360" w:lineRule="auto"/>
        <w:ind w:left="1079" w:leftChars="164" w:hanging="735" w:hangingChars="35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（b）设计方案文件内容：</w:t>
      </w:r>
    </w:p>
    <w:p>
      <w:pPr>
        <w:topLinePunct/>
        <w:spacing w:line="360" w:lineRule="auto"/>
        <w:ind w:left="945" w:hanging="945" w:hangingChars="45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 封面：写明项目名称、编制年月（白色封面）。</w:t>
      </w:r>
    </w:p>
    <w:p>
      <w:pPr>
        <w:topLinePunct/>
        <w:spacing w:line="360" w:lineRule="auto"/>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 目录。</w:t>
      </w:r>
    </w:p>
    <w:p>
      <w:pPr>
        <w:topLinePunct/>
        <w:spacing w:line="360" w:lineRule="auto"/>
        <w:ind w:firstLine="105" w:firstLineChars="5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 设计说明书（内容包括：项目概况；设计方案主要技术指标响应情况；现状及存在问题的分析；总体构思与总平面设计说明；建筑单体方案设计立意、构思与方案说明；主要技术经济指标的说明；其他必要说明等。）。</w:t>
      </w:r>
    </w:p>
    <w:p>
      <w:pPr>
        <w:topLinePunct/>
        <w:spacing w:line="360" w:lineRule="auto"/>
        <w:ind w:firstLine="630" w:firstLineChars="30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效果图。</w:t>
      </w:r>
    </w:p>
    <w:p>
      <w:pPr>
        <w:topLinePunct/>
        <w:spacing w:line="360" w:lineRule="auto"/>
        <w:ind w:firstLine="630" w:firstLineChars="30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设计图纸。</w:t>
      </w:r>
    </w:p>
    <w:p>
      <w:pPr>
        <w:topLinePunct/>
        <w:spacing w:line="360" w:lineRule="auto"/>
        <w:ind w:firstLine="630" w:firstLineChars="30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投标人认为有必要提供的其他资料。</w:t>
      </w:r>
    </w:p>
    <w:p>
      <w:pPr>
        <w:pStyle w:val="368"/>
        <w:spacing w:line="360" w:lineRule="auto"/>
        <w:ind w:firstLine="421"/>
        <w:jc w:val="left"/>
        <w:rPr>
          <w:rFonts w:hint="eastAsia" w:ascii="宋体" w:hAnsi="宋体" w:eastAsia="宋体" w:cs="宋体"/>
          <w:color w:val="auto"/>
          <w:kern w:val="0"/>
          <w:sz w:val="21"/>
          <w:szCs w:val="21"/>
          <w:highlight w:val="none"/>
          <w:shd w:val="clear" w:color="auto" w:fill="auto"/>
        </w:rPr>
      </w:pPr>
    </w:p>
    <w:p>
      <w:pPr>
        <w:spacing w:beforeLines="50" w:line="360" w:lineRule="auto"/>
        <w:ind w:firstLine="422" w:firstLineChars="200"/>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3.1.2</w:t>
      </w:r>
      <w:r>
        <w:rPr>
          <w:rFonts w:hint="eastAsia" w:ascii="宋体" w:hAnsi="宋体" w:eastAsia="宋体" w:cs="宋体"/>
          <w:b/>
          <w:bCs/>
          <w:color w:val="auto"/>
          <w:sz w:val="21"/>
          <w:szCs w:val="21"/>
          <w:highlight w:val="none"/>
          <w:shd w:val="clear" w:color="auto" w:fill="auto"/>
        </w:rPr>
        <w:t>工程总承包实施方案（含资格审查）投标文件</w:t>
      </w:r>
    </w:p>
    <w:p>
      <w:pPr>
        <w:spacing w:beforeLines="50" w:line="360" w:lineRule="auto"/>
        <w:ind w:firstLine="420" w:firstLineChars="200"/>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应包含但不限于以下内容</w:t>
      </w:r>
      <w:r>
        <w:rPr>
          <w:rFonts w:hint="eastAsia" w:ascii="宋体" w:hAnsi="宋体" w:eastAsia="宋体" w:cs="宋体"/>
          <w:b/>
          <w:color w:val="auto"/>
          <w:sz w:val="21"/>
          <w:szCs w:val="21"/>
          <w:highlight w:val="none"/>
          <w:u w:val="single"/>
          <w:shd w:val="clear" w:color="auto" w:fill="auto"/>
        </w:rPr>
        <w:t>：</w:t>
      </w:r>
    </w:p>
    <w:p>
      <w:pPr>
        <w:numPr>
          <w:ilvl w:val="0"/>
          <w:numId w:val="2"/>
        </w:numPr>
        <w:spacing w:line="360" w:lineRule="auto"/>
        <w:ind w:firstLine="42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封面：标明项目名称、“工程总承包实施方案（含资格</w:t>
      </w:r>
      <w:r>
        <w:rPr>
          <w:rFonts w:hint="eastAsia" w:ascii="宋体" w:hAnsi="宋体" w:eastAsia="宋体" w:cs="宋体"/>
          <w:color w:val="auto"/>
          <w:sz w:val="21"/>
          <w:szCs w:val="21"/>
          <w:highlight w:val="none"/>
          <w:u w:val="single"/>
          <w:shd w:val="clear" w:color="auto" w:fill="auto"/>
          <w:lang w:val="en-US" w:eastAsia="zh-CN"/>
        </w:rPr>
        <w:t>审查</w:t>
      </w:r>
      <w:r>
        <w:rPr>
          <w:rFonts w:hint="eastAsia" w:ascii="宋体" w:hAnsi="宋体" w:eastAsia="宋体" w:cs="宋体"/>
          <w:color w:val="auto"/>
          <w:sz w:val="21"/>
          <w:szCs w:val="21"/>
          <w:highlight w:val="none"/>
          <w:u w:val="single"/>
          <w:shd w:val="clear" w:color="auto" w:fill="auto"/>
        </w:rPr>
        <w:t>）投标文件”字样、投标人单位名称、编制时间等。</w:t>
      </w:r>
    </w:p>
    <w:p>
      <w:pPr>
        <w:numPr>
          <w:ilvl w:val="0"/>
          <w:numId w:val="2"/>
        </w:num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目录</w:t>
      </w:r>
    </w:p>
    <w:p>
      <w:pPr>
        <w:numPr>
          <w:ilvl w:val="0"/>
          <w:numId w:val="2"/>
        </w:num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投标书。勘察设计费投标报价汇总表、设计费计算依据表、岩土工程勘察费报价及计算依据表（格式见第五章）。</w:t>
      </w:r>
    </w:p>
    <w:p>
      <w:pPr>
        <w:spacing w:line="360" w:lineRule="auto"/>
        <w:ind w:firstLine="420" w:firstLineChars="200"/>
        <w:rPr>
          <w:rFonts w:hint="eastAsia" w:ascii="宋体" w:hAnsi="宋体" w:eastAsia="宋体" w:cs="宋体"/>
          <w:strike/>
          <w:color w:val="auto"/>
          <w:sz w:val="21"/>
          <w:szCs w:val="21"/>
          <w:highlight w:val="none"/>
          <w:u w:val="single"/>
          <w:shd w:val="clear" w:color="auto" w:fill="auto"/>
        </w:rPr>
      </w:pPr>
      <w:r>
        <w:rPr>
          <w:rFonts w:hint="eastAsia" w:ascii="宋体" w:hAnsi="宋体" w:eastAsia="宋体" w:cs="宋体"/>
          <w:color w:val="auto"/>
          <w:kern w:val="0"/>
          <w:sz w:val="21"/>
          <w:szCs w:val="21"/>
          <w:highlight w:val="none"/>
          <w:shd w:val="clear" w:color="auto" w:fill="auto"/>
        </w:rPr>
        <w:t xml:space="preserve">（4）资格审查文件（要求见招标公告）  </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（5）法人代表证明书、法人代表签署的本投标文件授权委托证明书。</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（6）投标承诺书。</w:t>
      </w:r>
    </w:p>
    <w:p>
      <w:pPr>
        <w:spacing w:line="360" w:lineRule="auto"/>
        <w:ind w:firstLine="420" w:firstLineChars="200"/>
        <w:jc w:val="left"/>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（7）投标人基本情况表。</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（8）按照招标文件要求填写的《参与编制投标文件人员名单》。</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（9）工程总承包实施方案投标文件（资信部分）证明材料（按附表5《工程总承包实施方案投标文件综合评分表》要求提交）。</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（10）工程总承包实施方案投标文件（技术部分）证明材料（按附表5《工程总承包实施方案投标文件综合评分表》要求提交）。</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（11）投标人认为应该提供的其他资料；</w:t>
      </w:r>
    </w:p>
    <w:p>
      <w:pPr>
        <w:pStyle w:val="5"/>
        <w:spacing w:line="360" w:lineRule="auto"/>
        <w:ind w:firstLine="103"/>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3.2 投标报价</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3.2.1 本工程的投标报价按照第3.2.3.2项所规定的方式。</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3.2.2 投标人应充分了解施工场地的位置、周边环境、道路、装卸、保管、安装限制以及影响投标报价的其他要素。投标人根据投标设计，结合市场情况进行投标报价。</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3.2.3 招标人设有最高投标限价的，投标人的投标报价不得超过最高投标限价。见投标人须知前附表。</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3.2.3.1招标人按照招标需求制定最高投标限价。此处的最高投标限价有两个含义，①最高投标总限价，②勘察设计费最高投标限价（包括勘察费最高投标限价和设计费最高投标限价）、建安费最高投标限价，列于本招标文件第一章中。投标人按照招标人提供的格式报价，其中。勘察设计费、建安费所报金额不得超出招标人规定的相应最高投标限价。</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3.2.3.1.1投标报价未按照规定报价的，其投标文件将作为废标。每一项费用只允许有一个报价，任何有选择的报价或未填报单价的投标文件将不予接受。</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3.2.3.2投标人的投标总报价，包括勘察设计费和建安费。投标人应按照投标人须知前附表第 1.3.2 项的工期要求，在投标人须知前附表第 1.1.4 项的建设地点，完成投标人须知前附表第 1.3.1项的招标范围列明工作的全部费用，包括但不限于完成全部勘察、设计、施工工作、设备购置的成本、利润、税金、技术措施费、大型机械进出场费、风险费以及政策性文件规定费用等，不得以任何理由予以重复计算。</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3.2.4 投标报价的其他要求见投标人须知前附表。</w:t>
      </w:r>
    </w:p>
    <w:p>
      <w:pPr>
        <w:pStyle w:val="5"/>
        <w:spacing w:before="0" w:after="0" w:line="360" w:lineRule="auto"/>
        <w:ind w:firstLine="310" w:firstLineChars="147"/>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3.3 投标有效期</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3.3.1</w:t>
      </w:r>
      <w:r>
        <w:rPr>
          <w:rFonts w:hint="eastAsia" w:ascii="宋体" w:hAnsi="宋体" w:eastAsia="宋体" w:cs="宋体"/>
          <w:color w:val="auto"/>
          <w:sz w:val="21"/>
          <w:szCs w:val="21"/>
          <w:highlight w:val="none"/>
          <w:u w:val="single"/>
          <w:shd w:val="clear" w:color="auto" w:fill="auto"/>
        </w:rPr>
        <w:t>投标有效期按须知前附表的规定。</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3.3.2 在投标有效期内，投标人撤销或修改其投标文件的，应承担招标文件和法律规定的责任。</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3.3.3 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pPr>
        <w:pStyle w:val="5"/>
        <w:spacing w:before="0" w:after="0" w:line="360" w:lineRule="auto"/>
        <w:ind w:firstLine="316" w:firstLineChars="15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3.4 投标担保</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3.4.1 投标人应按投标人须知前附表3.4.1所述的规定金额、时间、担保形式递交投标担保。联合体投标的，其投标担保由牵头人递交，并应符合投标人须知前附表的规定。</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3.4.2 投标人不按本章第3.4.1项要求提交投标担保的，评标委员会将否决其投标。</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3.4.3未中标的投标担保将尽快退还，最迟不超过招标人与中标人签定合同后的5个工作日。中标人的投标担保，在签署合同并按要求提供了履约担保后予以退还。</w:t>
      </w:r>
    </w:p>
    <w:p>
      <w:pPr>
        <w:spacing w:line="360" w:lineRule="auto"/>
        <w:ind w:firstLine="422" w:firstLineChars="20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 xml:space="preserve">3.4.4有下列情形之一的，投标担保将不予退还： </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1.投标人在规定的投标有效期内撤销或修改其投标文件；</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2.投标人提供了虚假的证明材料；</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3.中标候选人放弃中标；</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4.中标人在收到中标通知书后，无正当理由拒签合同或未按招标文件规定提交履约担保。</w:t>
      </w:r>
    </w:p>
    <w:p>
      <w:pPr>
        <w:pStyle w:val="5"/>
        <w:spacing w:before="0" w:after="0" w:line="360" w:lineRule="auto"/>
        <w:ind w:firstLine="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3.5 资格审查</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本项目采用电子化资格后审，由评标委员会负责对投标人的资格进行审查，评标时只对通过资格审查的投标人进行下一阶段的评审。</w:t>
      </w:r>
    </w:p>
    <w:p>
      <w:pPr>
        <w:pStyle w:val="5"/>
        <w:spacing w:before="0" w:after="0" w:line="360" w:lineRule="auto"/>
        <w:ind w:firstLine="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3.6 备选投标方案</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除投标人须知前附表另有规定外，投标人不得递交备选投标方案。</w:t>
      </w:r>
    </w:p>
    <w:p>
      <w:pPr>
        <w:pStyle w:val="5"/>
        <w:spacing w:before="0" w:after="0" w:line="360" w:lineRule="auto"/>
        <w:ind w:firstLine="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3.7 投标文件的编制及份数</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3.7.1</w:t>
      </w:r>
      <w:r>
        <w:rPr>
          <w:rFonts w:hint="eastAsia" w:ascii="宋体" w:hAnsi="宋体" w:eastAsia="宋体" w:cs="宋体"/>
          <w:color w:val="auto"/>
          <w:sz w:val="21"/>
          <w:szCs w:val="21"/>
          <w:highlight w:val="none"/>
          <w:u w:val="single"/>
          <w:shd w:val="clear" w:color="auto" w:fill="auto"/>
        </w:rPr>
        <w:t>投标文件应按第五章“投标文件格式”进行编写，如有必要，可以增加附页，作为投标文件的组成部分。</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3.7.2</w:t>
      </w:r>
      <w:r>
        <w:rPr>
          <w:rFonts w:hint="eastAsia" w:ascii="宋体" w:hAnsi="宋体" w:eastAsia="宋体" w:cs="宋体"/>
          <w:color w:val="auto"/>
          <w:sz w:val="21"/>
          <w:szCs w:val="21"/>
          <w:highlight w:val="none"/>
          <w:u w:val="single"/>
          <w:shd w:val="clear" w:color="auto" w:fill="auto"/>
        </w:rPr>
        <w:t>投标文件的份数按投标人须知前附表规定。</w:t>
      </w:r>
    </w:p>
    <w:p>
      <w:pPr>
        <w:spacing w:line="360" w:lineRule="auto"/>
        <w:ind w:firstLine="422" w:firstLineChars="20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3.7.3 投标文件编制要求：</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（1）</w:t>
      </w:r>
      <w:r>
        <w:rPr>
          <w:rFonts w:hint="eastAsia" w:ascii="宋体" w:hAnsi="宋体" w:eastAsia="宋体" w:cs="宋体"/>
          <w:b/>
          <w:color w:val="auto"/>
          <w:sz w:val="21"/>
          <w:szCs w:val="21"/>
          <w:highlight w:val="none"/>
          <w:u w:val="single"/>
          <w:shd w:val="clear" w:color="auto" w:fill="auto"/>
        </w:rPr>
        <w:t>勘察设计技术方案投标文件要求按本须知第3.1.1款的要求；</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w:t>
      </w:r>
      <w:r>
        <w:rPr>
          <w:rFonts w:hint="eastAsia" w:ascii="宋体" w:hAnsi="宋体" w:eastAsia="宋体" w:cs="宋体"/>
          <w:b/>
          <w:color w:val="auto"/>
          <w:sz w:val="21"/>
          <w:szCs w:val="21"/>
          <w:highlight w:val="none"/>
          <w:u w:val="single"/>
          <w:shd w:val="clear" w:color="auto" w:fill="auto"/>
        </w:rPr>
        <w:t>工程总承包实施方案（含资格审查）投标文件要求按本须知第3.1.2款的要求；</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3.7.4  投标文件应当对招标文件有关招标范围、投标有效期、工期、质量标准、发包人要求等实质性内容作出响应。</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3.7.5投标人采用单位数字证书，按招标文件要求在相应位置加盖电子印章。取消在招标文件中采用个人数字证书和加盖个人电子印章要求，投标文件中需个人签字或盖章的，应在线下完成后扫描上传。按照广州公共资源交易中心网站最新发布的《房屋建筑和市政基础设施工程全流程电子化项目专章》进行操作；</w:t>
      </w:r>
    </w:p>
    <w:p>
      <w:pPr>
        <w:spacing w:line="360" w:lineRule="auto"/>
        <w:ind w:firstLine="422" w:firstLineChars="200"/>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联合体投标时，除《联合体投标协议书》必须联合体各方分别按要求进行签字或盖章外，法定代表人证明书及授权委托证明书由联合体主办方出具，“投标单位”一栏可只填写联合体主办方名称及签字或盖章即可。其他资料若需要签字或盖章的均可由联合体主办方签字或盖章；投标文件封面及其他内容及落款中的“投标人”应填写联合体各方的单位全称【格式表示为：(主)XXXX公司(成)XXXX公司】，可由联合体主办方签字或盖章即可。</w:t>
      </w:r>
    </w:p>
    <w:p>
      <w:pPr>
        <w:spacing w:line="360" w:lineRule="auto"/>
        <w:ind w:firstLine="420" w:firstLineChars="200"/>
        <w:rPr>
          <w:rFonts w:hint="eastAsia" w:ascii="宋体" w:hAnsi="宋体" w:eastAsia="宋体" w:cs="宋体"/>
          <w:color w:val="auto"/>
          <w:sz w:val="21"/>
          <w:szCs w:val="21"/>
          <w:highlight w:val="none"/>
          <w:shd w:val="clear" w:color="auto" w:fill="auto"/>
        </w:rPr>
      </w:pPr>
    </w:p>
    <w:p>
      <w:pPr>
        <w:pStyle w:val="5"/>
        <w:spacing w:line="360" w:lineRule="auto"/>
        <w:ind w:firstLine="103"/>
        <w:rPr>
          <w:rFonts w:hint="eastAsia" w:ascii="宋体" w:hAnsi="宋体" w:eastAsia="宋体" w:cs="宋体"/>
          <w:b/>
          <w:color w:val="auto"/>
          <w:sz w:val="21"/>
          <w:szCs w:val="21"/>
          <w:highlight w:val="none"/>
          <w:shd w:val="clear" w:color="auto" w:fill="auto"/>
        </w:rPr>
      </w:pPr>
      <w:bookmarkStart w:id="185" w:name="_Toc443505826"/>
      <w:r>
        <w:rPr>
          <w:rFonts w:hint="eastAsia" w:ascii="宋体" w:hAnsi="宋体" w:eastAsia="宋体" w:cs="宋体"/>
          <w:b/>
          <w:color w:val="auto"/>
          <w:sz w:val="21"/>
          <w:szCs w:val="21"/>
          <w:highlight w:val="none"/>
          <w:shd w:val="clear" w:color="auto" w:fill="auto"/>
        </w:rPr>
        <w:t>4. 投标</w:t>
      </w:r>
      <w:bookmarkEnd w:id="185"/>
    </w:p>
    <w:p>
      <w:pPr>
        <w:keepNext/>
        <w:keepLines/>
        <w:spacing w:before="260" w:after="260" w:line="360" w:lineRule="auto"/>
        <w:ind w:firstLine="103" w:firstLineChars="49"/>
        <w:outlineLvl w:val="2"/>
        <w:rPr>
          <w:rFonts w:hint="eastAsia" w:ascii="宋体" w:hAnsi="宋体" w:eastAsia="宋体" w:cs="宋体"/>
          <w:b/>
          <w:bCs/>
          <w:color w:val="auto"/>
          <w:sz w:val="21"/>
          <w:szCs w:val="21"/>
          <w:highlight w:val="none"/>
          <w:shd w:val="clear" w:color="auto" w:fill="auto"/>
          <w:lang w:val="zh-CN"/>
        </w:rPr>
      </w:pPr>
      <w:bookmarkStart w:id="186" w:name="_Toc357089537"/>
      <w:bookmarkStart w:id="187" w:name="_Toc362816506"/>
      <w:bookmarkStart w:id="188" w:name="_Toc362816507"/>
      <w:bookmarkStart w:id="189" w:name="_Toc357089538"/>
      <w:r>
        <w:rPr>
          <w:rFonts w:hint="eastAsia" w:ascii="宋体" w:hAnsi="宋体" w:eastAsia="宋体" w:cs="宋体"/>
          <w:b/>
          <w:bCs/>
          <w:color w:val="auto"/>
          <w:sz w:val="21"/>
          <w:szCs w:val="21"/>
          <w:highlight w:val="none"/>
          <w:shd w:val="clear" w:color="auto" w:fill="auto"/>
          <w:lang w:val="zh-CN"/>
        </w:rPr>
        <w:t>4.1 投标文件的密封和标记</w:t>
      </w:r>
      <w:bookmarkEnd w:id="186"/>
      <w:bookmarkEnd w:id="187"/>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4.1.1 投标文件的要求：</w:t>
      </w:r>
    </w:p>
    <w:p>
      <w:pPr>
        <w:spacing w:line="360" w:lineRule="auto"/>
        <w:ind w:firstLine="420" w:firstLineChars="200"/>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（1）</w:t>
      </w:r>
      <w:r>
        <w:rPr>
          <w:rFonts w:hint="eastAsia" w:ascii="宋体" w:hAnsi="宋体" w:eastAsia="宋体" w:cs="宋体"/>
          <w:b/>
          <w:color w:val="auto"/>
          <w:sz w:val="21"/>
          <w:szCs w:val="21"/>
          <w:highlight w:val="none"/>
          <w:u w:val="single"/>
          <w:shd w:val="clear" w:color="auto" w:fill="auto"/>
        </w:rPr>
        <w:t>勘察设计技术方案投标文件（勘察设计技术方案投标文件采用暗标，不得出现可以辨认投标人及专业技术人员身份的名称、印章、商标、图形等记认符号）</w:t>
      </w:r>
      <w:r>
        <w:rPr>
          <w:rFonts w:hint="eastAsia" w:ascii="宋体" w:hAnsi="宋体" w:eastAsia="宋体" w:cs="宋体"/>
          <w:b/>
          <w:color w:val="auto"/>
          <w:sz w:val="21"/>
          <w:szCs w:val="21"/>
          <w:highlight w:val="none"/>
          <w:u w:val="single"/>
          <w:shd w:val="clear" w:color="auto" w:fill="auto"/>
          <w:lang w:eastAsia="zh-CN"/>
        </w:rPr>
        <w:t>，</w:t>
      </w:r>
      <w:r>
        <w:rPr>
          <w:rFonts w:hint="eastAsia" w:ascii="宋体" w:hAnsi="宋体" w:eastAsia="宋体" w:cs="宋体"/>
          <w:b/>
          <w:color w:val="auto"/>
          <w:sz w:val="21"/>
          <w:szCs w:val="21"/>
          <w:highlight w:val="none"/>
          <w:u w:val="single"/>
          <w:shd w:val="clear" w:color="auto" w:fill="auto"/>
          <w:lang w:val="en-US" w:eastAsia="zh-CN"/>
        </w:rPr>
        <w:t>要求见3.1.1</w:t>
      </w:r>
      <w:r>
        <w:rPr>
          <w:rFonts w:hint="eastAsia" w:ascii="宋体" w:hAnsi="宋体" w:eastAsia="宋体" w:cs="宋体"/>
          <w:b/>
          <w:color w:val="auto"/>
          <w:sz w:val="21"/>
          <w:szCs w:val="21"/>
          <w:highlight w:val="none"/>
          <w:u w:val="single"/>
          <w:shd w:val="clear" w:color="auto" w:fill="auto"/>
        </w:rPr>
        <w:t>。</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w:t>
      </w:r>
      <w:r>
        <w:rPr>
          <w:rFonts w:hint="eastAsia" w:ascii="宋体" w:hAnsi="宋体" w:eastAsia="宋体" w:cs="宋体"/>
          <w:bCs/>
          <w:color w:val="auto"/>
          <w:sz w:val="21"/>
          <w:szCs w:val="21"/>
          <w:highlight w:val="none"/>
          <w:u w:val="single"/>
          <w:shd w:val="clear" w:color="auto" w:fill="auto"/>
        </w:rPr>
        <w:t>工程总承包实施方案（含资格审查）投标文件</w:t>
      </w:r>
      <w:r>
        <w:rPr>
          <w:rFonts w:hint="eastAsia" w:ascii="宋体" w:hAnsi="宋体" w:eastAsia="宋体" w:cs="宋体"/>
          <w:color w:val="auto"/>
          <w:sz w:val="21"/>
          <w:szCs w:val="21"/>
          <w:highlight w:val="none"/>
          <w:u w:val="single"/>
          <w:shd w:val="clear" w:color="auto" w:fill="auto"/>
        </w:rPr>
        <w:t xml:space="preserve">封面标注“[项目名称] </w:t>
      </w:r>
      <w:r>
        <w:rPr>
          <w:rFonts w:hint="eastAsia" w:ascii="宋体" w:hAnsi="宋体" w:eastAsia="宋体" w:cs="宋体"/>
          <w:bCs/>
          <w:color w:val="auto"/>
          <w:sz w:val="21"/>
          <w:szCs w:val="21"/>
          <w:highlight w:val="none"/>
          <w:u w:val="single"/>
          <w:shd w:val="clear" w:color="auto" w:fill="auto"/>
        </w:rPr>
        <w:t>工程总承包实施方案（含资格审查）投标文件</w:t>
      </w:r>
      <w:r>
        <w:rPr>
          <w:rFonts w:hint="eastAsia" w:ascii="宋体" w:hAnsi="宋体" w:eastAsia="宋体" w:cs="宋体"/>
          <w:color w:val="auto"/>
          <w:sz w:val="21"/>
          <w:szCs w:val="21"/>
          <w:highlight w:val="none"/>
          <w:u w:val="single"/>
          <w:shd w:val="clear" w:color="auto" w:fill="auto"/>
        </w:rPr>
        <w:t>” 字样、投标人名称及加盖投标人公章，法定代表人或其授权的代理人签字或盖章。</w:t>
      </w:r>
    </w:p>
    <w:bookmarkEnd w:id="188"/>
    <w:bookmarkEnd w:id="189"/>
    <w:p>
      <w:pPr>
        <w:keepNext/>
        <w:keepLines/>
        <w:spacing w:before="260" w:after="260" w:line="360" w:lineRule="auto"/>
        <w:ind w:firstLine="103" w:firstLineChars="49"/>
        <w:outlineLvl w:val="2"/>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zh-CN"/>
        </w:rPr>
        <w:t>4.2 投标文件的递交、封存、投标登记</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4.2.1 </w:t>
      </w:r>
      <w:r>
        <w:rPr>
          <w:rFonts w:hint="eastAsia" w:ascii="宋体" w:hAnsi="宋体" w:eastAsia="宋体" w:cs="宋体"/>
          <w:color w:val="auto"/>
          <w:sz w:val="21"/>
          <w:szCs w:val="21"/>
          <w:highlight w:val="none"/>
          <w:u w:val="single"/>
          <w:shd w:val="clear" w:color="auto" w:fill="auto"/>
        </w:rPr>
        <w:t>投标人应按投标人须知前附表所规定的时间和地点向招标人递交投标文件</w:t>
      </w:r>
      <w:r>
        <w:rPr>
          <w:rFonts w:hint="eastAsia" w:ascii="宋体" w:hAnsi="宋体" w:eastAsia="宋体" w:cs="宋体"/>
          <w:color w:val="auto"/>
          <w:sz w:val="21"/>
          <w:szCs w:val="21"/>
          <w:highlight w:val="none"/>
          <w:shd w:val="clear" w:color="auto" w:fill="auto"/>
        </w:rPr>
        <w:t>。</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 xml:space="preserve">4.2.2 </w:t>
      </w:r>
      <w:r>
        <w:rPr>
          <w:rFonts w:hint="eastAsia" w:ascii="宋体" w:hAnsi="宋体" w:eastAsia="宋体" w:cs="宋体"/>
          <w:color w:val="auto"/>
          <w:sz w:val="21"/>
          <w:szCs w:val="21"/>
          <w:highlight w:val="none"/>
          <w:u w:val="single"/>
          <w:shd w:val="clear" w:color="auto" w:fill="auto"/>
        </w:rPr>
        <w:t>投标人递交投标文件的地点：见投标人须知前附表。</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4.2.3 除投标人须知前附表另有规定外，投标人所递交的投标文件不予退还。</w:t>
      </w:r>
    </w:p>
    <w:p>
      <w:pPr>
        <w:spacing w:line="360" w:lineRule="auto"/>
        <w:ind w:firstLine="422" w:firstLineChars="200"/>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4.2.4 若出现以下情况，招标人将拒绝接收投标文件：</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（1）在投标截止期后逾期或未在指定地点递交投标文件的；</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4.2.5投标截止前，招标人拒绝接收符合条件的投标文件，投标人可向招标监督机构投诉。</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4.2.6到投标截止时间止，若收到的投标文件少于3家的，本项目招标失败，将依法重新招标。</w:t>
      </w:r>
    </w:p>
    <w:p>
      <w:pPr>
        <w:keepNext/>
        <w:keepLines/>
        <w:spacing w:before="260" w:after="260" w:line="360" w:lineRule="auto"/>
        <w:ind w:firstLine="103" w:firstLineChars="49"/>
        <w:outlineLvl w:val="2"/>
        <w:rPr>
          <w:rFonts w:hint="eastAsia" w:ascii="宋体" w:hAnsi="宋体" w:eastAsia="宋体" w:cs="宋体"/>
          <w:b/>
          <w:bCs/>
          <w:color w:val="auto"/>
          <w:sz w:val="21"/>
          <w:szCs w:val="21"/>
          <w:highlight w:val="none"/>
          <w:shd w:val="clear" w:color="auto" w:fill="auto"/>
          <w:lang w:val="zh-CN"/>
        </w:rPr>
      </w:pPr>
      <w:bookmarkStart w:id="190" w:name="_Toc362816508"/>
      <w:bookmarkStart w:id="191" w:name="_Toc357089539"/>
      <w:r>
        <w:rPr>
          <w:rFonts w:hint="eastAsia" w:ascii="宋体" w:hAnsi="宋体" w:eastAsia="宋体" w:cs="宋体"/>
          <w:b/>
          <w:bCs/>
          <w:color w:val="auto"/>
          <w:sz w:val="21"/>
          <w:szCs w:val="21"/>
          <w:highlight w:val="none"/>
          <w:shd w:val="clear" w:color="auto" w:fill="auto"/>
          <w:lang w:val="zh-CN"/>
        </w:rPr>
        <w:t>4.3 投标文件的修改与撤回</w:t>
      </w:r>
      <w:bookmarkEnd w:id="190"/>
      <w:bookmarkEnd w:id="191"/>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4.3.1 在投标人须知前附表第4.2.1项规定的投标截止时间前，投标人可以修改或撤回已递交的投标文件，但应以书面形式通知招标人。</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4.3.2 投标人修改或撤回已递交投标文件的书面通知应按照本章第3.7.3项的要求签字或盖章。招标人收到书面通知后，向投标人出具签收凭证。</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4.3.3 投标人撤回投标文件的，招标人自收到投标人书面撤回通知之日起5日内退还已收取的投标担保。</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4.3.4 修改的内容为投标文件的组成部分。修改的投标文件应按照本章第3条、第4条规定进行编制、密封、标记和递交，并标明“修改”字样。</w:t>
      </w:r>
    </w:p>
    <w:p>
      <w:pPr>
        <w:keepNext/>
        <w:keepLines/>
        <w:spacing w:line="360" w:lineRule="auto"/>
        <w:outlineLvl w:val="1"/>
        <w:rPr>
          <w:rFonts w:hint="eastAsia" w:ascii="宋体" w:hAnsi="宋体" w:eastAsia="宋体" w:cs="宋体"/>
          <w:b/>
          <w:bCs/>
          <w:color w:val="auto"/>
          <w:sz w:val="21"/>
          <w:szCs w:val="21"/>
          <w:highlight w:val="none"/>
          <w:shd w:val="clear" w:color="auto" w:fill="auto"/>
        </w:rPr>
      </w:pPr>
      <w:bookmarkStart w:id="192" w:name="_Toc505152691"/>
      <w:bookmarkStart w:id="193" w:name="_Toc16007"/>
      <w:bookmarkStart w:id="194" w:name="_Toc16535"/>
      <w:bookmarkStart w:id="195" w:name="_Toc443505827"/>
      <w:bookmarkStart w:id="196" w:name="_Toc480225652"/>
      <w:r>
        <w:rPr>
          <w:rFonts w:hint="eastAsia" w:ascii="宋体" w:hAnsi="宋体" w:eastAsia="宋体" w:cs="宋体"/>
          <w:b/>
          <w:bCs/>
          <w:color w:val="auto"/>
          <w:sz w:val="21"/>
          <w:szCs w:val="21"/>
          <w:highlight w:val="none"/>
          <w:shd w:val="clear" w:color="auto" w:fill="auto"/>
        </w:rPr>
        <w:t>5. 开标</w:t>
      </w:r>
      <w:bookmarkEnd w:id="192"/>
      <w:bookmarkEnd w:id="193"/>
      <w:bookmarkEnd w:id="194"/>
      <w:bookmarkEnd w:id="195"/>
      <w:bookmarkEnd w:id="196"/>
    </w:p>
    <w:p>
      <w:pPr>
        <w:keepNext/>
        <w:keepLines/>
        <w:spacing w:line="360" w:lineRule="auto"/>
        <w:outlineLvl w:val="2"/>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zh-CN"/>
        </w:rPr>
        <w:t>5.1 开标时间和地点</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招标人在投标人须知前附表5.1规定的开标时间和地点公开开标，并邀请所有投标人的法定代表人或其委托代理人准时参加。投标人（法定代表人或其委托代理人）可自行决定是否参加开标。投标人不参加的，视为认可开标过程及结果。</w:t>
      </w:r>
    </w:p>
    <w:p>
      <w:pPr>
        <w:keepNext/>
        <w:keepLines/>
        <w:spacing w:before="260" w:after="260" w:line="360" w:lineRule="auto"/>
        <w:ind w:firstLine="103" w:firstLineChars="49"/>
        <w:outlineLvl w:val="2"/>
        <w:rPr>
          <w:rFonts w:hint="eastAsia" w:ascii="宋体" w:hAnsi="宋体" w:eastAsia="宋体" w:cs="宋体"/>
          <w:b/>
          <w:bCs/>
          <w:color w:val="auto"/>
          <w:sz w:val="21"/>
          <w:szCs w:val="21"/>
          <w:highlight w:val="none"/>
          <w:u w:val="single"/>
          <w:shd w:val="clear" w:color="auto" w:fill="auto"/>
          <w:lang w:val="zh-CN"/>
        </w:rPr>
      </w:pPr>
      <w:r>
        <w:rPr>
          <w:rFonts w:hint="eastAsia" w:ascii="宋体" w:hAnsi="宋体" w:eastAsia="宋体" w:cs="宋体"/>
          <w:b/>
          <w:bCs/>
          <w:color w:val="auto"/>
          <w:sz w:val="21"/>
          <w:szCs w:val="21"/>
          <w:highlight w:val="none"/>
          <w:u w:val="single"/>
          <w:shd w:val="clear" w:color="auto" w:fill="auto"/>
          <w:lang w:val="zh-CN"/>
        </w:rPr>
        <w:t>5.2 开标和评标程序</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主持人按下列程序进行开标：</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（1）</w:t>
      </w:r>
      <w:r>
        <w:rPr>
          <w:rFonts w:hint="eastAsia" w:ascii="宋体" w:hAnsi="宋体" w:eastAsia="宋体" w:cs="宋体"/>
          <w:b/>
          <w:bCs/>
          <w:color w:val="auto"/>
          <w:sz w:val="21"/>
          <w:szCs w:val="21"/>
          <w:highlight w:val="none"/>
          <w:u w:val="single"/>
          <w:shd w:val="clear" w:color="auto" w:fill="auto"/>
        </w:rPr>
        <w:t>在投标截止时间后一小时内，投标人通过递交投标文件的交易平台对已递交的电子投标文件进行解密。</w:t>
      </w:r>
      <w:r>
        <w:rPr>
          <w:rFonts w:hint="eastAsia" w:ascii="宋体" w:hAnsi="宋体" w:eastAsia="宋体" w:cs="宋体"/>
          <w:color w:val="auto"/>
          <w:sz w:val="21"/>
          <w:szCs w:val="21"/>
          <w:highlight w:val="none"/>
          <w:u w:val="single"/>
          <w:shd w:val="clear" w:color="auto" w:fill="auto"/>
        </w:rPr>
        <w:t>投标人完成解密后，再由招标人进行解密（投标人只用执行一次解密，招标人执行解密次数根据招标文件开标次数确定）。</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解密完成后，公布：a投标人名称；b投标文件递交情况；c投标文件解密情况；d投标担保递交情况；e项目负责人、设计负责人、施工负责人、专职安全员；f投标报价（含勘察报价、设计报价和施工报价）；g工期；h投标人的加密打包投标文件电脑机器特征码等主要内容，并记录在案。未在规定时间内解密的投标文件不参与开标、评标。</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（3）截标后，开标开始时间因故推迟的，相关评标信息仍以原定的开标开始时间的信息为准。</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（4）备用光盘的读取按“10 电子招标投标”第6点的规定执行。</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5）开标方式采用电子开标和现场开标两种模式，投标人可选择在开标室参与开标或准时在线参加开标，也可不参加开标。参加在线开标的投标人登录广州公共资源交易中心数字交易平台实时查看开标、唱标情况。广州公共资源交易中心数字交易平台生成开标记录并向社会公众公布。</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6）参加现场开标的投标人对开标结果有异议的，应当在开标现场提出，招标人应当当场作出答复，并制作记录。参加在线开标的投标人对开标结果有异议的，应当在唱标结束后的规定时间内、使用单位数字证书登录广州公共资源交易中心数字交易平台后通过广州公共资源交易中心数字交易平台提出。招标人授权招标代理机构工作人员使用招标代理机构数字证书登录广州公共资源交易中心数字交易平台答复异议，异议答复是招标人真实意思表示。未答复的，开标程序不得结束。</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（7）投标人未参加开标或在规定的时间内未提出异议的，视为对开标无异议。</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（8）开标时，两个（含两个）以上的投标人加密打包投标文件电脑机器特征码一致的，不参与下一程序，并由评标委员会否决其投标。</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9）投标文件（设计方案）开标时不得开启，在评标时由广州公共资源交易中心数字交易平台随机编号后开启，交由评标委员会进行评审。编号所对应的投标人在设计方案评审结束前不得告知评标委员会、广州公共资源交易中心数字交易平台工作人员、招标人或招标代理机构。</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（10）开标时，出现下列情形之一的，不参与资格审查和评标：</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rPr>
        <w:t>1、未按招标文件要求提供投标担保的；</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2、投标截止时间前未完成投标文件传输的或因投标人之外的原因造成投标文件未解密且未按要求递交备用光盘的；</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3、因投标人原因造成投标文件未解密或未在规定的时间内解密的。</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注：1、采用现金汇（转）方式的，由广州公共资源交易中心代收投标保证金的，其缴纳情况以广州公共资源交易中心数据库记录的信息为准。缴费的操作详见广州公共资源交易中心公布的《投标人基本账户保证金操作指引》。</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如采用投标保函或投标保证保险的形式提交投标保证金的，在开标前不强制要求提交纸质原件，由中标候选人在中标候选人公示前提交并在网上公示，但投标人应在投标文件中提交投标保函或投标保证保险扫描件并加盖投标人印章。</w:t>
      </w:r>
    </w:p>
    <w:p>
      <w:pPr>
        <w:keepNext/>
        <w:keepLines/>
        <w:spacing w:line="360" w:lineRule="auto"/>
        <w:outlineLvl w:val="2"/>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zh-CN"/>
        </w:rPr>
        <w:t>5.3 开标异议</w:t>
      </w:r>
    </w:p>
    <w:p>
      <w:pPr>
        <w:spacing w:line="360" w:lineRule="auto"/>
        <w:ind w:firstLine="42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参加现场开标的投标人对开标结果有异议的，应当在开标现场提出，招标人应当当场作出答复，并制作记录。参加在线开标的投标人对开标结果有异议的，应当在唱标结束后的规定时间内、使用单位数字证书登录广州公共资源交易中心数字交易平台后通过广州公共资源交易中心数字交易平台提出。招标人授权招标代理机构工作人员使用招标代理机构数字证书登录广州公共资源交易中心数字交易平台答复异议，异议答复是招标人真实意思表示。未答复的，开标程序不得结束。</w:t>
      </w:r>
    </w:p>
    <w:p>
      <w:pPr>
        <w:keepNext/>
        <w:keepLines/>
        <w:spacing w:line="360" w:lineRule="auto"/>
        <w:outlineLvl w:val="1"/>
        <w:rPr>
          <w:rFonts w:hint="eastAsia" w:ascii="宋体" w:hAnsi="宋体" w:eastAsia="宋体" w:cs="宋体"/>
          <w:b/>
          <w:bCs/>
          <w:color w:val="auto"/>
          <w:sz w:val="21"/>
          <w:szCs w:val="21"/>
          <w:highlight w:val="none"/>
          <w:shd w:val="clear" w:color="auto" w:fill="auto"/>
        </w:rPr>
      </w:pPr>
      <w:bookmarkStart w:id="197" w:name="_Toc19703"/>
      <w:bookmarkStart w:id="198" w:name="_Toc31673"/>
      <w:bookmarkStart w:id="199" w:name="_Toc505152692"/>
      <w:bookmarkStart w:id="200" w:name="_Toc443505828"/>
      <w:bookmarkStart w:id="201" w:name="_Toc480225653"/>
      <w:r>
        <w:rPr>
          <w:rFonts w:hint="eastAsia" w:ascii="宋体" w:hAnsi="宋体" w:eastAsia="宋体" w:cs="宋体"/>
          <w:b/>
          <w:bCs/>
          <w:color w:val="auto"/>
          <w:sz w:val="21"/>
          <w:szCs w:val="21"/>
          <w:highlight w:val="none"/>
          <w:shd w:val="clear" w:color="auto" w:fill="auto"/>
        </w:rPr>
        <w:t>6. 评标</w:t>
      </w:r>
      <w:bookmarkEnd w:id="197"/>
      <w:bookmarkEnd w:id="198"/>
      <w:bookmarkEnd w:id="199"/>
      <w:bookmarkEnd w:id="200"/>
      <w:bookmarkEnd w:id="201"/>
    </w:p>
    <w:p>
      <w:pPr>
        <w:keepNext/>
        <w:keepLines/>
        <w:spacing w:line="360" w:lineRule="auto"/>
        <w:outlineLvl w:val="2"/>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zh-CN"/>
        </w:rPr>
        <w:t>6.1 评标委员会</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6.1.1评标由招标人依法组建的评标委员会负责，分设计评审组、施工评审组，</w:t>
      </w:r>
      <w:r>
        <w:rPr>
          <w:rFonts w:hint="eastAsia" w:ascii="宋体" w:hAnsi="宋体" w:eastAsia="宋体" w:cs="宋体"/>
          <w:color w:val="auto"/>
          <w:sz w:val="21"/>
          <w:szCs w:val="21"/>
          <w:highlight w:val="none"/>
          <w:u w:val="single"/>
          <w:shd w:val="clear" w:color="auto" w:fill="auto"/>
        </w:rPr>
        <w:t>资格审查由施工评审组负责</w:t>
      </w:r>
      <w:r>
        <w:rPr>
          <w:rFonts w:hint="eastAsia" w:ascii="宋体" w:hAnsi="宋体" w:eastAsia="宋体" w:cs="宋体"/>
          <w:color w:val="auto"/>
          <w:sz w:val="21"/>
          <w:szCs w:val="21"/>
          <w:highlight w:val="none"/>
          <w:shd w:val="clear" w:color="auto" w:fill="auto"/>
        </w:rPr>
        <w:t>。</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6.1.2</w:t>
      </w:r>
      <w:r>
        <w:rPr>
          <w:rFonts w:hint="eastAsia" w:ascii="宋体" w:hAnsi="宋体" w:eastAsia="宋体" w:cs="宋体"/>
          <w:color w:val="auto"/>
          <w:sz w:val="21"/>
          <w:szCs w:val="21"/>
          <w:highlight w:val="none"/>
          <w:u w:val="single"/>
          <w:shd w:val="clear" w:color="auto" w:fill="auto"/>
        </w:rPr>
        <w:t>评标委员会设计评审组依法组建。</w:t>
      </w:r>
    </w:p>
    <w:p>
      <w:pPr>
        <w:spacing w:line="360" w:lineRule="auto"/>
        <w:ind w:firstLine="1050" w:firstLineChars="5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施工组评标委员会依法组建。</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6.1.3 评标委员会成员有下列情形之一的，应当回避：</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（1）投标人或投标人主要负责人的近亲属；</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（2）项目主管部门或者行政监督部门的人员；</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（3）与投标人有经济利益关系，可能影响对投标公正评审的；</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（4）曾因在招标、评标以及其他与招标投标有关活动中从事违法行为而受过行政处罚或刑事处罚的；</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（5）与投标人有其他利害关系。</w:t>
      </w:r>
    </w:p>
    <w:p>
      <w:pPr>
        <w:keepNext/>
        <w:keepLines/>
        <w:spacing w:line="360" w:lineRule="auto"/>
        <w:outlineLvl w:val="2"/>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zh-CN"/>
        </w:rPr>
        <w:t>6.2 评标原则</w:t>
      </w:r>
      <w:r>
        <w:rPr>
          <w:rFonts w:hint="eastAsia" w:ascii="宋体" w:hAnsi="宋体" w:eastAsia="宋体" w:cs="宋体"/>
          <w:b/>
          <w:bCs/>
          <w:color w:val="auto"/>
          <w:sz w:val="21"/>
          <w:szCs w:val="21"/>
          <w:highlight w:val="none"/>
          <w:shd w:val="clear" w:color="auto" w:fill="auto"/>
          <w:lang w:val="zh-CN"/>
        </w:rPr>
        <w:tab/>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评标活动遵循公平、公正、科学和择优的原则。</w:t>
      </w:r>
    </w:p>
    <w:p>
      <w:pPr>
        <w:keepNext/>
        <w:keepLines/>
        <w:spacing w:line="360" w:lineRule="auto"/>
        <w:outlineLvl w:val="2"/>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zh-CN"/>
        </w:rPr>
        <w:t>6.3 评标</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评标委员会按照第二章“评标办法”规定的方法、评审因素、标准和程序对投标文件进行评审。第二章“评标办法”没有规定的方法、评审因素和标准，不作为评标依据。</w:t>
      </w:r>
    </w:p>
    <w:p>
      <w:pPr>
        <w:keepNext/>
        <w:keepLines/>
        <w:spacing w:line="360" w:lineRule="auto"/>
        <w:outlineLvl w:val="1"/>
        <w:rPr>
          <w:rFonts w:hint="eastAsia" w:ascii="宋体" w:hAnsi="宋体" w:eastAsia="宋体" w:cs="宋体"/>
          <w:b/>
          <w:bCs/>
          <w:color w:val="auto"/>
          <w:sz w:val="21"/>
          <w:szCs w:val="21"/>
          <w:highlight w:val="none"/>
          <w:shd w:val="clear" w:color="auto" w:fill="auto"/>
        </w:rPr>
      </w:pPr>
      <w:bookmarkStart w:id="202" w:name="_Toc505152693"/>
      <w:bookmarkStart w:id="203" w:name="_Toc18436"/>
      <w:bookmarkStart w:id="204" w:name="_Toc480225654"/>
      <w:bookmarkStart w:id="205" w:name="_Toc10882"/>
      <w:bookmarkStart w:id="206" w:name="_Toc443505829"/>
      <w:r>
        <w:rPr>
          <w:rFonts w:hint="eastAsia" w:ascii="宋体" w:hAnsi="宋体" w:eastAsia="宋体" w:cs="宋体"/>
          <w:b/>
          <w:bCs/>
          <w:color w:val="auto"/>
          <w:sz w:val="21"/>
          <w:szCs w:val="21"/>
          <w:highlight w:val="none"/>
          <w:shd w:val="clear" w:color="auto" w:fill="auto"/>
        </w:rPr>
        <w:t>7. 合同授予</w:t>
      </w:r>
      <w:bookmarkEnd w:id="202"/>
      <w:bookmarkEnd w:id="203"/>
      <w:bookmarkEnd w:id="204"/>
      <w:bookmarkEnd w:id="205"/>
      <w:bookmarkEnd w:id="206"/>
    </w:p>
    <w:p>
      <w:pPr>
        <w:keepNext/>
        <w:keepLines/>
        <w:spacing w:line="360" w:lineRule="auto"/>
        <w:outlineLvl w:val="2"/>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zh-CN"/>
        </w:rPr>
        <w:t>7.1 定标方式</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7.1.1除投标人须知前附表规定评标委员会直接确定中标人外，招标人依据评标委员会推荐的中标候选人确定中标人，评标委员会推荐中标候选人的人数见投标人须知前附表。</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7.1.2 依法必须进行公开招标的项目，招标人应当确定排名第一的中标候选人为中标人。</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7.1.3</w:t>
      </w:r>
      <w:r>
        <w:rPr>
          <w:rFonts w:hint="eastAsia" w:ascii="宋体" w:hAnsi="宋体" w:eastAsia="宋体" w:cs="宋体"/>
          <w:color w:val="auto"/>
          <w:sz w:val="21"/>
          <w:szCs w:val="21"/>
          <w:highlight w:val="none"/>
          <w:u w:val="single"/>
          <w:shd w:val="clear" w:color="auto" w:fill="auto"/>
        </w:rPr>
        <w:t>排名第一的中标候选人放弃中标、因不可抗力不能履行合同、不按照招标文件要求提交履约保证金，或经核查发现委派的项目负责人已在其他在建项目中任职的，或者被查实存在影响中标结果的违法行为等情形，不符合中标条件的，招标人可以按照评标委员会提出的中标候选人名单排序依次确定其他中标候选人为中标人，也可以重新招标。</w:t>
      </w:r>
    </w:p>
    <w:p>
      <w:pPr>
        <w:keepNext/>
        <w:keepLines/>
        <w:spacing w:line="360" w:lineRule="auto"/>
        <w:outlineLvl w:val="2"/>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zh-CN"/>
        </w:rPr>
        <w:t>7.2 中标候选人公示</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7.2.1招标人在投标人须知前附表规定的媒介公示中标候选人。</w:t>
      </w:r>
    </w:p>
    <w:p>
      <w:pPr>
        <w:keepNext/>
        <w:keepLines/>
        <w:spacing w:line="360" w:lineRule="auto"/>
        <w:outlineLvl w:val="2"/>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zh-CN"/>
        </w:rPr>
        <w:t>7.3 中标通知</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7.3.1 评标公示后，在本章第3.3 款规定的投标有效期内，招标人以书面形式向中标人发出中标通知书，中标通知书发出前须经广州公共资源交易中心（广州市天河区天润路333号）盖章确认。</w:t>
      </w:r>
    </w:p>
    <w:p>
      <w:pPr>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7.3.2 招标人应当自确定中标人后，向招投标监管机构提交招标投标情况的书面报告；经招投标监管机构备案后，方可发出中标通知书。中标通知书由招标人颁发，并经广州公共资源交易中心确认。</w:t>
      </w:r>
    </w:p>
    <w:p>
      <w:pPr>
        <w:keepNext/>
        <w:keepLines/>
        <w:spacing w:line="360" w:lineRule="auto"/>
        <w:outlineLvl w:val="2"/>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zh-CN"/>
        </w:rPr>
        <w:t>7.4 履约担保</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7.4.1在签订合同后15天内，中标人应按投标人须知前附表规定的担保形式向招标人提交履约担保。除投标人须知前附表另有规定外，履约担保金额为中标合同金额的10%。</w:t>
      </w:r>
      <w:r>
        <w:rPr>
          <w:rFonts w:hint="eastAsia" w:ascii="宋体" w:hAnsi="宋体" w:eastAsia="宋体" w:cs="宋体"/>
          <w:color w:val="auto"/>
          <w:sz w:val="21"/>
          <w:szCs w:val="21"/>
          <w:highlight w:val="none"/>
          <w:u w:val="single"/>
          <w:shd w:val="clear" w:color="auto" w:fill="auto"/>
        </w:rPr>
        <w:t>履约担保和预付款担保均指施工部分，勘察和设计无需担保。</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7.4.2 中标人不能按本章第7.4.1项要求提交履约担保的，视为放弃中标，其投标担保不予退还，给招标人造成的损失超过投标担保数额的，中标人还应当对超过部分予以赔偿。</w:t>
      </w:r>
    </w:p>
    <w:p>
      <w:pPr>
        <w:keepNext/>
        <w:keepLines/>
        <w:spacing w:line="360" w:lineRule="auto"/>
        <w:outlineLvl w:val="2"/>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zh-CN"/>
        </w:rPr>
        <w:t>7.5 签订合同</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7.5.1 招标人和中标人应当自中标通知书发出之日起30天内，根据招标文件和中标人的投标文件订立书面合同。中标人无正当理由拒签合同的，招标人取消其中标资格，其投标担保不予退还；给招标人造成的损失超过投标担保数额的，中标人还应当对超过部分予以赔偿。 </w:t>
      </w:r>
    </w:p>
    <w:p>
      <w:pPr>
        <w:pStyle w:val="2"/>
        <w:spacing w:before="0" w:after="0" w:line="360" w:lineRule="auto"/>
        <w:ind w:firstLine="420" w:firstLineChars="200"/>
        <w:rPr>
          <w:rFonts w:hint="eastAsia" w:ascii="宋体" w:hAnsi="宋体" w:eastAsia="宋体" w:cs="宋体"/>
          <w:b w:val="0"/>
          <w:bCs w:val="0"/>
          <w:color w:val="auto"/>
          <w:sz w:val="21"/>
          <w:szCs w:val="21"/>
          <w:highlight w:val="none"/>
          <w:shd w:val="clear" w:color="auto" w:fill="auto"/>
        </w:rPr>
      </w:pPr>
      <w:bookmarkStart w:id="207" w:name="_Toc14798"/>
      <w:bookmarkStart w:id="208" w:name="_Toc19839"/>
      <w:r>
        <w:rPr>
          <w:rFonts w:hint="eastAsia" w:ascii="宋体" w:hAnsi="宋体" w:eastAsia="宋体" w:cs="宋体"/>
          <w:b w:val="0"/>
          <w:bCs w:val="0"/>
          <w:color w:val="auto"/>
          <w:sz w:val="21"/>
          <w:szCs w:val="21"/>
          <w:highlight w:val="none"/>
          <w:shd w:val="clear" w:color="auto" w:fill="auto"/>
        </w:rPr>
        <w:t>7.5.2 发出中标通知书后，招标人无正当理由拒签合同的，招标人向中标人退还投标担保；给中标人造成损失的，还应当赔偿损失。</w:t>
      </w:r>
      <w:bookmarkEnd w:id="207"/>
      <w:bookmarkEnd w:id="208"/>
    </w:p>
    <w:p>
      <w:pPr>
        <w:spacing w:line="360" w:lineRule="auto"/>
        <w:ind w:firstLine="420" w:firstLineChars="200"/>
        <w:rPr>
          <w:rFonts w:hint="eastAsia" w:ascii="宋体" w:hAnsi="宋体" w:eastAsia="宋体" w:cs="宋体"/>
          <w:b/>
          <w:bCs/>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7.5.3 如本工程委托代建单位(项目建设管理单位)，则可由代建单位作为发包人与中标人签订合同。</w:t>
      </w:r>
    </w:p>
    <w:p>
      <w:pPr>
        <w:keepNext/>
        <w:keepLines/>
        <w:spacing w:line="360" w:lineRule="auto"/>
        <w:outlineLvl w:val="1"/>
        <w:rPr>
          <w:rFonts w:hint="eastAsia" w:ascii="宋体" w:hAnsi="宋体" w:eastAsia="宋体" w:cs="宋体"/>
          <w:b/>
          <w:bCs/>
          <w:color w:val="auto"/>
          <w:sz w:val="21"/>
          <w:szCs w:val="21"/>
          <w:highlight w:val="none"/>
          <w:shd w:val="clear" w:color="auto" w:fill="auto"/>
        </w:rPr>
      </w:pPr>
      <w:bookmarkStart w:id="209" w:name="_Toc31841"/>
      <w:bookmarkStart w:id="210" w:name="_Toc505152695"/>
      <w:bookmarkStart w:id="211" w:name="_Toc17489"/>
      <w:bookmarkStart w:id="212" w:name="_Toc480225656"/>
      <w:bookmarkStart w:id="213" w:name="_Toc443505831"/>
      <w:r>
        <w:rPr>
          <w:rFonts w:hint="eastAsia" w:ascii="宋体" w:hAnsi="宋体" w:eastAsia="宋体" w:cs="宋体"/>
          <w:b/>
          <w:bCs/>
          <w:color w:val="auto"/>
          <w:sz w:val="21"/>
          <w:szCs w:val="21"/>
          <w:highlight w:val="none"/>
          <w:shd w:val="clear" w:color="auto" w:fill="auto"/>
        </w:rPr>
        <w:t>8. 纪律和监督</w:t>
      </w:r>
      <w:bookmarkEnd w:id="209"/>
      <w:bookmarkEnd w:id="210"/>
      <w:bookmarkEnd w:id="211"/>
      <w:bookmarkEnd w:id="212"/>
      <w:bookmarkEnd w:id="213"/>
    </w:p>
    <w:p>
      <w:pPr>
        <w:keepNext/>
        <w:keepLines/>
        <w:spacing w:line="360" w:lineRule="auto"/>
        <w:outlineLvl w:val="1"/>
        <w:rPr>
          <w:rFonts w:hint="eastAsia" w:ascii="宋体" w:hAnsi="宋体" w:eastAsia="宋体" w:cs="宋体"/>
          <w:bCs/>
          <w:color w:val="auto"/>
          <w:sz w:val="21"/>
          <w:szCs w:val="21"/>
          <w:highlight w:val="none"/>
          <w:shd w:val="clear" w:color="auto" w:fill="auto"/>
        </w:rPr>
      </w:pPr>
      <w:bookmarkStart w:id="214" w:name="_Toc443505832"/>
      <w:bookmarkStart w:id="215" w:name="_Toc11015"/>
      <w:bookmarkStart w:id="216" w:name="_Toc480225657"/>
      <w:bookmarkStart w:id="217" w:name="_Toc505152696"/>
      <w:bookmarkStart w:id="218" w:name="_Toc24400"/>
      <w:r>
        <w:rPr>
          <w:rFonts w:hint="eastAsia" w:ascii="宋体" w:hAnsi="宋体" w:eastAsia="宋体" w:cs="宋体"/>
          <w:bCs/>
          <w:color w:val="auto"/>
          <w:sz w:val="21"/>
          <w:szCs w:val="21"/>
          <w:highlight w:val="none"/>
          <w:shd w:val="clear" w:color="auto" w:fill="auto"/>
        </w:rPr>
        <w:t>8.1 对招标人的纪律要求</w:t>
      </w:r>
      <w:bookmarkEnd w:id="214"/>
      <w:bookmarkEnd w:id="215"/>
      <w:bookmarkEnd w:id="216"/>
      <w:bookmarkEnd w:id="217"/>
      <w:bookmarkEnd w:id="218"/>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招标人不得泄漏招标投标活动中应当保密的情况和资料，不得与投标人串通损害国家利益、社会公共利益或者他人合法权益。</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8.2 对投标人的纪律要求</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8.3 对评标委员会成员的纪律要求</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二章“评标办法”没有规定的评审因素和标准进行评标。</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8.4 对与评标活动有关的工作人员的纪律要求</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8.5 投诉</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投标人和其他利害关系人认为本次招标活动违反法律、法规和规章规定的，有权向有关行政监督部门投诉。</w:t>
      </w:r>
    </w:p>
    <w:p>
      <w:pPr>
        <w:keepNext/>
        <w:keepLines/>
        <w:spacing w:before="260" w:after="260" w:line="360" w:lineRule="auto"/>
        <w:outlineLvl w:val="1"/>
        <w:rPr>
          <w:rFonts w:hint="eastAsia" w:ascii="宋体" w:hAnsi="宋体" w:eastAsia="宋体" w:cs="宋体"/>
          <w:b/>
          <w:bCs/>
          <w:color w:val="auto"/>
          <w:sz w:val="21"/>
          <w:szCs w:val="21"/>
          <w:highlight w:val="none"/>
          <w:shd w:val="clear" w:color="auto" w:fill="auto"/>
        </w:rPr>
      </w:pPr>
      <w:bookmarkStart w:id="219" w:name="_Toc7949"/>
      <w:bookmarkStart w:id="220" w:name="_Toc443505833"/>
      <w:bookmarkStart w:id="221" w:name="_Toc505152697"/>
      <w:bookmarkStart w:id="222" w:name="_Toc5586"/>
      <w:bookmarkStart w:id="223" w:name="_Toc480225658"/>
      <w:r>
        <w:rPr>
          <w:rFonts w:hint="eastAsia" w:ascii="宋体" w:hAnsi="宋体" w:eastAsia="宋体" w:cs="宋体"/>
          <w:b/>
          <w:bCs/>
          <w:color w:val="auto"/>
          <w:sz w:val="21"/>
          <w:szCs w:val="21"/>
          <w:highlight w:val="none"/>
          <w:shd w:val="clear" w:color="auto" w:fill="auto"/>
        </w:rPr>
        <w:t>9. 需要补充的其他内容</w:t>
      </w:r>
      <w:bookmarkEnd w:id="219"/>
      <w:bookmarkEnd w:id="220"/>
      <w:bookmarkEnd w:id="221"/>
      <w:bookmarkEnd w:id="222"/>
      <w:bookmarkEnd w:id="223"/>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需要补充的其他内容：见投标人须知前附表。</w:t>
      </w:r>
    </w:p>
    <w:p>
      <w:pPr>
        <w:keepNext/>
        <w:keepLines/>
        <w:spacing w:before="260" w:after="260" w:line="360" w:lineRule="auto"/>
        <w:outlineLvl w:val="1"/>
        <w:rPr>
          <w:rFonts w:hint="eastAsia" w:ascii="宋体" w:hAnsi="宋体" w:eastAsia="宋体" w:cs="宋体"/>
          <w:b/>
          <w:bCs/>
          <w:color w:val="auto"/>
          <w:sz w:val="21"/>
          <w:szCs w:val="21"/>
          <w:highlight w:val="none"/>
          <w:shd w:val="clear" w:color="auto" w:fill="auto"/>
        </w:rPr>
      </w:pPr>
      <w:bookmarkStart w:id="224" w:name="_Toc480225659"/>
      <w:bookmarkStart w:id="225" w:name="_Toc25384"/>
      <w:bookmarkStart w:id="226" w:name="_Toc505152698"/>
      <w:bookmarkStart w:id="227" w:name="_Toc9113"/>
      <w:bookmarkStart w:id="228" w:name="_Toc443505834"/>
      <w:r>
        <w:rPr>
          <w:rFonts w:hint="eastAsia" w:ascii="宋体" w:hAnsi="宋体" w:eastAsia="宋体" w:cs="宋体"/>
          <w:b/>
          <w:bCs/>
          <w:color w:val="auto"/>
          <w:sz w:val="21"/>
          <w:szCs w:val="21"/>
          <w:highlight w:val="none"/>
          <w:shd w:val="clear" w:color="auto" w:fill="auto"/>
        </w:rPr>
        <w:t>10. 电子招标投标</w:t>
      </w:r>
      <w:bookmarkEnd w:id="224"/>
      <w:bookmarkEnd w:id="225"/>
      <w:bookmarkEnd w:id="226"/>
      <w:bookmarkEnd w:id="227"/>
      <w:bookmarkEnd w:id="228"/>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采用电子招标投标，对投标文件的编制、密封和标记、递交、开标、评标等具体要求，见投标人须知前附表。</w:t>
      </w:r>
    </w:p>
    <w:p>
      <w:pPr>
        <w:spacing w:line="360" w:lineRule="auto"/>
        <w:ind w:firstLine="420" w:firstLineChars="200"/>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sectPr>
          <w:pgSz w:w="11906" w:h="16838"/>
          <w:pgMar w:top="1440" w:right="1080" w:bottom="1440" w:left="1080" w:header="851" w:footer="992" w:gutter="0"/>
          <w:cols w:space="720" w:num="1"/>
          <w:docGrid w:type="lines" w:linePitch="312" w:charSpace="0"/>
        </w:sectPr>
      </w:pPr>
    </w:p>
    <w:p>
      <w:pPr>
        <w:pStyle w:val="5"/>
        <w:spacing w:line="360" w:lineRule="auto"/>
        <w:rPr>
          <w:rFonts w:hint="eastAsia" w:ascii="宋体" w:hAnsi="宋体" w:eastAsia="宋体" w:cs="宋体"/>
          <w:b/>
          <w:bCs w:val="0"/>
          <w:color w:val="auto"/>
          <w:sz w:val="32"/>
          <w:szCs w:val="32"/>
          <w:highlight w:val="none"/>
          <w:shd w:val="clear" w:color="auto" w:fill="auto"/>
        </w:rPr>
      </w:pPr>
      <w:r>
        <w:rPr>
          <w:rFonts w:hint="eastAsia" w:ascii="宋体" w:hAnsi="宋体" w:eastAsia="宋体" w:cs="宋体"/>
          <w:b/>
          <w:bCs w:val="0"/>
          <w:color w:val="auto"/>
          <w:sz w:val="32"/>
          <w:szCs w:val="32"/>
          <w:highlight w:val="none"/>
          <w:shd w:val="clear" w:color="auto" w:fill="auto"/>
        </w:rPr>
        <w:t>附件一：开标记录表</w:t>
      </w:r>
    </w:p>
    <w:p>
      <w:pPr>
        <w:spacing w:line="400" w:lineRule="exact"/>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开标记录表</w:t>
      </w:r>
    </w:p>
    <w:p>
      <w:pPr>
        <w:spacing w:line="400" w:lineRule="exact"/>
        <w:ind w:right="420"/>
        <w:jc w:val="righ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开标时间：年月日时分</w:t>
      </w:r>
    </w:p>
    <w:tbl>
      <w:tblPr>
        <w:tblStyle w:val="5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1552"/>
        <w:gridCol w:w="630"/>
        <w:gridCol w:w="885"/>
        <w:gridCol w:w="573"/>
        <w:gridCol w:w="573"/>
        <w:gridCol w:w="582"/>
        <w:gridCol w:w="471"/>
        <w:gridCol w:w="448"/>
        <w:gridCol w:w="463"/>
        <w:gridCol w:w="1808"/>
        <w:gridCol w:w="1425"/>
        <w:gridCol w:w="2154"/>
        <w:gridCol w:w="871"/>
        <w:gridCol w:w="871"/>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52" w:type="pct"/>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547" w:type="pct"/>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投标人名称</w:t>
            </w:r>
          </w:p>
        </w:tc>
        <w:tc>
          <w:tcPr>
            <w:tcW w:w="222" w:type="pct"/>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密封情况</w:t>
            </w:r>
          </w:p>
        </w:tc>
        <w:tc>
          <w:tcPr>
            <w:tcW w:w="312" w:type="pct"/>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有无法定代表人证明书及授权委托证明书</w:t>
            </w:r>
          </w:p>
        </w:tc>
        <w:tc>
          <w:tcPr>
            <w:tcW w:w="202" w:type="pct"/>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有无递交投标担保金</w:t>
            </w:r>
          </w:p>
        </w:tc>
        <w:tc>
          <w:tcPr>
            <w:tcW w:w="202" w:type="pct"/>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总工期</w:t>
            </w:r>
          </w:p>
        </w:tc>
        <w:tc>
          <w:tcPr>
            <w:tcW w:w="205" w:type="pct"/>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质量标准</w:t>
            </w:r>
          </w:p>
        </w:tc>
        <w:tc>
          <w:tcPr>
            <w:tcW w:w="166" w:type="pct"/>
            <w:tcBorders>
              <w:bottom w:val="single" w:color="auto" w:sz="4" w:space="0"/>
            </w:tcBorders>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项目负责人</w:t>
            </w:r>
          </w:p>
        </w:tc>
        <w:tc>
          <w:tcPr>
            <w:tcW w:w="158" w:type="pct"/>
            <w:tcBorders>
              <w:bottom w:val="single" w:color="auto" w:sz="4" w:space="0"/>
            </w:tcBorders>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安全员</w:t>
            </w:r>
          </w:p>
        </w:tc>
        <w:tc>
          <w:tcPr>
            <w:tcW w:w="163" w:type="pct"/>
            <w:tcBorders>
              <w:bottom w:val="single" w:color="auto" w:sz="4" w:space="0"/>
            </w:tcBorders>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设计负责人</w:t>
            </w:r>
          </w:p>
        </w:tc>
        <w:tc>
          <w:tcPr>
            <w:tcW w:w="637" w:type="pct"/>
            <w:tcBorders>
              <w:bottom w:val="single" w:color="auto" w:sz="4" w:space="0"/>
            </w:tcBorders>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投标总报价</w:t>
            </w:r>
          </w:p>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（人民币：元）</w:t>
            </w:r>
          </w:p>
        </w:tc>
        <w:tc>
          <w:tcPr>
            <w:tcW w:w="502" w:type="pct"/>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施工费报价</w:t>
            </w:r>
          </w:p>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（人民币：元）</w:t>
            </w:r>
          </w:p>
        </w:tc>
        <w:tc>
          <w:tcPr>
            <w:tcW w:w="759" w:type="pct"/>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勘察费报价（人民币：元）</w:t>
            </w:r>
          </w:p>
        </w:tc>
        <w:tc>
          <w:tcPr>
            <w:tcW w:w="307" w:type="pct"/>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设计费报价（人民币：元）</w:t>
            </w:r>
          </w:p>
        </w:tc>
        <w:tc>
          <w:tcPr>
            <w:tcW w:w="307" w:type="pct"/>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投标人代表</w:t>
            </w:r>
          </w:p>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签名</w:t>
            </w:r>
          </w:p>
        </w:tc>
        <w:tc>
          <w:tcPr>
            <w:tcW w:w="150" w:type="pct"/>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547"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22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31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20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20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205" w:type="pct"/>
            <w:tcBorders>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166" w:type="pct"/>
            <w:vMerge w:val="restart"/>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158" w:type="pct"/>
            <w:vMerge w:val="restart"/>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163" w:type="pct"/>
            <w:vMerge w:val="restart"/>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637" w:type="pct"/>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502" w:type="pct"/>
            <w:tcBorders>
              <w:left w:val="single" w:color="auto" w:sz="4" w:space="0"/>
            </w:tcBorders>
          </w:tcPr>
          <w:p>
            <w:pPr>
              <w:spacing w:line="620" w:lineRule="exact"/>
              <w:jc w:val="center"/>
              <w:rPr>
                <w:rFonts w:hint="eastAsia" w:ascii="宋体" w:hAnsi="宋体" w:eastAsia="宋体" w:cs="宋体"/>
                <w:color w:val="auto"/>
                <w:szCs w:val="21"/>
                <w:highlight w:val="none"/>
                <w:shd w:val="clear" w:color="auto" w:fill="auto"/>
              </w:rPr>
            </w:pPr>
          </w:p>
        </w:tc>
        <w:tc>
          <w:tcPr>
            <w:tcW w:w="759" w:type="pct"/>
          </w:tcPr>
          <w:p>
            <w:pPr>
              <w:spacing w:line="620" w:lineRule="exact"/>
              <w:jc w:val="center"/>
              <w:rPr>
                <w:rFonts w:hint="eastAsia" w:ascii="宋体" w:hAnsi="宋体" w:eastAsia="宋体" w:cs="宋体"/>
                <w:color w:val="auto"/>
                <w:szCs w:val="21"/>
                <w:highlight w:val="none"/>
                <w:shd w:val="clear" w:color="auto" w:fill="auto"/>
              </w:rPr>
            </w:pPr>
          </w:p>
        </w:tc>
        <w:tc>
          <w:tcPr>
            <w:tcW w:w="307" w:type="pct"/>
          </w:tcPr>
          <w:p>
            <w:pPr>
              <w:spacing w:line="620" w:lineRule="exact"/>
              <w:jc w:val="center"/>
              <w:rPr>
                <w:rFonts w:hint="eastAsia" w:ascii="宋体" w:hAnsi="宋体" w:eastAsia="宋体" w:cs="宋体"/>
                <w:color w:val="auto"/>
                <w:szCs w:val="21"/>
                <w:highlight w:val="none"/>
                <w:shd w:val="clear" w:color="auto" w:fill="auto"/>
              </w:rPr>
            </w:pPr>
          </w:p>
        </w:tc>
        <w:tc>
          <w:tcPr>
            <w:tcW w:w="307" w:type="pct"/>
          </w:tcPr>
          <w:p>
            <w:pPr>
              <w:spacing w:line="620" w:lineRule="exact"/>
              <w:jc w:val="center"/>
              <w:rPr>
                <w:rFonts w:hint="eastAsia" w:ascii="宋体" w:hAnsi="宋体" w:eastAsia="宋体" w:cs="宋体"/>
                <w:color w:val="auto"/>
                <w:szCs w:val="21"/>
                <w:highlight w:val="none"/>
                <w:shd w:val="clear" w:color="auto" w:fill="auto"/>
              </w:rPr>
            </w:pPr>
          </w:p>
        </w:tc>
        <w:tc>
          <w:tcPr>
            <w:tcW w:w="150" w:type="pct"/>
          </w:tcPr>
          <w:p>
            <w:pPr>
              <w:spacing w:line="62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547"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22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31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20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20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205" w:type="pct"/>
            <w:tcBorders>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158" w:type="pct"/>
            <w:vMerge w:val="continue"/>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163" w:type="pct"/>
            <w:vMerge w:val="continue"/>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637" w:type="pct"/>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502" w:type="pct"/>
            <w:tcBorders>
              <w:left w:val="single" w:color="auto" w:sz="4" w:space="0"/>
            </w:tcBorders>
          </w:tcPr>
          <w:p>
            <w:pPr>
              <w:spacing w:line="620" w:lineRule="exact"/>
              <w:jc w:val="center"/>
              <w:rPr>
                <w:rFonts w:hint="eastAsia" w:ascii="宋体" w:hAnsi="宋体" w:eastAsia="宋体" w:cs="宋体"/>
                <w:color w:val="auto"/>
                <w:szCs w:val="21"/>
                <w:highlight w:val="none"/>
                <w:shd w:val="clear" w:color="auto" w:fill="auto"/>
              </w:rPr>
            </w:pPr>
          </w:p>
        </w:tc>
        <w:tc>
          <w:tcPr>
            <w:tcW w:w="759" w:type="pct"/>
          </w:tcPr>
          <w:p>
            <w:pPr>
              <w:spacing w:line="620" w:lineRule="exact"/>
              <w:jc w:val="center"/>
              <w:rPr>
                <w:rFonts w:hint="eastAsia" w:ascii="宋体" w:hAnsi="宋体" w:eastAsia="宋体" w:cs="宋体"/>
                <w:color w:val="auto"/>
                <w:szCs w:val="21"/>
                <w:highlight w:val="none"/>
                <w:shd w:val="clear" w:color="auto" w:fill="auto"/>
              </w:rPr>
            </w:pPr>
          </w:p>
        </w:tc>
        <w:tc>
          <w:tcPr>
            <w:tcW w:w="307" w:type="pct"/>
          </w:tcPr>
          <w:p>
            <w:pPr>
              <w:spacing w:line="620" w:lineRule="exact"/>
              <w:jc w:val="center"/>
              <w:rPr>
                <w:rFonts w:hint="eastAsia" w:ascii="宋体" w:hAnsi="宋体" w:eastAsia="宋体" w:cs="宋体"/>
                <w:color w:val="auto"/>
                <w:szCs w:val="21"/>
                <w:highlight w:val="none"/>
                <w:shd w:val="clear" w:color="auto" w:fill="auto"/>
              </w:rPr>
            </w:pPr>
          </w:p>
        </w:tc>
        <w:tc>
          <w:tcPr>
            <w:tcW w:w="307" w:type="pct"/>
          </w:tcPr>
          <w:p>
            <w:pPr>
              <w:spacing w:line="620" w:lineRule="exact"/>
              <w:jc w:val="center"/>
              <w:rPr>
                <w:rFonts w:hint="eastAsia" w:ascii="宋体" w:hAnsi="宋体" w:eastAsia="宋体" w:cs="宋体"/>
                <w:color w:val="auto"/>
                <w:szCs w:val="21"/>
                <w:highlight w:val="none"/>
                <w:shd w:val="clear" w:color="auto" w:fill="auto"/>
              </w:rPr>
            </w:pPr>
          </w:p>
        </w:tc>
        <w:tc>
          <w:tcPr>
            <w:tcW w:w="150" w:type="pct"/>
          </w:tcPr>
          <w:p>
            <w:pPr>
              <w:spacing w:line="62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547"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22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31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20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202" w:type="pct"/>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205" w:type="pct"/>
            <w:tcBorders>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158" w:type="pct"/>
            <w:vMerge w:val="continue"/>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163" w:type="pct"/>
            <w:vMerge w:val="continue"/>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637" w:type="pct"/>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eastAsia="宋体" w:cs="宋体"/>
                <w:color w:val="auto"/>
                <w:szCs w:val="21"/>
                <w:highlight w:val="none"/>
                <w:shd w:val="clear" w:color="auto" w:fill="auto"/>
              </w:rPr>
            </w:pPr>
          </w:p>
        </w:tc>
        <w:tc>
          <w:tcPr>
            <w:tcW w:w="502" w:type="pct"/>
            <w:tcBorders>
              <w:left w:val="single" w:color="auto" w:sz="4" w:space="0"/>
            </w:tcBorders>
          </w:tcPr>
          <w:p>
            <w:pPr>
              <w:spacing w:line="620" w:lineRule="exact"/>
              <w:jc w:val="center"/>
              <w:rPr>
                <w:rFonts w:hint="eastAsia" w:ascii="宋体" w:hAnsi="宋体" w:eastAsia="宋体" w:cs="宋体"/>
                <w:color w:val="auto"/>
                <w:szCs w:val="21"/>
                <w:highlight w:val="none"/>
                <w:shd w:val="clear" w:color="auto" w:fill="auto"/>
              </w:rPr>
            </w:pPr>
          </w:p>
        </w:tc>
        <w:tc>
          <w:tcPr>
            <w:tcW w:w="759" w:type="pct"/>
          </w:tcPr>
          <w:p>
            <w:pPr>
              <w:spacing w:line="620" w:lineRule="exact"/>
              <w:jc w:val="center"/>
              <w:rPr>
                <w:rFonts w:hint="eastAsia" w:ascii="宋体" w:hAnsi="宋体" w:eastAsia="宋体" w:cs="宋体"/>
                <w:color w:val="auto"/>
                <w:szCs w:val="21"/>
                <w:highlight w:val="none"/>
                <w:shd w:val="clear" w:color="auto" w:fill="auto"/>
              </w:rPr>
            </w:pPr>
          </w:p>
        </w:tc>
        <w:tc>
          <w:tcPr>
            <w:tcW w:w="307" w:type="pct"/>
          </w:tcPr>
          <w:p>
            <w:pPr>
              <w:spacing w:line="620" w:lineRule="exact"/>
              <w:jc w:val="center"/>
              <w:rPr>
                <w:rFonts w:hint="eastAsia" w:ascii="宋体" w:hAnsi="宋体" w:eastAsia="宋体" w:cs="宋体"/>
                <w:color w:val="auto"/>
                <w:szCs w:val="21"/>
                <w:highlight w:val="none"/>
                <w:shd w:val="clear" w:color="auto" w:fill="auto"/>
              </w:rPr>
            </w:pPr>
          </w:p>
        </w:tc>
        <w:tc>
          <w:tcPr>
            <w:tcW w:w="307" w:type="pct"/>
          </w:tcPr>
          <w:p>
            <w:pPr>
              <w:spacing w:line="620" w:lineRule="exact"/>
              <w:jc w:val="center"/>
              <w:rPr>
                <w:rFonts w:hint="eastAsia" w:ascii="宋体" w:hAnsi="宋体" w:eastAsia="宋体" w:cs="宋体"/>
                <w:color w:val="auto"/>
                <w:szCs w:val="21"/>
                <w:highlight w:val="none"/>
                <w:shd w:val="clear" w:color="auto" w:fill="auto"/>
              </w:rPr>
            </w:pPr>
          </w:p>
        </w:tc>
        <w:tc>
          <w:tcPr>
            <w:tcW w:w="150" w:type="pct"/>
          </w:tcPr>
          <w:p>
            <w:pPr>
              <w:spacing w:line="620" w:lineRule="exact"/>
              <w:jc w:val="center"/>
              <w:rPr>
                <w:rFonts w:hint="eastAsia" w:ascii="宋体" w:hAnsi="宋体" w:eastAsia="宋体" w:cs="宋体"/>
                <w:color w:val="auto"/>
                <w:szCs w:val="21"/>
                <w:highlight w:val="none"/>
                <w:shd w:val="clear" w:color="auto" w:fill="auto"/>
              </w:rPr>
            </w:pPr>
          </w:p>
        </w:tc>
      </w:tr>
    </w:tbl>
    <w:p>
      <w:pPr>
        <w:spacing w:line="620" w:lineRule="exac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招标代理代表：                  招标人代表：               交易中心见证人：</w:t>
      </w:r>
    </w:p>
    <w:p>
      <w:pPr>
        <w:pStyle w:val="700"/>
        <w:ind w:firstLine="0" w:firstLineChars="0"/>
        <w:jc w:val="left"/>
        <w:rPr>
          <w:rFonts w:hint="eastAsia" w:ascii="宋体" w:hAnsi="宋体" w:eastAsia="宋体" w:cs="宋体"/>
          <w:color w:val="auto"/>
          <w:sz w:val="21"/>
          <w:szCs w:val="21"/>
          <w:highlight w:val="none"/>
          <w:shd w:val="clear" w:color="auto" w:fill="auto"/>
        </w:rPr>
      </w:pPr>
    </w:p>
    <w:p>
      <w:pPr>
        <w:pStyle w:val="700"/>
        <w:ind w:firstLine="0" w:firstLineChars="0"/>
        <w:jc w:val="left"/>
        <w:rPr>
          <w:rFonts w:hint="eastAsia" w:ascii="宋体" w:hAnsi="宋体" w:eastAsia="宋体" w:cs="宋体"/>
          <w:color w:val="auto"/>
          <w:sz w:val="21"/>
          <w:szCs w:val="21"/>
          <w:highlight w:val="none"/>
          <w:shd w:val="clear" w:color="auto" w:fill="auto"/>
        </w:rPr>
        <w:sectPr>
          <w:headerReference r:id="rId9" w:type="default"/>
          <w:footerReference r:id="rId10" w:type="default"/>
          <w:pgSz w:w="16838" w:h="11906" w:orient="landscape"/>
          <w:pgMar w:top="1797" w:right="1440" w:bottom="1797" w:left="1440" w:header="851" w:footer="992" w:gutter="0"/>
          <w:cols w:space="720" w:num="1"/>
          <w:docGrid w:linePitch="312" w:charSpace="0"/>
        </w:sectPr>
      </w:pPr>
      <w:r>
        <w:rPr>
          <w:rFonts w:hint="eastAsia" w:ascii="宋体" w:hAnsi="宋体" w:eastAsia="宋体" w:cs="宋体"/>
          <w:color w:val="auto"/>
          <w:position w:val="-2"/>
          <w:sz w:val="21"/>
          <w:szCs w:val="21"/>
          <w:highlight w:val="none"/>
          <w:shd w:val="clear" w:color="auto" w:fill="auto"/>
        </w:rPr>
        <w:t>本表仅供参考，具体以开标时的开标记录表为准。</w:t>
      </w:r>
    </w:p>
    <w:p>
      <w:pPr>
        <w:pStyle w:val="4"/>
        <w:spacing w:line="240" w:lineRule="auto"/>
        <w:jc w:val="center"/>
        <w:rPr>
          <w:rFonts w:hint="eastAsia" w:ascii="宋体" w:hAnsi="宋体" w:eastAsia="宋体" w:cs="宋体"/>
          <w:color w:val="auto"/>
          <w:highlight w:val="none"/>
          <w:shd w:val="clear" w:color="auto" w:fill="auto"/>
        </w:rPr>
      </w:pPr>
      <w:bookmarkStart w:id="229" w:name="_Toc20226"/>
      <w:bookmarkStart w:id="230" w:name="_Toc3845"/>
      <w:bookmarkStart w:id="231" w:name="_Toc505152699"/>
      <w:r>
        <w:rPr>
          <w:rFonts w:hint="eastAsia" w:ascii="宋体" w:hAnsi="宋体" w:eastAsia="宋体" w:cs="宋体"/>
          <w:color w:val="auto"/>
          <w:highlight w:val="none"/>
          <w:shd w:val="clear" w:color="auto" w:fill="auto"/>
        </w:rPr>
        <w:t>第二章 评标办法（综合评分法）</w:t>
      </w:r>
      <w:bookmarkEnd w:id="229"/>
      <w:bookmarkEnd w:id="230"/>
      <w:bookmarkEnd w:id="231"/>
    </w:p>
    <w:p>
      <w:pPr>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前附表</w:t>
      </w:r>
    </w:p>
    <w:tbl>
      <w:tblPr>
        <w:tblStyle w:val="55"/>
        <w:tblW w:w="902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1787"/>
        <w:gridCol w:w="48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2" w:hRule="atLeast"/>
          <w:tblHeader/>
        </w:trPr>
        <w:tc>
          <w:tcPr>
            <w:tcW w:w="2415" w:type="dxa"/>
            <w:gridSpan w:val="2"/>
            <w:vAlign w:val="center"/>
          </w:tcPr>
          <w:p>
            <w:pPr>
              <w:spacing w:line="300" w:lineRule="exact"/>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条款号</w:t>
            </w:r>
          </w:p>
        </w:tc>
        <w:tc>
          <w:tcPr>
            <w:tcW w:w="1787" w:type="dxa"/>
            <w:vAlign w:val="center"/>
          </w:tcPr>
          <w:p>
            <w:pPr>
              <w:spacing w:line="300" w:lineRule="exact"/>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评审因素</w:t>
            </w:r>
          </w:p>
        </w:tc>
        <w:tc>
          <w:tcPr>
            <w:tcW w:w="4826" w:type="dxa"/>
            <w:vAlign w:val="center"/>
          </w:tcPr>
          <w:p>
            <w:pPr>
              <w:spacing w:line="300" w:lineRule="exact"/>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40" w:type="dxa"/>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2.1.1</w:t>
            </w:r>
          </w:p>
        </w:tc>
        <w:tc>
          <w:tcPr>
            <w:tcW w:w="1575" w:type="dxa"/>
            <w:vAlign w:val="center"/>
          </w:tcPr>
          <w:p>
            <w:pPr>
              <w:spacing w:line="300" w:lineRule="exact"/>
              <w:jc w:val="center"/>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shd w:val="clear" w:color="auto" w:fill="auto"/>
              </w:rPr>
              <w:t>资格审查</w:t>
            </w:r>
          </w:p>
        </w:tc>
        <w:tc>
          <w:tcPr>
            <w:tcW w:w="6613" w:type="dxa"/>
            <w:gridSpan w:val="2"/>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见附表1《资格审查表》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40" w:type="dxa"/>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2.1.2</w:t>
            </w:r>
          </w:p>
        </w:tc>
        <w:tc>
          <w:tcPr>
            <w:tcW w:w="1575" w:type="dxa"/>
            <w:vAlign w:val="center"/>
          </w:tcPr>
          <w:p>
            <w:pPr>
              <w:spacing w:line="300" w:lineRule="exact"/>
              <w:jc w:val="center"/>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shd w:val="clear" w:color="auto" w:fill="auto"/>
              </w:rPr>
              <w:t>设计标技术文件有效性审查</w:t>
            </w:r>
          </w:p>
        </w:tc>
        <w:tc>
          <w:tcPr>
            <w:tcW w:w="6613" w:type="dxa"/>
            <w:gridSpan w:val="2"/>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见附表2《勘察设计技术方案投标文件有效性审查表》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40" w:type="dxa"/>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2.1.3</w:t>
            </w:r>
          </w:p>
        </w:tc>
        <w:tc>
          <w:tcPr>
            <w:tcW w:w="1575" w:type="dxa"/>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u w:val="single"/>
                <w:shd w:val="clear" w:color="auto" w:fill="auto"/>
              </w:rPr>
              <w:t>工程总承包实施方案</w:t>
            </w:r>
            <w:r>
              <w:rPr>
                <w:rFonts w:hint="eastAsia" w:ascii="宋体" w:hAnsi="宋体" w:eastAsia="宋体" w:cs="宋体"/>
                <w:color w:val="auto"/>
                <w:szCs w:val="21"/>
                <w:highlight w:val="none"/>
                <w:shd w:val="clear" w:color="auto" w:fill="auto"/>
              </w:rPr>
              <w:t>投标文件有效性审查</w:t>
            </w:r>
          </w:p>
        </w:tc>
        <w:tc>
          <w:tcPr>
            <w:tcW w:w="6613" w:type="dxa"/>
            <w:gridSpan w:val="2"/>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见附表3《工程总承包实施方案投标文件有效性审查表》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415" w:type="dxa"/>
            <w:gridSpan w:val="2"/>
            <w:vAlign w:val="center"/>
          </w:tcPr>
          <w:p>
            <w:pPr>
              <w:spacing w:line="300" w:lineRule="exact"/>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条款号</w:t>
            </w:r>
          </w:p>
        </w:tc>
        <w:tc>
          <w:tcPr>
            <w:tcW w:w="1787" w:type="dxa"/>
            <w:vAlign w:val="center"/>
          </w:tcPr>
          <w:p>
            <w:pPr>
              <w:spacing w:line="300" w:lineRule="exact"/>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条款内容</w:t>
            </w:r>
          </w:p>
        </w:tc>
        <w:tc>
          <w:tcPr>
            <w:tcW w:w="4826" w:type="dxa"/>
            <w:vAlign w:val="center"/>
          </w:tcPr>
          <w:p>
            <w:pPr>
              <w:spacing w:line="300" w:lineRule="exact"/>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9" w:hRule="atLeast"/>
        </w:trPr>
        <w:tc>
          <w:tcPr>
            <w:tcW w:w="2415" w:type="dxa"/>
            <w:gridSpan w:val="2"/>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2.2.1</w:t>
            </w:r>
          </w:p>
        </w:tc>
        <w:tc>
          <w:tcPr>
            <w:tcW w:w="1787" w:type="dxa"/>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分值构成及权重</w:t>
            </w:r>
          </w:p>
        </w:tc>
        <w:tc>
          <w:tcPr>
            <w:tcW w:w="4826" w:type="dxa"/>
            <w:vAlign w:val="center"/>
          </w:tcPr>
          <w:p>
            <w:pPr>
              <w:spacing w:line="300" w:lineRule="exac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投标人总得分（满分100分）=设计方案部分得分×设计总权重（</w:t>
            </w:r>
            <w:r>
              <w:rPr>
                <w:rFonts w:hint="eastAsia" w:ascii="宋体" w:hAnsi="宋体" w:eastAsia="宋体" w:cs="宋体"/>
                <w:color w:val="auto"/>
                <w:szCs w:val="21"/>
                <w:highlight w:val="none"/>
                <w:u w:val="single"/>
                <w:shd w:val="clear" w:color="auto" w:fill="auto"/>
                <w:lang w:val="en-US" w:eastAsia="zh-CN"/>
              </w:rPr>
              <w:t>30</w:t>
            </w:r>
            <w:r>
              <w:rPr>
                <w:rFonts w:hint="eastAsia" w:ascii="宋体" w:hAnsi="宋体" w:eastAsia="宋体" w:cs="宋体"/>
                <w:color w:val="auto"/>
                <w:szCs w:val="21"/>
                <w:highlight w:val="none"/>
                <w:u w:val="single"/>
                <w:shd w:val="clear" w:color="auto" w:fill="auto"/>
              </w:rPr>
              <w:t>%）+[实施方案部分得分×实施方案部分得分权重（50%）+投标报价得分×投标报价得分权重（50%）]×总权重（</w:t>
            </w:r>
            <w:r>
              <w:rPr>
                <w:rFonts w:hint="eastAsia" w:ascii="宋体" w:hAnsi="宋体" w:eastAsia="宋体" w:cs="宋体"/>
                <w:color w:val="auto"/>
                <w:szCs w:val="21"/>
                <w:highlight w:val="none"/>
                <w:u w:val="single"/>
                <w:shd w:val="clear" w:color="auto" w:fill="auto"/>
                <w:lang w:val="en-US" w:eastAsia="zh-CN"/>
              </w:rPr>
              <w:t>70</w:t>
            </w:r>
            <w:r>
              <w:rPr>
                <w:rFonts w:hint="eastAsia" w:ascii="宋体" w:hAnsi="宋体" w:eastAsia="宋体" w:cs="宋体"/>
                <w:color w:val="auto"/>
                <w:szCs w:val="21"/>
                <w:highlight w:val="none"/>
                <w:u w:val="single"/>
                <w:shd w:val="clear" w:color="auto" w:fill="auto"/>
              </w:rPr>
              <w:t>%）</w:t>
            </w:r>
          </w:p>
          <w:p>
            <w:pPr>
              <w:spacing w:line="300" w:lineRule="exac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u w:val="single"/>
                <w:shd w:val="clear" w:color="auto" w:fill="auto"/>
              </w:rPr>
              <w:t>其中：实施方案部分得分=资信部分得分（36分）+实施方案技术部分得分（64分）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415" w:type="dxa"/>
            <w:gridSpan w:val="2"/>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b/>
                <w:color w:val="auto"/>
                <w:szCs w:val="21"/>
                <w:highlight w:val="none"/>
                <w:shd w:val="clear" w:color="auto" w:fill="auto"/>
              </w:rPr>
              <w:t>条款号</w:t>
            </w:r>
          </w:p>
        </w:tc>
        <w:tc>
          <w:tcPr>
            <w:tcW w:w="1787" w:type="dxa"/>
            <w:tcBorders>
              <w:right w:val="single" w:color="auto" w:sz="4" w:space="0"/>
            </w:tcBorders>
            <w:vAlign w:val="center"/>
          </w:tcPr>
          <w:p>
            <w:pPr>
              <w:spacing w:line="300" w:lineRule="exact"/>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评分因素</w:t>
            </w:r>
          </w:p>
        </w:tc>
        <w:tc>
          <w:tcPr>
            <w:tcW w:w="4826" w:type="dxa"/>
            <w:tcBorders>
              <w:left w:val="single" w:color="auto" w:sz="4" w:space="0"/>
            </w:tcBorders>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b/>
                <w:color w:val="auto"/>
                <w:szCs w:val="21"/>
                <w:highlight w:val="none"/>
                <w:shd w:val="clear" w:color="auto" w:fill="auto"/>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8" w:hRule="atLeast"/>
        </w:trPr>
        <w:tc>
          <w:tcPr>
            <w:tcW w:w="840" w:type="dxa"/>
            <w:tcBorders>
              <w:right w:val="single" w:color="auto" w:sz="4" w:space="0"/>
            </w:tcBorders>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2.2.2（1）</w:t>
            </w:r>
          </w:p>
        </w:tc>
        <w:tc>
          <w:tcPr>
            <w:tcW w:w="1575" w:type="dxa"/>
            <w:tcBorders>
              <w:left w:val="single" w:color="auto" w:sz="4" w:space="0"/>
            </w:tcBorders>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设计标详细审查评分</w:t>
            </w:r>
          </w:p>
        </w:tc>
        <w:tc>
          <w:tcPr>
            <w:tcW w:w="1787" w:type="dxa"/>
            <w:tcBorders>
              <w:right w:val="single" w:color="auto" w:sz="4" w:space="0"/>
            </w:tcBorders>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设计总体方案、设计图纸等。</w:t>
            </w:r>
          </w:p>
        </w:tc>
        <w:tc>
          <w:tcPr>
            <w:tcW w:w="4826" w:type="dxa"/>
            <w:tcBorders>
              <w:left w:val="single" w:color="auto" w:sz="4" w:space="0"/>
            </w:tcBorders>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见附表4《</w:t>
            </w:r>
            <w:r>
              <w:rPr>
                <w:rFonts w:hint="eastAsia" w:ascii="宋体" w:hAnsi="宋体" w:eastAsia="宋体" w:cs="宋体"/>
                <w:color w:val="auto"/>
                <w:szCs w:val="21"/>
                <w:highlight w:val="none"/>
                <w:shd w:val="clear" w:color="auto" w:fill="auto"/>
                <w:lang w:eastAsia="zh-CN"/>
              </w:rPr>
              <w:t>勘察设计技术方案投标文件综合评分表</w:t>
            </w:r>
            <w:r>
              <w:rPr>
                <w:rFonts w:hint="eastAsia" w:ascii="宋体" w:hAnsi="宋体" w:eastAsia="宋体" w:cs="宋体"/>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1" w:hRule="atLeast"/>
        </w:trPr>
        <w:tc>
          <w:tcPr>
            <w:tcW w:w="840" w:type="dxa"/>
            <w:vMerge w:val="restart"/>
            <w:tcBorders>
              <w:right w:val="single" w:color="auto" w:sz="4" w:space="0"/>
            </w:tcBorders>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2.2.2</w:t>
            </w:r>
          </w:p>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w:t>
            </w:r>
          </w:p>
        </w:tc>
        <w:tc>
          <w:tcPr>
            <w:tcW w:w="1575" w:type="dxa"/>
            <w:vMerge w:val="restart"/>
            <w:tcBorders>
              <w:left w:val="single" w:color="auto" w:sz="4" w:space="0"/>
            </w:tcBorders>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工程总承包实施方案投标文件评分标准</w:t>
            </w:r>
          </w:p>
        </w:tc>
        <w:tc>
          <w:tcPr>
            <w:tcW w:w="1787" w:type="dxa"/>
            <w:tcBorders>
              <w:right w:val="single" w:color="auto" w:sz="4" w:space="0"/>
            </w:tcBorders>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资信资料、实施方案技术文件</w:t>
            </w:r>
          </w:p>
        </w:tc>
        <w:tc>
          <w:tcPr>
            <w:tcW w:w="4826" w:type="dxa"/>
            <w:tcBorders>
              <w:left w:val="single" w:color="auto" w:sz="4" w:space="0"/>
            </w:tcBorders>
            <w:vAlign w:val="center"/>
          </w:tcPr>
          <w:p>
            <w:pPr>
              <w:spacing w:line="300" w:lineRule="exact"/>
              <w:jc w:val="left"/>
              <w:rPr>
                <w:rFonts w:hint="eastAsia" w:ascii="宋体" w:hAnsi="宋体" w:eastAsia="宋体" w:cs="宋体"/>
                <w:strike/>
                <w:color w:val="auto"/>
                <w:szCs w:val="21"/>
                <w:highlight w:val="none"/>
                <w:shd w:val="clear" w:color="auto" w:fill="auto"/>
              </w:rPr>
            </w:pPr>
            <w:r>
              <w:rPr>
                <w:rFonts w:hint="eastAsia" w:ascii="宋体" w:hAnsi="宋体" w:eastAsia="宋体" w:cs="宋体"/>
                <w:color w:val="auto"/>
                <w:szCs w:val="21"/>
                <w:highlight w:val="none"/>
                <w:shd w:val="clear" w:color="auto" w:fill="auto"/>
              </w:rPr>
              <w:t>见附表5《工程总承包实施方案投标文件综合评分表》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trPr>
        <w:tc>
          <w:tcPr>
            <w:tcW w:w="840" w:type="dxa"/>
            <w:vMerge w:val="continue"/>
            <w:tcBorders>
              <w:right w:val="single" w:color="auto" w:sz="4" w:space="0"/>
            </w:tcBorders>
            <w:vAlign w:val="center"/>
          </w:tcPr>
          <w:p>
            <w:pPr>
              <w:spacing w:line="300" w:lineRule="exact"/>
              <w:jc w:val="center"/>
              <w:rPr>
                <w:rFonts w:hint="eastAsia" w:ascii="宋体" w:hAnsi="宋体" w:eastAsia="宋体" w:cs="宋体"/>
                <w:color w:val="auto"/>
                <w:szCs w:val="21"/>
                <w:highlight w:val="none"/>
                <w:shd w:val="clear" w:color="auto" w:fill="auto"/>
              </w:rPr>
            </w:pPr>
          </w:p>
        </w:tc>
        <w:tc>
          <w:tcPr>
            <w:tcW w:w="1575" w:type="dxa"/>
            <w:vMerge w:val="continue"/>
            <w:tcBorders>
              <w:left w:val="single" w:color="auto" w:sz="4" w:space="0"/>
            </w:tcBorders>
            <w:vAlign w:val="center"/>
          </w:tcPr>
          <w:p>
            <w:pPr>
              <w:spacing w:line="300" w:lineRule="exact"/>
              <w:jc w:val="center"/>
              <w:rPr>
                <w:rFonts w:hint="eastAsia" w:ascii="宋体" w:hAnsi="宋体" w:eastAsia="宋体" w:cs="宋体"/>
                <w:color w:val="auto"/>
                <w:szCs w:val="21"/>
                <w:highlight w:val="none"/>
                <w:shd w:val="clear" w:color="auto" w:fill="auto"/>
              </w:rPr>
            </w:pPr>
          </w:p>
        </w:tc>
        <w:tc>
          <w:tcPr>
            <w:tcW w:w="1787" w:type="dxa"/>
            <w:vAlign w:val="center"/>
          </w:tcPr>
          <w:p>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投标报价</w:t>
            </w:r>
          </w:p>
        </w:tc>
        <w:tc>
          <w:tcPr>
            <w:tcW w:w="4826" w:type="dxa"/>
            <w:vAlign w:val="center"/>
          </w:tcPr>
          <w:p>
            <w:pPr>
              <w:spacing w:line="300" w:lineRule="exac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见附表6《施工费（建安工程费）投标报价综合评分表》</w:t>
            </w:r>
          </w:p>
        </w:tc>
      </w:tr>
    </w:tbl>
    <w:p>
      <w:pPr>
        <w:spacing w:line="400" w:lineRule="exact"/>
        <w:rPr>
          <w:rFonts w:hint="eastAsia" w:ascii="宋体" w:hAnsi="宋体" w:eastAsia="宋体" w:cs="宋体"/>
          <w:color w:val="auto"/>
          <w:szCs w:val="21"/>
          <w:highlight w:val="none"/>
          <w:shd w:val="clear" w:color="auto" w:fill="auto"/>
        </w:rPr>
        <w:sectPr>
          <w:pgSz w:w="11907" w:h="16840"/>
          <w:pgMar w:top="1440" w:right="1797" w:bottom="1440" w:left="1797" w:header="851" w:footer="992" w:gutter="0"/>
          <w:cols w:space="720" w:num="1"/>
          <w:docGrid w:linePitch="312" w:charSpace="0"/>
        </w:sectPr>
      </w:pPr>
    </w:p>
    <w:p>
      <w:pPr>
        <w:pStyle w:val="2"/>
        <w:spacing w:before="100" w:after="100" w:line="360" w:lineRule="auto"/>
        <w:rPr>
          <w:rFonts w:hint="eastAsia" w:ascii="宋体" w:hAnsi="宋体" w:eastAsia="宋体" w:cs="宋体"/>
          <w:color w:val="auto"/>
          <w:sz w:val="21"/>
          <w:szCs w:val="21"/>
          <w:highlight w:val="none"/>
          <w:shd w:val="clear" w:color="auto" w:fill="auto"/>
        </w:rPr>
      </w:pPr>
      <w:bookmarkStart w:id="232" w:name="_Toc505152700"/>
      <w:bookmarkStart w:id="233" w:name="_Toc20733"/>
      <w:bookmarkStart w:id="234" w:name="_Toc480225661"/>
      <w:bookmarkStart w:id="235" w:name="_Toc18996"/>
      <w:r>
        <w:rPr>
          <w:rFonts w:hint="eastAsia" w:ascii="宋体" w:hAnsi="宋体" w:eastAsia="宋体" w:cs="宋体"/>
          <w:color w:val="auto"/>
          <w:sz w:val="21"/>
          <w:szCs w:val="21"/>
          <w:highlight w:val="none"/>
          <w:shd w:val="clear" w:color="auto" w:fill="auto"/>
        </w:rPr>
        <w:t>1. 评标方法</w:t>
      </w:r>
      <w:bookmarkEnd w:id="232"/>
      <w:bookmarkEnd w:id="233"/>
      <w:bookmarkEnd w:id="234"/>
      <w:bookmarkEnd w:id="235"/>
    </w:p>
    <w:p>
      <w:pPr>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本次评标采用综合评分法。评标委员会对满足招标文件实质性要求的投标文件，按照本章第2.2款规定的评分标准进行打分，并按得分由高到低顺序推荐中标候选人。但投标报价低于其成本的除外。</w:t>
      </w:r>
    </w:p>
    <w:p>
      <w:pPr>
        <w:spacing w:line="400" w:lineRule="exact"/>
        <w:ind w:firstLine="420" w:firstLineChars="200"/>
        <w:rPr>
          <w:rFonts w:hint="eastAsia" w:ascii="宋体" w:hAnsi="宋体" w:eastAsia="宋体" w:cs="宋体"/>
          <w:color w:val="auto"/>
          <w:szCs w:val="21"/>
          <w:highlight w:val="none"/>
          <w:shd w:val="clear" w:color="auto" w:fill="auto"/>
        </w:rPr>
      </w:pPr>
    </w:p>
    <w:p>
      <w:pPr>
        <w:pStyle w:val="2"/>
        <w:spacing w:before="100" w:after="100" w:line="360" w:lineRule="auto"/>
        <w:rPr>
          <w:rFonts w:hint="eastAsia" w:ascii="宋体" w:hAnsi="宋体" w:eastAsia="宋体" w:cs="宋体"/>
          <w:color w:val="auto"/>
          <w:sz w:val="21"/>
          <w:szCs w:val="21"/>
          <w:highlight w:val="none"/>
          <w:shd w:val="clear" w:color="auto" w:fill="auto"/>
        </w:rPr>
      </w:pPr>
      <w:bookmarkStart w:id="236" w:name="_Toc22485"/>
      <w:bookmarkStart w:id="237" w:name="_Toc505152701"/>
      <w:bookmarkStart w:id="238" w:name="_Toc480225662"/>
      <w:bookmarkStart w:id="239" w:name="_Toc30487"/>
      <w:r>
        <w:rPr>
          <w:rFonts w:hint="eastAsia" w:ascii="宋体" w:hAnsi="宋体" w:eastAsia="宋体" w:cs="宋体"/>
          <w:color w:val="auto"/>
          <w:sz w:val="21"/>
          <w:szCs w:val="21"/>
          <w:highlight w:val="none"/>
          <w:shd w:val="clear" w:color="auto" w:fill="auto"/>
        </w:rPr>
        <w:t>2. 评审标准</w:t>
      </w:r>
      <w:bookmarkEnd w:id="236"/>
      <w:bookmarkEnd w:id="237"/>
      <w:bookmarkEnd w:id="238"/>
      <w:bookmarkEnd w:id="239"/>
    </w:p>
    <w:p>
      <w:pPr>
        <w:pStyle w:val="2"/>
        <w:spacing w:before="100" w:after="100" w:line="360" w:lineRule="auto"/>
        <w:rPr>
          <w:rFonts w:hint="eastAsia" w:ascii="宋体" w:hAnsi="宋体" w:eastAsia="宋体" w:cs="宋体"/>
          <w:color w:val="auto"/>
          <w:sz w:val="21"/>
          <w:szCs w:val="21"/>
          <w:highlight w:val="none"/>
          <w:shd w:val="clear" w:color="auto" w:fill="auto"/>
        </w:rPr>
      </w:pPr>
      <w:bookmarkStart w:id="240" w:name="_Toc505152702"/>
      <w:bookmarkStart w:id="241" w:name="_Toc9943"/>
      <w:bookmarkStart w:id="242" w:name="_Toc480225663"/>
      <w:bookmarkStart w:id="243" w:name="_Toc5780"/>
      <w:r>
        <w:rPr>
          <w:rFonts w:hint="eastAsia" w:ascii="宋体" w:hAnsi="宋体" w:eastAsia="宋体" w:cs="宋体"/>
          <w:b w:val="0"/>
          <w:bCs w:val="0"/>
          <w:color w:val="auto"/>
          <w:sz w:val="21"/>
          <w:szCs w:val="21"/>
          <w:highlight w:val="none"/>
          <w:shd w:val="clear" w:color="auto" w:fill="auto"/>
        </w:rPr>
        <w:t>2.1 初步评审标准</w:t>
      </w:r>
      <w:bookmarkEnd w:id="240"/>
      <w:bookmarkEnd w:id="241"/>
      <w:bookmarkEnd w:id="242"/>
      <w:bookmarkEnd w:id="243"/>
    </w:p>
    <w:p>
      <w:pPr>
        <w:spacing w:line="400" w:lineRule="exact"/>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2.1.1 资格审查标准：见评标办法前附表。</w:t>
      </w:r>
    </w:p>
    <w:p>
      <w:pPr>
        <w:spacing w:line="400" w:lineRule="exact"/>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2.1.2勘察设计技术方案投标文件有效性审查标准：见评标办法前附表。</w:t>
      </w:r>
    </w:p>
    <w:p>
      <w:pPr>
        <w:spacing w:line="400" w:lineRule="exact"/>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2.1.3工程总承包实施方案投标文件有效性审查标准：见评标办法前附表。</w:t>
      </w:r>
    </w:p>
    <w:p>
      <w:pPr>
        <w:pStyle w:val="5"/>
        <w:spacing w:before="100" w:after="100" w:line="400" w:lineRule="exact"/>
        <w:ind w:firstLine="0" w:firstLineChars="0"/>
        <w:rPr>
          <w:rFonts w:hint="eastAsia" w:ascii="宋体" w:hAnsi="宋体" w:eastAsia="宋体" w:cs="宋体"/>
          <w:bCs w:val="0"/>
          <w:color w:val="auto"/>
          <w:sz w:val="21"/>
          <w:szCs w:val="21"/>
          <w:highlight w:val="none"/>
          <w:shd w:val="clear" w:color="auto" w:fill="auto"/>
        </w:rPr>
      </w:pPr>
      <w:bookmarkStart w:id="244" w:name="_Toc29138"/>
      <w:r>
        <w:rPr>
          <w:rFonts w:hint="eastAsia" w:ascii="宋体" w:hAnsi="宋体" w:eastAsia="宋体" w:cs="宋体"/>
          <w:bCs w:val="0"/>
          <w:color w:val="auto"/>
          <w:sz w:val="21"/>
          <w:szCs w:val="21"/>
          <w:highlight w:val="none"/>
          <w:shd w:val="clear" w:color="auto" w:fill="auto"/>
        </w:rPr>
        <w:t>2.2 分值构成与评分标准</w:t>
      </w:r>
      <w:bookmarkEnd w:id="244"/>
    </w:p>
    <w:p>
      <w:pPr>
        <w:spacing w:line="400" w:lineRule="exact"/>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2.2.1 分值构成及权重：见评标办法前附表。</w:t>
      </w:r>
    </w:p>
    <w:p>
      <w:pPr>
        <w:spacing w:line="400" w:lineRule="exact"/>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2.2.2 评分标准</w:t>
      </w:r>
    </w:p>
    <w:p>
      <w:pPr>
        <w:spacing w:line="400" w:lineRule="exact"/>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（1）勘察设计技术方案投标文件评分标准：见评标办法前附表。</w:t>
      </w:r>
    </w:p>
    <w:p>
      <w:pPr>
        <w:spacing w:line="400" w:lineRule="exact"/>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（2）工程总承包实施方案投标文件详细审查评分标准：见评标办法前附表。</w:t>
      </w:r>
    </w:p>
    <w:p>
      <w:pPr>
        <w:pStyle w:val="2"/>
        <w:spacing w:before="100" w:after="100" w:line="360" w:lineRule="auto"/>
        <w:rPr>
          <w:rFonts w:hint="eastAsia" w:ascii="宋体" w:hAnsi="宋体" w:eastAsia="宋体" w:cs="宋体"/>
          <w:color w:val="auto"/>
          <w:sz w:val="21"/>
          <w:szCs w:val="21"/>
          <w:highlight w:val="none"/>
          <w:shd w:val="clear" w:color="auto" w:fill="auto"/>
        </w:rPr>
      </w:pPr>
      <w:bookmarkStart w:id="245" w:name="_Toc239"/>
      <w:bookmarkStart w:id="246" w:name="_Toc18887"/>
      <w:r>
        <w:rPr>
          <w:rFonts w:hint="eastAsia" w:ascii="宋体" w:hAnsi="宋体" w:eastAsia="宋体" w:cs="宋体"/>
          <w:color w:val="auto"/>
          <w:sz w:val="21"/>
          <w:szCs w:val="21"/>
          <w:highlight w:val="none"/>
          <w:shd w:val="clear" w:color="auto" w:fill="auto"/>
        </w:rPr>
        <w:t>3. 评标程序</w:t>
      </w:r>
      <w:bookmarkEnd w:id="245"/>
      <w:bookmarkEnd w:id="246"/>
    </w:p>
    <w:p>
      <w:pPr>
        <w:spacing w:line="360" w:lineRule="auto"/>
        <w:ind w:firstLine="420" w:firstLineChars="200"/>
        <w:rPr>
          <w:rFonts w:hint="eastAsia" w:ascii="宋体" w:hAnsi="宋体" w:eastAsia="宋体" w:cs="宋体"/>
          <w:color w:val="auto"/>
          <w:szCs w:val="21"/>
          <w:highlight w:val="none"/>
          <w:shd w:val="clear" w:color="auto" w:fill="auto"/>
        </w:rPr>
      </w:pPr>
      <w:bookmarkStart w:id="247" w:name="_Toc13417"/>
      <w:r>
        <w:rPr>
          <w:rFonts w:hint="eastAsia" w:ascii="宋体" w:hAnsi="宋体" w:eastAsia="宋体" w:cs="宋体"/>
          <w:color w:val="auto"/>
          <w:szCs w:val="21"/>
          <w:highlight w:val="none"/>
          <w:shd w:val="clear" w:color="auto" w:fill="auto"/>
        </w:rPr>
        <w:t>本项目采取电子评标。投标文件设计方案由设计评审组负责，形式审查、资格审查（适用于资格后审项目）、工程总承包实施方案和投标报价的评审及评审汇总由施工评审组负责。</w:t>
      </w:r>
    </w:p>
    <w:p>
      <w:pPr>
        <w:pStyle w:val="5"/>
        <w:spacing w:before="100" w:after="100" w:line="360" w:lineRule="auto"/>
        <w:ind w:firstLine="103"/>
        <w:rPr>
          <w:rFonts w:hint="eastAsia" w:ascii="宋体" w:hAnsi="宋体" w:eastAsia="宋体" w:cs="宋体"/>
          <w:bCs w:val="0"/>
          <w:color w:val="auto"/>
          <w:sz w:val="21"/>
          <w:szCs w:val="21"/>
          <w:highlight w:val="none"/>
          <w:shd w:val="clear" w:color="auto" w:fill="auto"/>
        </w:rPr>
      </w:pPr>
      <w:r>
        <w:rPr>
          <w:rFonts w:hint="eastAsia" w:ascii="宋体" w:hAnsi="宋体" w:eastAsia="宋体" w:cs="宋体"/>
          <w:bCs w:val="0"/>
          <w:color w:val="auto"/>
          <w:sz w:val="21"/>
          <w:szCs w:val="21"/>
          <w:highlight w:val="none"/>
          <w:shd w:val="clear" w:color="auto" w:fill="auto"/>
        </w:rPr>
        <w:t>3.1资格审查文件评审（由评标委员会施工评审组负责）</w:t>
      </w:r>
      <w:bookmarkEnd w:id="247"/>
    </w:p>
    <w:p>
      <w:pPr>
        <w:spacing w:line="360" w:lineRule="auto"/>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1）资格审查文件中全部符合附表1《资格审查表》中情形的，为资格审查合格。否则为资格审查不合格，经评标委员会施工评审组认定后，其资格审查文件将被拒绝。如评标委员会施工评审组成员的评审意见不一致时，应先公开要求投标人进行澄清，并记录及由评标委员会施工评审组、作出澄清的投标人签字确认，以评标委员会施工评审组过半数成员的意见作为评标委员会施工评审组对该情形的认定结论。只有通过资格审查的投标人方可进入下一阶段的评审</w:t>
      </w:r>
      <w:r>
        <w:rPr>
          <w:rFonts w:hint="eastAsia" w:ascii="宋体" w:hAnsi="宋体" w:eastAsia="宋体" w:cs="宋体"/>
          <w:b/>
          <w:color w:val="auto"/>
          <w:szCs w:val="21"/>
          <w:highlight w:val="none"/>
          <w:u w:val="single"/>
          <w:shd w:val="clear" w:color="auto" w:fill="auto"/>
        </w:rPr>
        <w:t>。</w:t>
      </w:r>
    </w:p>
    <w:p>
      <w:pPr>
        <w:spacing w:line="360" w:lineRule="auto"/>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（2）汇总资格审查情况，编写资格审查报告。</w:t>
      </w:r>
    </w:p>
    <w:p>
      <w:pPr>
        <w:pStyle w:val="53"/>
        <w:tabs>
          <w:tab w:val="left" w:pos="7380"/>
        </w:tabs>
        <w:spacing w:line="360" w:lineRule="auto"/>
        <w:ind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3）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360" w:lineRule="auto"/>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特别声明：资审合格后，投标人的资格发生变化而不满足投标人合格条件，在发出中标通知书前，资格问题仍未解决的，招标人将取消其中标资格。</w:t>
      </w:r>
    </w:p>
    <w:p>
      <w:pPr>
        <w:pStyle w:val="5"/>
        <w:spacing w:before="100" w:after="100" w:line="360" w:lineRule="auto"/>
        <w:ind w:firstLine="103"/>
        <w:rPr>
          <w:rFonts w:hint="eastAsia" w:ascii="宋体" w:hAnsi="宋体" w:eastAsia="宋体" w:cs="宋体"/>
          <w:bCs w:val="0"/>
          <w:color w:val="auto"/>
          <w:sz w:val="21"/>
          <w:szCs w:val="21"/>
          <w:highlight w:val="none"/>
          <w:u w:val="single"/>
          <w:shd w:val="clear" w:color="auto" w:fill="auto"/>
        </w:rPr>
      </w:pPr>
      <w:bookmarkStart w:id="248" w:name="_Toc1397"/>
      <w:r>
        <w:rPr>
          <w:rFonts w:hint="eastAsia" w:ascii="宋体" w:hAnsi="宋体" w:eastAsia="宋体" w:cs="宋体"/>
          <w:bCs w:val="0"/>
          <w:color w:val="auto"/>
          <w:sz w:val="21"/>
          <w:szCs w:val="21"/>
          <w:highlight w:val="none"/>
          <w:u w:val="single"/>
          <w:shd w:val="clear" w:color="auto" w:fill="auto"/>
        </w:rPr>
        <w:t>3.2勘察设计部分评审（由评标委员会设计评审组负责）</w:t>
      </w:r>
      <w:bookmarkEnd w:id="248"/>
    </w:p>
    <w:p>
      <w:pPr>
        <w:spacing w:line="360" w:lineRule="auto"/>
        <w:ind w:firstLine="457" w:firstLineChars="218"/>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1）设计组评委进行设计文件有效性审查，投标文件中没有任一种列于本办法附表2《勘察设计技术方案投标文件有效性审查表》中情形的，为有效标书。否则为无效标书，经评标委员会认定后，其投标文件将被拒绝。如评标委员会成员的评审意见不一致时，以评标委员会过半数成员的意见作为评标委员会对该情形的认定结论。</w:t>
      </w:r>
    </w:p>
    <w:p>
      <w:pPr>
        <w:spacing w:line="360" w:lineRule="auto"/>
        <w:ind w:firstLine="457" w:firstLineChars="218"/>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（2）设计标投标文件详细审查评分：评标委员会按照本办法附表4《</w:t>
      </w:r>
      <w:r>
        <w:rPr>
          <w:rFonts w:hint="eastAsia" w:ascii="宋体" w:hAnsi="宋体" w:eastAsia="宋体" w:cs="宋体"/>
          <w:color w:val="auto"/>
          <w:szCs w:val="21"/>
          <w:highlight w:val="none"/>
          <w:u w:val="single"/>
          <w:shd w:val="clear" w:color="auto" w:fill="auto"/>
          <w:lang w:eastAsia="zh-CN"/>
        </w:rPr>
        <w:t>勘察设计技术方案投标文件综合评分表</w:t>
      </w:r>
      <w:r>
        <w:rPr>
          <w:rFonts w:hint="eastAsia" w:ascii="宋体" w:hAnsi="宋体" w:eastAsia="宋体" w:cs="宋体"/>
          <w:color w:val="auto"/>
          <w:szCs w:val="21"/>
          <w:highlight w:val="none"/>
          <w:u w:val="single"/>
          <w:shd w:val="clear" w:color="auto" w:fill="auto"/>
        </w:rPr>
        <w:t xml:space="preserve">》的标准，对通过有效性审查的投标文件进行详细审查评分，评出设计部分得分，投标人的得分为各评委评分去掉一个最高分和最低分后的算术平均值（若分数出现小数点时，保留小数点后二位，第三位小数四舍五入）； </w:t>
      </w:r>
    </w:p>
    <w:p>
      <w:pPr>
        <w:spacing w:line="360" w:lineRule="auto"/>
        <w:ind w:firstLine="457" w:firstLineChars="218"/>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（3）揭晓投标人身份，公布设计文件评审结果，未通过有效性审查的，不得进入下一阶段评审及得分汇总。</w:t>
      </w:r>
    </w:p>
    <w:p>
      <w:pPr>
        <w:spacing w:line="360" w:lineRule="auto"/>
        <w:ind w:firstLine="457" w:firstLineChars="218"/>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（4）设计部分投标文件评分汇总：将各专家的评分汇总，计算各有效设计文件的总得分，精确到小数点后两位。</w:t>
      </w:r>
    </w:p>
    <w:p>
      <w:pPr>
        <w:spacing w:line="360" w:lineRule="auto"/>
        <w:ind w:firstLine="457" w:firstLineChars="218"/>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（5）设计组评标委员会编写、签署评标报告。评标报告由评标委员会全体成员签字，对评标结论持有异议的评标委员会成员可以书面方式阐述其不同意见和理由。</w:t>
      </w:r>
    </w:p>
    <w:p>
      <w:pPr>
        <w:spacing w:line="360" w:lineRule="auto"/>
        <w:ind w:firstLine="457" w:firstLineChars="218"/>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（6）设计组评标委员会向招标人提交书面评标报告后即告解散，评标过程中使用的文件、表格以及其他资料应当即时归还招标人（招标代理机构）。</w:t>
      </w:r>
    </w:p>
    <w:p>
      <w:pPr>
        <w:pStyle w:val="5"/>
        <w:spacing w:before="100" w:after="100" w:line="360" w:lineRule="auto"/>
        <w:ind w:firstLine="103"/>
        <w:rPr>
          <w:rFonts w:hint="eastAsia" w:ascii="宋体" w:hAnsi="宋体" w:eastAsia="宋体" w:cs="宋体"/>
          <w:bCs w:val="0"/>
          <w:color w:val="auto"/>
          <w:sz w:val="21"/>
          <w:szCs w:val="21"/>
          <w:highlight w:val="none"/>
          <w:shd w:val="clear" w:color="auto" w:fill="auto"/>
        </w:rPr>
      </w:pPr>
      <w:bookmarkStart w:id="249" w:name="_Toc26154"/>
      <w:r>
        <w:rPr>
          <w:rFonts w:hint="eastAsia" w:ascii="宋体" w:hAnsi="宋体" w:eastAsia="宋体" w:cs="宋体"/>
          <w:bCs w:val="0"/>
          <w:color w:val="auto"/>
          <w:sz w:val="21"/>
          <w:szCs w:val="21"/>
          <w:highlight w:val="none"/>
          <w:shd w:val="clear" w:color="auto" w:fill="auto"/>
        </w:rPr>
        <w:t>3.3工程总承包实施方案投标文件部分评审（由评标委员会施工评审组负责）</w:t>
      </w:r>
      <w:bookmarkEnd w:id="249"/>
    </w:p>
    <w:p>
      <w:pPr>
        <w:spacing w:line="360" w:lineRule="auto"/>
        <w:ind w:firstLine="457" w:firstLineChars="218"/>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3.3.1 </w:t>
      </w:r>
      <w:r>
        <w:rPr>
          <w:rFonts w:hint="eastAsia" w:ascii="宋体" w:hAnsi="宋体" w:eastAsia="宋体" w:cs="宋体"/>
          <w:color w:val="auto"/>
          <w:szCs w:val="21"/>
          <w:highlight w:val="none"/>
          <w:u w:val="single"/>
          <w:shd w:val="clear" w:color="auto" w:fill="auto"/>
        </w:rPr>
        <w:t>工程总承包实施方案投标文件的有效性审查：投标文件中没有任一种列于本办法附表3《工程总承包实施方案投标文件有效性审查表》中情形的，为有效标书。否则为无效标书，经施工组评标委员会认定后，其投标文件将被拒绝。如施工组评标委员会成员的评审意见不一致时，以施工组评标委员会过半数成员的意见作为评标委员会对该情形的认定结论。未通过有效性审查的，不得进入下一阶段评审。</w:t>
      </w:r>
    </w:p>
    <w:p>
      <w:pPr>
        <w:spacing w:line="360" w:lineRule="auto"/>
        <w:ind w:firstLine="457" w:firstLineChars="218"/>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3.3.2 评标委员会专家按附表5《工程总承包实施方案投标文件综合评分表》对通过实施方案投标文件有效性审查表的投标文件进行综合评分。</w:t>
      </w:r>
    </w:p>
    <w:p>
      <w:pPr>
        <w:spacing w:line="360" w:lineRule="auto"/>
        <w:ind w:firstLine="457" w:firstLineChars="218"/>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3.3.3 计算各投标人的工程总承包实施方案投标文件部分得分（满分100分）（若分数出现小数点时，保留小数点后二位，第三位小数四舍五入）。</w:t>
      </w:r>
    </w:p>
    <w:p>
      <w:pPr>
        <w:spacing w:line="360" w:lineRule="auto"/>
        <w:ind w:firstLine="457" w:firstLineChars="218"/>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3.2.4 施工标评标委员会编写、签署评标报告。评标报告由评标委员会全体成员签字，对评标结论持有异议的评标委员会成员可以书面方式阐述其不同意见和理由。</w:t>
      </w:r>
    </w:p>
    <w:p>
      <w:pPr>
        <w:pStyle w:val="5"/>
        <w:spacing w:before="100" w:after="100" w:line="360" w:lineRule="auto"/>
        <w:ind w:firstLine="103"/>
        <w:rPr>
          <w:rFonts w:hint="eastAsia" w:ascii="宋体" w:hAnsi="宋体" w:eastAsia="宋体" w:cs="宋体"/>
          <w:bCs w:val="0"/>
          <w:color w:val="auto"/>
          <w:sz w:val="21"/>
          <w:szCs w:val="21"/>
          <w:highlight w:val="none"/>
          <w:shd w:val="clear" w:color="auto" w:fill="auto"/>
        </w:rPr>
      </w:pPr>
      <w:bookmarkStart w:id="250" w:name="_Toc29804"/>
      <w:r>
        <w:rPr>
          <w:rFonts w:hint="eastAsia" w:ascii="宋体" w:hAnsi="宋体" w:eastAsia="宋体" w:cs="宋体"/>
          <w:bCs w:val="0"/>
          <w:color w:val="auto"/>
          <w:sz w:val="21"/>
          <w:szCs w:val="21"/>
          <w:highlight w:val="none"/>
          <w:shd w:val="clear" w:color="auto" w:fill="auto"/>
        </w:rPr>
        <w:t>3.4</w:t>
      </w:r>
      <w:r>
        <w:rPr>
          <w:rFonts w:hint="eastAsia" w:ascii="宋体" w:hAnsi="宋体" w:eastAsia="宋体" w:cs="宋体"/>
          <w:color w:val="auto"/>
          <w:sz w:val="21"/>
          <w:szCs w:val="21"/>
          <w:highlight w:val="none"/>
          <w:shd w:val="clear" w:color="auto" w:fill="auto"/>
        </w:rPr>
        <w:t>投标报价评</w:t>
      </w:r>
      <w:r>
        <w:rPr>
          <w:rFonts w:hint="eastAsia" w:ascii="宋体" w:hAnsi="宋体" w:eastAsia="宋体" w:cs="宋体"/>
          <w:bCs w:val="0"/>
          <w:color w:val="auto"/>
          <w:sz w:val="21"/>
          <w:szCs w:val="21"/>
          <w:highlight w:val="none"/>
          <w:shd w:val="clear" w:color="auto" w:fill="auto"/>
        </w:rPr>
        <w:t>审（由评标委员会施工评审组负责）</w:t>
      </w:r>
      <w:bookmarkEnd w:id="250"/>
    </w:p>
    <w:p>
      <w:pPr>
        <w:spacing w:line="360" w:lineRule="auto"/>
        <w:ind w:firstLine="457" w:firstLineChars="218"/>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评标委员会施工评审组对通过工程总承包实施方案投标文件有效性审查表的投标人进行经济部分评审。</w:t>
      </w:r>
    </w:p>
    <w:p>
      <w:pPr>
        <w:snapToGrid w:val="0"/>
        <w:spacing w:line="360" w:lineRule="auto"/>
        <w:ind w:firstLine="457" w:firstLineChars="218"/>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3.4.1 投标报价的算术校核。评标委员会</w:t>
      </w:r>
      <w:r>
        <w:rPr>
          <w:rFonts w:hint="eastAsia" w:ascii="宋体" w:hAnsi="宋体" w:eastAsia="宋体" w:cs="宋体"/>
          <w:bCs/>
          <w:color w:val="auto"/>
          <w:szCs w:val="21"/>
          <w:highlight w:val="none"/>
          <w:shd w:val="clear" w:color="auto" w:fill="auto"/>
        </w:rPr>
        <w:t>施工评审组</w:t>
      </w:r>
      <w:r>
        <w:rPr>
          <w:rFonts w:hint="eastAsia" w:ascii="宋体" w:hAnsi="宋体" w:eastAsia="宋体" w:cs="宋体"/>
          <w:color w:val="auto"/>
          <w:szCs w:val="21"/>
          <w:highlight w:val="none"/>
          <w:shd w:val="clear" w:color="auto" w:fill="auto"/>
        </w:rPr>
        <w:t>对通过工程总承包</w:t>
      </w:r>
      <w:r>
        <w:rPr>
          <w:rFonts w:hint="eastAsia" w:ascii="宋体" w:hAnsi="宋体" w:eastAsia="宋体" w:cs="宋体"/>
          <w:color w:val="auto"/>
          <w:szCs w:val="21"/>
          <w:highlight w:val="none"/>
          <w:u w:val="single"/>
          <w:shd w:val="clear" w:color="auto" w:fill="auto"/>
        </w:rPr>
        <w:t>实施方案投标文件有效性审查</w:t>
      </w:r>
      <w:r>
        <w:rPr>
          <w:rFonts w:hint="eastAsia" w:ascii="宋体" w:hAnsi="宋体" w:eastAsia="宋体" w:cs="宋体"/>
          <w:color w:val="auto"/>
          <w:szCs w:val="21"/>
          <w:highlight w:val="none"/>
          <w:shd w:val="clear" w:color="auto" w:fill="auto"/>
        </w:rPr>
        <w:t>的投标文件投标报进行算术校核，具体标准如下：</w:t>
      </w:r>
    </w:p>
    <w:p>
      <w:pPr>
        <w:spacing w:line="36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（1）如果数字表示的金额和用文字表示的金额不一致时，应以文字表示的金额为准（有以下算术性错误需要修正的除外）；</w:t>
      </w:r>
    </w:p>
    <w:p>
      <w:pPr>
        <w:spacing w:line="36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（2）如果费率与施工部分限价乘积不等于合价时，以费率为准修正合价（费率有明显的数量级错误的除外，此时应修正费率）；</w:t>
      </w:r>
    </w:p>
    <w:p>
      <w:pPr>
        <w:spacing w:line="36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（3）如果分项报价累加不等总价的，以分项报价累加为准，修正总价；</w:t>
      </w:r>
    </w:p>
    <w:p>
      <w:pPr>
        <w:spacing w:line="36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w:t>
      </w:r>
      <w:r>
        <w:rPr>
          <w:rFonts w:hint="eastAsia" w:ascii="宋体" w:hAnsi="宋体" w:eastAsia="宋体" w:cs="宋体"/>
          <w:color w:val="auto"/>
          <w:szCs w:val="21"/>
          <w:highlight w:val="none"/>
          <w:u w:val="single"/>
          <w:shd w:val="clear" w:color="auto" w:fill="auto"/>
        </w:rPr>
        <w:t>投标文件存在其他计算性错误的，按正确的方法计算并修正；</w:t>
      </w:r>
    </w:p>
    <w:p>
      <w:pPr>
        <w:spacing w:line="36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（5）按上述修正错误的原则及方法调整或修正投标文件的投标报价，调整后的投标报价对投标人起约束作用。如果投标人不接受修正后的报价，则取消其投标资格，并且其投标担保也将被没收。</w:t>
      </w:r>
    </w:p>
    <w:p>
      <w:pPr>
        <w:snapToGrid w:val="0"/>
        <w:spacing w:line="360" w:lineRule="auto"/>
        <w:ind w:firstLine="457" w:firstLineChars="218"/>
        <w:rPr>
          <w:rFonts w:hint="eastAsia" w:ascii="宋体" w:hAnsi="宋体" w:eastAsia="宋体" w:cs="宋体"/>
          <w:color w:val="auto"/>
          <w:szCs w:val="21"/>
          <w:highlight w:val="none"/>
          <w:shd w:val="clear" w:color="auto" w:fill="auto"/>
        </w:rPr>
      </w:pPr>
      <w:bookmarkStart w:id="251" w:name="_Toc29875"/>
      <w:r>
        <w:rPr>
          <w:rFonts w:hint="eastAsia" w:ascii="宋体" w:hAnsi="宋体" w:eastAsia="宋体" w:cs="宋体"/>
          <w:color w:val="auto"/>
          <w:szCs w:val="21"/>
          <w:highlight w:val="none"/>
          <w:shd w:val="clear" w:color="auto" w:fill="auto"/>
        </w:rPr>
        <w:t>3.4.2 投标报价评分</w:t>
      </w:r>
    </w:p>
    <w:p>
      <w:pPr>
        <w:snapToGrid w:val="0"/>
        <w:spacing w:line="400" w:lineRule="exact"/>
        <w:ind w:firstLine="457" w:firstLineChars="218"/>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fldChar w:fldCharType="begin"/>
      </w:r>
      <w:r>
        <w:rPr>
          <w:rFonts w:hint="eastAsia" w:ascii="宋体" w:hAnsi="宋体" w:eastAsia="宋体" w:cs="宋体"/>
          <w:color w:val="auto"/>
          <w:szCs w:val="21"/>
          <w:highlight w:val="none"/>
          <w:u w:val="single"/>
          <w:shd w:val="clear" w:color="auto" w:fill="auto"/>
        </w:rPr>
        <w:instrText xml:space="preserve">= 1 \* GB3</w:instrText>
      </w:r>
      <w:r>
        <w:rPr>
          <w:rFonts w:hint="eastAsia" w:ascii="宋体" w:hAnsi="宋体" w:eastAsia="宋体" w:cs="宋体"/>
          <w:color w:val="auto"/>
          <w:szCs w:val="21"/>
          <w:highlight w:val="none"/>
          <w:u w:val="single"/>
          <w:shd w:val="clear" w:color="auto" w:fill="auto"/>
        </w:rPr>
        <w:fldChar w:fldCharType="separate"/>
      </w:r>
      <w:r>
        <w:rPr>
          <w:rFonts w:hint="eastAsia" w:ascii="宋体" w:hAnsi="宋体" w:eastAsia="宋体" w:cs="宋体"/>
          <w:color w:val="auto"/>
          <w:szCs w:val="21"/>
          <w:highlight w:val="none"/>
          <w:u w:val="single"/>
          <w:shd w:val="clear" w:color="auto" w:fill="auto"/>
        </w:rPr>
        <w:t>①</w:t>
      </w:r>
      <w:r>
        <w:rPr>
          <w:rFonts w:hint="eastAsia" w:ascii="宋体" w:hAnsi="宋体" w:eastAsia="宋体" w:cs="宋体"/>
          <w:color w:val="auto"/>
          <w:szCs w:val="21"/>
          <w:highlight w:val="none"/>
          <w:u w:val="single"/>
          <w:shd w:val="clear" w:color="auto" w:fill="auto"/>
        </w:rPr>
        <w:fldChar w:fldCharType="end"/>
      </w:r>
      <w:r>
        <w:rPr>
          <w:rFonts w:hint="eastAsia" w:ascii="宋体" w:hAnsi="宋体" w:eastAsia="宋体" w:cs="宋体"/>
          <w:color w:val="auto"/>
          <w:szCs w:val="21"/>
          <w:highlight w:val="none"/>
          <w:u w:val="single"/>
          <w:shd w:val="clear" w:color="auto" w:fill="auto"/>
        </w:rPr>
        <w:t>确定评标参考价：投标报价评审以通过工程总承包实施方案投标文件有效性审查且施工部分投标报价位于[施工部分最高投标限价×97%，施工部分最高投标限价]区间的投标人超过5家时，在经算术校核的位于[施工部分最高投标限价×97%，施工部分最高投标限价]区间的投标人的施工部分投标报价中，去掉一个最高价和一个最低价后，剩余报价的算术平均值为评标参考价；通过投标文件有效性审查且施工部分投标报价位于[施工部分最高投标限价×97%，施工部分最高投标限价]区间的投标人少于5家（含5家）时，在经算术校核后位于[施工部分最高投标限价×97%，施工部分最高投标限价]区间的投标人的施工部分投标报价的算术平均值为评标参考价。若没有投标总报价位于[施工部分最高投标限价×97%，施工部分最高投标限价]区间，则由招标人依法重新招标；</w:t>
      </w:r>
    </w:p>
    <w:p>
      <w:pPr>
        <w:snapToGrid w:val="0"/>
        <w:spacing w:line="400" w:lineRule="exact"/>
        <w:ind w:firstLine="457" w:firstLineChars="218"/>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fldChar w:fldCharType="begin"/>
      </w:r>
      <w:r>
        <w:rPr>
          <w:rFonts w:hint="eastAsia" w:ascii="宋体" w:hAnsi="宋体" w:eastAsia="宋体" w:cs="宋体"/>
          <w:color w:val="auto"/>
          <w:szCs w:val="21"/>
          <w:highlight w:val="none"/>
          <w:u w:val="single"/>
          <w:shd w:val="clear" w:color="auto" w:fill="auto"/>
        </w:rPr>
        <w:instrText xml:space="preserve">= 2 \* GB3</w:instrText>
      </w:r>
      <w:r>
        <w:rPr>
          <w:rFonts w:hint="eastAsia" w:ascii="宋体" w:hAnsi="宋体" w:eastAsia="宋体" w:cs="宋体"/>
          <w:color w:val="auto"/>
          <w:szCs w:val="21"/>
          <w:highlight w:val="none"/>
          <w:u w:val="single"/>
          <w:shd w:val="clear" w:color="auto" w:fill="auto"/>
        </w:rPr>
        <w:fldChar w:fldCharType="separate"/>
      </w:r>
      <w:r>
        <w:rPr>
          <w:rFonts w:hint="eastAsia" w:ascii="宋体" w:hAnsi="宋体" w:eastAsia="宋体" w:cs="宋体"/>
          <w:color w:val="auto"/>
          <w:szCs w:val="21"/>
          <w:highlight w:val="none"/>
          <w:u w:val="single"/>
          <w:shd w:val="clear" w:color="auto" w:fill="auto"/>
        </w:rPr>
        <w:t>②</w:t>
      </w:r>
      <w:r>
        <w:rPr>
          <w:rFonts w:hint="eastAsia" w:ascii="宋体" w:hAnsi="宋体" w:eastAsia="宋体" w:cs="宋体"/>
          <w:color w:val="auto"/>
          <w:szCs w:val="21"/>
          <w:highlight w:val="none"/>
          <w:u w:val="single"/>
          <w:shd w:val="clear" w:color="auto" w:fill="auto"/>
        </w:rPr>
        <w:fldChar w:fldCharType="end"/>
      </w:r>
      <w:r>
        <w:rPr>
          <w:rFonts w:hint="eastAsia" w:ascii="宋体" w:hAnsi="宋体" w:eastAsia="宋体" w:cs="宋体"/>
          <w:color w:val="auto"/>
          <w:szCs w:val="21"/>
          <w:highlight w:val="none"/>
          <w:u w:val="single"/>
          <w:shd w:val="clear" w:color="auto" w:fill="auto"/>
        </w:rPr>
        <w:t>计算施工费投标报价得分：当施工费投标报价等于评标参考价时得100分，施工费投标报价每高于评标参考价1%，扣0.5分，每低于评标参考价1%，扣0.3分，最多扣100分，得出的施工费投标报价得分作为投标报价得分，精确到小数点后两位。</w:t>
      </w:r>
    </w:p>
    <w:p>
      <w:pPr>
        <w:snapToGrid w:val="0"/>
        <w:spacing w:line="400" w:lineRule="exact"/>
        <w:ind w:firstLine="457" w:firstLineChars="218"/>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3.4.4 投标报价评分中的投标报价特指工程施工费投标报价，不包含勘察费和设计费。</w:t>
      </w:r>
    </w:p>
    <w:p>
      <w:pPr>
        <w:pStyle w:val="5"/>
        <w:spacing w:before="100" w:after="100" w:line="400" w:lineRule="exact"/>
        <w:ind w:firstLine="103"/>
        <w:rPr>
          <w:rFonts w:hint="eastAsia" w:ascii="宋体" w:hAnsi="宋体" w:eastAsia="宋体" w:cs="宋体"/>
          <w:bCs w:val="0"/>
          <w:color w:val="auto"/>
          <w:sz w:val="21"/>
          <w:szCs w:val="21"/>
          <w:highlight w:val="none"/>
          <w:shd w:val="clear" w:color="auto" w:fill="auto"/>
        </w:rPr>
      </w:pPr>
      <w:r>
        <w:rPr>
          <w:rFonts w:hint="eastAsia" w:ascii="宋体" w:hAnsi="宋体" w:eastAsia="宋体" w:cs="宋体"/>
          <w:bCs w:val="0"/>
          <w:color w:val="auto"/>
          <w:sz w:val="21"/>
          <w:szCs w:val="21"/>
          <w:highlight w:val="none"/>
          <w:shd w:val="clear" w:color="auto" w:fill="auto"/>
        </w:rPr>
        <w:t>3.5评审汇总（由评标委员会施工评审组负责）</w:t>
      </w:r>
      <w:bookmarkEnd w:id="251"/>
    </w:p>
    <w:p>
      <w:pPr>
        <w:snapToGrid w:val="0"/>
        <w:spacing w:line="400" w:lineRule="exact"/>
        <w:ind w:firstLine="457" w:firstLineChars="218"/>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3.5.1 投标人总得分满分为100分，总得分权重分配见:评标办法前附表。</w:t>
      </w:r>
    </w:p>
    <w:p>
      <w:pPr>
        <w:snapToGrid w:val="0"/>
        <w:spacing w:line="400" w:lineRule="exact"/>
        <w:ind w:firstLine="457" w:firstLineChars="218"/>
        <w:rPr>
          <w:rFonts w:hint="eastAsia" w:ascii="宋体" w:hAnsi="宋体" w:eastAsia="宋体" w:cs="宋体"/>
          <w:bCs/>
          <w:color w:val="auto"/>
          <w:szCs w:val="21"/>
          <w:highlight w:val="none"/>
          <w:u w:val="single"/>
          <w:shd w:val="clear" w:color="auto" w:fill="auto"/>
        </w:rPr>
      </w:pPr>
      <w:r>
        <w:rPr>
          <w:rFonts w:hint="eastAsia" w:ascii="宋体" w:hAnsi="宋体" w:eastAsia="宋体" w:cs="宋体"/>
          <w:bCs/>
          <w:color w:val="auto"/>
          <w:szCs w:val="21"/>
          <w:highlight w:val="none"/>
          <w:u w:val="single"/>
          <w:shd w:val="clear" w:color="auto" w:fill="auto"/>
        </w:rPr>
        <w:t>3.5.2评标委员会按照“</w:t>
      </w:r>
      <w:r>
        <w:rPr>
          <w:rFonts w:hint="eastAsia" w:ascii="宋体" w:hAnsi="宋体" w:eastAsia="宋体" w:cs="宋体"/>
          <w:color w:val="auto"/>
          <w:szCs w:val="21"/>
          <w:highlight w:val="none"/>
          <w:u w:val="single"/>
          <w:shd w:val="clear" w:color="auto" w:fill="auto"/>
        </w:rPr>
        <w:t>投标人总得分（满分100分）=设计方案部分得分×设计总权重（</w:t>
      </w:r>
      <w:r>
        <w:rPr>
          <w:rFonts w:hint="eastAsia" w:ascii="宋体" w:hAnsi="宋体" w:eastAsia="宋体" w:cs="宋体"/>
          <w:color w:val="auto"/>
          <w:szCs w:val="21"/>
          <w:highlight w:val="none"/>
          <w:u w:val="single"/>
          <w:shd w:val="clear" w:color="auto" w:fill="auto"/>
          <w:lang w:val="en-US" w:eastAsia="zh-CN"/>
        </w:rPr>
        <w:t>30</w:t>
      </w:r>
      <w:r>
        <w:rPr>
          <w:rFonts w:hint="eastAsia" w:ascii="宋体" w:hAnsi="宋体" w:eastAsia="宋体" w:cs="宋体"/>
          <w:color w:val="auto"/>
          <w:szCs w:val="21"/>
          <w:highlight w:val="none"/>
          <w:u w:val="single"/>
          <w:shd w:val="clear" w:color="auto" w:fill="auto"/>
        </w:rPr>
        <w:t>%）+[实施方案部分得分×实施方案部分得分权重（50%）+投标报价得分×投标报价得分权重（50%）]×总权重（</w:t>
      </w:r>
      <w:r>
        <w:rPr>
          <w:rFonts w:hint="eastAsia" w:ascii="宋体" w:hAnsi="宋体" w:eastAsia="宋体" w:cs="宋体"/>
          <w:color w:val="auto"/>
          <w:szCs w:val="21"/>
          <w:highlight w:val="none"/>
          <w:u w:val="single"/>
          <w:shd w:val="clear" w:color="auto" w:fill="auto"/>
          <w:lang w:val="en-US" w:eastAsia="zh-CN"/>
        </w:rPr>
        <w:t>70</w:t>
      </w:r>
      <w:r>
        <w:rPr>
          <w:rFonts w:hint="eastAsia" w:ascii="宋体" w:hAnsi="宋体" w:eastAsia="宋体" w:cs="宋体"/>
          <w:color w:val="auto"/>
          <w:szCs w:val="21"/>
          <w:highlight w:val="none"/>
          <w:u w:val="single"/>
          <w:shd w:val="clear" w:color="auto" w:fill="auto"/>
        </w:rPr>
        <w:t>%）其中：实施方案部分得分=资信部分得分（36分）+实施方案技术部分得分（64分）”</w:t>
      </w:r>
      <w:r>
        <w:rPr>
          <w:rFonts w:hint="eastAsia" w:ascii="宋体" w:hAnsi="宋体" w:eastAsia="宋体" w:cs="宋体"/>
          <w:bCs/>
          <w:color w:val="auto"/>
          <w:szCs w:val="21"/>
          <w:highlight w:val="none"/>
          <w:u w:val="single"/>
          <w:shd w:val="clear" w:color="auto" w:fill="auto"/>
        </w:rPr>
        <w:t>公式，计算各有效投标文件的总分，并按照总分从高到低排列先后次序。总分相同的，以实施方案部分得分高的排前；如仍存在相同情况，则对具有相同情况的投标人，按中标候选人数量规定，由评标委员会确定中标候选人的排序。评标委员会应按排序先后，在招标文件有效的投标人中，向招标人推荐前3名投标人依次为第一中标候选人至第三中标候选人，并编写评标报告。</w:t>
      </w:r>
    </w:p>
    <w:p>
      <w:pPr>
        <w:snapToGrid w:val="0"/>
        <w:spacing w:line="400" w:lineRule="exact"/>
        <w:ind w:firstLine="457" w:firstLineChars="218"/>
        <w:rPr>
          <w:rFonts w:hint="eastAsia" w:ascii="宋体" w:hAnsi="宋体" w:eastAsia="宋体" w:cs="宋体"/>
          <w:bCs/>
          <w:color w:val="auto"/>
          <w:szCs w:val="21"/>
          <w:highlight w:val="none"/>
          <w:u w:val="single"/>
          <w:shd w:val="clear" w:color="auto" w:fill="auto"/>
        </w:rPr>
      </w:pPr>
      <w:r>
        <w:rPr>
          <w:rFonts w:hint="eastAsia" w:ascii="宋体" w:hAnsi="宋体" w:eastAsia="宋体" w:cs="宋体"/>
          <w:bCs/>
          <w:color w:val="auto"/>
          <w:szCs w:val="21"/>
          <w:highlight w:val="none"/>
          <w:u w:val="single"/>
          <w:shd w:val="clear" w:color="auto" w:fill="auto"/>
        </w:rPr>
        <w:t>3.5.3同时通过资格审查、勘察设计技术方案投标文件有效性审查、</w:t>
      </w:r>
      <w:r>
        <w:rPr>
          <w:rFonts w:hint="eastAsia" w:ascii="宋体" w:hAnsi="宋体" w:eastAsia="宋体" w:cs="宋体"/>
          <w:color w:val="auto"/>
          <w:szCs w:val="21"/>
          <w:highlight w:val="none"/>
          <w:u w:val="single"/>
          <w:shd w:val="clear" w:color="auto" w:fill="auto"/>
        </w:rPr>
        <w:t>工程总承包实施方案投标文件</w:t>
      </w:r>
      <w:r>
        <w:rPr>
          <w:rFonts w:hint="eastAsia" w:ascii="宋体" w:hAnsi="宋体" w:eastAsia="宋体" w:cs="宋体"/>
          <w:bCs/>
          <w:color w:val="auto"/>
          <w:szCs w:val="21"/>
          <w:highlight w:val="none"/>
          <w:u w:val="single"/>
          <w:shd w:val="clear" w:color="auto" w:fill="auto"/>
        </w:rPr>
        <w:t>有效性审查的投标人才参与投标人总得分汇总。</w:t>
      </w:r>
    </w:p>
    <w:p>
      <w:pPr>
        <w:snapToGrid w:val="0"/>
        <w:spacing w:line="400" w:lineRule="exact"/>
        <w:ind w:firstLine="457" w:firstLineChars="218"/>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3.5.4满足资格审查合格条件的投标人不足3名、或经评审有效的投标人不足3名时为招标失败，应当依法重新招标。</w:t>
      </w:r>
    </w:p>
    <w:p>
      <w:pPr>
        <w:pStyle w:val="5"/>
        <w:spacing w:before="100" w:after="100" w:line="400" w:lineRule="exact"/>
        <w:ind w:firstLine="103"/>
        <w:rPr>
          <w:rFonts w:hint="eastAsia" w:ascii="宋体" w:hAnsi="宋体" w:eastAsia="宋体" w:cs="宋体"/>
          <w:bCs w:val="0"/>
          <w:color w:val="auto"/>
          <w:sz w:val="21"/>
          <w:szCs w:val="21"/>
          <w:highlight w:val="none"/>
          <w:shd w:val="clear" w:color="auto" w:fill="auto"/>
        </w:rPr>
      </w:pPr>
      <w:bookmarkStart w:id="252" w:name="_Toc32298"/>
      <w:r>
        <w:rPr>
          <w:rFonts w:hint="eastAsia" w:ascii="宋体" w:hAnsi="宋体" w:eastAsia="宋体" w:cs="宋体"/>
          <w:bCs w:val="0"/>
          <w:color w:val="auto"/>
          <w:sz w:val="21"/>
          <w:szCs w:val="21"/>
          <w:highlight w:val="none"/>
          <w:shd w:val="clear" w:color="auto" w:fill="auto"/>
        </w:rPr>
        <w:t>3.6投标文件的澄清和补正</w:t>
      </w:r>
      <w:bookmarkEnd w:id="252"/>
    </w:p>
    <w:p>
      <w:pPr>
        <w:spacing w:line="400" w:lineRule="exact"/>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3.6.1 为有助于投标文件的审查、评价和比较，评标期间，经评标委员会中超过两人（含两人）的成员以书面形式提出动议，评标委员会应当书面发出澄清通知，要求投标人对投标文件含义不明确的内容作出澄清。</w:t>
      </w:r>
    </w:p>
    <w:p>
      <w:pPr>
        <w:spacing w:line="400" w:lineRule="exact"/>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pPr>
        <w:spacing w:line="400" w:lineRule="exact"/>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3.6.3 评标委员会成员均应当阅读投标人的澄清，但应独立参考澄清对投标文件进行评审。</w:t>
      </w:r>
    </w:p>
    <w:p>
      <w:pPr>
        <w:spacing w:line="400" w:lineRule="exact"/>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3.6.4 如果投标文件实质上不响应招标文件的各项要求，评标委员会相应评审将按照有效性审查标准予以拒绝，不接受投标人通过修改或撤销其不符合要求的差异或保留，使之成为具有响应性的投标。</w:t>
      </w:r>
    </w:p>
    <w:p>
      <w:pPr>
        <w:pStyle w:val="5"/>
        <w:spacing w:before="100" w:after="100" w:line="400" w:lineRule="exact"/>
        <w:ind w:firstLine="103"/>
        <w:rPr>
          <w:rFonts w:hint="eastAsia" w:ascii="宋体" w:hAnsi="宋体" w:eastAsia="宋体" w:cs="宋体"/>
          <w:bCs w:val="0"/>
          <w:color w:val="auto"/>
          <w:sz w:val="21"/>
          <w:szCs w:val="21"/>
          <w:highlight w:val="none"/>
          <w:shd w:val="clear" w:color="auto" w:fill="auto"/>
        </w:rPr>
      </w:pPr>
      <w:bookmarkStart w:id="253" w:name="_Toc24722"/>
      <w:r>
        <w:rPr>
          <w:rFonts w:hint="eastAsia" w:ascii="宋体" w:hAnsi="宋体" w:eastAsia="宋体" w:cs="宋体"/>
          <w:bCs w:val="0"/>
          <w:color w:val="auto"/>
          <w:sz w:val="21"/>
          <w:szCs w:val="21"/>
          <w:highlight w:val="none"/>
          <w:shd w:val="clear" w:color="auto" w:fill="auto"/>
        </w:rPr>
        <w:t>3.7评标结果</w:t>
      </w:r>
      <w:bookmarkEnd w:id="253"/>
    </w:p>
    <w:p>
      <w:pPr>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3.7.1 除第二章“投标人须知”前附表授权直接确定中标人外，评标委员会按照得分由高到低的顺序推荐中标候选人。</w:t>
      </w:r>
    </w:p>
    <w:p>
      <w:pPr>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3.7.2 评标委员会完成评标后，应当向招标人提交书面评标报告。</w:t>
      </w:r>
    </w:p>
    <w:p>
      <w:pPr>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3.7.3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pPr>
        <w:spacing w:line="400" w:lineRule="exact"/>
        <w:ind w:firstLine="420" w:firstLineChars="200"/>
        <w:rPr>
          <w:rFonts w:hint="eastAsia" w:ascii="宋体" w:hAnsi="宋体" w:eastAsia="宋体" w:cs="宋体"/>
          <w:color w:val="auto"/>
          <w:szCs w:val="21"/>
          <w:highlight w:val="none"/>
          <w:u w:val="single"/>
          <w:shd w:val="clear" w:color="auto" w:fill="auto"/>
        </w:rPr>
      </w:pPr>
    </w:p>
    <w:p>
      <w:pPr>
        <w:pStyle w:val="2"/>
        <w:spacing w:before="100" w:after="100" w:line="360" w:lineRule="auto"/>
        <w:rPr>
          <w:rFonts w:hint="eastAsia" w:ascii="宋体" w:hAnsi="宋体" w:eastAsia="宋体" w:cs="宋体"/>
          <w:color w:val="auto"/>
          <w:sz w:val="21"/>
          <w:szCs w:val="21"/>
          <w:highlight w:val="none"/>
          <w:shd w:val="clear" w:color="auto" w:fill="auto"/>
        </w:rPr>
      </w:pPr>
      <w:bookmarkStart w:id="254" w:name="_Toc443505840"/>
      <w:bookmarkStart w:id="255" w:name="_Toc9187"/>
      <w:bookmarkStart w:id="256" w:name="_Toc11480"/>
      <w:r>
        <w:rPr>
          <w:rFonts w:hint="eastAsia" w:ascii="宋体" w:hAnsi="宋体" w:eastAsia="宋体" w:cs="宋体"/>
          <w:color w:val="auto"/>
          <w:sz w:val="21"/>
          <w:szCs w:val="21"/>
          <w:highlight w:val="none"/>
          <w:shd w:val="clear" w:color="auto" w:fill="auto"/>
        </w:rPr>
        <w:t>4. 评标表格</w:t>
      </w:r>
      <w:bookmarkEnd w:id="254"/>
      <w:bookmarkEnd w:id="255"/>
      <w:bookmarkEnd w:id="256"/>
    </w:p>
    <w:p>
      <w:pPr>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见后附。</w:t>
      </w:r>
    </w:p>
    <w:p>
      <w:pPr>
        <w:rPr>
          <w:rFonts w:hint="eastAsia" w:ascii="宋体" w:hAnsi="宋体" w:eastAsia="宋体" w:cs="宋体"/>
          <w:b/>
          <w:color w:val="auto"/>
          <w:kern w:val="0"/>
          <w:sz w:val="32"/>
          <w:szCs w:val="32"/>
          <w:highlight w:val="none"/>
          <w:shd w:val="clear" w:color="auto" w:fill="auto"/>
          <w:lang w:val="en-US" w:eastAsia="zh-CN"/>
        </w:rPr>
      </w:pPr>
      <w:r>
        <w:rPr>
          <w:rFonts w:hint="eastAsia" w:ascii="宋体" w:hAnsi="宋体" w:eastAsia="宋体" w:cs="宋体"/>
          <w:b/>
          <w:color w:val="auto"/>
          <w:kern w:val="0"/>
          <w:sz w:val="24"/>
          <w:szCs w:val="24"/>
          <w:highlight w:val="none"/>
          <w:shd w:val="clear" w:color="auto" w:fill="auto"/>
        </w:rPr>
        <w:br w:type="page"/>
      </w:r>
      <w:r>
        <w:rPr>
          <w:rFonts w:hint="eastAsia" w:ascii="宋体" w:hAnsi="宋体" w:eastAsia="宋体" w:cs="宋体"/>
          <w:b/>
          <w:color w:val="auto"/>
          <w:kern w:val="0"/>
          <w:sz w:val="32"/>
          <w:szCs w:val="32"/>
          <w:highlight w:val="none"/>
          <w:shd w:val="clear" w:color="auto" w:fill="auto"/>
        </w:rPr>
        <w:t>附表1</w:t>
      </w:r>
      <w:r>
        <w:rPr>
          <w:rFonts w:hint="eastAsia" w:ascii="宋体" w:hAnsi="宋体" w:eastAsia="宋体" w:cs="宋体"/>
          <w:b/>
          <w:color w:val="auto"/>
          <w:kern w:val="0"/>
          <w:sz w:val="32"/>
          <w:szCs w:val="32"/>
          <w:highlight w:val="none"/>
          <w:shd w:val="clear" w:color="auto" w:fill="auto"/>
          <w:lang w:val="en-US" w:eastAsia="zh-CN"/>
        </w:rPr>
        <w:t>:</w:t>
      </w:r>
    </w:p>
    <w:p>
      <w:pPr>
        <w:widowControl/>
        <w:shd w:val="clear" w:color="auto" w:fill="FFFFFF"/>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资格审查表</w:t>
      </w:r>
    </w:p>
    <w:tbl>
      <w:tblPr>
        <w:tblStyle w:val="55"/>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3055"/>
        <w:gridCol w:w="4894"/>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序号</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审查项目</w:t>
            </w:r>
          </w:p>
        </w:tc>
        <w:tc>
          <w:tcPr>
            <w:tcW w:w="48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须审查的资料</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投标人参加投标的意思表达清楚，投标人代表被授权有效</w:t>
            </w:r>
          </w:p>
        </w:tc>
        <w:tc>
          <w:tcPr>
            <w:tcW w:w="48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法定代表人证明书；委托投标的还应提供法人授权委托证明书</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投标人（联合体各方）均具有独立法人资格，持有工商行政管理部门核发的法人营业执照，按国家法律经营</w:t>
            </w:r>
          </w:p>
        </w:tc>
        <w:tc>
          <w:tcPr>
            <w:tcW w:w="48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营业执照（联合体</w:t>
            </w:r>
            <w:r>
              <w:rPr>
                <w:rFonts w:hint="eastAsia" w:ascii="宋体" w:hAnsi="宋体" w:eastAsia="宋体" w:cs="宋体"/>
                <w:color w:val="auto"/>
                <w:kern w:val="0"/>
                <w:sz w:val="21"/>
                <w:szCs w:val="21"/>
                <w:highlight w:val="none"/>
                <w:shd w:val="clear" w:color="auto" w:fill="auto"/>
              </w:rPr>
              <w:t>各方</w:t>
            </w:r>
            <w:r>
              <w:rPr>
                <w:rFonts w:hint="eastAsia" w:ascii="宋体" w:hAnsi="宋体" w:eastAsia="宋体" w:cs="宋体"/>
                <w:color w:val="auto"/>
                <w:sz w:val="21"/>
                <w:szCs w:val="21"/>
                <w:highlight w:val="none"/>
                <w:shd w:val="clear" w:color="auto" w:fill="auto"/>
              </w:rPr>
              <w:t>）在</w:t>
            </w:r>
            <w:r>
              <w:rPr>
                <w:rFonts w:hint="eastAsia" w:ascii="宋体" w:hAnsi="宋体" w:eastAsia="宋体" w:cs="宋体"/>
                <w:color w:val="auto"/>
                <w:sz w:val="21"/>
                <w:szCs w:val="21"/>
                <w:highlight w:val="none"/>
                <w:shd w:val="clear" w:color="auto" w:fill="auto"/>
                <w:lang w:val="en-US" w:eastAsia="zh-CN"/>
              </w:rPr>
              <w:t>广州</w:t>
            </w:r>
            <w:r>
              <w:rPr>
                <w:rFonts w:hint="eastAsia" w:ascii="宋体" w:hAnsi="宋体" w:eastAsia="宋体" w:cs="宋体"/>
                <w:i w:val="0"/>
                <w:iCs w:val="0"/>
                <w:caps w:val="0"/>
                <w:color w:val="auto"/>
                <w:spacing w:val="0"/>
                <w:sz w:val="21"/>
                <w:szCs w:val="21"/>
                <w:highlight w:val="none"/>
                <w:shd w:val="clear" w:color="auto" w:fill="auto"/>
              </w:rPr>
              <w:t>市住房城乡建设局企业库</w:t>
            </w:r>
            <w:r>
              <w:rPr>
                <w:rFonts w:hint="eastAsia" w:ascii="宋体" w:hAnsi="宋体" w:eastAsia="宋体" w:cs="宋体"/>
                <w:color w:val="auto"/>
                <w:sz w:val="21"/>
                <w:szCs w:val="21"/>
                <w:highlight w:val="none"/>
                <w:shd w:val="clear" w:color="auto" w:fill="auto"/>
              </w:rPr>
              <w:t>内信息打印页及证书</w:t>
            </w:r>
            <w:r>
              <w:rPr>
                <w:rFonts w:hint="eastAsia" w:ascii="宋体" w:hAnsi="宋体" w:eastAsia="宋体" w:cs="宋体"/>
                <w:color w:val="auto"/>
                <w:kern w:val="0"/>
                <w:sz w:val="21"/>
                <w:szCs w:val="21"/>
                <w:highlight w:val="none"/>
                <w:shd w:val="clear" w:color="auto" w:fill="auto"/>
              </w:rPr>
              <w:t>扫描件</w:t>
            </w:r>
            <w:r>
              <w:rPr>
                <w:rFonts w:hint="eastAsia" w:ascii="宋体" w:hAnsi="宋体" w:eastAsia="宋体" w:cs="宋体"/>
                <w:color w:val="auto"/>
                <w:sz w:val="21"/>
                <w:szCs w:val="21"/>
                <w:highlight w:val="none"/>
                <w:shd w:val="clear" w:color="auto" w:fill="auto"/>
              </w:rPr>
              <w:t>。</w:t>
            </w:r>
          </w:p>
          <w:p>
            <w:pPr>
              <w:pStyle w:val="700"/>
              <w:spacing w:line="240" w:lineRule="auto"/>
              <w:ind w:firstLine="0" w:firstLineChars="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勘察单位为香港企业独立参加投标的，须提供在广东省住房和城乡建设主管部门备案证明</w:t>
            </w:r>
            <w:r>
              <w:rPr>
                <w:rFonts w:hint="eastAsia" w:ascii="宋体" w:hAnsi="宋体" w:eastAsia="宋体" w:cs="宋体"/>
                <w:color w:val="auto"/>
                <w:kern w:val="0"/>
                <w:sz w:val="21"/>
                <w:szCs w:val="21"/>
                <w:highlight w:val="none"/>
                <w:shd w:val="clear" w:color="auto" w:fill="auto"/>
              </w:rPr>
              <w:t>扫描件</w:t>
            </w:r>
            <w:r>
              <w:rPr>
                <w:rFonts w:hint="eastAsia" w:ascii="宋体" w:hAnsi="宋体" w:eastAsia="宋体" w:cs="宋体"/>
                <w:color w:val="auto"/>
                <w:sz w:val="21"/>
                <w:szCs w:val="21"/>
                <w:highlight w:val="none"/>
                <w:u w:val="single"/>
                <w:shd w:val="clear" w:color="auto" w:fill="auto"/>
              </w:rPr>
              <w:t>。</w:t>
            </w:r>
          </w:p>
          <w:p>
            <w:pPr>
              <w:pStyle w:val="700"/>
              <w:spacing w:line="240" w:lineRule="auto"/>
              <w:ind w:firstLine="0"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rPr>
              <w:t>设计单位为香港企业独立参加投标的，须提供在广东省住房和城乡建设主管部门备案证明</w:t>
            </w:r>
            <w:r>
              <w:rPr>
                <w:rFonts w:hint="eastAsia" w:ascii="宋体" w:hAnsi="宋体" w:eastAsia="宋体" w:cs="宋体"/>
                <w:color w:val="auto"/>
                <w:sz w:val="21"/>
                <w:szCs w:val="21"/>
                <w:highlight w:val="none"/>
                <w:u w:val="single"/>
                <w:shd w:val="clear" w:color="auto" w:fill="auto"/>
                <w:lang w:val="en-US" w:eastAsia="zh-CN"/>
              </w:rPr>
              <w:t>的</w:t>
            </w:r>
            <w:r>
              <w:rPr>
                <w:rFonts w:hint="eastAsia" w:ascii="宋体" w:hAnsi="宋体" w:eastAsia="宋体" w:cs="宋体"/>
                <w:color w:val="auto"/>
                <w:kern w:val="0"/>
                <w:sz w:val="21"/>
                <w:szCs w:val="21"/>
                <w:highlight w:val="none"/>
                <w:shd w:val="clear" w:color="auto" w:fill="auto"/>
              </w:rPr>
              <w:t>扫描件</w:t>
            </w:r>
            <w:r>
              <w:rPr>
                <w:rFonts w:hint="eastAsia" w:ascii="宋体" w:hAnsi="宋体" w:eastAsia="宋体" w:cs="宋体"/>
                <w:color w:val="auto"/>
                <w:sz w:val="21"/>
                <w:szCs w:val="21"/>
                <w:highlight w:val="none"/>
                <w:u w:val="single"/>
                <w:shd w:val="clear" w:color="auto" w:fill="auto"/>
              </w:rPr>
              <w:t>。</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投标人（联合体各方）企业资质证书符合招标公告要求</w:t>
            </w:r>
          </w:p>
        </w:tc>
        <w:tc>
          <w:tcPr>
            <w:tcW w:w="48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资质证书（联合体</w:t>
            </w:r>
            <w:r>
              <w:rPr>
                <w:rFonts w:hint="eastAsia" w:ascii="宋体" w:hAnsi="宋体" w:eastAsia="宋体" w:cs="宋体"/>
                <w:color w:val="auto"/>
                <w:kern w:val="0"/>
                <w:sz w:val="21"/>
                <w:szCs w:val="21"/>
                <w:highlight w:val="none"/>
                <w:shd w:val="clear" w:color="auto" w:fill="auto"/>
              </w:rPr>
              <w:t>各方</w:t>
            </w:r>
            <w:r>
              <w:rPr>
                <w:rFonts w:hint="eastAsia" w:ascii="宋体" w:hAnsi="宋体" w:eastAsia="宋体" w:cs="宋体"/>
                <w:color w:val="auto"/>
                <w:sz w:val="21"/>
                <w:szCs w:val="21"/>
                <w:highlight w:val="none"/>
                <w:shd w:val="clear" w:color="auto" w:fill="auto"/>
              </w:rPr>
              <w:t>）在</w:t>
            </w:r>
            <w:r>
              <w:rPr>
                <w:rFonts w:hint="eastAsia" w:ascii="宋体" w:hAnsi="宋体" w:eastAsia="宋体" w:cs="宋体"/>
                <w:color w:val="auto"/>
                <w:sz w:val="21"/>
                <w:szCs w:val="21"/>
                <w:highlight w:val="none"/>
                <w:shd w:val="clear" w:color="auto" w:fill="auto"/>
                <w:lang w:val="en-US" w:eastAsia="zh-CN"/>
              </w:rPr>
              <w:t>广州</w:t>
            </w:r>
            <w:r>
              <w:rPr>
                <w:rFonts w:hint="eastAsia" w:ascii="宋体" w:hAnsi="宋体" w:eastAsia="宋体" w:cs="宋体"/>
                <w:i w:val="0"/>
                <w:iCs w:val="0"/>
                <w:caps w:val="0"/>
                <w:color w:val="auto"/>
                <w:spacing w:val="0"/>
                <w:sz w:val="21"/>
                <w:szCs w:val="21"/>
                <w:highlight w:val="none"/>
                <w:shd w:val="clear" w:color="auto" w:fill="auto"/>
              </w:rPr>
              <w:t>市住房城乡建设局企业库</w:t>
            </w:r>
            <w:r>
              <w:rPr>
                <w:rFonts w:hint="eastAsia" w:ascii="宋体" w:hAnsi="宋体" w:eastAsia="宋体" w:cs="宋体"/>
                <w:color w:val="auto"/>
                <w:sz w:val="21"/>
                <w:szCs w:val="21"/>
                <w:highlight w:val="none"/>
                <w:shd w:val="clear" w:color="auto" w:fill="auto"/>
              </w:rPr>
              <w:t>内信息打印页及证书</w:t>
            </w:r>
            <w:r>
              <w:rPr>
                <w:rFonts w:hint="eastAsia" w:ascii="宋体" w:hAnsi="宋体" w:eastAsia="宋体" w:cs="宋体"/>
                <w:color w:val="auto"/>
                <w:kern w:val="0"/>
                <w:sz w:val="21"/>
                <w:szCs w:val="21"/>
                <w:highlight w:val="none"/>
                <w:shd w:val="clear" w:color="auto" w:fill="auto"/>
              </w:rPr>
              <w:t>扫描件</w:t>
            </w:r>
            <w:r>
              <w:rPr>
                <w:rFonts w:hint="eastAsia" w:ascii="宋体" w:hAnsi="宋体" w:eastAsia="宋体" w:cs="宋体"/>
                <w:color w:val="auto"/>
                <w:sz w:val="21"/>
                <w:szCs w:val="21"/>
                <w:highlight w:val="none"/>
                <w:shd w:val="clear" w:color="auto" w:fill="auto"/>
              </w:rPr>
              <w:t>。</w:t>
            </w:r>
          </w:p>
          <w:p>
            <w:pPr>
              <w:pStyle w:val="700"/>
              <w:spacing w:line="240" w:lineRule="auto"/>
              <w:ind w:firstLine="0" w:firstLineChars="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勘察单位为香港企业独立参加投标的，须提供在广东省住房和城乡建设主管部门备案证明</w:t>
            </w:r>
            <w:r>
              <w:rPr>
                <w:rFonts w:hint="eastAsia" w:ascii="宋体" w:hAnsi="宋体" w:eastAsia="宋体" w:cs="宋体"/>
                <w:color w:val="auto"/>
                <w:sz w:val="21"/>
                <w:szCs w:val="21"/>
                <w:highlight w:val="none"/>
                <w:u w:val="single"/>
                <w:shd w:val="clear" w:color="auto" w:fill="auto"/>
                <w:lang w:val="en-US" w:eastAsia="zh-CN"/>
              </w:rPr>
              <w:t>的</w:t>
            </w:r>
            <w:r>
              <w:rPr>
                <w:rFonts w:hint="eastAsia" w:ascii="宋体" w:hAnsi="宋体" w:eastAsia="宋体" w:cs="宋体"/>
                <w:color w:val="auto"/>
                <w:kern w:val="0"/>
                <w:sz w:val="21"/>
                <w:szCs w:val="21"/>
                <w:highlight w:val="none"/>
                <w:shd w:val="clear" w:color="auto" w:fill="auto"/>
              </w:rPr>
              <w:t>扫描件</w:t>
            </w:r>
            <w:r>
              <w:rPr>
                <w:rFonts w:hint="eastAsia" w:ascii="宋体" w:hAnsi="宋体" w:eastAsia="宋体" w:cs="宋体"/>
                <w:color w:val="auto"/>
                <w:sz w:val="21"/>
                <w:szCs w:val="21"/>
                <w:highlight w:val="none"/>
                <w:u w:val="single"/>
                <w:shd w:val="clear" w:color="auto" w:fill="auto"/>
              </w:rPr>
              <w:t>。</w:t>
            </w:r>
          </w:p>
          <w:p>
            <w:pPr>
              <w:pStyle w:val="700"/>
              <w:spacing w:line="240" w:lineRule="auto"/>
              <w:ind w:firstLine="0"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rPr>
              <w:t>设计单位为香港企业独立参加投标的，须提供在广东省住房和城乡建设主管部门备案证明</w:t>
            </w:r>
            <w:r>
              <w:rPr>
                <w:rFonts w:hint="eastAsia" w:ascii="宋体" w:hAnsi="宋体" w:eastAsia="宋体" w:cs="宋体"/>
                <w:color w:val="auto"/>
                <w:sz w:val="21"/>
                <w:szCs w:val="21"/>
                <w:highlight w:val="none"/>
                <w:u w:val="single"/>
                <w:shd w:val="clear" w:color="auto" w:fill="auto"/>
                <w:lang w:val="en-US" w:eastAsia="zh-CN"/>
              </w:rPr>
              <w:t>的</w:t>
            </w:r>
            <w:r>
              <w:rPr>
                <w:rFonts w:hint="eastAsia" w:ascii="宋体" w:hAnsi="宋体" w:eastAsia="宋体" w:cs="宋体"/>
                <w:color w:val="auto"/>
                <w:kern w:val="0"/>
                <w:sz w:val="21"/>
                <w:szCs w:val="21"/>
                <w:highlight w:val="none"/>
                <w:shd w:val="clear" w:color="auto" w:fill="auto"/>
              </w:rPr>
              <w:t>扫描件</w:t>
            </w:r>
            <w:r>
              <w:rPr>
                <w:rFonts w:hint="eastAsia" w:ascii="宋体" w:hAnsi="宋体" w:eastAsia="宋体" w:cs="宋体"/>
                <w:color w:val="auto"/>
                <w:sz w:val="21"/>
                <w:szCs w:val="21"/>
                <w:highlight w:val="none"/>
                <w:u w:val="single"/>
                <w:shd w:val="clear" w:color="auto" w:fill="auto"/>
              </w:rPr>
              <w:t>。</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w:t>
            </w:r>
          </w:p>
        </w:tc>
        <w:tc>
          <w:tcPr>
            <w:tcW w:w="3055" w:type="dxa"/>
            <w:tcBorders>
              <w:top w:val="single" w:color="auto" w:sz="4" w:space="0"/>
              <w:left w:val="single" w:color="auto" w:sz="4" w:space="0"/>
              <w:bottom w:val="single" w:color="auto" w:sz="4" w:space="0"/>
              <w:right w:val="single" w:color="auto" w:sz="4" w:space="0"/>
            </w:tcBorders>
            <w:vAlign w:val="center"/>
          </w:tcPr>
          <w:p>
            <w:pPr>
              <w:pStyle w:val="440"/>
              <w:widowControl w:val="0"/>
              <w:numPr>
                <w:ilvl w:val="0"/>
                <w:numId w:val="0"/>
              </w:numPr>
              <w:bidi w:val="0"/>
              <w:spacing w:line="240" w:lineRule="auto"/>
              <w:ind w:left="0" w:leftChars="0" w:firstLine="0" w:firstLineChars="0"/>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snapToGrid/>
                <w:color w:val="auto"/>
                <w:sz w:val="21"/>
                <w:szCs w:val="21"/>
                <w:highlight w:val="none"/>
                <w:shd w:val="clear" w:color="auto" w:fill="auto"/>
                <w:lang w:val="en-US" w:eastAsia="zh-CN"/>
              </w:rPr>
              <w:t>投标人业绩</w:t>
            </w:r>
          </w:p>
        </w:tc>
        <w:tc>
          <w:tcPr>
            <w:tcW w:w="4894" w:type="dxa"/>
            <w:tcBorders>
              <w:top w:val="single" w:color="auto" w:sz="4" w:space="0"/>
              <w:left w:val="single" w:color="auto" w:sz="4" w:space="0"/>
              <w:bottom w:val="single" w:color="auto" w:sz="4" w:space="0"/>
              <w:right w:val="single" w:color="auto" w:sz="4" w:space="0"/>
            </w:tcBorders>
            <w:vAlign w:val="center"/>
          </w:tcPr>
          <w:p>
            <w:pPr>
              <w:pStyle w:val="440"/>
              <w:widowControl w:val="0"/>
              <w:numPr>
                <w:ilvl w:val="0"/>
                <w:numId w:val="0"/>
              </w:numPr>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u w:val="single"/>
                <w:shd w:val="clear" w:color="auto" w:fill="auto"/>
                <w:lang w:val="en-US" w:eastAsia="zh-CN"/>
              </w:rPr>
              <w:t>按招标公告要求提供</w:t>
            </w:r>
            <w:r>
              <w:rPr>
                <w:rFonts w:hint="eastAsia" w:ascii="宋体" w:hAnsi="宋体" w:eastAsia="宋体" w:cs="宋体"/>
                <w:snapToGrid/>
                <w:color w:val="auto"/>
                <w:sz w:val="21"/>
                <w:szCs w:val="21"/>
                <w:highlight w:val="none"/>
                <w:shd w:val="clear" w:color="auto" w:fill="auto"/>
                <w:lang w:val="en-US" w:eastAsia="zh-CN"/>
              </w:rPr>
              <w:t>（业绩可取自广州市住房和城乡建设局企业诚信档案信息库或提供相关证明材料。）</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投标人（若为联合体投标，指承担施工任务的单位）持有建设行政主管部门颁发的安全生产许可证；</w:t>
            </w:r>
          </w:p>
        </w:tc>
        <w:tc>
          <w:tcPr>
            <w:tcW w:w="48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安全生产许可证（联合体主办方）在</w:t>
            </w:r>
            <w:r>
              <w:rPr>
                <w:rFonts w:hint="eastAsia" w:ascii="宋体" w:hAnsi="宋体" w:eastAsia="宋体" w:cs="宋体"/>
                <w:color w:val="auto"/>
                <w:sz w:val="21"/>
                <w:szCs w:val="21"/>
                <w:highlight w:val="none"/>
                <w:shd w:val="clear" w:color="auto" w:fill="auto"/>
                <w:lang w:val="en-US" w:eastAsia="zh-CN"/>
              </w:rPr>
              <w:t>广州</w:t>
            </w:r>
            <w:r>
              <w:rPr>
                <w:rFonts w:hint="eastAsia" w:ascii="宋体" w:hAnsi="宋体" w:eastAsia="宋体" w:cs="宋体"/>
                <w:i w:val="0"/>
                <w:iCs w:val="0"/>
                <w:caps w:val="0"/>
                <w:color w:val="auto"/>
                <w:spacing w:val="0"/>
                <w:sz w:val="21"/>
                <w:szCs w:val="21"/>
                <w:highlight w:val="none"/>
                <w:shd w:val="clear" w:color="auto" w:fill="auto"/>
              </w:rPr>
              <w:t>市住房城乡建设局企业库</w:t>
            </w:r>
            <w:r>
              <w:rPr>
                <w:rFonts w:hint="eastAsia" w:ascii="宋体" w:hAnsi="宋体" w:eastAsia="宋体" w:cs="宋体"/>
                <w:color w:val="auto"/>
                <w:kern w:val="0"/>
                <w:sz w:val="21"/>
                <w:szCs w:val="21"/>
                <w:highlight w:val="none"/>
                <w:shd w:val="clear" w:color="auto" w:fill="auto"/>
              </w:rPr>
              <w:t>内信息</w:t>
            </w:r>
            <w:r>
              <w:rPr>
                <w:rFonts w:hint="eastAsia" w:ascii="宋体" w:hAnsi="宋体" w:eastAsia="宋体" w:cs="宋体"/>
                <w:color w:val="auto"/>
                <w:sz w:val="21"/>
                <w:szCs w:val="21"/>
                <w:highlight w:val="none"/>
                <w:shd w:val="clear" w:color="auto" w:fill="auto"/>
              </w:rPr>
              <w:t>打印页及证书</w:t>
            </w:r>
            <w:r>
              <w:rPr>
                <w:rFonts w:hint="eastAsia" w:ascii="宋体" w:hAnsi="宋体" w:eastAsia="宋体" w:cs="宋体"/>
                <w:color w:val="auto"/>
                <w:kern w:val="0"/>
                <w:sz w:val="21"/>
                <w:szCs w:val="21"/>
                <w:highlight w:val="none"/>
                <w:shd w:val="clear" w:color="auto" w:fill="auto"/>
              </w:rPr>
              <w:t>扫描件。</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投标人拟担任本工程项目负责人及设计负责人符合招标公告要求</w:t>
            </w:r>
            <w:r>
              <w:rPr>
                <w:rFonts w:hint="eastAsia" w:ascii="宋体" w:hAnsi="宋体" w:eastAsia="宋体" w:cs="宋体"/>
                <w:color w:val="auto"/>
                <w:kern w:val="0"/>
                <w:sz w:val="21"/>
                <w:szCs w:val="21"/>
                <w:highlight w:val="none"/>
                <w:shd w:val="clear" w:color="auto" w:fill="auto"/>
              </w:rPr>
              <w:t>，设计负责人、项目负责人、技术负责人及项目专职安全员不能为同一人。</w:t>
            </w:r>
          </w:p>
        </w:tc>
        <w:tc>
          <w:tcPr>
            <w:tcW w:w="48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项目负责人：信息取自</w:t>
            </w:r>
            <w:r>
              <w:rPr>
                <w:rFonts w:hint="eastAsia" w:ascii="宋体" w:hAnsi="宋体" w:eastAsia="宋体" w:cs="宋体"/>
                <w:color w:val="auto"/>
                <w:sz w:val="21"/>
                <w:szCs w:val="21"/>
                <w:highlight w:val="none"/>
                <w:shd w:val="clear" w:color="auto" w:fill="auto"/>
                <w:lang w:val="en-US" w:eastAsia="zh-CN"/>
              </w:rPr>
              <w:t>广州</w:t>
            </w:r>
            <w:r>
              <w:rPr>
                <w:rFonts w:hint="eastAsia" w:ascii="宋体" w:hAnsi="宋体" w:eastAsia="宋体" w:cs="宋体"/>
                <w:i w:val="0"/>
                <w:iCs w:val="0"/>
                <w:caps w:val="0"/>
                <w:color w:val="auto"/>
                <w:spacing w:val="0"/>
                <w:sz w:val="21"/>
                <w:szCs w:val="21"/>
                <w:highlight w:val="none"/>
                <w:shd w:val="clear" w:color="auto" w:fill="auto"/>
              </w:rPr>
              <w:t>市住房城乡建设局企业库</w:t>
            </w:r>
            <w:r>
              <w:rPr>
                <w:rFonts w:hint="eastAsia" w:ascii="宋体" w:hAnsi="宋体" w:eastAsia="宋体" w:cs="宋体"/>
                <w:color w:val="auto"/>
                <w:sz w:val="21"/>
                <w:szCs w:val="21"/>
                <w:highlight w:val="none"/>
                <w:shd w:val="clear" w:color="auto" w:fill="auto"/>
              </w:rPr>
              <w:t>，同时提供相关上传件打印页；如为联合体投标，则由联合体的施工方提供。</w:t>
            </w:r>
          </w:p>
          <w:p>
            <w:pPr>
              <w:widowControl/>
              <w:shd w:val="clear" w:color="auto" w:fill="FFFFFF"/>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设计负责人：提供相应证书扫描件；如为联合体投标，则由联合体的设计方提供。</w:t>
            </w:r>
          </w:p>
          <w:p>
            <w:pPr>
              <w:widowControl/>
              <w:shd w:val="clear" w:color="auto" w:fill="FFFFFF"/>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设计单位为香港企业独立参加投标的，香港专业人士须提供香港建筑师注册管理局注册的建筑师证书扫描件并提供在广东省住房和城乡建设主管部门备案证明</w:t>
            </w:r>
            <w:r>
              <w:rPr>
                <w:rFonts w:hint="eastAsia" w:ascii="宋体" w:hAnsi="宋体" w:eastAsia="宋体" w:cs="宋体"/>
                <w:color w:val="auto"/>
                <w:sz w:val="21"/>
                <w:szCs w:val="21"/>
                <w:highlight w:val="none"/>
                <w:shd w:val="clear" w:color="auto" w:fill="auto"/>
                <w:lang w:val="en-US" w:eastAsia="zh-CN"/>
              </w:rPr>
              <w:t>的</w:t>
            </w:r>
            <w:r>
              <w:rPr>
                <w:rFonts w:hint="eastAsia" w:ascii="宋体" w:hAnsi="宋体" w:eastAsia="宋体" w:cs="宋体"/>
                <w:color w:val="auto"/>
                <w:sz w:val="21"/>
                <w:szCs w:val="21"/>
                <w:highlight w:val="none"/>
                <w:shd w:val="clear" w:color="auto" w:fill="auto"/>
              </w:rPr>
              <w:t>扫描件。</w:t>
            </w:r>
          </w:p>
          <w:p>
            <w:pPr>
              <w:widowControl/>
              <w:shd w:val="clear" w:color="auto" w:fill="FFFFFF"/>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技术负责人：提供相应证书扫描件；如为联合体投标，则由联合体的</w:t>
            </w:r>
            <w:r>
              <w:rPr>
                <w:rFonts w:hint="eastAsia" w:ascii="宋体" w:hAnsi="宋体" w:eastAsia="宋体" w:cs="宋体"/>
                <w:color w:val="auto"/>
                <w:sz w:val="21"/>
                <w:szCs w:val="21"/>
                <w:highlight w:val="none"/>
                <w:shd w:val="clear" w:color="auto" w:fill="auto"/>
                <w:lang w:val="en-US" w:eastAsia="zh-CN"/>
              </w:rPr>
              <w:t>施工方</w:t>
            </w:r>
            <w:r>
              <w:rPr>
                <w:rFonts w:hint="eastAsia" w:ascii="宋体" w:hAnsi="宋体" w:eastAsia="宋体" w:cs="宋体"/>
                <w:color w:val="auto"/>
                <w:sz w:val="21"/>
                <w:szCs w:val="21"/>
                <w:highlight w:val="none"/>
                <w:shd w:val="clear" w:color="auto" w:fill="auto"/>
              </w:rPr>
              <w:t>提供。</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投标人（联合体主办方）拟担任本工程项目负责人须持有在有效期内的安全生产考核合格证（B类），或能够提供广东省建筑施工企业管理人员安全生产考核信息系统安全生产管理人员证书信息的打印页。</w:t>
            </w:r>
          </w:p>
        </w:tc>
        <w:tc>
          <w:tcPr>
            <w:tcW w:w="48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项目负责人的安全培训考核合格证（B类）在</w:t>
            </w:r>
            <w:r>
              <w:rPr>
                <w:rFonts w:hint="eastAsia" w:ascii="宋体" w:hAnsi="宋体" w:eastAsia="宋体" w:cs="宋体"/>
                <w:color w:val="auto"/>
                <w:sz w:val="21"/>
                <w:szCs w:val="21"/>
                <w:highlight w:val="none"/>
                <w:shd w:val="clear" w:color="auto" w:fill="auto"/>
                <w:lang w:val="en-US" w:eastAsia="zh-CN"/>
              </w:rPr>
              <w:t>广州</w:t>
            </w:r>
            <w:r>
              <w:rPr>
                <w:rFonts w:hint="eastAsia" w:ascii="宋体" w:hAnsi="宋体" w:eastAsia="宋体" w:cs="宋体"/>
                <w:i w:val="0"/>
                <w:iCs w:val="0"/>
                <w:caps w:val="0"/>
                <w:color w:val="auto"/>
                <w:spacing w:val="0"/>
                <w:sz w:val="21"/>
                <w:szCs w:val="21"/>
                <w:highlight w:val="none"/>
                <w:shd w:val="clear" w:color="auto" w:fill="auto"/>
              </w:rPr>
              <w:t>市住房城乡建设局企业库</w:t>
            </w:r>
            <w:r>
              <w:rPr>
                <w:rFonts w:hint="eastAsia" w:ascii="宋体" w:hAnsi="宋体" w:eastAsia="宋体" w:cs="宋体"/>
                <w:color w:val="auto"/>
                <w:kern w:val="0"/>
                <w:sz w:val="21"/>
                <w:szCs w:val="21"/>
                <w:highlight w:val="none"/>
                <w:shd w:val="clear" w:color="auto" w:fill="auto"/>
              </w:rPr>
              <w:t>内信息</w:t>
            </w:r>
            <w:r>
              <w:rPr>
                <w:rFonts w:hint="eastAsia" w:ascii="宋体" w:hAnsi="宋体" w:eastAsia="宋体" w:cs="宋体"/>
                <w:color w:val="auto"/>
                <w:sz w:val="21"/>
                <w:szCs w:val="21"/>
                <w:highlight w:val="none"/>
                <w:shd w:val="clear" w:color="auto" w:fill="auto"/>
              </w:rPr>
              <w:t>打印页及证书</w:t>
            </w:r>
            <w:r>
              <w:rPr>
                <w:rFonts w:hint="eastAsia" w:ascii="宋体" w:hAnsi="宋体" w:eastAsia="宋体" w:cs="宋体"/>
                <w:color w:val="auto"/>
                <w:kern w:val="0"/>
                <w:sz w:val="21"/>
                <w:szCs w:val="21"/>
                <w:highlight w:val="none"/>
                <w:shd w:val="clear" w:color="auto" w:fill="auto"/>
              </w:rPr>
              <w:t>扫描件，或广东省建筑施工企业管理人员安全生产考核信息系统相应人员安全生产管理人员证书(B类)信息的打印页</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投标人（联合体主办方）拟担任本工程专职安全人员须持有在有效期内的安全生产考核合格证书（C类）或能够提供广东省建筑施工企业管理人员安全生产考核信息系统安全生产管理人员证书信息的打印页。</w:t>
            </w:r>
          </w:p>
        </w:tc>
        <w:tc>
          <w:tcPr>
            <w:tcW w:w="48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专职安全员的安全生产考核合格证（C类）在</w:t>
            </w:r>
            <w:r>
              <w:rPr>
                <w:rFonts w:hint="eastAsia" w:ascii="宋体" w:hAnsi="宋体" w:eastAsia="宋体" w:cs="宋体"/>
                <w:color w:val="auto"/>
                <w:sz w:val="21"/>
                <w:szCs w:val="21"/>
                <w:highlight w:val="none"/>
                <w:shd w:val="clear" w:color="auto" w:fill="auto"/>
                <w:lang w:val="en-US" w:eastAsia="zh-CN"/>
              </w:rPr>
              <w:t>广州</w:t>
            </w:r>
            <w:r>
              <w:rPr>
                <w:rFonts w:hint="eastAsia" w:ascii="宋体" w:hAnsi="宋体" w:eastAsia="宋体" w:cs="宋体"/>
                <w:i w:val="0"/>
                <w:iCs w:val="0"/>
                <w:caps w:val="0"/>
                <w:color w:val="auto"/>
                <w:spacing w:val="0"/>
                <w:sz w:val="21"/>
                <w:szCs w:val="21"/>
                <w:highlight w:val="none"/>
                <w:shd w:val="clear" w:color="auto" w:fill="auto"/>
              </w:rPr>
              <w:t>市住房城乡建设局企业库</w:t>
            </w:r>
            <w:r>
              <w:rPr>
                <w:rFonts w:hint="eastAsia" w:ascii="宋体" w:hAnsi="宋体" w:eastAsia="宋体" w:cs="宋体"/>
                <w:color w:val="auto"/>
                <w:kern w:val="0"/>
                <w:sz w:val="21"/>
                <w:szCs w:val="21"/>
                <w:highlight w:val="none"/>
                <w:shd w:val="clear" w:color="auto" w:fill="auto"/>
              </w:rPr>
              <w:t>内信息</w:t>
            </w:r>
            <w:r>
              <w:rPr>
                <w:rFonts w:hint="eastAsia" w:ascii="宋体" w:hAnsi="宋体" w:eastAsia="宋体" w:cs="宋体"/>
                <w:color w:val="auto"/>
                <w:sz w:val="21"/>
                <w:szCs w:val="21"/>
                <w:highlight w:val="none"/>
                <w:shd w:val="clear" w:color="auto" w:fill="auto"/>
              </w:rPr>
              <w:t>打印页及证书</w:t>
            </w:r>
            <w:r>
              <w:rPr>
                <w:rFonts w:hint="eastAsia" w:ascii="宋体" w:hAnsi="宋体" w:eastAsia="宋体" w:cs="宋体"/>
                <w:color w:val="auto"/>
                <w:kern w:val="0"/>
                <w:sz w:val="21"/>
                <w:szCs w:val="21"/>
                <w:highlight w:val="none"/>
                <w:shd w:val="clear" w:color="auto" w:fill="auto"/>
              </w:rPr>
              <w:t>扫描件，或广东省建筑施工企业管理人员安全生产考核信息系统相应人员安全生产管理人员证书(C类)信息的打印页</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20" w:afterLines="2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投标人已按照招标公告附件二的内容签署盖章的投标人声明。</w:t>
            </w:r>
          </w:p>
        </w:tc>
        <w:tc>
          <w:tcPr>
            <w:tcW w:w="489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20" w:afterLines="2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投标人声明</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联合体投标的是否提交联合体投标协议书，联合体组成符合招标公告要求</w:t>
            </w:r>
          </w:p>
        </w:tc>
        <w:tc>
          <w:tcPr>
            <w:tcW w:w="48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提供联合体投标协议书</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资格审查前，投标人（含联合体各方）须在广州市住房和城乡建设局建立企业诚信档案，拟担任本工程项目负责人、专职安全员须是本企业（或联合体主办方）诚信档案中的在册人员。</w:t>
            </w:r>
          </w:p>
        </w:tc>
        <w:tc>
          <w:tcPr>
            <w:tcW w:w="48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企业诚信档案情况及相关人员信息资料在</w:t>
            </w:r>
            <w:r>
              <w:rPr>
                <w:rFonts w:hint="eastAsia" w:ascii="宋体" w:hAnsi="宋体" w:eastAsia="宋体" w:cs="宋体"/>
                <w:color w:val="auto"/>
                <w:sz w:val="21"/>
                <w:szCs w:val="21"/>
                <w:highlight w:val="none"/>
                <w:shd w:val="clear" w:color="auto" w:fill="auto"/>
                <w:lang w:val="en-US" w:eastAsia="zh-CN"/>
              </w:rPr>
              <w:t>广州</w:t>
            </w:r>
            <w:r>
              <w:rPr>
                <w:rFonts w:hint="eastAsia" w:ascii="宋体" w:hAnsi="宋体" w:eastAsia="宋体" w:cs="宋体"/>
                <w:i w:val="0"/>
                <w:iCs w:val="0"/>
                <w:caps w:val="0"/>
                <w:color w:val="auto"/>
                <w:spacing w:val="0"/>
                <w:sz w:val="21"/>
                <w:szCs w:val="21"/>
                <w:highlight w:val="none"/>
                <w:shd w:val="clear" w:color="auto" w:fill="auto"/>
              </w:rPr>
              <w:t>市住房城乡建设局企业库</w:t>
            </w:r>
            <w:r>
              <w:rPr>
                <w:rFonts w:hint="eastAsia" w:ascii="宋体" w:hAnsi="宋体" w:eastAsia="宋体" w:cs="宋体"/>
                <w:color w:val="auto"/>
                <w:sz w:val="21"/>
                <w:szCs w:val="21"/>
                <w:highlight w:val="none"/>
                <w:shd w:val="clear" w:color="auto" w:fill="auto"/>
              </w:rPr>
              <w:t>查询；</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投标人未出现以下情形：与其它投标人的单位负责人为同一人或者存在控股、管理关系的</w:t>
            </w:r>
          </w:p>
        </w:tc>
        <w:tc>
          <w:tcPr>
            <w:tcW w:w="48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按投标人提供的《投标人声明》内容进行评审</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13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本工程不接受被列入广州开发区不良记录名单（有效期内）的单位或个人（指项目负责人）投标。</w:t>
            </w:r>
          </w:p>
        </w:tc>
        <w:tc>
          <w:tcPr>
            <w:tcW w:w="48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查询广州市黄埔区人民政府、广州开发区管委会网站的区住房和城乡建设局网页“建筑活动不良行为记录”栏目（网址： http://www.hp.gov.cn/gzjg/qzfgwhgzbm/qzfhcxjsj10/jzhdblxwjl/ ）公布名单为准。若资格审查时网址有变化，以最新网址为准。（投标人无需提交此项书面资料）</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ascii="宋体" w:hAnsi="宋体" w:eastAsia="宋体" w:cs="宋体"/>
                <w:color w:val="auto"/>
                <w:kern w:val="0"/>
                <w:sz w:val="21"/>
                <w:szCs w:val="21"/>
                <w:highlight w:val="none"/>
                <w:shd w:val="clear" w:color="auto" w:fill="auto"/>
              </w:rPr>
            </w:pPr>
          </w:p>
        </w:tc>
      </w:tr>
    </w:tbl>
    <w:p>
      <w:pPr>
        <w:widowControl/>
        <w:shd w:val="clear" w:color="auto" w:fill="FFFFFF"/>
        <w:jc w:val="left"/>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备注：1.凡出现以上任何一项不符合的情形，结论均为无效，否则就为有效。有效的记“○”无效的记“×”，全部审查项目均为有效的，结论为“通过”，否则为“不通过”。</w:t>
      </w:r>
    </w:p>
    <w:p>
      <w:pPr>
        <w:widowControl/>
        <w:shd w:val="clear" w:color="auto" w:fill="FFFFFF"/>
        <w:jc w:val="left"/>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2.如对本表中某种情形的评审意见不一致时，以评标委员会过半数成员的意见作为评标委员会对该情形的认定结论。</w:t>
      </w:r>
    </w:p>
    <w:p>
      <w:pPr>
        <w:widowControl/>
        <w:shd w:val="clear" w:color="auto" w:fill="FFFFFF"/>
        <w:jc w:val="left"/>
        <w:rPr>
          <w:rFonts w:hint="eastAsia" w:ascii="宋体" w:hAnsi="宋体" w:eastAsia="宋体" w:cs="宋体"/>
          <w:color w:val="auto"/>
          <w:sz w:val="20"/>
          <w:szCs w:val="20"/>
          <w:highlight w:val="none"/>
          <w:shd w:val="clear" w:color="auto" w:fill="auto"/>
        </w:rPr>
        <w:sectPr>
          <w:pgSz w:w="11907" w:h="16840"/>
          <w:pgMar w:top="1440" w:right="1080" w:bottom="1440" w:left="1080" w:header="851" w:footer="992" w:gutter="0"/>
          <w:cols w:space="720" w:num="1"/>
          <w:docGrid w:linePitch="312" w:charSpace="0"/>
        </w:sectPr>
      </w:pPr>
      <w:r>
        <w:rPr>
          <w:rFonts w:hint="eastAsia" w:ascii="宋体" w:hAnsi="宋体" w:eastAsia="宋体" w:cs="宋体"/>
          <w:color w:val="auto"/>
          <w:kern w:val="0"/>
          <w:sz w:val="21"/>
          <w:szCs w:val="21"/>
          <w:highlight w:val="none"/>
          <w:shd w:val="clear" w:color="auto" w:fill="auto"/>
        </w:rPr>
        <w:t xml:space="preserve">评委签名：                      日期：    </w:t>
      </w:r>
    </w:p>
    <w:p>
      <w:pPr>
        <w:spacing w:line="400" w:lineRule="exact"/>
        <w:rPr>
          <w:rFonts w:hint="eastAsia" w:ascii="宋体" w:hAnsi="宋体" w:eastAsia="宋体" w:cs="宋体"/>
          <w:b/>
          <w:color w:val="auto"/>
          <w:sz w:val="32"/>
          <w:szCs w:val="32"/>
          <w:highlight w:val="none"/>
          <w:shd w:val="clear" w:color="auto" w:fill="auto"/>
          <w:lang w:eastAsia="zh-CN"/>
        </w:rPr>
      </w:pPr>
      <w:r>
        <w:rPr>
          <w:rFonts w:hint="eastAsia" w:ascii="宋体" w:hAnsi="宋体" w:eastAsia="宋体" w:cs="宋体"/>
          <w:b/>
          <w:color w:val="auto"/>
          <w:sz w:val="32"/>
          <w:szCs w:val="32"/>
          <w:highlight w:val="none"/>
          <w:shd w:val="clear" w:color="auto" w:fill="auto"/>
        </w:rPr>
        <w:t>附表2</w:t>
      </w:r>
      <w:r>
        <w:rPr>
          <w:rFonts w:hint="eastAsia" w:ascii="宋体" w:hAnsi="宋体" w:eastAsia="宋体" w:cs="宋体"/>
          <w:b/>
          <w:color w:val="auto"/>
          <w:sz w:val="32"/>
          <w:szCs w:val="32"/>
          <w:highlight w:val="none"/>
          <w:shd w:val="clear" w:color="auto" w:fill="auto"/>
          <w:lang w:eastAsia="zh-CN"/>
        </w:rPr>
        <w:t>：</w:t>
      </w:r>
    </w:p>
    <w:p>
      <w:pPr>
        <w:jc w:val="left"/>
        <w:rPr>
          <w:rFonts w:hint="eastAsia" w:ascii="宋体" w:hAnsi="宋体" w:eastAsia="宋体" w:cs="宋体"/>
          <w:color w:val="auto"/>
          <w:sz w:val="32"/>
          <w:szCs w:val="32"/>
          <w:highlight w:val="none"/>
          <w:shd w:val="clear" w:color="auto" w:fill="auto"/>
        </w:rPr>
      </w:pPr>
    </w:p>
    <w:p>
      <w:pPr>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勘察设计技术方案投标文件有效性审查表</w:t>
      </w:r>
    </w:p>
    <w:p>
      <w:pPr>
        <w:spacing w:line="360" w:lineRule="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项目名称：</w:t>
      </w:r>
    </w:p>
    <w:tbl>
      <w:tblPr>
        <w:tblStyle w:val="55"/>
        <w:tblW w:w="14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015"/>
        <w:gridCol w:w="1015"/>
        <w:gridCol w:w="1016"/>
        <w:gridCol w:w="1016"/>
        <w:gridCol w:w="1015"/>
        <w:gridCol w:w="101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05" w:type="dxa"/>
            <w:vAlign w:val="center"/>
          </w:tcPr>
          <w:p>
            <w:pPr>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序号</w:t>
            </w:r>
          </w:p>
        </w:tc>
        <w:tc>
          <w:tcPr>
            <w:tcW w:w="7015" w:type="dxa"/>
            <w:tcBorders>
              <w:tl2br w:val="single" w:color="auto" w:sz="4" w:space="0"/>
            </w:tcBorders>
            <w:vAlign w:val="center"/>
          </w:tcPr>
          <w:p>
            <w:pPr>
              <w:wordWrap w:val="0"/>
              <w:ind w:left="552" w:leftChars="263" w:firstLine="1265" w:firstLineChars="600"/>
              <w:jc w:val="righ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 xml:space="preserve">方案编号  </w:t>
            </w:r>
          </w:p>
          <w:p>
            <w:pPr>
              <w:ind w:firstLine="211" w:firstLineChars="1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审查项目</w:t>
            </w:r>
          </w:p>
        </w:tc>
        <w:tc>
          <w:tcPr>
            <w:tcW w:w="1015" w:type="dxa"/>
          </w:tcPr>
          <w:p>
            <w:pPr>
              <w:ind w:left="552" w:hanging="73"/>
              <w:rPr>
                <w:rFonts w:hint="eastAsia" w:ascii="宋体" w:hAnsi="宋体" w:eastAsia="宋体" w:cs="宋体"/>
                <w:b/>
                <w:bCs/>
                <w:color w:val="auto"/>
                <w:szCs w:val="21"/>
                <w:highlight w:val="none"/>
                <w:shd w:val="clear" w:color="auto" w:fill="auto"/>
              </w:rPr>
            </w:pPr>
          </w:p>
        </w:tc>
        <w:tc>
          <w:tcPr>
            <w:tcW w:w="1016" w:type="dxa"/>
          </w:tcPr>
          <w:p>
            <w:pPr>
              <w:ind w:left="552" w:hanging="73"/>
              <w:rPr>
                <w:rFonts w:hint="eastAsia" w:ascii="宋体" w:hAnsi="宋体" w:eastAsia="宋体" w:cs="宋体"/>
                <w:b/>
                <w:bCs/>
                <w:color w:val="auto"/>
                <w:szCs w:val="21"/>
                <w:highlight w:val="none"/>
                <w:shd w:val="clear" w:color="auto" w:fill="auto"/>
              </w:rPr>
            </w:pPr>
          </w:p>
        </w:tc>
        <w:tc>
          <w:tcPr>
            <w:tcW w:w="1016" w:type="dxa"/>
          </w:tcPr>
          <w:p>
            <w:pPr>
              <w:ind w:left="552" w:hanging="73"/>
              <w:rPr>
                <w:rFonts w:hint="eastAsia" w:ascii="宋体" w:hAnsi="宋体" w:eastAsia="宋体" w:cs="宋体"/>
                <w:b/>
                <w:bCs/>
                <w:color w:val="auto"/>
                <w:szCs w:val="21"/>
                <w:highlight w:val="none"/>
                <w:shd w:val="clear" w:color="auto" w:fill="auto"/>
              </w:rPr>
            </w:pPr>
          </w:p>
        </w:tc>
        <w:tc>
          <w:tcPr>
            <w:tcW w:w="1015" w:type="dxa"/>
          </w:tcPr>
          <w:p>
            <w:pPr>
              <w:ind w:left="552" w:hanging="73"/>
              <w:rPr>
                <w:rFonts w:hint="eastAsia" w:ascii="宋体" w:hAnsi="宋体" w:eastAsia="宋体" w:cs="宋体"/>
                <w:b/>
                <w:bCs/>
                <w:color w:val="auto"/>
                <w:szCs w:val="21"/>
                <w:highlight w:val="none"/>
                <w:shd w:val="clear" w:color="auto" w:fill="auto"/>
              </w:rPr>
            </w:pPr>
          </w:p>
        </w:tc>
        <w:tc>
          <w:tcPr>
            <w:tcW w:w="1016" w:type="dxa"/>
          </w:tcPr>
          <w:p>
            <w:pPr>
              <w:ind w:left="552" w:hanging="73"/>
              <w:rPr>
                <w:rFonts w:hint="eastAsia" w:ascii="宋体" w:hAnsi="宋体" w:eastAsia="宋体" w:cs="宋体"/>
                <w:b/>
                <w:bCs/>
                <w:color w:val="auto"/>
                <w:szCs w:val="21"/>
                <w:highlight w:val="none"/>
                <w:shd w:val="clear" w:color="auto" w:fill="auto"/>
              </w:rPr>
            </w:pPr>
          </w:p>
        </w:tc>
        <w:tc>
          <w:tcPr>
            <w:tcW w:w="1016" w:type="dxa"/>
          </w:tcPr>
          <w:p>
            <w:pPr>
              <w:ind w:left="552" w:hanging="73"/>
              <w:rPr>
                <w:rFonts w:hint="eastAsia" w:ascii="宋体" w:hAnsi="宋体" w:eastAsia="宋体" w:cs="宋体"/>
                <w:b/>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05" w:type="dxa"/>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p>
        </w:tc>
        <w:tc>
          <w:tcPr>
            <w:tcW w:w="7015" w:type="dxa"/>
            <w:vAlign w:val="center"/>
          </w:tcPr>
          <w:p>
            <w:pPr>
              <w:spacing w:line="20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投标人在</w:t>
            </w:r>
            <w:r>
              <w:rPr>
                <w:rFonts w:hint="eastAsia" w:ascii="宋体" w:hAnsi="宋体" w:eastAsia="宋体" w:cs="宋体"/>
                <w:color w:val="auto"/>
                <w:szCs w:val="21"/>
                <w:highlight w:val="none"/>
                <w:u w:val="single"/>
                <w:shd w:val="clear" w:color="auto" w:fill="auto"/>
              </w:rPr>
              <w:t>设计方案</w:t>
            </w:r>
            <w:r>
              <w:rPr>
                <w:rFonts w:hint="eastAsia" w:ascii="宋体" w:hAnsi="宋体" w:eastAsia="宋体" w:cs="宋体"/>
                <w:color w:val="auto"/>
                <w:szCs w:val="21"/>
                <w:highlight w:val="none"/>
                <w:shd w:val="clear" w:color="auto" w:fill="auto"/>
              </w:rPr>
              <w:t>内标注名称、印章、商标、图形等记认符号（或使人辨认出投标人或其专业技术人员的身份）的；</w:t>
            </w:r>
          </w:p>
        </w:tc>
        <w:tc>
          <w:tcPr>
            <w:tcW w:w="1015"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5"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5" w:type="dxa"/>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w:t>
            </w:r>
          </w:p>
        </w:tc>
        <w:tc>
          <w:tcPr>
            <w:tcW w:w="7015" w:type="dxa"/>
            <w:vAlign w:val="center"/>
          </w:tcPr>
          <w:p>
            <w:pPr>
              <w:spacing w:line="20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存在明显抄袭行为的；</w:t>
            </w:r>
          </w:p>
        </w:tc>
        <w:tc>
          <w:tcPr>
            <w:tcW w:w="1015"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5"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w:t>
            </w:r>
          </w:p>
        </w:tc>
        <w:tc>
          <w:tcPr>
            <w:tcW w:w="7015" w:type="dxa"/>
            <w:vAlign w:val="center"/>
          </w:tcPr>
          <w:p>
            <w:pPr>
              <w:spacing w:line="20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存在侵犯他人著作权和特许权的；</w:t>
            </w:r>
          </w:p>
        </w:tc>
        <w:tc>
          <w:tcPr>
            <w:tcW w:w="1015"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5"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5" w:type="dxa"/>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w:t>
            </w:r>
          </w:p>
        </w:tc>
        <w:tc>
          <w:tcPr>
            <w:tcW w:w="7015" w:type="dxa"/>
            <w:vAlign w:val="center"/>
          </w:tcPr>
          <w:p>
            <w:pPr>
              <w:spacing w:line="20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存在投标人与招标人、评标委员会成员或其他投标人串通投标情形的；</w:t>
            </w:r>
          </w:p>
        </w:tc>
        <w:tc>
          <w:tcPr>
            <w:tcW w:w="1015"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5"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5" w:type="dxa"/>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结论</w:t>
            </w:r>
          </w:p>
        </w:tc>
        <w:tc>
          <w:tcPr>
            <w:tcW w:w="7015" w:type="dxa"/>
            <w:vAlign w:val="center"/>
          </w:tcPr>
          <w:p>
            <w:pPr>
              <w:spacing w:line="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结论（通过/不通过）</w:t>
            </w:r>
          </w:p>
        </w:tc>
        <w:tc>
          <w:tcPr>
            <w:tcW w:w="1015"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5"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c>
          <w:tcPr>
            <w:tcW w:w="1016" w:type="dxa"/>
          </w:tcPr>
          <w:p>
            <w:pPr>
              <w:ind w:left="552" w:hanging="73"/>
              <w:rPr>
                <w:rFonts w:hint="eastAsia" w:ascii="宋体" w:hAnsi="宋体" w:eastAsia="宋体" w:cs="宋体"/>
                <w:color w:val="auto"/>
                <w:szCs w:val="21"/>
                <w:highlight w:val="none"/>
                <w:shd w:val="clear" w:color="auto" w:fill="auto"/>
              </w:rPr>
            </w:pPr>
          </w:p>
        </w:tc>
      </w:tr>
    </w:tbl>
    <w:p>
      <w:pPr>
        <w:ind w:left="630" w:hanging="630" w:hangingChars="3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注：1.凡出现以上任何一项情形，结论均为无效，否则就为有效。有效的记“○”无效的记“×”，全部审查项目均为有效的，结论为“通过”，否则为“不通过”。</w:t>
      </w:r>
    </w:p>
    <w:p>
      <w:pPr>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2.如对本表中某种情形的评审意见不一致时，以评审组过半数成员的意见作为评审组对该情形的认定结论。</w:t>
      </w:r>
    </w:p>
    <w:p>
      <w:pPr>
        <w:jc w:val="left"/>
        <w:rPr>
          <w:rFonts w:hint="eastAsia" w:ascii="宋体" w:hAnsi="宋体" w:eastAsia="宋体" w:cs="宋体"/>
          <w:color w:val="auto"/>
          <w:szCs w:val="21"/>
          <w:highlight w:val="none"/>
          <w:shd w:val="clear" w:color="auto" w:fill="auto"/>
        </w:rPr>
      </w:pPr>
    </w:p>
    <w:p>
      <w:pPr>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评委签名：                               日期：</w:t>
      </w:r>
    </w:p>
    <w:p>
      <w:pPr>
        <w:jc w:val="left"/>
        <w:rPr>
          <w:rFonts w:hint="eastAsia" w:ascii="宋体" w:hAnsi="宋体" w:eastAsia="宋体" w:cs="宋体"/>
          <w:color w:val="auto"/>
          <w:highlight w:val="none"/>
          <w:shd w:val="clear" w:color="auto" w:fill="auto"/>
        </w:rPr>
        <w:sectPr>
          <w:footerReference r:id="rId11" w:type="default"/>
          <w:footerReference r:id="rId12" w:type="even"/>
          <w:pgSz w:w="16840" w:h="11907" w:orient="landscape"/>
          <w:pgMar w:top="1440" w:right="1080" w:bottom="1440" w:left="1080" w:header="851" w:footer="992" w:gutter="0"/>
          <w:cols w:space="720" w:num="1"/>
          <w:docGrid w:linePitch="312" w:charSpace="0"/>
        </w:sectPr>
      </w:pPr>
    </w:p>
    <w:p>
      <w:pPr>
        <w:spacing w:line="360" w:lineRule="auto"/>
        <w:rPr>
          <w:rFonts w:hint="eastAsia" w:ascii="宋体" w:hAnsi="宋体" w:eastAsia="宋体" w:cs="宋体"/>
          <w:b/>
          <w:color w:val="auto"/>
          <w:sz w:val="32"/>
          <w:szCs w:val="32"/>
          <w:highlight w:val="none"/>
          <w:shd w:val="clear" w:color="auto" w:fill="auto"/>
          <w:lang w:eastAsia="zh-CN"/>
        </w:rPr>
      </w:pPr>
      <w:r>
        <w:rPr>
          <w:rFonts w:hint="eastAsia" w:ascii="宋体" w:hAnsi="宋体" w:eastAsia="宋体" w:cs="宋体"/>
          <w:b/>
          <w:color w:val="auto"/>
          <w:sz w:val="32"/>
          <w:szCs w:val="32"/>
          <w:highlight w:val="none"/>
          <w:shd w:val="clear" w:color="auto" w:fill="auto"/>
        </w:rPr>
        <w:t>附表3</w:t>
      </w:r>
      <w:r>
        <w:rPr>
          <w:rFonts w:hint="eastAsia" w:ascii="宋体" w:hAnsi="宋体" w:eastAsia="宋体" w:cs="宋体"/>
          <w:b/>
          <w:color w:val="auto"/>
          <w:sz w:val="32"/>
          <w:szCs w:val="32"/>
          <w:highlight w:val="none"/>
          <w:shd w:val="clear" w:color="auto" w:fill="auto"/>
          <w:lang w:eastAsia="zh-CN"/>
        </w:rPr>
        <w:t>：</w:t>
      </w:r>
    </w:p>
    <w:p>
      <w:pPr>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工程总承包实施方案投标文件有效性审查表</w:t>
      </w:r>
    </w:p>
    <w:p>
      <w:pPr>
        <w:jc w:val="left"/>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Cs w:val="21"/>
          <w:highlight w:val="none"/>
          <w:shd w:val="clear" w:color="auto" w:fill="auto"/>
        </w:rPr>
        <w:t>项目名称：</w:t>
      </w:r>
    </w:p>
    <w:tbl>
      <w:tblPr>
        <w:tblStyle w:val="55"/>
        <w:tblW w:w="14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138"/>
        <w:gridCol w:w="762"/>
        <w:gridCol w:w="763"/>
        <w:gridCol w:w="763"/>
        <w:gridCol w:w="762"/>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Align w:val="center"/>
          </w:tcPr>
          <w:p>
            <w:pPr>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序号</w:t>
            </w:r>
          </w:p>
        </w:tc>
        <w:tc>
          <w:tcPr>
            <w:tcW w:w="9138" w:type="dxa"/>
            <w:tcBorders>
              <w:tl2br w:val="single" w:color="auto" w:sz="4" w:space="0"/>
            </w:tcBorders>
          </w:tcPr>
          <w:p>
            <w:pPr>
              <w:wordWrap w:val="0"/>
              <w:jc w:val="righ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 xml:space="preserve">               投标人名称</w:t>
            </w:r>
          </w:p>
          <w:p>
            <w:pPr>
              <w:ind w:firstLine="211" w:firstLineChars="1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评审内容</w:t>
            </w:r>
          </w:p>
        </w:tc>
        <w:tc>
          <w:tcPr>
            <w:tcW w:w="762" w:type="dxa"/>
          </w:tcPr>
          <w:p>
            <w:pPr>
              <w:rPr>
                <w:rFonts w:hint="eastAsia" w:ascii="宋体" w:hAnsi="宋体" w:eastAsia="宋体" w:cs="宋体"/>
                <w:b/>
                <w:bCs/>
                <w:color w:val="auto"/>
                <w:szCs w:val="21"/>
                <w:highlight w:val="none"/>
                <w:shd w:val="clear" w:color="auto" w:fill="auto"/>
              </w:rPr>
            </w:pPr>
          </w:p>
        </w:tc>
        <w:tc>
          <w:tcPr>
            <w:tcW w:w="763" w:type="dxa"/>
          </w:tcPr>
          <w:p>
            <w:pPr>
              <w:rPr>
                <w:rFonts w:hint="eastAsia" w:ascii="宋体" w:hAnsi="宋体" w:eastAsia="宋体" w:cs="宋体"/>
                <w:b/>
                <w:bCs/>
                <w:color w:val="auto"/>
                <w:szCs w:val="21"/>
                <w:highlight w:val="none"/>
                <w:shd w:val="clear" w:color="auto" w:fill="auto"/>
              </w:rPr>
            </w:pPr>
          </w:p>
        </w:tc>
        <w:tc>
          <w:tcPr>
            <w:tcW w:w="763" w:type="dxa"/>
          </w:tcPr>
          <w:p>
            <w:pPr>
              <w:rPr>
                <w:rFonts w:hint="eastAsia" w:ascii="宋体" w:hAnsi="宋体" w:eastAsia="宋体" w:cs="宋体"/>
                <w:b/>
                <w:bCs/>
                <w:color w:val="auto"/>
                <w:szCs w:val="21"/>
                <w:highlight w:val="none"/>
                <w:shd w:val="clear" w:color="auto" w:fill="auto"/>
              </w:rPr>
            </w:pPr>
          </w:p>
        </w:tc>
        <w:tc>
          <w:tcPr>
            <w:tcW w:w="762" w:type="dxa"/>
          </w:tcPr>
          <w:p>
            <w:pPr>
              <w:rPr>
                <w:rFonts w:hint="eastAsia" w:ascii="宋体" w:hAnsi="宋体" w:eastAsia="宋体" w:cs="宋体"/>
                <w:b/>
                <w:bCs/>
                <w:color w:val="auto"/>
                <w:szCs w:val="21"/>
                <w:highlight w:val="none"/>
                <w:shd w:val="clear" w:color="auto" w:fill="auto"/>
              </w:rPr>
            </w:pPr>
          </w:p>
        </w:tc>
        <w:tc>
          <w:tcPr>
            <w:tcW w:w="763" w:type="dxa"/>
          </w:tcPr>
          <w:p>
            <w:pPr>
              <w:rPr>
                <w:rFonts w:hint="eastAsia" w:ascii="宋体" w:hAnsi="宋体" w:eastAsia="宋体" w:cs="宋体"/>
                <w:b/>
                <w:bCs/>
                <w:color w:val="auto"/>
                <w:szCs w:val="21"/>
                <w:highlight w:val="none"/>
                <w:shd w:val="clear" w:color="auto" w:fill="auto"/>
              </w:rPr>
            </w:pPr>
          </w:p>
        </w:tc>
        <w:tc>
          <w:tcPr>
            <w:tcW w:w="763" w:type="dxa"/>
          </w:tcPr>
          <w:p>
            <w:pPr>
              <w:rPr>
                <w:rFonts w:hint="eastAsia" w:ascii="宋体" w:hAnsi="宋体" w:eastAsia="宋体" w:cs="宋体"/>
                <w:b/>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p>
        </w:tc>
        <w:tc>
          <w:tcPr>
            <w:tcW w:w="9138" w:type="dxa"/>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工期不符合</w:t>
            </w:r>
            <w:r>
              <w:rPr>
                <w:rFonts w:hint="eastAsia" w:ascii="宋体" w:hAnsi="宋体" w:eastAsia="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rPr>
              <w:t>文件要求的</w:t>
            </w: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w:t>
            </w:r>
          </w:p>
        </w:tc>
        <w:tc>
          <w:tcPr>
            <w:tcW w:w="9138" w:type="dxa"/>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对同一招标项目出现两个或以上的投标报价，且没有申明哪个有效；</w:t>
            </w: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5" w:type="dxa"/>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w:t>
            </w:r>
          </w:p>
        </w:tc>
        <w:tc>
          <w:tcPr>
            <w:tcW w:w="9138" w:type="dxa"/>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投标总报价高于招标控制价的，或勘察费（含测量）报价高于勘察费（含测量）投标最高限价的，或设计费报价高于设计费投标最高限价的，或施工费总价报价高于施工费总价投标最高限价的；</w:t>
            </w: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w:t>
            </w:r>
          </w:p>
        </w:tc>
        <w:tc>
          <w:tcPr>
            <w:tcW w:w="9138" w:type="dxa"/>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投标报价低于企业成本的（投标人的报价明显低于其他投标报价，使得其投标报价可能低于其个别成本，又不能合理说明或者不能提供相关证明材料，评标委员会认定该投标人低于成本报价的）；</w:t>
            </w: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w:t>
            </w:r>
          </w:p>
        </w:tc>
        <w:tc>
          <w:tcPr>
            <w:tcW w:w="9138" w:type="dxa"/>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投标文件中没有有效的法定代表人证明书扫描件，或由委托代理人签署或盖章的投标文件中没有法定代表人授权书扫描件；</w:t>
            </w: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6</w:t>
            </w:r>
          </w:p>
        </w:tc>
        <w:tc>
          <w:tcPr>
            <w:tcW w:w="9138" w:type="dxa"/>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投标文件的封面没有加盖投标单位的法定印章并经法定代表人或投标人代表签署或盖章的；</w:t>
            </w: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7</w:t>
            </w:r>
          </w:p>
        </w:tc>
        <w:tc>
          <w:tcPr>
            <w:tcW w:w="9138" w:type="dxa"/>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投标文件未按规定的格式填写（第五章格式1、格式2），或主要内容不全，或关键字迹模糊、无法辨认的；</w:t>
            </w: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8</w:t>
            </w:r>
          </w:p>
        </w:tc>
        <w:tc>
          <w:tcPr>
            <w:tcW w:w="9138" w:type="dxa"/>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存在串通投标情形（串通投标情形以《中华人民共和国招标投标法实施条例》的规定为准）；</w:t>
            </w: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2"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c>
          <w:tcPr>
            <w:tcW w:w="763" w:type="dxa"/>
          </w:tcPr>
          <w:p>
            <w:pP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9</w:t>
            </w:r>
          </w:p>
        </w:tc>
        <w:tc>
          <w:tcPr>
            <w:tcW w:w="91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无《参与编制投标文件人员名单》的</w:t>
            </w:r>
          </w:p>
        </w:tc>
        <w:tc>
          <w:tcPr>
            <w:tcW w:w="76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highlight w:val="none"/>
                <w:shd w:val="clear" w:color="auto" w:fill="auto"/>
              </w:rPr>
            </w:pPr>
          </w:p>
        </w:tc>
        <w:tc>
          <w:tcPr>
            <w:tcW w:w="76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highlight w:val="none"/>
                <w:shd w:val="clear" w:color="auto" w:fill="auto"/>
              </w:rPr>
            </w:pPr>
          </w:p>
        </w:tc>
        <w:tc>
          <w:tcPr>
            <w:tcW w:w="76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highlight w:val="none"/>
                <w:shd w:val="clear" w:color="auto" w:fill="auto"/>
              </w:rPr>
            </w:pPr>
          </w:p>
        </w:tc>
        <w:tc>
          <w:tcPr>
            <w:tcW w:w="76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highlight w:val="none"/>
                <w:shd w:val="clear" w:color="auto" w:fill="auto"/>
              </w:rPr>
            </w:pPr>
          </w:p>
        </w:tc>
        <w:tc>
          <w:tcPr>
            <w:tcW w:w="76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highlight w:val="none"/>
                <w:shd w:val="clear" w:color="auto" w:fill="auto"/>
              </w:rPr>
            </w:pPr>
          </w:p>
        </w:tc>
        <w:tc>
          <w:tcPr>
            <w:tcW w:w="76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结论</w:t>
            </w:r>
          </w:p>
        </w:tc>
        <w:tc>
          <w:tcPr>
            <w:tcW w:w="91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是否通过并进入下一阶段评审。</w:t>
            </w:r>
          </w:p>
        </w:tc>
        <w:tc>
          <w:tcPr>
            <w:tcW w:w="76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highlight w:val="none"/>
                <w:shd w:val="clear" w:color="auto" w:fill="auto"/>
              </w:rPr>
            </w:pPr>
          </w:p>
        </w:tc>
        <w:tc>
          <w:tcPr>
            <w:tcW w:w="76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highlight w:val="none"/>
                <w:shd w:val="clear" w:color="auto" w:fill="auto"/>
              </w:rPr>
            </w:pPr>
          </w:p>
        </w:tc>
        <w:tc>
          <w:tcPr>
            <w:tcW w:w="76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highlight w:val="none"/>
                <w:shd w:val="clear" w:color="auto" w:fill="auto"/>
              </w:rPr>
            </w:pPr>
          </w:p>
        </w:tc>
        <w:tc>
          <w:tcPr>
            <w:tcW w:w="76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highlight w:val="none"/>
                <w:shd w:val="clear" w:color="auto" w:fill="auto"/>
              </w:rPr>
            </w:pPr>
          </w:p>
        </w:tc>
        <w:tc>
          <w:tcPr>
            <w:tcW w:w="76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highlight w:val="none"/>
                <w:shd w:val="clear" w:color="auto" w:fill="auto"/>
              </w:rPr>
            </w:pPr>
          </w:p>
        </w:tc>
        <w:tc>
          <w:tcPr>
            <w:tcW w:w="76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highlight w:val="none"/>
                <w:shd w:val="clear" w:color="auto" w:fill="auto"/>
              </w:rPr>
            </w:pPr>
          </w:p>
        </w:tc>
      </w:tr>
    </w:tbl>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备注：1.凡出现以上任何一项情形，均为无效，否则就为有效。</w:t>
      </w:r>
    </w:p>
    <w:p>
      <w:pPr>
        <w:ind w:firstLine="630" w:firstLineChars="3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2.根据本表审查项目，填 “○”或 “×”，评审结论填“通过“或“不通过”。</w:t>
      </w:r>
    </w:p>
    <w:p>
      <w:pPr>
        <w:ind w:firstLine="630" w:firstLineChars="3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3.本表中出现一个（或以上）“×”，投标人的评审结论为“不通过”，即该投标人不进入下一阶段评审。</w:t>
      </w:r>
    </w:p>
    <w:p>
      <w:pPr>
        <w:ind w:firstLine="630" w:firstLineChars="3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4.本表中评审项目全部为 “○”，投标人的评审结论为“通过”，即该投标人进入下一阶段评审。</w:t>
      </w:r>
    </w:p>
    <w:p>
      <w:pPr>
        <w:ind w:firstLine="630" w:firstLineChars="3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5.如对本表中某种情形的评审意见不一致时，以评审组过半数成员的意见作为评审组对该情形的认定结论。</w:t>
      </w:r>
    </w:p>
    <w:p>
      <w:pPr>
        <w:spacing w:beforeLines="50"/>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评委签名：                     日期：           </w:t>
      </w:r>
    </w:p>
    <w:p>
      <w:pPr>
        <w:spacing w:line="240" w:lineRule="auto"/>
        <w:rPr>
          <w:rFonts w:hint="eastAsia" w:ascii="宋体" w:hAnsi="宋体" w:eastAsia="宋体" w:cs="宋体"/>
          <w:b/>
          <w:color w:val="auto"/>
          <w:sz w:val="32"/>
          <w:szCs w:val="32"/>
          <w:highlight w:val="none"/>
          <w:shd w:val="clear" w:color="auto" w:fill="auto"/>
        </w:rPr>
      </w:pPr>
    </w:p>
    <w:p>
      <w:pPr>
        <w:spacing w:line="240" w:lineRule="auto"/>
        <w:rPr>
          <w:rFonts w:hint="eastAsia" w:ascii="宋体" w:hAnsi="宋体" w:eastAsia="宋体" w:cs="宋体"/>
          <w:b/>
          <w:color w:val="auto"/>
          <w:sz w:val="32"/>
          <w:szCs w:val="32"/>
          <w:highlight w:val="none"/>
          <w:shd w:val="clear" w:color="auto" w:fill="auto"/>
        </w:rPr>
      </w:pPr>
    </w:p>
    <w:p>
      <w:pPr>
        <w:spacing w:line="240" w:lineRule="auto"/>
        <w:rPr>
          <w:rFonts w:hint="eastAsia" w:ascii="宋体" w:hAnsi="宋体" w:eastAsia="宋体" w:cs="宋体"/>
          <w:b/>
          <w:color w:val="auto"/>
          <w:sz w:val="32"/>
          <w:szCs w:val="32"/>
          <w:highlight w:val="none"/>
          <w:shd w:val="clear" w:color="auto" w:fill="auto"/>
        </w:rPr>
      </w:pPr>
    </w:p>
    <w:p>
      <w:pPr>
        <w:spacing w:line="240" w:lineRule="auto"/>
        <w:jc w:val="left"/>
        <w:rPr>
          <w:rFonts w:hint="eastAsia" w:ascii="宋体" w:hAnsi="宋体" w:eastAsia="宋体" w:cs="宋体"/>
          <w:b/>
          <w:bCs w:val="0"/>
          <w:color w:val="auto"/>
          <w:sz w:val="32"/>
          <w:szCs w:val="32"/>
          <w:highlight w:val="none"/>
          <w:shd w:val="clear" w:color="auto" w:fill="auto"/>
          <w:lang w:eastAsia="zh-CN"/>
        </w:rPr>
      </w:pPr>
      <w:r>
        <w:rPr>
          <w:rFonts w:hint="eastAsia" w:ascii="宋体" w:hAnsi="宋体" w:eastAsia="宋体" w:cs="宋体"/>
          <w:b/>
          <w:color w:val="auto"/>
          <w:sz w:val="32"/>
          <w:szCs w:val="32"/>
          <w:highlight w:val="none"/>
          <w:shd w:val="clear" w:color="auto" w:fill="auto"/>
        </w:rPr>
        <w:t>附表4</w:t>
      </w:r>
      <w:r>
        <w:rPr>
          <w:rFonts w:hint="eastAsia" w:ascii="宋体" w:hAnsi="宋体" w:eastAsia="宋体" w:cs="宋体"/>
          <w:b/>
          <w:color w:val="auto"/>
          <w:sz w:val="32"/>
          <w:szCs w:val="32"/>
          <w:highlight w:val="none"/>
          <w:shd w:val="clear" w:color="auto" w:fill="auto"/>
          <w:lang w:val="en-US" w:eastAsia="zh-CN"/>
        </w:rPr>
        <w:t>:</w:t>
      </w:r>
    </w:p>
    <w:p>
      <w:pPr>
        <w:spacing w:line="240" w:lineRule="auto"/>
        <w:jc w:val="center"/>
        <w:rPr>
          <w:rFonts w:hint="eastAsia" w:ascii="宋体" w:hAnsi="宋体" w:eastAsia="宋体" w:cs="宋体"/>
          <w:b/>
          <w:color w:val="auto"/>
          <w:sz w:val="32"/>
          <w:szCs w:val="32"/>
          <w:highlight w:val="none"/>
          <w:shd w:val="clear" w:color="auto" w:fill="auto"/>
          <w:lang w:eastAsia="zh-CN"/>
        </w:rPr>
      </w:pPr>
      <w:r>
        <w:rPr>
          <w:rFonts w:hint="eastAsia" w:ascii="宋体" w:hAnsi="宋体" w:eastAsia="宋体" w:cs="宋体"/>
          <w:b/>
          <w:bCs w:val="0"/>
          <w:color w:val="auto"/>
          <w:sz w:val="32"/>
          <w:szCs w:val="32"/>
          <w:highlight w:val="none"/>
          <w:shd w:val="clear" w:color="auto" w:fill="auto"/>
          <w:lang w:eastAsia="zh-CN"/>
        </w:rPr>
        <w:t>勘察设计技术方案投标文件综合评分表</w:t>
      </w:r>
    </w:p>
    <w:tbl>
      <w:tblPr>
        <w:tblStyle w:val="55"/>
        <w:tblW w:w="15597" w:type="dxa"/>
        <w:jc w:val="center"/>
        <w:tblLayout w:type="fixed"/>
        <w:tblCellMar>
          <w:top w:w="0" w:type="dxa"/>
          <w:left w:w="108" w:type="dxa"/>
          <w:bottom w:w="0" w:type="dxa"/>
          <w:right w:w="108" w:type="dxa"/>
        </w:tblCellMar>
      </w:tblPr>
      <w:tblGrid>
        <w:gridCol w:w="735"/>
        <w:gridCol w:w="900"/>
        <w:gridCol w:w="1677"/>
        <w:gridCol w:w="11577"/>
        <w:gridCol w:w="708"/>
      </w:tblGrid>
      <w:tr>
        <w:tblPrEx>
          <w:tblCellMar>
            <w:top w:w="0" w:type="dxa"/>
            <w:left w:w="108" w:type="dxa"/>
            <w:bottom w:w="0" w:type="dxa"/>
            <w:right w:w="108" w:type="dxa"/>
          </w:tblCellMar>
        </w:tblPrEx>
        <w:trPr>
          <w:trHeight w:val="379" w:hRule="atLeast"/>
          <w:jc w:val="center"/>
        </w:trPr>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zh-CN"/>
              </w:rPr>
              <w:t>序号</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zh-CN"/>
              </w:rPr>
              <w:t>项目</w:t>
            </w:r>
          </w:p>
        </w:tc>
        <w:tc>
          <w:tcPr>
            <w:tcW w:w="16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zh-CN"/>
              </w:rPr>
              <w:t>分值分配</w:t>
            </w:r>
          </w:p>
        </w:tc>
        <w:tc>
          <w:tcPr>
            <w:tcW w:w="115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zh-CN"/>
              </w:rPr>
              <w:t>内</w:t>
            </w:r>
            <w:r>
              <w:rPr>
                <w:rFonts w:hint="eastAsia" w:ascii="宋体" w:hAnsi="宋体" w:eastAsia="宋体" w:cs="宋体"/>
                <w:b/>
                <w:bCs/>
                <w:color w:val="auto"/>
                <w:szCs w:val="21"/>
                <w:highlight w:val="none"/>
                <w:shd w:val="clear" w:color="auto" w:fill="auto"/>
              </w:rPr>
              <w:t xml:space="preserve">     </w:t>
            </w:r>
            <w:r>
              <w:rPr>
                <w:rFonts w:hint="eastAsia" w:ascii="宋体" w:hAnsi="宋体" w:eastAsia="宋体" w:cs="宋体"/>
                <w:b/>
                <w:bCs/>
                <w:color w:val="auto"/>
                <w:szCs w:val="21"/>
                <w:highlight w:val="none"/>
                <w:shd w:val="clear" w:color="auto" w:fill="auto"/>
                <w:lang w:val="zh-CN"/>
              </w:rPr>
              <w:t>容</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zh-CN"/>
              </w:rPr>
              <w:t>得分</w:t>
            </w:r>
          </w:p>
        </w:tc>
      </w:tr>
      <w:tr>
        <w:tblPrEx>
          <w:tblCellMar>
            <w:top w:w="0" w:type="dxa"/>
            <w:left w:w="108" w:type="dxa"/>
            <w:bottom w:w="0" w:type="dxa"/>
            <w:right w:w="108" w:type="dxa"/>
          </w:tblCellMar>
        </w:tblPrEx>
        <w:trPr>
          <w:trHeight w:val="567" w:hRule="atLeast"/>
          <w:jc w:val="center"/>
        </w:trPr>
        <w:tc>
          <w:tcPr>
            <w:tcW w:w="735" w:type="dxa"/>
            <w:vMerge w:val="restart"/>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一</w:t>
            </w:r>
          </w:p>
        </w:tc>
        <w:tc>
          <w:tcPr>
            <w:tcW w:w="900" w:type="dxa"/>
            <w:vMerge w:val="restart"/>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勘察设计技术大纲</w:t>
            </w:r>
          </w:p>
          <w:p>
            <w:pPr>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w:t>
            </w:r>
            <w:r>
              <w:rPr>
                <w:rFonts w:hint="eastAsia" w:ascii="宋体" w:hAnsi="宋体" w:eastAsia="宋体" w:cs="宋体"/>
                <w:color w:val="auto"/>
                <w:sz w:val="21"/>
                <w:szCs w:val="21"/>
                <w:highlight w:val="none"/>
                <w:shd w:val="clear" w:color="auto" w:fill="auto"/>
                <w:lang w:val="en-US" w:eastAsia="zh-CN"/>
              </w:rPr>
              <w:t>100</w:t>
            </w:r>
            <w:r>
              <w:rPr>
                <w:rFonts w:hint="eastAsia" w:ascii="宋体" w:hAnsi="宋体" w:eastAsia="宋体" w:cs="宋体"/>
                <w:color w:val="auto"/>
                <w:sz w:val="21"/>
                <w:szCs w:val="21"/>
                <w:highlight w:val="none"/>
                <w:shd w:val="clear" w:color="auto" w:fill="auto"/>
                <w:lang w:val="zh-CN"/>
              </w:rPr>
              <w:t>]</w:t>
            </w:r>
          </w:p>
        </w:tc>
        <w:tc>
          <w:tcPr>
            <w:tcW w:w="1677" w:type="dxa"/>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投标文件的符合性（</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lang w:val="zh-CN"/>
              </w:rPr>
              <w:t>分）</w:t>
            </w:r>
          </w:p>
        </w:tc>
        <w:tc>
          <w:tcPr>
            <w:tcW w:w="11577"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整个设计内容符,合招标文件要求，内容全面，设计总说明书文字表达清楚、思路清晰、重点和难点突出、图纸及文卷质量高。</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（优得</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lang w:val="zh-CN"/>
              </w:rPr>
              <w:t>分；良得</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lang w:val="zh-CN"/>
              </w:rPr>
              <w:t>分；中得</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分；差得</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color w:val="auto"/>
                <w:szCs w:val="21"/>
                <w:highlight w:val="none"/>
                <w:shd w:val="clear" w:color="auto" w:fill="auto"/>
                <w:lang w:val="zh-CN"/>
              </w:rPr>
            </w:pPr>
          </w:p>
        </w:tc>
      </w:tr>
      <w:tr>
        <w:tblPrEx>
          <w:tblCellMar>
            <w:top w:w="0" w:type="dxa"/>
            <w:left w:w="108" w:type="dxa"/>
            <w:bottom w:w="0" w:type="dxa"/>
            <w:right w:w="108" w:type="dxa"/>
          </w:tblCellMar>
        </w:tblPrEx>
        <w:trPr>
          <w:trHeight w:val="567" w:hRule="atLeast"/>
          <w:jc w:val="center"/>
        </w:trPr>
        <w:tc>
          <w:tcPr>
            <w:tcW w:w="735"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spacing w:line="240" w:lineRule="exact"/>
              <w:jc w:val="left"/>
              <w:rPr>
                <w:rFonts w:hint="eastAsia" w:ascii="宋体" w:hAnsi="宋体" w:eastAsia="宋体" w:cs="宋体"/>
                <w:color w:val="auto"/>
                <w:szCs w:val="21"/>
                <w:highlight w:val="none"/>
                <w:shd w:val="clear" w:color="auto" w:fill="auto"/>
                <w:lang w:val="zh-CN"/>
              </w:rPr>
            </w:pPr>
          </w:p>
        </w:tc>
        <w:tc>
          <w:tcPr>
            <w:tcW w:w="900"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spacing w:line="240" w:lineRule="exact"/>
              <w:jc w:val="left"/>
              <w:rPr>
                <w:rFonts w:hint="eastAsia" w:ascii="宋体" w:hAnsi="宋体" w:eastAsia="宋体" w:cs="宋体"/>
                <w:color w:val="auto"/>
                <w:szCs w:val="21"/>
                <w:highlight w:val="none"/>
                <w:shd w:val="clear" w:color="auto" w:fill="auto"/>
                <w:lang w:val="zh-CN"/>
              </w:rPr>
            </w:pPr>
          </w:p>
        </w:tc>
        <w:tc>
          <w:tcPr>
            <w:tcW w:w="16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对项目的理解</w:t>
            </w:r>
          </w:p>
          <w:p>
            <w:pPr>
              <w:topLinePunct/>
              <w:adjustRightInd w:val="0"/>
              <w:spacing w:line="240" w:lineRule="exact"/>
              <w:jc w:val="center"/>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lang w:val="zh-CN"/>
              </w:rPr>
              <w:t>分）</w:t>
            </w:r>
          </w:p>
        </w:tc>
        <w:tc>
          <w:tcPr>
            <w:tcW w:w="11577" w:type="dxa"/>
            <w:tcBorders>
              <w:top w:val="single" w:color="auto" w:sz="6" w:space="0"/>
              <w:left w:val="single" w:color="auto" w:sz="6" w:space="0"/>
              <w:bottom w:val="nil"/>
              <w:right w:val="single" w:color="auto" w:sz="6" w:space="0"/>
            </w:tcBorders>
            <w:noWrap w:val="0"/>
            <w:vAlign w:val="center"/>
          </w:tcPr>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理解并执行</w:t>
            </w:r>
            <w:r>
              <w:rPr>
                <w:rFonts w:hint="eastAsia" w:ascii="宋体" w:hAnsi="宋体" w:eastAsia="宋体" w:cs="宋体"/>
                <w:color w:val="auto"/>
                <w:sz w:val="21"/>
                <w:szCs w:val="21"/>
                <w:highlight w:val="none"/>
                <w:shd w:val="clear" w:color="auto" w:fill="auto"/>
              </w:rPr>
              <w:t>控规建设意图，</w:t>
            </w:r>
            <w:r>
              <w:rPr>
                <w:rFonts w:hint="eastAsia" w:ascii="宋体" w:hAnsi="宋体" w:eastAsia="宋体" w:cs="宋体"/>
                <w:color w:val="auto"/>
                <w:sz w:val="21"/>
                <w:szCs w:val="21"/>
                <w:highlight w:val="none"/>
                <w:shd w:val="clear" w:color="auto" w:fill="auto"/>
                <w:lang w:val="zh-CN"/>
              </w:rPr>
              <w:t>对项目的现状摸查充分，对项目所在地规划勘察等情况有较深入的分析。</w:t>
            </w:r>
          </w:p>
          <w:p>
            <w:pPr>
              <w:topLinePunct/>
              <w:adjustRightInd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（优得</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lang w:val="zh-CN"/>
              </w:rPr>
              <w:t>分；良得</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lang w:val="zh-CN"/>
              </w:rPr>
              <w:t>分；中得</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分；差得</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w:t>
            </w:r>
          </w:p>
        </w:tc>
        <w:tc>
          <w:tcPr>
            <w:tcW w:w="708" w:type="dxa"/>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color w:val="auto"/>
                <w:szCs w:val="21"/>
                <w:highlight w:val="none"/>
                <w:shd w:val="clear" w:color="auto" w:fill="auto"/>
              </w:rPr>
            </w:pPr>
          </w:p>
        </w:tc>
      </w:tr>
      <w:tr>
        <w:tblPrEx>
          <w:tblCellMar>
            <w:top w:w="0" w:type="dxa"/>
            <w:left w:w="108" w:type="dxa"/>
            <w:bottom w:w="0" w:type="dxa"/>
            <w:right w:w="108" w:type="dxa"/>
          </w:tblCellMar>
        </w:tblPrEx>
        <w:trPr>
          <w:trHeight w:val="567" w:hRule="atLeast"/>
          <w:jc w:val="center"/>
        </w:trPr>
        <w:tc>
          <w:tcPr>
            <w:tcW w:w="735"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spacing w:line="240" w:lineRule="exact"/>
              <w:jc w:val="left"/>
              <w:rPr>
                <w:rFonts w:hint="eastAsia" w:ascii="宋体" w:hAnsi="宋体" w:eastAsia="宋体" w:cs="宋体"/>
                <w:color w:val="auto"/>
                <w:szCs w:val="21"/>
                <w:highlight w:val="none"/>
                <w:shd w:val="clear" w:color="auto" w:fill="auto"/>
                <w:lang w:val="zh-CN"/>
              </w:rPr>
            </w:pPr>
          </w:p>
        </w:tc>
        <w:tc>
          <w:tcPr>
            <w:tcW w:w="900"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spacing w:line="240" w:lineRule="exact"/>
              <w:jc w:val="left"/>
              <w:rPr>
                <w:rFonts w:hint="eastAsia" w:ascii="宋体" w:hAnsi="宋体" w:eastAsia="宋体" w:cs="宋体"/>
                <w:color w:val="auto"/>
                <w:szCs w:val="21"/>
                <w:highlight w:val="none"/>
                <w:shd w:val="clear" w:color="auto" w:fill="auto"/>
                <w:lang w:val="zh-CN"/>
              </w:rPr>
            </w:pPr>
          </w:p>
        </w:tc>
        <w:tc>
          <w:tcPr>
            <w:tcW w:w="1677" w:type="dxa"/>
            <w:tcBorders>
              <w:top w:val="single" w:color="auto" w:sz="6" w:space="0"/>
              <w:left w:val="single" w:color="auto" w:sz="6" w:space="0"/>
              <w:bottom w:val="single" w:color="auto" w:sz="4" w:space="0"/>
              <w:right w:val="single" w:color="auto" w:sz="6" w:space="0"/>
            </w:tcBorders>
            <w:noWrap w:val="0"/>
            <w:vAlign w:val="center"/>
          </w:tcPr>
          <w:p>
            <w:pPr>
              <w:topLinePunct/>
              <w:adjustRightInd w:val="0"/>
              <w:spacing w:line="240" w:lineRule="exact"/>
              <w:jc w:val="center"/>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勘察方案</w:t>
            </w:r>
          </w:p>
          <w:p>
            <w:pPr>
              <w:topLinePunct/>
              <w:adjustRightInd w:val="0"/>
              <w:spacing w:line="24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w:t>
            </w:r>
            <w:r>
              <w:rPr>
                <w:rFonts w:hint="eastAsia" w:ascii="宋体" w:hAnsi="宋体" w:eastAsia="宋体" w:cs="宋体"/>
                <w:color w:val="auto"/>
                <w:sz w:val="21"/>
                <w:szCs w:val="21"/>
                <w:highlight w:val="none"/>
                <w:shd w:val="clear" w:color="auto" w:fill="auto"/>
                <w:lang w:val="en-US" w:eastAsia="zh-CN"/>
              </w:rPr>
              <w:t>20</w:t>
            </w:r>
            <w:r>
              <w:rPr>
                <w:rFonts w:hint="eastAsia" w:ascii="宋体" w:hAnsi="宋体" w:eastAsia="宋体" w:cs="宋体"/>
                <w:color w:val="auto"/>
                <w:sz w:val="21"/>
                <w:szCs w:val="21"/>
                <w:highlight w:val="none"/>
                <w:shd w:val="clear" w:color="auto" w:fill="auto"/>
                <w:lang w:val="zh-CN"/>
              </w:rPr>
              <w:t>分）</w:t>
            </w:r>
          </w:p>
        </w:tc>
        <w:tc>
          <w:tcPr>
            <w:tcW w:w="11577" w:type="dxa"/>
            <w:tcBorders>
              <w:top w:val="single" w:color="auto" w:sz="6" w:space="0"/>
              <w:left w:val="single" w:color="auto" w:sz="6" w:space="0"/>
              <w:bottom w:val="nil"/>
              <w:right w:val="single" w:color="auto" w:sz="6" w:space="0"/>
            </w:tcBorders>
            <w:noWrap w:val="0"/>
            <w:vAlign w:val="center"/>
          </w:tcPr>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zh-CN"/>
              </w:rPr>
              <w:t>对项目周边水文资料调查清晰，对现状河流的流量数据收集准确。</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（优得</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分；良得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分；中得</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分；差得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zh-CN"/>
              </w:rPr>
              <w:t>分）。</w:t>
            </w:r>
          </w:p>
          <w:p>
            <w:pPr>
              <w:topLinePunct/>
              <w:adjustRightInd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sz w:val="21"/>
                <w:szCs w:val="21"/>
                <w:highlight w:val="none"/>
                <w:shd w:val="clear" w:color="auto" w:fill="auto"/>
                <w:lang w:val="zh-CN"/>
              </w:rPr>
              <w:t>对现状地形地貌应有准确工程测量，提供能够准确反映现状地形地貌的1:500的地形图。</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（优得</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分；良得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分；中得</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分；差得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zh-CN"/>
              </w:rPr>
              <w:t>分）。</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rPr>
              <w:t>3、</w:t>
            </w:r>
            <w:r>
              <w:rPr>
                <w:rFonts w:hint="eastAsia" w:ascii="宋体" w:hAnsi="宋体" w:eastAsia="宋体" w:cs="宋体"/>
                <w:color w:val="auto"/>
                <w:sz w:val="21"/>
                <w:szCs w:val="21"/>
                <w:highlight w:val="none"/>
                <w:shd w:val="clear" w:color="auto" w:fill="auto"/>
                <w:lang w:val="zh-CN"/>
              </w:rPr>
              <w:t>提供1：500航拍数字正射影像图，反映现状地形的时效性。</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（提供并满足要求得</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lang w:val="zh-CN"/>
              </w:rPr>
              <w:t>分；没有提供或成果不满足要求得0分）。</w:t>
            </w:r>
          </w:p>
        </w:tc>
        <w:tc>
          <w:tcPr>
            <w:tcW w:w="708" w:type="dxa"/>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color w:val="auto"/>
                <w:szCs w:val="21"/>
                <w:highlight w:val="none"/>
                <w:shd w:val="clear" w:color="auto" w:fill="auto"/>
              </w:rPr>
            </w:pPr>
          </w:p>
        </w:tc>
      </w:tr>
      <w:tr>
        <w:tblPrEx>
          <w:tblCellMar>
            <w:top w:w="0" w:type="dxa"/>
            <w:left w:w="108" w:type="dxa"/>
            <w:bottom w:w="0" w:type="dxa"/>
            <w:right w:w="108" w:type="dxa"/>
          </w:tblCellMar>
        </w:tblPrEx>
        <w:trPr>
          <w:trHeight w:val="567" w:hRule="atLeast"/>
          <w:jc w:val="center"/>
        </w:trPr>
        <w:tc>
          <w:tcPr>
            <w:tcW w:w="735"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spacing w:line="240" w:lineRule="exact"/>
              <w:jc w:val="left"/>
              <w:rPr>
                <w:rFonts w:hint="eastAsia" w:ascii="宋体" w:hAnsi="宋体" w:eastAsia="宋体" w:cs="宋体"/>
                <w:color w:val="auto"/>
                <w:szCs w:val="21"/>
                <w:highlight w:val="none"/>
                <w:shd w:val="clear" w:color="auto" w:fill="auto"/>
                <w:lang w:val="zh-CN"/>
              </w:rPr>
            </w:pPr>
          </w:p>
        </w:tc>
        <w:tc>
          <w:tcPr>
            <w:tcW w:w="900"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spacing w:line="240" w:lineRule="exact"/>
              <w:jc w:val="left"/>
              <w:rPr>
                <w:rFonts w:hint="eastAsia" w:ascii="宋体" w:hAnsi="宋体" w:eastAsia="宋体" w:cs="宋体"/>
                <w:color w:val="auto"/>
                <w:szCs w:val="21"/>
                <w:highlight w:val="none"/>
                <w:shd w:val="clear" w:color="auto" w:fill="auto"/>
                <w:lang w:val="zh-CN"/>
              </w:rPr>
            </w:pPr>
          </w:p>
        </w:tc>
        <w:tc>
          <w:tcPr>
            <w:tcW w:w="1677" w:type="dxa"/>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设计方案</w:t>
            </w:r>
          </w:p>
          <w:p>
            <w:pPr>
              <w:topLinePunct/>
              <w:adjustRightInd w:val="0"/>
              <w:spacing w:line="24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w:t>
            </w:r>
            <w:r>
              <w:rPr>
                <w:rFonts w:hint="eastAsia" w:ascii="宋体" w:hAnsi="宋体" w:eastAsia="宋体" w:cs="宋体"/>
                <w:color w:val="auto"/>
                <w:sz w:val="21"/>
                <w:szCs w:val="21"/>
                <w:highlight w:val="none"/>
                <w:shd w:val="clear" w:color="auto" w:fill="auto"/>
                <w:lang w:val="en-US" w:eastAsia="zh-CN"/>
              </w:rPr>
              <w:t>50</w:t>
            </w:r>
            <w:r>
              <w:rPr>
                <w:rFonts w:hint="eastAsia" w:ascii="宋体" w:hAnsi="宋体" w:eastAsia="宋体" w:cs="宋体"/>
                <w:color w:val="auto"/>
                <w:sz w:val="21"/>
                <w:szCs w:val="21"/>
                <w:highlight w:val="none"/>
                <w:shd w:val="clear" w:color="auto" w:fill="auto"/>
                <w:lang w:val="zh-CN"/>
              </w:rPr>
              <w:t>分）</w:t>
            </w:r>
          </w:p>
        </w:tc>
        <w:tc>
          <w:tcPr>
            <w:tcW w:w="11577" w:type="dxa"/>
            <w:tcBorders>
              <w:top w:val="single" w:color="auto" w:sz="6" w:space="0"/>
              <w:left w:val="single" w:color="auto" w:sz="4" w:space="0"/>
              <w:bottom w:val="single" w:color="auto" w:sz="6" w:space="0"/>
              <w:right w:val="single" w:color="auto" w:sz="6" w:space="0"/>
            </w:tcBorders>
            <w:noWrap w:val="0"/>
            <w:vAlign w:val="center"/>
          </w:tcPr>
          <w:p>
            <w:pPr>
              <w:numPr>
                <w:ilvl w:val="-1"/>
                <w:numId w:val="0"/>
              </w:num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总体</w:t>
            </w:r>
            <w:r>
              <w:rPr>
                <w:rFonts w:hint="eastAsia" w:ascii="宋体" w:hAnsi="宋体" w:eastAsia="宋体" w:cs="宋体"/>
                <w:color w:val="auto"/>
                <w:sz w:val="21"/>
                <w:szCs w:val="21"/>
                <w:highlight w:val="none"/>
                <w:shd w:val="clear" w:color="auto" w:fill="auto"/>
                <w:lang w:val="zh-CN"/>
              </w:rPr>
              <w:t>设计方案思路清晰，理据充分。对道路、隧道的设计方案优缺点，有进行充分的对比分析。设计方案科学、合理、美观，各配套专业（隧道、绿化景观、道路照明、给水、排水等）的设计科学合理、处理得当、特点鲜明。</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（优得</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lang w:val="zh-CN"/>
              </w:rPr>
              <w:t>分；良得</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分；中得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分；差得</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CN"/>
              </w:rPr>
              <w:t>分）。</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zh-CN"/>
              </w:rPr>
              <w:t>对整个项目应有鸟瞰效果图，鸟瞰效果图符合园区实际情况，效果图应准确反映设计意图。</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（优得</w:t>
            </w: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zh-CN"/>
              </w:rPr>
              <w:t>分；良得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分；中得</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分；差得</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CN"/>
              </w:rPr>
              <w:t>分）。</w:t>
            </w:r>
          </w:p>
          <w:p>
            <w:pPr>
              <w:numPr>
                <w:ilvl w:val="0"/>
                <w:numId w:val="0"/>
              </w:numPr>
              <w:topLinePunct/>
              <w:adjustRightInd w:val="0"/>
              <w:spacing w:line="240" w:lineRule="exact"/>
              <w:ind w:left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3、道路设计方案符合园区总体规划，与周边地块结合合理，有合适的分期实施方案。</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（优得</w:t>
            </w: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zh-CN"/>
              </w:rPr>
              <w:t>分；良得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分；中得</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分；差得</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CN"/>
              </w:rPr>
              <w:t>分）。</w:t>
            </w:r>
          </w:p>
          <w:p>
            <w:pPr>
              <w:numPr>
                <w:ilvl w:val="0"/>
                <w:numId w:val="0"/>
              </w:numPr>
              <w:topLinePunct/>
              <w:adjustRightInd w:val="0"/>
              <w:spacing w:line="240" w:lineRule="exact"/>
              <w:ind w:left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4、隧道设计方案与两侧地块开发合理结合，方案合理可行。</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（优得</w:t>
            </w: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zh-CN"/>
              </w:rPr>
              <w:t>分；良得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分；中得</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分；差得</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CN"/>
              </w:rPr>
              <w:t>分）。</w:t>
            </w:r>
          </w:p>
          <w:p>
            <w:pPr>
              <w:numPr>
                <w:ilvl w:val="0"/>
                <w:numId w:val="0"/>
              </w:num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广场设计方案合理，景观设计与市政设计相协调，景观与周边建筑设计相协调。</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（优得</w:t>
            </w: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zh-CN"/>
              </w:rPr>
              <w:t>分；良得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分；中得</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分；差得</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CN"/>
              </w:rPr>
              <w:t>分）。</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eastAsia="zh-CN"/>
              </w:rPr>
              <w:t>绿化方案</w:t>
            </w:r>
            <w:r>
              <w:rPr>
                <w:rFonts w:hint="eastAsia" w:ascii="宋体" w:hAnsi="宋体" w:eastAsia="宋体" w:cs="宋体"/>
                <w:color w:val="auto"/>
                <w:sz w:val="21"/>
                <w:szCs w:val="21"/>
                <w:highlight w:val="none"/>
                <w:shd w:val="clear" w:color="auto" w:fill="auto"/>
                <w:lang w:val="zh-CN"/>
              </w:rPr>
              <w:t>能深入、合理地分析项目的植物特性和相关文化资源，对项目区位条件、景观资源、植物现状等调查详细、分析恰当；对建设的选点、规模和景观定位合理。</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（优得</w:t>
            </w: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zh-CN"/>
              </w:rPr>
              <w:t>分；良得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分；中得</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分；差得</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CN"/>
              </w:rPr>
              <w:t>分）。</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zh-CN"/>
              </w:rPr>
              <w:t>交通组织、交叉口交通疏解方案切合实际。工程建设和使用的重点、难点分析透彻，解决措施合理。</w:t>
            </w:r>
          </w:p>
          <w:p>
            <w:pPr>
              <w:numPr>
                <w:ilvl w:val="0"/>
                <w:numId w:val="0"/>
              </w:numPr>
              <w:topLinePunct/>
              <w:adjustRightInd w:val="0"/>
              <w:spacing w:line="240" w:lineRule="exact"/>
              <w:ind w:left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zh-CN"/>
              </w:rPr>
              <w:t>（优得</w:t>
            </w: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zh-CN"/>
              </w:rPr>
              <w:t>分；良得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分；中得</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分；差得</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CN"/>
              </w:rPr>
              <w:t>分）。</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color w:val="auto"/>
                <w:szCs w:val="21"/>
                <w:highlight w:val="none"/>
                <w:shd w:val="clear" w:color="auto" w:fill="auto"/>
                <w:lang w:val="zh-CN"/>
              </w:rPr>
            </w:pPr>
          </w:p>
        </w:tc>
      </w:tr>
      <w:tr>
        <w:tblPrEx>
          <w:tblCellMar>
            <w:top w:w="0" w:type="dxa"/>
            <w:left w:w="108" w:type="dxa"/>
            <w:bottom w:w="0" w:type="dxa"/>
            <w:right w:w="108" w:type="dxa"/>
          </w:tblCellMar>
        </w:tblPrEx>
        <w:trPr>
          <w:trHeight w:val="374" w:hRule="atLeast"/>
          <w:jc w:val="center"/>
        </w:trPr>
        <w:tc>
          <w:tcPr>
            <w:tcW w:w="735"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spacing w:line="240" w:lineRule="exact"/>
              <w:jc w:val="left"/>
              <w:rPr>
                <w:rFonts w:hint="eastAsia" w:ascii="宋体" w:hAnsi="宋体" w:eastAsia="宋体" w:cs="宋体"/>
                <w:color w:val="auto"/>
                <w:szCs w:val="21"/>
                <w:highlight w:val="none"/>
                <w:shd w:val="clear" w:color="auto" w:fill="auto"/>
                <w:lang w:val="zh-CN"/>
              </w:rPr>
            </w:pPr>
          </w:p>
        </w:tc>
        <w:tc>
          <w:tcPr>
            <w:tcW w:w="900"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spacing w:line="240" w:lineRule="exact"/>
              <w:jc w:val="left"/>
              <w:rPr>
                <w:rFonts w:hint="eastAsia" w:ascii="宋体" w:hAnsi="宋体" w:eastAsia="宋体" w:cs="宋体"/>
                <w:color w:val="auto"/>
                <w:szCs w:val="21"/>
                <w:highlight w:val="none"/>
                <w:shd w:val="clear" w:color="auto" w:fill="auto"/>
                <w:lang w:val="zh-CN"/>
              </w:rPr>
            </w:pPr>
          </w:p>
        </w:tc>
        <w:tc>
          <w:tcPr>
            <w:tcW w:w="1677"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rPr>
              <w:t>绿色节能</w:t>
            </w:r>
            <w:r>
              <w:rPr>
                <w:rFonts w:hint="eastAsia" w:ascii="宋体" w:hAnsi="宋体" w:eastAsia="宋体" w:cs="宋体"/>
                <w:color w:val="auto"/>
                <w:sz w:val="21"/>
                <w:szCs w:val="21"/>
                <w:highlight w:val="none"/>
                <w:shd w:val="clear" w:color="auto" w:fill="auto"/>
                <w:lang w:val="zh-CN"/>
              </w:rPr>
              <w:t>（5分）</w:t>
            </w:r>
          </w:p>
        </w:tc>
        <w:tc>
          <w:tcPr>
            <w:tcW w:w="11577"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工程材料的选择注重环保性和耐用性，工程材料的选用方案合理可行，对环境的影响等问题考虑充分、合理。</w:t>
            </w:r>
          </w:p>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（优得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分；良得</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分；中得</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CN"/>
              </w:rPr>
              <w:t>分；差得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zh-CN"/>
              </w:rPr>
              <w:t>分）。</w:t>
            </w:r>
          </w:p>
        </w:tc>
        <w:tc>
          <w:tcPr>
            <w:tcW w:w="708"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宋体" w:hAnsi="宋体" w:eastAsia="宋体" w:cs="宋体"/>
                <w:color w:val="auto"/>
                <w:szCs w:val="21"/>
                <w:highlight w:val="none"/>
                <w:shd w:val="clear" w:color="auto" w:fill="auto"/>
                <w:lang w:val="zh-CN"/>
              </w:rPr>
            </w:pPr>
          </w:p>
        </w:tc>
      </w:tr>
      <w:tr>
        <w:tblPrEx>
          <w:tblCellMar>
            <w:top w:w="0" w:type="dxa"/>
            <w:left w:w="108" w:type="dxa"/>
            <w:bottom w:w="0" w:type="dxa"/>
            <w:right w:w="108" w:type="dxa"/>
          </w:tblCellMar>
        </w:tblPrEx>
        <w:trPr>
          <w:trHeight w:val="567" w:hRule="atLeast"/>
          <w:jc w:val="center"/>
        </w:trPr>
        <w:tc>
          <w:tcPr>
            <w:tcW w:w="735"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spacing w:line="240" w:lineRule="exact"/>
              <w:jc w:val="left"/>
              <w:rPr>
                <w:rFonts w:hint="eastAsia" w:ascii="宋体" w:hAnsi="宋体" w:eastAsia="宋体" w:cs="宋体"/>
                <w:color w:val="auto"/>
                <w:szCs w:val="21"/>
                <w:highlight w:val="none"/>
                <w:shd w:val="clear" w:color="auto" w:fill="auto"/>
                <w:lang w:val="zh-CN"/>
              </w:rPr>
            </w:pPr>
          </w:p>
        </w:tc>
        <w:tc>
          <w:tcPr>
            <w:tcW w:w="900"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spacing w:line="240" w:lineRule="exact"/>
              <w:jc w:val="left"/>
              <w:rPr>
                <w:rFonts w:hint="eastAsia" w:ascii="宋体" w:hAnsi="宋体" w:eastAsia="宋体" w:cs="宋体"/>
                <w:color w:val="auto"/>
                <w:szCs w:val="21"/>
                <w:highlight w:val="none"/>
                <w:shd w:val="clear" w:color="auto" w:fill="auto"/>
                <w:lang w:val="zh-CN"/>
              </w:rPr>
            </w:pPr>
          </w:p>
        </w:tc>
        <w:tc>
          <w:tcPr>
            <w:tcW w:w="1677" w:type="dxa"/>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宋体"/>
                <w:color w:val="auto"/>
                <w:kern w:val="2"/>
                <w:sz w:val="21"/>
                <w:szCs w:val="21"/>
                <w:highlight w:val="none"/>
                <w:shd w:val="clear" w:color="auto" w:fill="auto"/>
                <w:lang w:val="zh-CN" w:eastAsia="zh-CN" w:bidi="ar-SA"/>
              </w:rPr>
            </w:pPr>
            <w:r>
              <w:rPr>
                <w:rFonts w:hint="eastAsia" w:ascii="宋体" w:hAnsi="宋体" w:eastAsia="宋体" w:cs="宋体"/>
                <w:color w:val="auto"/>
                <w:sz w:val="21"/>
                <w:szCs w:val="21"/>
                <w:highlight w:val="none"/>
                <w:shd w:val="clear" w:color="auto" w:fill="auto"/>
                <w:lang w:val="zh-CN"/>
              </w:rPr>
              <w:t>工程造价（</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w:t>
            </w:r>
          </w:p>
        </w:tc>
        <w:tc>
          <w:tcPr>
            <w:tcW w:w="11577" w:type="dxa"/>
            <w:tcBorders>
              <w:top w:val="single" w:color="auto" w:sz="6" w:space="0"/>
              <w:left w:val="single" w:color="auto" w:sz="4" w:space="0"/>
              <w:bottom w:val="single" w:color="auto" w:sz="6" w:space="0"/>
              <w:right w:val="single" w:color="auto" w:sz="4" w:space="0"/>
            </w:tcBorders>
            <w:noWrap w:val="0"/>
            <w:vAlign w:val="center"/>
          </w:tcPr>
          <w:p>
            <w:pPr>
              <w:topLinePunct/>
              <w:adjustRightInd w:val="0"/>
              <w:spacing w:line="24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工程造价选用单价合理，造价内容全面、详细，符合当地实际。</w:t>
            </w:r>
          </w:p>
          <w:p>
            <w:pPr>
              <w:topLinePunct/>
              <w:adjustRightInd w:val="0"/>
              <w:spacing w:line="240" w:lineRule="exact"/>
              <w:rPr>
                <w:rFonts w:hint="eastAsia" w:ascii="宋体" w:hAnsi="宋体" w:eastAsia="宋体" w:cs="宋体"/>
                <w:color w:val="auto"/>
                <w:kern w:val="2"/>
                <w:sz w:val="21"/>
                <w:szCs w:val="21"/>
                <w:highlight w:val="none"/>
                <w:shd w:val="clear" w:color="auto" w:fill="auto"/>
                <w:lang w:val="zh-CN" w:eastAsia="zh-CN" w:bidi="ar-SA"/>
              </w:rPr>
            </w:pPr>
            <w:r>
              <w:rPr>
                <w:rFonts w:hint="eastAsia" w:ascii="宋体" w:hAnsi="宋体" w:eastAsia="宋体" w:cs="宋体"/>
                <w:color w:val="auto"/>
                <w:sz w:val="21"/>
                <w:szCs w:val="21"/>
                <w:highlight w:val="none"/>
                <w:shd w:val="clear" w:color="auto" w:fill="auto"/>
                <w:lang w:val="zh-CN"/>
              </w:rPr>
              <w:t>（优得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分；良得</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分；中得</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CN"/>
              </w:rPr>
              <w:t>分；差得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zh-CN"/>
              </w:rPr>
              <w:t>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宋体"/>
                <w:color w:val="auto"/>
                <w:szCs w:val="21"/>
                <w:highlight w:val="none"/>
                <w:shd w:val="clear" w:color="auto" w:fill="auto"/>
                <w:lang w:val="zh-CN"/>
              </w:rPr>
            </w:pPr>
          </w:p>
        </w:tc>
      </w:tr>
      <w:tr>
        <w:tblPrEx>
          <w:tblCellMar>
            <w:top w:w="0" w:type="dxa"/>
            <w:left w:w="108" w:type="dxa"/>
            <w:bottom w:w="0" w:type="dxa"/>
            <w:right w:w="108" w:type="dxa"/>
          </w:tblCellMar>
        </w:tblPrEx>
        <w:trPr>
          <w:trHeight w:val="20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宋体"/>
                <w:color w:val="auto"/>
                <w:szCs w:val="21"/>
                <w:highlight w:val="none"/>
                <w:shd w:val="clear" w:color="auto" w:fill="auto"/>
                <w:lang w:val="zh-CN"/>
              </w:rPr>
            </w:pPr>
            <w:r>
              <w:rPr>
                <w:rFonts w:hint="eastAsia" w:ascii="宋体" w:hAnsi="宋体" w:eastAsia="宋体" w:cs="宋体"/>
                <w:color w:val="auto"/>
                <w:szCs w:val="21"/>
                <w:highlight w:val="none"/>
                <w:shd w:val="clear" w:color="auto" w:fill="auto"/>
                <w:lang w:val="zh-CN"/>
              </w:rPr>
              <w:t>二</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宋体"/>
                <w:color w:val="auto"/>
                <w:szCs w:val="21"/>
                <w:highlight w:val="none"/>
                <w:shd w:val="clear" w:color="auto" w:fill="auto"/>
                <w:lang w:val="zh-CN"/>
              </w:rPr>
            </w:pPr>
            <w:r>
              <w:rPr>
                <w:rFonts w:hint="eastAsia" w:ascii="宋体" w:hAnsi="宋体" w:eastAsia="宋体" w:cs="宋体"/>
                <w:color w:val="auto"/>
                <w:szCs w:val="21"/>
                <w:highlight w:val="none"/>
                <w:shd w:val="clear" w:color="auto" w:fill="auto"/>
                <w:lang w:val="zh-CN"/>
              </w:rPr>
              <w:t>总计</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100</w:t>
            </w:r>
          </w:p>
        </w:tc>
        <w:tc>
          <w:tcPr>
            <w:tcW w:w="11577"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240" w:lineRule="exact"/>
              <w:rPr>
                <w:rFonts w:hint="eastAsia" w:ascii="宋体" w:hAnsi="宋体" w:eastAsia="宋体" w:cs="宋体"/>
                <w:color w:val="auto"/>
                <w:szCs w:val="21"/>
                <w:highlight w:val="none"/>
                <w:shd w:val="clear" w:color="auto" w:fil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宋体"/>
                <w:color w:val="auto"/>
                <w:szCs w:val="21"/>
                <w:highlight w:val="none"/>
                <w:shd w:val="clear" w:color="auto" w:fill="auto"/>
                <w:lang w:val="zh-CN"/>
              </w:rPr>
            </w:pPr>
          </w:p>
        </w:tc>
      </w:tr>
    </w:tbl>
    <w:p>
      <w:pPr>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注：投标人的评分为各评委评分的算术平均值（若分数出现小数点时，保留小数点后二位，第三位小数四舍五入）。</w:t>
      </w:r>
    </w:p>
    <w:p>
      <w:pPr>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评委签名：                     日期：</w:t>
      </w:r>
    </w:p>
    <w:p>
      <w:pPr>
        <w:spacing w:line="360" w:lineRule="auto"/>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附表5：</w:t>
      </w:r>
    </w:p>
    <w:p>
      <w:pPr>
        <w:wordWrap w:val="0"/>
        <w:topLinePunct/>
        <w:spacing w:line="360" w:lineRule="auto"/>
        <w:jc w:val="center"/>
        <w:rPr>
          <w:rFonts w:hint="eastAsia" w:ascii="宋体" w:hAnsi="宋体" w:eastAsia="宋体" w:cs="宋体"/>
          <w:b/>
          <w:color w:val="auto"/>
          <w:sz w:val="32"/>
          <w:szCs w:val="32"/>
          <w:highlight w:val="none"/>
          <w:u w:val="none"/>
          <w:shd w:val="clear" w:color="auto" w:fill="auto"/>
        </w:rPr>
      </w:pPr>
      <w:r>
        <w:rPr>
          <w:rFonts w:hint="eastAsia" w:ascii="宋体" w:hAnsi="宋体" w:eastAsia="宋体" w:cs="宋体"/>
          <w:b/>
          <w:color w:val="auto"/>
          <w:sz w:val="32"/>
          <w:szCs w:val="32"/>
          <w:highlight w:val="none"/>
          <w:u w:val="none"/>
          <w:shd w:val="clear" w:color="auto" w:fill="auto"/>
        </w:rPr>
        <w:t>工程总承包实施方案投标文件综合评分表</w:t>
      </w:r>
    </w:p>
    <w:tbl>
      <w:tblPr>
        <w:tblStyle w:val="55"/>
        <w:tblW w:w="4991" w:type="pct"/>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193"/>
        <w:gridCol w:w="768"/>
        <w:gridCol w:w="11568"/>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417" w:type="pct"/>
            <w:tcBorders>
              <w:top w:val="single" w:color="auto" w:sz="8" w:space="0"/>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评分项目</w:t>
            </w:r>
          </w:p>
        </w:tc>
        <w:tc>
          <w:tcPr>
            <w:tcW w:w="403" w:type="pct"/>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评分内容</w:t>
            </w:r>
          </w:p>
        </w:tc>
        <w:tc>
          <w:tcPr>
            <w:tcW w:w="260" w:type="pct"/>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分值</w:t>
            </w:r>
          </w:p>
        </w:tc>
        <w:tc>
          <w:tcPr>
            <w:tcW w:w="3918" w:type="pct"/>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restart"/>
            <w:tcBorders>
              <w:top w:val="single" w:color="auto" w:sz="4" w:space="0"/>
              <w:left w:val="single" w:color="auto" w:sz="8"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一、施工组织设计（64分）</w:t>
            </w:r>
          </w:p>
        </w:tc>
        <w:tc>
          <w:tcPr>
            <w:tcW w:w="403" w:type="pct"/>
            <w:tcBorders>
              <w:top w:val="single" w:color="auto" w:sz="4" w:space="0"/>
              <w:left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设计和施工的融合措施</w:t>
            </w:r>
          </w:p>
        </w:tc>
        <w:tc>
          <w:tcPr>
            <w:tcW w:w="260" w:type="pct"/>
            <w:tcBorders>
              <w:top w:val="single" w:color="auto" w:sz="4" w:space="0"/>
              <w:left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18</w:t>
            </w:r>
          </w:p>
        </w:tc>
        <w:tc>
          <w:tcPr>
            <w:tcW w:w="3918" w:type="pct"/>
            <w:tcBorders>
              <w:top w:val="single" w:color="auto" w:sz="4" w:space="0"/>
              <w:left w:val="single" w:color="auto" w:sz="4" w:space="0"/>
              <w:right w:val="single" w:color="auto" w:sz="4" w:space="0"/>
            </w:tcBorders>
            <w:vAlign w:val="center"/>
          </w:tcPr>
          <w:p>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项目施工和设计管理团队人员配备完善，其中：</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1）施工方项目管理团队（联合体投标的，指联合体中的主办方）（6分）：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技术负责人：</w:t>
            </w:r>
            <w:r>
              <w:rPr>
                <w:rFonts w:hint="eastAsia" w:ascii="宋体" w:hAnsi="宋体" w:eastAsia="宋体" w:cs="宋体"/>
                <w:color w:val="auto"/>
                <w:sz w:val="21"/>
                <w:szCs w:val="21"/>
                <w:highlight w:val="none"/>
                <w:shd w:val="clear" w:color="auto" w:fill="auto"/>
              </w:rPr>
              <w:t>具有市政类相关专业高级或以上技术职称，得0.5分；具有20年或以上（含20年）施工管理工作经验，得0.5分。其他情况不得分。本小项最多得1分。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质量负责人：</w:t>
            </w:r>
            <w:r>
              <w:rPr>
                <w:rFonts w:hint="eastAsia" w:ascii="宋体" w:hAnsi="宋体" w:eastAsia="宋体" w:cs="宋体"/>
                <w:color w:val="auto"/>
                <w:sz w:val="21"/>
                <w:szCs w:val="21"/>
                <w:highlight w:val="none"/>
                <w:shd w:val="clear" w:color="auto" w:fill="auto"/>
              </w:rPr>
              <w:t>具有市政类相关专业高级或以上技术职称，得0.5分；具有20年或以上（含20年）施工管理工作经验，得0.5分。其他情况不得分。本小项最多得1分。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安全负责人：</w:t>
            </w:r>
            <w:r>
              <w:rPr>
                <w:rFonts w:hint="eastAsia" w:ascii="宋体" w:hAnsi="宋体" w:eastAsia="宋体" w:cs="宋体"/>
                <w:color w:val="auto"/>
                <w:sz w:val="21"/>
                <w:szCs w:val="21"/>
                <w:highlight w:val="none"/>
                <w:shd w:val="clear" w:color="auto" w:fill="auto"/>
              </w:rPr>
              <w:t>具有工程类相关专业高级或以上技术职称得0.5分，具有注册安全工程师执业资格（须在有效期内），得0.5分；具有10年或以上（含10年）施工管理工作经验，得0.5分。其他情况不得分。本小项最多得1.5分。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造价负责人：</w:t>
            </w:r>
            <w:r>
              <w:rPr>
                <w:rFonts w:hint="eastAsia" w:ascii="宋体" w:hAnsi="宋体" w:eastAsia="宋体" w:cs="宋体"/>
                <w:color w:val="auto"/>
                <w:sz w:val="21"/>
                <w:szCs w:val="21"/>
                <w:highlight w:val="none"/>
                <w:shd w:val="clear" w:color="auto" w:fill="auto"/>
              </w:rPr>
              <w:t>具有造价类相关专业高级或以上技术职称得0.5分；具有注册造价工程师或一级注册造价工程师执业资格（须在有效期内），得0.5分；具有10年或以上（含10年）造价管理工作经验，得0.5分。其他情况不得分。本小项最多得1.5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其他专业负责人：</w:t>
            </w:r>
            <w:r>
              <w:rPr>
                <w:rFonts w:hint="eastAsia" w:ascii="宋体" w:hAnsi="宋体" w:eastAsia="宋体" w:cs="宋体"/>
                <w:color w:val="auto"/>
                <w:sz w:val="21"/>
                <w:szCs w:val="21"/>
                <w:highlight w:val="none"/>
                <w:shd w:val="clear" w:color="auto" w:fill="auto"/>
              </w:rPr>
              <w:t>市政道路（桥梁、隧道）专业负责人、</w:t>
            </w:r>
            <w:r>
              <w:rPr>
                <w:rFonts w:hint="eastAsia" w:ascii="宋体" w:hAnsi="宋体" w:eastAsia="宋体" w:cs="宋体"/>
                <w:color w:val="auto"/>
                <w:kern w:val="0"/>
                <w:sz w:val="21"/>
                <w:szCs w:val="21"/>
                <w:highlight w:val="none"/>
                <w:shd w:val="clear" w:color="auto" w:fill="auto"/>
              </w:rPr>
              <w:t>机电专业负责人、给排水专业负责人</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rPr>
              <w:t>园林绿化专业负责人</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具有对应专业</w:t>
            </w:r>
            <w:r>
              <w:rPr>
                <w:rFonts w:hint="eastAsia" w:ascii="宋体" w:hAnsi="宋体" w:eastAsia="宋体" w:cs="宋体"/>
                <w:color w:val="auto"/>
                <w:sz w:val="21"/>
                <w:szCs w:val="21"/>
                <w:highlight w:val="none"/>
                <w:shd w:val="clear" w:color="auto" w:fill="auto"/>
              </w:rPr>
              <w:t>高级或以上工程师技术职称的，每人得0.25分；本小项最高得1分。其他情况不得分。（该专业有多名工程师的，只计1人）</w:t>
            </w:r>
          </w:p>
          <w:p>
            <w:pPr>
              <w:adjustRightInd w:val="0"/>
              <w:snapToGrid w:val="0"/>
              <w:rPr>
                <w:rFonts w:hint="eastAsia" w:ascii="宋体" w:hAnsi="宋体" w:eastAsia="宋体" w:cs="宋体"/>
                <w:color w:val="auto"/>
                <w:sz w:val="21"/>
                <w:szCs w:val="21"/>
                <w:highlight w:val="none"/>
                <w:shd w:val="clear" w:color="auto" w:fill="auto"/>
              </w:rPr>
            </w:pP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2）设计方项目管理团队（联合体投标的，指联合体中的成员方）（12分）：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设计负责人：具有教授级高级工程师（或研究员）职称的，得1分；设计经历在25年或以上（含25年）的得0.5分；具有省级或以上工程勘察设计大师的，得5分；本小项最多得6.5分。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道路专业负责人：具有注册土木工程师（道路工程）资格证书的得1分；具有路桥（含相近专业）高级工程师或以上职称的得0.5分；本小项最多得1.5分。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给排水专业负责人：具有注册公用设备工程师（给水排水）证书的的1分；具有给排水专业高级工程师或以上职称的得0.5分；本小项最多得1.5分。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隧道专业负责人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具有教授级高级工程师（或研究员）职称的，得1分；设计经历在25年或以上（含25年）的得0.5分；本小项最多得1.5分。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其他专业负责人：电气专业负责人、结构专业负责人、景观专业负责人、造价专业负责人，</w:t>
            </w:r>
            <w:r>
              <w:rPr>
                <w:rFonts w:hint="eastAsia" w:ascii="宋体" w:hAnsi="宋体" w:eastAsia="宋体" w:cs="宋体"/>
                <w:color w:val="auto"/>
                <w:sz w:val="21"/>
                <w:szCs w:val="21"/>
                <w:highlight w:val="none"/>
                <w:shd w:val="clear" w:color="auto" w:fill="auto"/>
                <w:lang w:eastAsia="zh-CN"/>
              </w:rPr>
              <w:t>具有对应专业</w:t>
            </w:r>
            <w:r>
              <w:rPr>
                <w:rFonts w:hint="eastAsia" w:ascii="宋体" w:hAnsi="宋体" w:eastAsia="宋体" w:cs="宋体"/>
                <w:color w:val="auto"/>
                <w:sz w:val="21"/>
                <w:szCs w:val="21"/>
                <w:highlight w:val="none"/>
                <w:shd w:val="clear" w:color="auto" w:fill="auto"/>
              </w:rPr>
              <w:t>高级或以上工程师技术职称的，每人得0.25分；本小项最高得1分。其他情况不得分。（该专业有多名工程师的，只计1人）</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1、联合体投标的，上述各方人员均不得互相兼任，必须按要求提交相应注册证或职称证和提供扣除发布招标公告当月往前顺推一个月在投标人单位购买的社保缴纳证明材料（含分公司或分支机构社保缴纳记录复印件），若当地政府部门允许企业在疫情期间缓缴社会保险费且投标人未缴纳的，投标人可提供当地政府部门允许缓缴社保的相关文件作为缴纳社保的证明。确定中标人后，招标人将核实后续中标人以上人员的社保补缴情况。</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施工方项目管理团队人员工作经验年限从毕业证书的核发时间（大学专科(或以上)学历）起计，造价负责人的工作经验年限从取得注册造价工程师（或注册一级造价工程师）证书的核发时间起计。项目负责人、技术负责人、质量负责人、安全负责人、造价负责人、其他专业工程师不得兼任，且安全负责人不能同时兼任专职安全员。</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3、设计方项目管理团队人员设计负责人的设计经历以毕业证书的核发时间（大学专科(或以上)学历）起计。</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17" w:type="pct"/>
            <w:vMerge w:val="continue"/>
            <w:tcBorders>
              <w:left w:val="single" w:color="auto" w:sz="8"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p>
        </w:tc>
        <w:tc>
          <w:tcPr>
            <w:tcW w:w="403" w:type="pct"/>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绿色节能控制措施</w:t>
            </w:r>
          </w:p>
        </w:tc>
        <w:tc>
          <w:tcPr>
            <w:tcW w:w="260" w:type="pct"/>
            <w:tcBorders>
              <w:top w:val="single" w:color="auto" w:sz="4" w:space="0"/>
              <w:left w:val="single" w:color="auto" w:sz="4" w:space="0"/>
              <w:right w:val="single" w:color="auto" w:sz="4" w:space="0"/>
            </w:tcBorders>
            <w:vAlign w:val="center"/>
          </w:tcPr>
          <w:p>
            <w:pPr>
              <w:pStyle w:val="461"/>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8</w:t>
            </w:r>
          </w:p>
        </w:tc>
        <w:tc>
          <w:tcPr>
            <w:tcW w:w="3918" w:type="pct"/>
            <w:tcBorders>
              <w:top w:val="single" w:color="auto" w:sz="4" w:space="0"/>
              <w:left w:val="single" w:color="auto" w:sz="4" w:space="0"/>
              <w:right w:val="single" w:color="auto" w:sz="4" w:space="0"/>
            </w:tcBorders>
            <w:vAlign w:val="center"/>
          </w:tcPr>
          <w:p>
            <w:pPr>
              <w:widowControl/>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投标人（若为联合体，指牵头方）具备以下绿色节能措施：</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优：投标人有绿色施工管理体系、绿色施工措施、市容市貌保护措施，并承诺确保按建筑工地绿色施工（“四节一环保”），积极推进建筑工地绿色施工工作，得</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良：投标人有绿色施工管理体系、绿色施工措施、市容市貌保护措施，得</w:t>
            </w: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中：投标人有绿色施工管理体系、绿色施工措施，得</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差：不</w:t>
            </w:r>
            <w:r>
              <w:rPr>
                <w:rFonts w:hint="eastAsia" w:ascii="宋体" w:hAnsi="宋体" w:eastAsia="宋体" w:cs="宋体"/>
                <w:color w:val="auto"/>
                <w:kern w:val="0"/>
                <w:sz w:val="21"/>
                <w:szCs w:val="21"/>
                <w:highlight w:val="none"/>
                <w:shd w:val="clear" w:color="auto" w:fill="auto"/>
              </w:rPr>
              <w:t>满足前述要求者，得</w:t>
            </w:r>
            <w:r>
              <w:rPr>
                <w:rFonts w:hint="eastAsia" w:ascii="宋体" w:hAnsi="宋体" w:eastAsia="宋体" w:cs="宋体"/>
                <w:color w:val="auto"/>
                <w:sz w:val="21"/>
                <w:szCs w:val="21"/>
                <w:highlight w:val="none"/>
                <w:shd w:val="clear" w:color="auto" w:fill="auto"/>
              </w:rPr>
              <w:t>0</w:t>
            </w:r>
            <w:r>
              <w:rPr>
                <w:rFonts w:hint="eastAsia" w:ascii="宋体" w:hAnsi="宋体" w:eastAsia="宋体" w:cs="宋体"/>
                <w:color w:val="auto"/>
                <w:kern w:val="0"/>
                <w:sz w:val="21"/>
                <w:szCs w:val="21"/>
                <w:highlight w:val="none"/>
                <w:shd w:val="clear" w:color="auto" w:fill="auto"/>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17" w:type="pct"/>
            <w:vMerge w:val="continue"/>
            <w:tcBorders>
              <w:left w:val="single" w:color="auto" w:sz="8"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p>
        </w:tc>
        <w:tc>
          <w:tcPr>
            <w:tcW w:w="403" w:type="pct"/>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安全控制措施</w:t>
            </w:r>
          </w:p>
        </w:tc>
        <w:tc>
          <w:tcPr>
            <w:tcW w:w="260" w:type="pct"/>
            <w:tcBorders>
              <w:top w:val="single" w:color="auto" w:sz="4" w:space="0"/>
              <w:left w:val="single" w:color="auto" w:sz="4" w:space="0"/>
              <w:right w:val="single" w:color="auto" w:sz="4" w:space="0"/>
            </w:tcBorders>
            <w:vAlign w:val="center"/>
          </w:tcPr>
          <w:p>
            <w:pPr>
              <w:pStyle w:val="461"/>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8</w:t>
            </w:r>
          </w:p>
        </w:tc>
        <w:tc>
          <w:tcPr>
            <w:tcW w:w="3918" w:type="pct"/>
            <w:tcBorders>
              <w:top w:val="single" w:color="auto" w:sz="4" w:space="0"/>
              <w:left w:val="single" w:color="auto" w:sz="4" w:space="0"/>
              <w:right w:val="single" w:color="auto" w:sz="4" w:space="0"/>
            </w:tcBorders>
            <w:vAlign w:val="center"/>
          </w:tcPr>
          <w:p>
            <w:pPr>
              <w:widowControl/>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投标人（若为联合体，指牵头方）具备以下安全文明施工措施：</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优：投标人安全文明目标满足招标文件要求，有安全文明控制管理体系，安全文明控制保证措施，得</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良：投标人安全文明目标满足招标文件要求，有安全文明控制保证措施，得</w:t>
            </w: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中：投标人仅有安全文明控制管理体系，得</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差：不满足前述要求者，得0分。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7" w:type="pct"/>
            <w:vMerge w:val="continue"/>
            <w:tcBorders>
              <w:left w:val="single" w:color="auto" w:sz="8"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p>
        </w:tc>
        <w:tc>
          <w:tcPr>
            <w:tcW w:w="403" w:type="pct"/>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质量控制措施</w:t>
            </w:r>
          </w:p>
        </w:tc>
        <w:tc>
          <w:tcPr>
            <w:tcW w:w="260" w:type="pct"/>
            <w:tcBorders>
              <w:top w:val="single" w:color="auto" w:sz="4" w:space="0"/>
              <w:left w:val="single" w:color="auto" w:sz="4" w:space="0"/>
              <w:right w:val="single" w:color="auto" w:sz="4" w:space="0"/>
            </w:tcBorders>
            <w:vAlign w:val="center"/>
          </w:tcPr>
          <w:p>
            <w:pPr>
              <w:pStyle w:val="461"/>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8</w:t>
            </w:r>
          </w:p>
        </w:tc>
        <w:tc>
          <w:tcPr>
            <w:tcW w:w="3918" w:type="pct"/>
            <w:tcBorders>
              <w:top w:val="single" w:color="auto" w:sz="4" w:space="0"/>
              <w:left w:val="single" w:color="auto" w:sz="4" w:space="0"/>
              <w:right w:val="single" w:color="auto" w:sz="4" w:space="0"/>
            </w:tcBorders>
            <w:vAlign w:val="center"/>
          </w:tcPr>
          <w:p>
            <w:pPr>
              <w:widowControl/>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投标人（若为联合体，指牵头方）具备以下质量控制措施：</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优：投标人质量目标满足招标文件要求，有质量管控体系，质量保证措施，得8分；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良：投标人质量目标满足招标文件要求，有质量保证措施，得</w:t>
            </w: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中：投标人仅有质量管控体系，得</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差：不满足前述要求者，得0分。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17" w:type="pct"/>
            <w:vMerge w:val="continue"/>
            <w:tcBorders>
              <w:left w:val="single" w:color="auto" w:sz="8"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p>
        </w:tc>
        <w:tc>
          <w:tcPr>
            <w:tcW w:w="40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进度控制措施</w:t>
            </w:r>
          </w:p>
        </w:tc>
        <w:tc>
          <w:tcPr>
            <w:tcW w:w="260" w:type="pct"/>
            <w:tcBorders>
              <w:top w:val="single" w:color="auto" w:sz="4" w:space="0"/>
              <w:left w:val="single" w:color="auto" w:sz="4" w:space="0"/>
              <w:bottom w:val="single" w:color="auto" w:sz="4" w:space="0"/>
              <w:right w:val="single" w:color="auto" w:sz="4" w:space="0"/>
            </w:tcBorders>
            <w:vAlign w:val="center"/>
          </w:tcPr>
          <w:p>
            <w:pPr>
              <w:pStyle w:val="461"/>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w:t>
            </w:r>
          </w:p>
        </w:tc>
        <w:tc>
          <w:tcPr>
            <w:tcW w:w="391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投标人（若为联合体，指牵头方）具备以下进度控制措施：</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优：投标人承诺施工工期比招标文件要求提前的：施工工期比招标文件要求提前30日历天及以上，得</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良：投标人承诺施工工期比招标文件要求提前的：施工工期比招标文件要求提前15—29日历天，得</w:t>
            </w: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中：投标人承诺施工工期比招标文件要求提前的：施工工期比招标文件要求提前7—14日历天，得</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差：不满足前述要求者，得0分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tcBorders>
              <w:left w:val="single" w:color="auto" w:sz="8"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p>
        </w:tc>
        <w:tc>
          <w:tcPr>
            <w:tcW w:w="40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劳动力投入措施</w:t>
            </w:r>
          </w:p>
        </w:tc>
        <w:tc>
          <w:tcPr>
            <w:tcW w:w="260" w:type="pct"/>
            <w:tcBorders>
              <w:top w:val="single" w:color="auto" w:sz="4" w:space="0"/>
              <w:left w:val="single" w:color="auto" w:sz="4" w:space="0"/>
              <w:bottom w:val="single" w:color="auto" w:sz="4" w:space="0"/>
              <w:right w:val="single" w:color="auto" w:sz="4" w:space="0"/>
            </w:tcBorders>
            <w:vAlign w:val="center"/>
          </w:tcPr>
          <w:p>
            <w:pPr>
              <w:pStyle w:val="461"/>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8</w:t>
            </w:r>
          </w:p>
        </w:tc>
        <w:tc>
          <w:tcPr>
            <w:tcW w:w="391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投标人（若为联合体，指牵头方）具备以下劳动力投入措施：</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优：专业劳务队伍各专业配置合理，施工高峰期拟劳动力投入能满足施工需要，投入计划与进度计划协调，调配计划合理，有保证措施，得8分；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良：专业劳务队伍各专业配置较合理，施工高峰期拟劳动力投入较能满足施工需要，投入计划与进度计划协调，调配计划比较合理，有保证措施，得</w:t>
            </w: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中：专业劳务队伍各专业配置一般，施工高峰期拟劳动力投入基本满足施工需要，投入计划与进度计划基本协调，调配计划基本合理，有保证措施，得</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差：不满足前述要求者，得0分。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17" w:type="pct"/>
            <w:vMerge w:val="continue"/>
            <w:tcBorders>
              <w:left w:val="single" w:color="auto" w:sz="8"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p>
        </w:tc>
        <w:tc>
          <w:tcPr>
            <w:tcW w:w="40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科技创新及保证措施</w:t>
            </w:r>
          </w:p>
        </w:tc>
        <w:tc>
          <w:tcPr>
            <w:tcW w:w="2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6</w:t>
            </w:r>
          </w:p>
        </w:tc>
        <w:tc>
          <w:tcPr>
            <w:tcW w:w="3918"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针对本项目特点，制定了相应的科技创新和保证措施</w:t>
            </w:r>
            <w:r>
              <w:rPr>
                <w:rFonts w:hint="eastAsia" w:ascii="宋体" w:hAnsi="宋体" w:eastAsia="宋体" w:cs="宋体"/>
                <w:color w:val="auto"/>
                <w:kern w:val="0"/>
                <w:sz w:val="21"/>
                <w:szCs w:val="21"/>
                <w:highlight w:val="none"/>
                <w:shd w:val="clear" w:color="auto" w:fill="auto"/>
                <w:lang w:eastAsia="zh-CN"/>
              </w:rPr>
              <w:t>方案</w:t>
            </w:r>
            <w:r>
              <w:rPr>
                <w:rFonts w:hint="eastAsia" w:ascii="宋体" w:hAnsi="宋体" w:eastAsia="宋体" w:cs="宋体"/>
                <w:color w:val="auto"/>
                <w:kern w:val="0"/>
                <w:sz w:val="21"/>
                <w:szCs w:val="21"/>
                <w:highlight w:val="none"/>
                <w:shd w:val="clear" w:color="auto" w:fill="auto"/>
              </w:rPr>
              <w:t>的，得6分；</w:t>
            </w:r>
          </w:p>
          <w:p>
            <w:pPr>
              <w:widowControl/>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针对本项目特点，制定了相应的科技创新</w:t>
            </w:r>
            <w:r>
              <w:rPr>
                <w:rFonts w:hint="eastAsia" w:ascii="宋体" w:hAnsi="宋体" w:eastAsia="宋体" w:cs="宋体"/>
                <w:color w:val="auto"/>
                <w:kern w:val="0"/>
                <w:sz w:val="21"/>
                <w:szCs w:val="21"/>
                <w:highlight w:val="none"/>
                <w:shd w:val="clear" w:color="auto" w:fill="auto"/>
                <w:lang w:eastAsia="zh-CN"/>
              </w:rPr>
              <w:t>方案，得</w:t>
            </w:r>
            <w:r>
              <w:rPr>
                <w:rFonts w:hint="eastAsia" w:ascii="宋体" w:hAnsi="宋体" w:eastAsia="宋体" w:cs="宋体"/>
                <w:color w:val="auto"/>
                <w:kern w:val="0"/>
                <w:sz w:val="21"/>
                <w:szCs w:val="21"/>
                <w:highlight w:val="none"/>
                <w:shd w:val="clear" w:color="auto" w:fill="auto"/>
                <w:lang w:val="en-US" w:eastAsia="zh-CN"/>
              </w:rPr>
              <w:t>5分；</w:t>
            </w:r>
          </w:p>
          <w:p>
            <w:pPr>
              <w:widowControl/>
              <w:jc w:val="lef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无措施的，得0分。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17" w:type="pct"/>
            <w:vMerge w:val="restart"/>
            <w:tcBorders>
              <w:top w:val="single" w:color="auto" w:sz="4" w:space="0"/>
              <w:left w:val="single" w:color="auto" w:sz="8"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二、企业业绩、信誉（36分）</w:t>
            </w:r>
          </w:p>
        </w:tc>
        <w:tc>
          <w:tcPr>
            <w:tcW w:w="403" w:type="pct"/>
            <w:tcBorders>
              <w:top w:val="single" w:color="auto" w:sz="4" w:space="0"/>
              <w:left w:val="single" w:color="auto" w:sz="4" w:space="0"/>
              <w:right w:val="single" w:color="auto" w:sz="4" w:space="0"/>
            </w:tcBorders>
            <w:vAlign w:val="center"/>
          </w:tcPr>
          <w:p>
            <w:pPr>
              <w:snapToGrid w:val="0"/>
              <w:spacing w:line="28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企业类似工程业绩</w:t>
            </w:r>
          </w:p>
        </w:tc>
        <w:tc>
          <w:tcPr>
            <w:tcW w:w="260" w:type="pct"/>
            <w:tcBorders>
              <w:top w:val="single" w:color="auto" w:sz="4" w:space="0"/>
              <w:left w:val="single" w:color="auto" w:sz="4" w:space="0"/>
              <w:right w:val="single" w:color="auto" w:sz="4" w:space="0"/>
            </w:tcBorders>
            <w:vAlign w:val="center"/>
          </w:tcPr>
          <w:p>
            <w:pPr>
              <w:widowControl/>
              <w:snapToGrid w:val="0"/>
              <w:spacing w:line="28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w:t>
            </w:r>
          </w:p>
        </w:tc>
        <w:tc>
          <w:tcPr>
            <w:tcW w:w="391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1）投标人（联合体投标的，指联合体中的主办方）自2018年1月1日至今，完成过质量合格的类似工程（类似工程业绩是指工程造价金额大于或等于1</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000万元的市政公用EPC工程总承包或施工总承包的施工业绩）一项得0.5分；此小项最多得5分，无类似业绩不得分。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2）投标人（联合体投标的，指联合体中的设计方；联合体中有多个设计方的，指其约定的设计总协调单位）自2018年1月1日至今，承接过项目总投资金额大于或等于1</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000万元的市政道路工程或隧道工程勘察设计或设计或EPC工程总承包工程的设计业绩的，每项得0.5分，此小项最多得5分。无类似业绩不得分。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注：上述两项合计最高得10分，不符合上述条件的不得分。非联合体投标人同一工程总承包业绩如符合上述第1和第2点业绩要求的，只计算一次得分（按最高得分计算），不可重复计分。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tcBorders>
              <w:top w:val="single" w:color="auto" w:sz="4" w:space="0"/>
              <w:left w:val="single" w:color="auto" w:sz="8"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p>
        </w:tc>
        <w:tc>
          <w:tcPr>
            <w:tcW w:w="403" w:type="pct"/>
            <w:tcBorders>
              <w:top w:val="single" w:color="auto" w:sz="4" w:space="0"/>
              <w:left w:val="single" w:color="auto" w:sz="4" w:space="0"/>
              <w:right w:val="single" w:color="auto" w:sz="4" w:space="0"/>
            </w:tcBorders>
            <w:vAlign w:val="center"/>
          </w:tcPr>
          <w:p>
            <w:pPr>
              <w:snapToGrid w:val="0"/>
              <w:spacing w:line="28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企业工程获奖</w:t>
            </w:r>
          </w:p>
        </w:tc>
        <w:tc>
          <w:tcPr>
            <w:tcW w:w="260" w:type="pct"/>
            <w:tcBorders>
              <w:top w:val="single" w:color="auto" w:sz="4" w:space="0"/>
              <w:left w:val="single" w:color="auto" w:sz="4" w:space="0"/>
              <w:right w:val="single" w:color="auto" w:sz="4" w:space="0"/>
            </w:tcBorders>
            <w:vAlign w:val="center"/>
          </w:tcPr>
          <w:p>
            <w:pPr>
              <w:widowControl/>
              <w:snapToGrid w:val="0"/>
              <w:spacing w:line="28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6</w:t>
            </w:r>
          </w:p>
        </w:tc>
        <w:tc>
          <w:tcPr>
            <w:tcW w:w="391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1）投标人（联合体投标的，指联合体中的主办方）自 2018 年1月1日至今，承建的工程项目获得过国家级</w:t>
            </w:r>
            <w:r>
              <w:rPr>
                <w:rFonts w:hint="eastAsia" w:ascii="宋体" w:hAnsi="宋体" w:eastAsia="宋体" w:cs="宋体"/>
                <w:color w:val="auto"/>
                <w:sz w:val="21"/>
                <w:szCs w:val="21"/>
                <w:highlight w:val="none"/>
                <w:shd w:val="clear" w:color="auto" w:fill="auto"/>
                <w:lang w:val="en-US" w:eastAsia="zh-CN"/>
              </w:rPr>
              <w:t>优质工程类</w:t>
            </w:r>
            <w:r>
              <w:rPr>
                <w:rFonts w:hint="eastAsia" w:ascii="宋体" w:hAnsi="宋体" w:eastAsia="宋体" w:cs="宋体"/>
                <w:color w:val="auto"/>
                <w:sz w:val="21"/>
                <w:szCs w:val="21"/>
                <w:highlight w:val="none"/>
                <w:shd w:val="clear" w:color="auto" w:fill="auto"/>
              </w:rPr>
              <w:t>奖项，每项得</w:t>
            </w:r>
            <w:r>
              <w:rPr>
                <w:rFonts w:hint="eastAsia" w:ascii="宋体" w:hAnsi="宋体" w:eastAsia="宋体" w:cs="宋体"/>
                <w:color w:val="auto"/>
                <w:sz w:val="21"/>
                <w:szCs w:val="21"/>
                <w:highlight w:val="none"/>
                <w:shd w:val="clear" w:color="auto" w:fill="auto"/>
                <w:lang w:val="en-US" w:eastAsia="zh-CN"/>
              </w:rPr>
              <w:t>0.75</w:t>
            </w:r>
            <w:r>
              <w:rPr>
                <w:rFonts w:hint="eastAsia" w:ascii="宋体" w:hAnsi="宋体" w:eastAsia="宋体" w:cs="宋体"/>
                <w:color w:val="auto"/>
                <w:sz w:val="21"/>
                <w:szCs w:val="21"/>
                <w:highlight w:val="none"/>
                <w:shd w:val="clear" w:color="auto" w:fill="auto"/>
              </w:rPr>
              <w:t>分，获得过省级</w:t>
            </w:r>
            <w:r>
              <w:rPr>
                <w:rFonts w:hint="eastAsia" w:ascii="宋体" w:hAnsi="宋体" w:eastAsia="宋体" w:cs="宋体"/>
                <w:color w:val="auto"/>
                <w:sz w:val="21"/>
                <w:szCs w:val="21"/>
                <w:highlight w:val="none"/>
                <w:shd w:val="clear" w:color="auto" w:fill="auto"/>
                <w:lang w:val="en-US" w:eastAsia="zh-CN"/>
              </w:rPr>
              <w:t>优质工程类</w:t>
            </w:r>
            <w:r>
              <w:rPr>
                <w:rFonts w:hint="eastAsia" w:ascii="宋体" w:hAnsi="宋体" w:eastAsia="宋体" w:cs="宋体"/>
                <w:color w:val="auto"/>
                <w:sz w:val="21"/>
                <w:szCs w:val="21"/>
                <w:highlight w:val="none"/>
                <w:shd w:val="clear" w:color="auto" w:fill="auto"/>
              </w:rPr>
              <w:t>奖项，每项得 0.</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分，获得过市级</w:t>
            </w:r>
            <w:r>
              <w:rPr>
                <w:rFonts w:hint="eastAsia" w:ascii="宋体" w:hAnsi="宋体" w:eastAsia="宋体" w:cs="宋体"/>
                <w:color w:val="auto"/>
                <w:sz w:val="21"/>
                <w:szCs w:val="21"/>
                <w:highlight w:val="none"/>
                <w:shd w:val="clear" w:color="auto" w:fill="auto"/>
                <w:lang w:val="en-US" w:eastAsia="zh-CN"/>
              </w:rPr>
              <w:t>优质工程类</w:t>
            </w:r>
            <w:r>
              <w:rPr>
                <w:rFonts w:hint="eastAsia" w:ascii="宋体" w:hAnsi="宋体" w:eastAsia="宋体" w:cs="宋体"/>
                <w:color w:val="auto"/>
                <w:sz w:val="21"/>
                <w:szCs w:val="21"/>
                <w:highlight w:val="none"/>
                <w:shd w:val="clear" w:color="auto" w:fill="auto"/>
              </w:rPr>
              <w:t>奖项奖项，一项得 0.</w:t>
            </w:r>
            <w:r>
              <w:rPr>
                <w:rFonts w:hint="eastAsia" w:ascii="宋体" w:hAnsi="宋体" w:eastAsia="宋体" w:cs="宋体"/>
                <w:color w:val="auto"/>
                <w:sz w:val="21"/>
                <w:szCs w:val="21"/>
                <w:highlight w:val="none"/>
                <w:shd w:val="clear" w:color="auto" w:fill="auto"/>
                <w:lang w:val="en-US" w:eastAsia="zh-CN"/>
              </w:rPr>
              <w:t>25</w:t>
            </w:r>
            <w:r>
              <w:rPr>
                <w:rFonts w:hint="eastAsia" w:ascii="宋体" w:hAnsi="宋体" w:eastAsia="宋体" w:cs="宋体"/>
                <w:color w:val="auto"/>
                <w:sz w:val="21"/>
                <w:szCs w:val="21"/>
                <w:highlight w:val="none"/>
                <w:shd w:val="clear" w:color="auto" w:fill="auto"/>
              </w:rPr>
              <w:t>分，相同项目按最高级别奖项只计一次得分。此小项最多得</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2）投标人（联合体投标的，指联合体中的设计方；联合体中有多个设计方的，指其约定的设计总协调单位）自2018年1月1日至今，</w:t>
            </w:r>
            <w:r>
              <w:rPr>
                <w:rFonts w:hint="eastAsia" w:ascii="宋体" w:hAnsi="宋体" w:eastAsia="宋体" w:cs="宋体"/>
                <w:color w:val="auto"/>
                <w:sz w:val="21"/>
                <w:szCs w:val="21"/>
                <w:highlight w:val="none"/>
                <w:shd w:val="clear" w:color="auto" w:fill="auto"/>
                <w:lang w:val="zh-CN"/>
              </w:rPr>
              <w:t xml:space="preserve">市政路桥设计项目获得过国家级奖项的，每项得 </w:t>
            </w: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zh-CN"/>
              </w:rPr>
              <w:t>分；获得过行业级奖项</w:t>
            </w:r>
            <w:r>
              <w:rPr>
                <w:rFonts w:hint="eastAsia" w:ascii="宋体" w:hAnsi="宋体" w:eastAsia="宋体" w:cs="宋体"/>
                <w:color w:val="auto"/>
                <w:sz w:val="21"/>
                <w:szCs w:val="21"/>
                <w:highlight w:val="none"/>
                <w:shd w:val="clear" w:color="auto" w:fill="auto"/>
                <w:lang w:val="zh-CN" w:eastAsia="zh-CN"/>
              </w:rPr>
              <w:t>的</w:t>
            </w:r>
            <w:r>
              <w:rPr>
                <w:rFonts w:hint="eastAsia" w:ascii="宋体" w:hAnsi="宋体" w:eastAsia="宋体" w:cs="宋体"/>
                <w:color w:val="auto"/>
                <w:sz w:val="21"/>
                <w:szCs w:val="21"/>
                <w:highlight w:val="none"/>
                <w:shd w:val="clear" w:color="auto" w:fill="auto"/>
                <w:lang w:val="zh-CN"/>
              </w:rPr>
              <w:t xml:space="preserve">，每项得 </w:t>
            </w:r>
            <w:r>
              <w:rPr>
                <w:rFonts w:hint="eastAsia" w:ascii="宋体" w:hAnsi="宋体" w:eastAsia="宋体" w:cs="宋体"/>
                <w:color w:val="auto"/>
                <w:sz w:val="21"/>
                <w:szCs w:val="21"/>
                <w:highlight w:val="none"/>
                <w:shd w:val="clear" w:color="auto" w:fill="auto"/>
                <w:lang w:val="en-US" w:eastAsia="zh-CN"/>
              </w:rPr>
              <w:t>0.75</w:t>
            </w:r>
            <w:r>
              <w:rPr>
                <w:rFonts w:hint="eastAsia" w:ascii="宋体" w:hAnsi="宋体" w:eastAsia="宋体" w:cs="宋体"/>
                <w:color w:val="auto"/>
                <w:sz w:val="21"/>
                <w:szCs w:val="21"/>
                <w:highlight w:val="none"/>
                <w:shd w:val="clear" w:color="auto" w:fill="auto"/>
                <w:lang w:val="zh-CN"/>
              </w:rPr>
              <w:t xml:space="preserve"> 分；获得过省级奖项的，每项得 </w:t>
            </w:r>
            <w:r>
              <w:rPr>
                <w:rFonts w:hint="eastAsia" w:ascii="宋体" w:hAnsi="宋体" w:eastAsia="宋体" w:cs="宋体"/>
                <w:color w:val="auto"/>
                <w:sz w:val="21"/>
                <w:szCs w:val="21"/>
                <w:highlight w:val="none"/>
                <w:shd w:val="clear" w:color="auto" w:fill="auto"/>
              </w:rPr>
              <w:t>0.5</w:t>
            </w:r>
            <w:r>
              <w:rPr>
                <w:rFonts w:hint="eastAsia" w:ascii="宋体" w:hAnsi="宋体" w:eastAsia="宋体" w:cs="宋体"/>
                <w:color w:val="auto"/>
                <w:sz w:val="21"/>
                <w:szCs w:val="21"/>
                <w:highlight w:val="none"/>
                <w:shd w:val="clear" w:color="auto" w:fill="auto"/>
                <w:lang w:val="zh-CN"/>
              </w:rPr>
              <w:t xml:space="preserve"> 分；获得过市（副省级）奖项的，每项得 </w:t>
            </w:r>
            <w:r>
              <w:rPr>
                <w:rFonts w:hint="eastAsia" w:ascii="宋体" w:hAnsi="宋体" w:eastAsia="宋体" w:cs="宋体"/>
                <w:color w:val="auto"/>
                <w:sz w:val="21"/>
                <w:szCs w:val="21"/>
                <w:highlight w:val="none"/>
                <w:shd w:val="clear" w:color="auto" w:fill="auto"/>
              </w:rPr>
              <w:t>0.25</w:t>
            </w:r>
            <w:r>
              <w:rPr>
                <w:rFonts w:hint="eastAsia" w:ascii="宋体" w:hAnsi="宋体" w:eastAsia="宋体" w:cs="宋体"/>
                <w:color w:val="auto"/>
                <w:sz w:val="21"/>
                <w:szCs w:val="21"/>
                <w:highlight w:val="none"/>
                <w:shd w:val="clear" w:color="auto" w:fill="auto"/>
                <w:lang w:val="zh-CN"/>
              </w:rPr>
              <w:t xml:space="preserve"> 分。</w:t>
            </w:r>
            <w:r>
              <w:rPr>
                <w:rFonts w:hint="eastAsia" w:ascii="宋体" w:hAnsi="宋体" w:eastAsia="宋体" w:cs="宋体"/>
                <w:color w:val="auto"/>
                <w:sz w:val="21"/>
                <w:szCs w:val="21"/>
                <w:highlight w:val="none"/>
                <w:shd w:val="clear" w:color="auto" w:fill="auto"/>
              </w:rPr>
              <w:t>此小项最多得</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注：上述两项合计最高得</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分，不符合上述条件的不得分。对同一工程项目按最高奖项计取，不重复计取。</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tcBorders>
              <w:left w:val="single" w:color="auto" w:sz="8"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企业工程研发能力</w:t>
            </w:r>
          </w:p>
        </w:tc>
        <w:tc>
          <w:tcPr>
            <w:tcW w:w="260" w:type="pct"/>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w:t>
            </w:r>
          </w:p>
        </w:tc>
        <w:tc>
          <w:tcPr>
            <w:tcW w:w="391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投标人（联合体投标的，指联合体中的主办方）自2018年1月1日至今获得省级或以上工法证书奖项：</w:t>
            </w:r>
          </w:p>
          <w:p>
            <w:pPr>
              <w:adjustRightInd w:val="0"/>
              <w:snapToGrid w:val="0"/>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1、获得35项（不含本数）以上的，得5分；</w:t>
            </w:r>
          </w:p>
          <w:p>
            <w:pPr>
              <w:adjustRightInd w:val="0"/>
              <w:snapToGrid w:val="0"/>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2、获得20项（不含本数）至35项（含本数）的，得2.5分；</w:t>
            </w:r>
          </w:p>
          <w:p>
            <w:pPr>
              <w:adjustRightInd w:val="0"/>
              <w:snapToGrid w:val="0"/>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3、获得10项（不含本数）至20项（含本数）的，得1 分。</w:t>
            </w:r>
          </w:p>
          <w:p>
            <w:pPr>
              <w:adjustRightInd w:val="0"/>
              <w:snapToGrid w:val="0"/>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4、获得10项（含本数）以下的，得0.5分。</w:t>
            </w:r>
          </w:p>
          <w:p>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注：不符合上述条件的不得分。本项最高得5分。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tcBorders>
              <w:left w:val="single" w:color="auto" w:sz="8" w:space="0"/>
              <w:right w:val="single" w:color="auto" w:sz="4" w:space="0"/>
            </w:tcBorders>
            <w:shd w:val="clear" w:color="auto" w:fill="auto"/>
            <w:vAlign w:val="center"/>
          </w:tcPr>
          <w:p>
            <w:pPr>
              <w:adjustRightInd w:val="0"/>
              <w:snapToGrid w:val="0"/>
              <w:rPr>
                <w:rFonts w:hint="eastAsia" w:ascii="宋体" w:hAnsi="宋体" w:eastAsia="宋体" w:cs="宋体"/>
                <w:color w:val="auto"/>
                <w:sz w:val="21"/>
                <w:szCs w:val="21"/>
                <w:highlight w:val="none"/>
                <w:shd w:val="clear" w:color="auto" w:fill="auto"/>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第三方评价</w:t>
            </w:r>
          </w:p>
        </w:tc>
        <w:tc>
          <w:tcPr>
            <w:tcW w:w="260" w:type="pct"/>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val="en-US" w:eastAsia="zh-CN"/>
              </w:rPr>
              <w:t>2</w:t>
            </w:r>
          </w:p>
        </w:tc>
        <w:tc>
          <w:tcPr>
            <w:tcW w:w="391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投标人（联合体投标的，指联合体中的主办方）具备有效的AAA级银行信用等级证书得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zh-CN"/>
              </w:rPr>
              <w:t>分，具备AA级银行信用等级证书得1分，具备A级银行信用等级证书得0.5分，其他不得分。注：需提供证书原件扫描件</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17" w:type="pct"/>
            <w:vMerge w:val="continue"/>
            <w:tcBorders>
              <w:left w:val="single" w:color="auto" w:sz="8"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p>
        </w:tc>
        <w:tc>
          <w:tcPr>
            <w:tcW w:w="403"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财务指标</w:t>
            </w:r>
          </w:p>
        </w:tc>
        <w:tc>
          <w:tcPr>
            <w:tcW w:w="260" w:type="pct"/>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val="en-US" w:eastAsia="zh-CN"/>
              </w:rPr>
              <w:t>6</w:t>
            </w:r>
          </w:p>
        </w:tc>
        <w:tc>
          <w:tcPr>
            <w:tcW w:w="391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投标人（联合体投标的，指联合体中的主办方）至2020年度止连续获得“A级纳税人”称号情况：</w:t>
            </w:r>
          </w:p>
          <w:p>
            <w:pPr>
              <w:adjustRightInd w:val="0"/>
              <w:snapToGrid w:val="0"/>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①连续6年以上（不包含6年）的得6分；</w:t>
            </w:r>
          </w:p>
          <w:p>
            <w:pPr>
              <w:adjustRightInd w:val="0"/>
              <w:snapToGrid w:val="0"/>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②连续3年-6年的得3分（</w:t>
            </w:r>
            <w:r>
              <w:rPr>
                <w:rFonts w:hint="eastAsia" w:ascii="宋体" w:hAnsi="宋体" w:eastAsia="宋体" w:cs="宋体"/>
                <w:color w:val="auto"/>
                <w:sz w:val="21"/>
                <w:szCs w:val="21"/>
                <w:highlight w:val="none"/>
                <w:shd w:val="clear" w:color="auto" w:fill="auto"/>
                <w:lang w:val="en-US" w:eastAsia="zh-CN"/>
              </w:rPr>
              <w:t>不含3年</w:t>
            </w:r>
            <w:r>
              <w:rPr>
                <w:rFonts w:hint="eastAsia" w:ascii="宋体" w:hAnsi="宋体" w:eastAsia="宋体" w:cs="宋体"/>
                <w:color w:val="auto"/>
                <w:sz w:val="21"/>
                <w:szCs w:val="21"/>
                <w:highlight w:val="none"/>
                <w:shd w:val="clear" w:color="auto" w:fill="auto"/>
                <w:lang w:val="zh-CN"/>
              </w:rPr>
              <w:t>）；</w:t>
            </w:r>
          </w:p>
          <w:p>
            <w:pPr>
              <w:adjustRightInd w:val="0"/>
              <w:snapToGrid w:val="0"/>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③连续3年</w:t>
            </w:r>
            <w:r>
              <w:rPr>
                <w:rFonts w:hint="eastAsia" w:ascii="宋体" w:hAnsi="宋体" w:eastAsia="宋体" w:cs="宋体"/>
                <w:color w:val="auto"/>
                <w:sz w:val="21"/>
                <w:szCs w:val="21"/>
                <w:highlight w:val="none"/>
                <w:shd w:val="clear" w:color="auto" w:fill="auto"/>
                <w:lang w:val="en-US" w:eastAsia="zh-CN"/>
              </w:rPr>
              <w:t>或</w:t>
            </w:r>
            <w:r>
              <w:rPr>
                <w:rFonts w:hint="eastAsia" w:ascii="宋体" w:hAnsi="宋体" w:eastAsia="宋体" w:cs="宋体"/>
                <w:color w:val="auto"/>
                <w:sz w:val="21"/>
                <w:szCs w:val="21"/>
                <w:highlight w:val="none"/>
                <w:shd w:val="clear" w:color="auto" w:fill="auto"/>
                <w:lang w:val="zh-CN"/>
              </w:rPr>
              <w:t>以下的得1分。</w:t>
            </w:r>
          </w:p>
          <w:p>
            <w:pPr>
              <w:adjustRightInd w:val="0"/>
              <w:snapToGrid w:val="0"/>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注：需提供国家税务总局查询截图。</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17" w:type="pct"/>
            <w:vMerge w:val="continue"/>
            <w:tcBorders>
              <w:left w:val="single" w:color="auto" w:sz="8" w:space="0"/>
              <w:right w:val="single" w:color="auto" w:sz="4" w:space="0"/>
            </w:tcBorders>
            <w:vAlign w:val="center"/>
          </w:tcPr>
          <w:p>
            <w:pPr>
              <w:adjustRightInd w:val="0"/>
              <w:snapToGrid w:val="0"/>
              <w:rPr>
                <w:rFonts w:hint="eastAsia" w:ascii="宋体" w:hAnsi="宋体" w:eastAsia="宋体" w:cs="宋体"/>
                <w:color w:val="auto"/>
                <w:sz w:val="21"/>
                <w:szCs w:val="21"/>
                <w:highlight w:val="none"/>
                <w:shd w:val="clear" w:color="auto" w:fill="auto"/>
              </w:rPr>
            </w:pPr>
          </w:p>
        </w:tc>
        <w:tc>
          <w:tcPr>
            <w:tcW w:w="403"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科技创新成果指标</w:t>
            </w:r>
          </w:p>
        </w:tc>
        <w:tc>
          <w:tcPr>
            <w:tcW w:w="260"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w:t>
            </w:r>
          </w:p>
        </w:tc>
        <w:tc>
          <w:tcPr>
            <w:tcW w:w="391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投标人（联合体投标的，指联合体中的施工方）</w:t>
            </w:r>
            <w:r>
              <w:rPr>
                <w:rFonts w:hint="eastAsia" w:ascii="宋体" w:hAnsi="宋体" w:eastAsia="宋体" w:cs="宋体"/>
                <w:color w:val="auto"/>
                <w:sz w:val="21"/>
                <w:szCs w:val="21"/>
                <w:highlight w:val="none"/>
                <w:shd w:val="clear" w:color="auto" w:fill="auto"/>
                <w:lang w:val="en-US" w:eastAsia="zh-CN"/>
              </w:rPr>
              <w:t>2015年至今</w:t>
            </w:r>
            <w:r>
              <w:rPr>
                <w:rFonts w:hint="eastAsia" w:ascii="宋体" w:hAnsi="宋体" w:eastAsia="宋体" w:cs="宋体"/>
                <w:color w:val="auto"/>
                <w:sz w:val="21"/>
                <w:szCs w:val="21"/>
                <w:highlight w:val="none"/>
                <w:shd w:val="clear" w:color="auto" w:fill="auto"/>
              </w:rPr>
              <w:t>获得过由国务院颁发的国家科学技术进步奖的，获得过特等奖的得7分，获得过一等奖的得3分，获得过二等奖的得1分，其他情况不得分。</w:t>
            </w:r>
          </w:p>
          <w:p>
            <w:pPr>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本项若投标人提供多个奖项时，按所提供奖项中的最高级别计算一次，不重复加分，本项最多得7分。需提供获奖证书扫描件。</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1" w:type="pct"/>
            <w:gridSpan w:val="2"/>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合计（一+二）</w:t>
            </w:r>
          </w:p>
        </w:tc>
        <w:tc>
          <w:tcPr>
            <w:tcW w:w="2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100</w:t>
            </w:r>
          </w:p>
        </w:tc>
        <w:tc>
          <w:tcPr>
            <w:tcW w:w="391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b/>
                <w:color w:val="auto"/>
                <w:sz w:val="21"/>
                <w:szCs w:val="21"/>
                <w:highlight w:val="none"/>
                <w:shd w:val="clear" w:color="auto" w:fill="auto"/>
              </w:rPr>
            </w:pPr>
          </w:p>
        </w:tc>
      </w:tr>
    </w:tbl>
    <w:p>
      <w:pP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注：设计企业（联合体投标的，指联合体中的设计方）：</w:t>
      </w:r>
    </w:p>
    <w:p>
      <w:pPr>
        <w:numPr>
          <w:ilvl w:val="0"/>
          <w:numId w:val="3"/>
        </w:numP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设计类似业绩：</w:t>
      </w:r>
      <w:r>
        <w:rPr>
          <w:rFonts w:hint="eastAsia" w:ascii="宋体" w:hAnsi="宋体" w:eastAsia="宋体" w:cs="宋体"/>
          <w:color w:val="auto"/>
          <w:kern w:val="0"/>
          <w:sz w:val="21"/>
          <w:szCs w:val="21"/>
          <w:highlight w:val="none"/>
          <w:shd w:val="clear" w:color="auto" w:fill="auto"/>
        </w:rPr>
        <w:t>须同时提供合同文本、中标通知书（或免招标证明文件）和初步设计审查证明或施工图审查证明或项目业主对其履约情况的证明材料扫描件。时间以中标通知书为准（免招标的项目时间以合同时间为准），总投资金额以合同（或相关批复文件）显示金额为准。</w:t>
      </w:r>
    </w:p>
    <w:p>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获奖奖项是指由住建部颁发的全国优秀工程勘察设计奖、中国勘察设计协会颁发的全国优秀工程勘察设计行业奖、住建厅或省级（含副省级）工程勘察设计行业协会颁发的省级（含副省级）优秀勘察设计奖；由国务院颁发的国家科学技术奖、住建部的华夏建设科学技术奖励委员会颁发的华夏建设科学技术奖、省级（含副省级）人民政府颁发的省（含副省级）科学技术奖。国家级（国家科学技术奖、全国优秀工程勘察设计奖）分值＞行业级（华夏建设科学技术奖、全国优秀工程勘察设计行业奖）分值＞省级（省科学技术奖、省优秀工程勘察设计奖）分值&gt;副省级（市科学技术奖、市工程勘察设计奖）分值，各级奖项的一等（金）奖、二等（银）奖、三等（铜）奖具体分值，也可由建设单位细分。奖项认定以获奖证书为准，时间以发证日期为准，须提交奖项证书或获奖证明材料扫描件作为证明。</w:t>
      </w:r>
    </w:p>
    <w:p>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3、业绩获奖的按最高奖项只计算一次，不重复计算。</w:t>
      </w:r>
    </w:p>
    <w:p>
      <w:pP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施工企业(联合体投标的，指联合体中的主办方)：</w:t>
      </w:r>
    </w:p>
    <w:p>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4、企业类似工程业绩：类似工程业绩是指工程造价金额大于或等于</w:t>
      </w:r>
      <w:r>
        <w:rPr>
          <w:rFonts w:hint="eastAsia" w:ascii="宋体" w:hAnsi="宋体" w:eastAsia="宋体" w:cs="宋体"/>
          <w:color w:val="auto"/>
          <w:sz w:val="21"/>
          <w:szCs w:val="21"/>
          <w:highlight w:val="none"/>
          <w:shd w:val="clear" w:color="auto" w:fill="auto"/>
          <w:lang w:val="en-US" w:eastAsia="zh-CN"/>
        </w:rPr>
        <w:t>12</w:t>
      </w:r>
      <w:r>
        <w:rPr>
          <w:rFonts w:hint="eastAsia" w:ascii="宋体" w:hAnsi="宋体" w:eastAsia="宋体" w:cs="宋体"/>
          <w:color w:val="auto"/>
          <w:sz w:val="21"/>
          <w:szCs w:val="21"/>
          <w:highlight w:val="none"/>
          <w:shd w:val="clear" w:color="auto" w:fill="auto"/>
        </w:rPr>
        <w:t>000万元的市政公用工程EPC工程总承包或市政公用工程施工总承包业绩的施工业绩。业绩需提供相关证明材料：投标人（联合体主办方）须提供业绩的中标通知书或免招标的相关证明、施工合同（不含补充合同）、竣工验收证明文件（验收文件至少具有建设单位、设计、施工和监理单位盖章）。完成时间以竣工验收证明材料为准。业绩金额以业绩中标通知书为准，若中标通知书没有显示中标金额或免招标的，以施工合同（不含补充合同）为准。不符合上述条件或提供的资料不齐全的业绩不予评审。评标委员会对业绩的评审以投标人（联合体主办方）提供的完整的证明资料为依据（提供相关证明材料的，中标单位须准备相关证明材料的原件待查，如原件不齐或与投标文件不符的，招标人有权取消其中标人资格，并上报建设行政主管部门）。</w:t>
      </w:r>
    </w:p>
    <w:p>
      <w:pP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5、企业工程获奖：奖项须为优质工程类奖项，需提交奖项证书或获奖证明材料扫描件，时间以发证时间为准。同一项目按最高级别奖项只计一次得分。其中国家级奖项包括：中国建设工程鲁班奖、国家优质工程（金质奖）、国家优质工程（银质奖）、国家优质工程奖、中国土木工程詹天佑奖、全国市政金杯示范工程奖等。省级奖项包括：广东省金匠奖、重庆市巴渝杯、贵州省黄果树杯、江苏省扬子杯等同级别省级优质工程奖项。市级奖项包括：广州市五羊杯、昆明市春城杯、济南市泉城杯、西安雁塔杯等同级别市级优质工程奖项。奖项只计算承建单位，不含参建单位。不符合条件的奖项不计分。获奖时间以发证时间为准，投标人（联合体主办方）须提供相关获奖证书或材料原件扫描件，并加盖投标人（联合体主办方）公章，不符合上述条件或未提供上述资料的不得分</w:t>
      </w:r>
      <w:r>
        <w:rPr>
          <w:rFonts w:hint="eastAsia" w:ascii="宋体" w:hAnsi="宋体" w:eastAsia="宋体" w:cs="宋体"/>
          <w:color w:val="auto"/>
          <w:sz w:val="21"/>
          <w:szCs w:val="21"/>
          <w:highlight w:val="none"/>
          <w:shd w:val="clear" w:color="auto" w:fill="auto"/>
          <w:lang w:eastAsia="zh-CN"/>
        </w:rPr>
        <w:t>。</w:t>
      </w:r>
    </w:p>
    <w:p>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6、企业工程研发能力：须提供建设行政主管部门的工法证书的清晰扫描件，工法奖项以提供的获奖证书为准，时间以证书发证日期为准，相同工法按最高级别奖项只计一次得分。</w:t>
      </w:r>
    </w:p>
    <w:p>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7、本表按百分制评分，所有评委每个分项的分数汇总后的算术平均值为投标人的最终得分。分数出现小数点，保留小数点后二位小数，第三位小数四舍五入。</w:t>
      </w:r>
    </w:p>
    <w:p>
      <w:pPr>
        <w:pStyle w:val="21"/>
        <w:rPr>
          <w:rFonts w:hint="eastAsia" w:ascii="宋体" w:hAnsi="宋体" w:eastAsia="宋体" w:cs="宋体"/>
          <w:color w:val="auto"/>
          <w:sz w:val="21"/>
          <w:szCs w:val="21"/>
          <w:highlight w:val="none"/>
          <w:shd w:val="clear" w:color="auto" w:fill="auto"/>
        </w:rPr>
      </w:pPr>
    </w:p>
    <w:p>
      <w:pPr>
        <w:spacing w:line="240" w:lineRule="auto"/>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评委签名：                              日期：</w:t>
      </w:r>
    </w:p>
    <w:p>
      <w:pPr>
        <w:pStyle w:val="4"/>
        <w:rPr>
          <w:rFonts w:hint="eastAsia" w:ascii="宋体" w:hAnsi="宋体" w:eastAsia="宋体" w:cs="宋体"/>
          <w:color w:val="auto"/>
          <w:sz w:val="24"/>
          <w:szCs w:val="24"/>
          <w:highlight w:val="none"/>
          <w:shd w:val="clear" w:color="auto" w:fill="auto"/>
        </w:rPr>
        <w:sectPr>
          <w:headerReference r:id="rId13" w:type="default"/>
          <w:footerReference r:id="rId14" w:type="default"/>
          <w:pgSz w:w="16838" w:h="11906" w:orient="landscape"/>
          <w:pgMar w:top="850" w:right="1134" w:bottom="567" w:left="1134" w:header="851" w:footer="992" w:gutter="0"/>
          <w:cols w:space="720" w:num="1"/>
          <w:docGrid w:linePitch="318" w:charSpace="0"/>
        </w:sectPr>
      </w:pPr>
    </w:p>
    <w:p>
      <w:pPr>
        <w:rPr>
          <w:rFonts w:hint="eastAsia" w:ascii="宋体" w:hAnsi="宋体" w:eastAsia="宋体" w:cs="宋体"/>
          <w:color w:val="auto"/>
          <w:highlight w:val="none"/>
          <w:shd w:val="clear" w:color="auto" w:fill="auto"/>
        </w:rPr>
      </w:pPr>
    </w:p>
    <w:p>
      <w:pPr>
        <w:spacing w:line="360" w:lineRule="auto"/>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附表6</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rPr>
        <w:t xml:space="preserve"> </w:t>
      </w:r>
    </w:p>
    <w:p>
      <w:pPr>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施工费（建安工程费）投标报价综合评分表</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项目名称：</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7"/>
        <w:gridCol w:w="1339"/>
        <w:gridCol w:w="1339"/>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640" w:type="pct"/>
            <w:vAlign w:val="center"/>
          </w:tcPr>
          <w:p>
            <w:pPr>
              <w:tabs>
                <w:tab w:val="left" w:pos="0"/>
              </w:tabs>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投标人名称</w:t>
            </w: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640" w:type="pct"/>
            <w:vAlign w:val="center"/>
          </w:tcPr>
          <w:p>
            <w:pPr>
              <w:tabs>
                <w:tab w:val="left" w:pos="0"/>
              </w:tabs>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施工部分投标报价PT（元）</w:t>
            </w: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40" w:type="pct"/>
            <w:vAlign w:val="center"/>
          </w:tcPr>
          <w:p>
            <w:pPr>
              <w:tabs>
                <w:tab w:val="left" w:pos="0"/>
              </w:tabs>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计算参考数据</w:t>
            </w:r>
          </w:p>
        </w:tc>
        <w:tc>
          <w:tcPr>
            <w:tcW w:w="3360" w:type="pct"/>
            <w:gridSpan w:val="5"/>
            <w:vAlign w:val="center"/>
          </w:tcPr>
          <w:p>
            <w:pPr>
              <w:tabs>
                <w:tab w:val="left" w:pos="0"/>
              </w:tabs>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评标参考价（PC）：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40" w:type="pct"/>
            <w:vAlign w:val="center"/>
          </w:tcPr>
          <w:p>
            <w:pPr>
              <w:tabs>
                <w:tab w:val="left" w:pos="0"/>
              </w:tabs>
              <w:spacing w:line="360" w:lineRule="auto"/>
              <w:rPr>
                <w:rFonts w:hint="eastAsia" w:ascii="宋体" w:hAnsi="宋体" w:eastAsia="宋体" w:cs="宋体"/>
                <w:color w:val="auto"/>
                <w:spacing w:val="-10"/>
                <w:sz w:val="21"/>
                <w:szCs w:val="21"/>
                <w:highlight w:val="none"/>
                <w:shd w:val="clear" w:color="auto" w:fill="auto"/>
              </w:rPr>
            </w:pPr>
            <w:r>
              <w:rPr>
                <w:rFonts w:hint="eastAsia" w:ascii="宋体" w:hAnsi="宋体" w:eastAsia="宋体" w:cs="宋体"/>
                <w:color w:val="auto"/>
                <w:spacing w:val="-10"/>
                <w:sz w:val="21"/>
                <w:szCs w:val="21"/>
                <w:highlight w:val="none"/>
                <w:shd w:val="clear" w:color="auto" w:fill="auto"/>
              </w:rPr>
              <w:t>偏差（（PT-PC）/PC）（%）</w:t>
            </w: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640" w:type="pct"/>
            <w:vAlign w:val="center"/>
          </w:tcPr>
          <w:p>
            <w:pPr>
              <w:tabs>
                <w:tab w:val="left" w:pos="0"/>
              </w:tabs>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减分（A）</w:t>
            </w: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40" w:type="pct"/>
            <w:vAlign w:val="center"/>
          </w:tcPr>
          <w:p>
            <w:pPr>
              <w:tabs>
                <w:tab w:val="left" w:pos="0"/>
              </w:tabs>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施工费（建安工程费）  投标报价得分(I=100-A)</w:t>
            </w: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c>
          <w:tcPr>
            <w:tcW w:w="672" w:type="pct"/>
            <w:vAlign w:val="center"/>
          </w:tcPr>
          <w:p>
            <w:pPr>
              <w:tabs>
                <w:tab w:val="left" w:pos="0"/>
              </w:tabs>
              <w:spacing w:line="360" w:lineRule="auto"/>
              <w:ind w:left="552" w:leftChars="228" w:hanging="73" w:hangingChars="35"/>
              <w:rPr>
                <w:rFonts w:hint="eastAsia" w:ascii="宋体" w:hAnsi="宋体" w:eastAsia="宋体" w:cs="宋体"/>
                <w:color w:val="auto"/>
                <w:sz w:val="21"/>
                <w:szCs w:val="21"/>
                <w:highlight w:val="none"/>
                <w:shd w:val="clear" w:color="auto" w:fill="auto"/>
              </w:rPr>
            </w:pPr>
          </w:p>
        </w:tc>
      </w:tr>
    </w:tbl>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评委签名：                  日期：</w:t>
      </w:r>
    </w:p>
    <w:p>
      <w:pPr>
        <w:pStyle w:val="368"/>
        <w:rPr>
          <w:rFonts w:hint="eastAsia" w:ascii="宋体" w:hAnsi="宋体" w:eastAsia="宋体" w:cs="宋体"/>
          <w:color w:val="auto"/>
          <w:highlight w:val="none"/>
          <w:shd w:val="clear" w:color="auto" w:fill="auto"/>
        </w:rPr>
      </w:pPr>
    </w:p>
    <w:p>
      <w:pPr>
        <w:spacing w:line="400" w:lineRule="exact"/>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highlight w:val="none"/>
          <w:shd w:val="clear" w:color="auto" w:fill="auto"/>
        </w:rPr>
        <w:br w:type="page"/>
      </w:r>
      <w:bookmarkStart w:id="257" w:name="_Hlk79483538"/>
      <w:r>
        <w:rPr>
          <w:rFonts w:hint="eastAsia" w:ascii="宋体" w:hAnsi="宋体" w:eastAsia="宋体" w:cs="宋体"/>
          <w:b/>
          <w:color w:val="auto"/>
          <w:sz w:val="32"/>
          <w:szCs w:val="32"/>
          <w:highlight w:val="none"/>
          <w:shd w:val="clear" w:color="auto" w:fill="auto"/>
        </w:rPr>
        <w:t>附表7</w:t>
      </w:r>
      <w:r>
        <w:rPr>
          <w:rFonts w:hint="eastAsia" w:ascii="宋体" w:hAnsi="宋体" w:eastAsia="宋体" w:cs="宋体"/>
          <w:b/>
          <w:color w:val="auto"/>
          <w:sz w:val="32"/>
          <w:szCs w:val="32"/>
          <w:highlight w:val="none"/>
          <w:shd w:val="clear" w:color="auto" w:fill="auto"/>
          <w:lang w:eastAsia="zh-CN"/>
        </w:rPr>
        <w:t>：</w:t>
      </w:r>
    </w:p>
    <w:p>
      <w:pP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投标报价算术复核表</w:t>
      </w:r>
    </w:p>
    <w:p>
      <w:pPr>
        <w:spacing w:line="360" w:lineRule="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工程名称：</w:t>
      </w:r>
    </w:p>
    <w:tbl>
      <w:tblPr>
        <w:tblStyle w:val="5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989"/>
        <w:gridCol w:w="1275"/>
        <w:gridCol w:w="1560"/>
        <w:gridCol w:w="1417"/>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2989" w:type="dxa"/>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投标单位</w:t>
            </w:r>
          </w:p>
        </w:tc>
        <w:tc>
          <w:tcPr>
            <w:tcW w:w="1275" w:type="dxa"/>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投标报价（元）</w:t>
            </w:r>
          </w:p>
        </w:tc>
        <w:tc>
          <w:tcPr>
            <w:tcW w:w="1560" w:type="dxa"/>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算术复核后报价（元）</w:t>
            </w:r>
          </w:p>
        </w:tc>
        <w:tc>
          <w:tcPr>
            <w:tcW w:w="1417" w:type="dxa"/>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经评审的最终投标报价（元）</w:t>
            </w:r>
          </w:p>
        </w:tc>
        <w:tc>
          <w:tcPr>
            <w:tcW w:w="1276" w:type="dxa"/>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偏差率</w:t>
            </w:r>
          </w:p>
        </w:tc>
        <w:tc>
          <w:tcPr>
            <w:tcW w:w="992" w:type="dxa"/>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2989"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275"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560"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417"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276"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992" w:type="dxa"/>
          </w:tcPr>
          <w:p>
            <w:pPr>
              <w:spacing w:line="360" w:lineRule="auto"/>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2989"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275"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560"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417"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276"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992" w:type="dxa"/>
          </w:tcPr>
          <w:p>
            <w:pPr>
              <w:spacing w:line="360" w:lineRule="auto"/>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2989"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275"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560"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417"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276"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992" w:type="dxa"/>
          </w:tcPr>
          <w:p>
            <w:pPr>
              <w:spacing w:line="360" w:lineRule="auto"/>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2989"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275"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560"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417"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276"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992" w:type="dxa"/>
          </w:tcPr>
          <w:p>
            <w:pPr>
              <w:spacing w:line="360" w:lineRule="auto"/>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2989"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275"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560"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417"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1276" w:type="dxa"/>
          </w:tcPr>
          <w:p>
            <w:pPr>
              <w:spacing w:line="360" w:lineRule="auto"/>
              <w:jc w:val="center"/>
              <w:rPr>
                <w:rFonts w:hint="eastAsia" w:ascii="宋体" w:hAnsi="宋体" w:eastAsia="宋体" w:cs="宋体"/>
                <w:color w:val="auto"/>
                <w:sz w:val="21"/>
                <w:szCs w:val="21"/>
                <w:highlight w:val="none"/>
                <w:shd w:val="clear" w:color="auto" w:fill="auto"/>
              </w:rPr>
            </w:pPr>
          </w:p>
        </w:tc>
        <w:tc>
          <w:tcPr>
            <w:tcW w:w="992" w:type="dxa"/>
          </w:tcPr>
          <w:p>
            <w:pPr>
              <w:spacing w:line="360" w:lineRule="auto"/>
              <w:jc w:val="center"/>
              <w:rPr>
                <w:rFonts w:hint="eastAsia" w:ascii="宋体" w:hAnsi="宋体" w:eastAsia="宋体" w:cs="宋体"/>
                <w:color w:val="auto"/>
                <w:sz w:val="21"/>
                <w:szCs w:val="21"/>
                <w:highlight w:val="none"/>
                <w:shd w:val="clear" w:color="auto" w:fill="auto"/>
              </w:rPr>
            </w:pPr>
          </w:p>
        </w:tc>
      </w:tr>
    </w:tbl>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sectPr>
          <w:pgSz w:w="11906" w:h="16838"/>
          <w:pgMar w:top="1440" w:right="1080" w:bottom="1440" w:left="1080" w:header="851" w:footer="992" w:gutter="0"/>
          <w:cols w:space="720" w:num="1"/>
          <w:docGrid w:linePitch="318" w:charSpace="0"/>
        </w:sectPr>
      </w:pPr>
      <w:r>
        <w:rPr>
          <w:rFonts w:hint="eastAsia" w:ascii="宋体" w:hAnsi="宋体" w:eastAsia="宋体" w:cs="宋体"/>
          <w:color w:val="auto"/>
          <w:sz w:val="21"/>
          <w:szCs w:val="21"/>
          <w:highlight w:val="none"/>
          <w:shd w:val="clear" w:color="auto" w:fill="auto"/>
        </w:rPr>
        <w:t>评委签名：                     日期：</w:t>
      </w:r>
    </w:p>
    <w:bookmarkEnd w:id="257"/>
    <w:p>
      <w:pPr>
        <w:pStyle w:val="4"/>
        <w:numPr>
          <w:ilvl w:val="0"/>
          <w:numId w:val="4"/>
        </w:numPr>
        <w:spacing w:line="240" w:lineRule="auto"/>
        <w:jc w:val="center"/>
        <w:rPr>
          <w:rFonts w:hint="eastAsia" w:ascii="宋体" w:hAnsi="宋体" w:eastAsia="宋体" w:cs="宋体"/>
          <w:color w:val="auto"/>
          <w:highlight w:val="none"/>
          <w:shd w:val="clear" w:color="auto" w:fill="auto"/>
        </w:rPr>
      </w:pPr>
      <w:bookmarkStart w:id="258" w:name="_Toc9605"/>
      <w:bookmarkStart w:id="259" w:name="_Toc505152705"/>
      <w:bookmarkStart w:id="260" w:name="_Toc22499"/>
      <w:r>
        <w:rPr>
          <w:rFonts w:hint="eastAsia" w:ascii="宋体" w:hAnsi="宋体" w:eastAsia="宋体" w:cs="宋体"/>
          <w:color w:val="auto"/>
          <w:highlight w:val="none"/>
          <w:shd w:val="clear" w:color="auto" w:fill="auto"/>
        </w:rPr>
        <w:t>合同条款及格式</w:t>
      </w:r>
      <w:bookmarkEnd w:id="258"/>
      <w:bookmarkEnd w:id="259"/>
      <w:bookmarkEnd w:id="260"/>
    </w:p>
    <w:p>
      <w:pPr>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（另册）</w:t>
      </w:r>
    </w:p>
    <w:p>
      <w:pPr>
        <w:snapToGrid w:val="0"/>
        <w:spacing w:line="44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pPr>
        <w:pStyle w:val="4"/>
        <w:numPr>
          <w:ilvl w:val="0"/>
          <w:numId w:val="5"/>
        </w:numPr>
        <w:jc w:val="center"/>
        <w:rPr>
          <w:rFonts w:hint="eastAsia" w:ascii="宋体" w:hAnsi="宋体" w:eastAsia="宋体" w:cs="宋体"/>
          <w:color w:val="auto"/>
          <w:highlight w:val="none"/>
          <w:shd w:val="clear" w:color="auto" w:fill="auto"/>
        </w:rPr>
      </w:pPr>
      <w:bookmarkStart w:id="261" w:name="_Toc505152707"/>
      <w:bookmarkStart w:id="262" w:name="_Toc15197"/>
      <w:bookmarkStart w:id="263" w:name="_Toc23631"/>
      <w:r>
        <w:rPr>
          <w:rFonts w:hint="eastAsia" w:ascii="宋体" w:hAnsi="宋体" w:eastAsia="宋体" w:cs="宋体"/>
          <w:color w:val="auto"/>
          <w:highlight w:val="none"/>
          <w:shd w:val="clear" w:color="auto" w:fill="auto"/>
        </w:rPr>
        <w:t>发包人要求</w:t>
      </w:r>
      <w:bookmarkEnd w:id="261"/>
      <w:bookmarkEnd w:id="262"/>
      <w:bookmarkEnd w:id="263"/>
    </w:p>
    <w:p>
      <w:pPr>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设计任务书(另册)</w:t>
      </w:r>
    </w:p>
    <w:p>
      <w:pPr>
        <w:spacing w:line="276" w:lineRule="auto"/>
        <w:jc w:val="center"/>
        <w:rPr>
          <w:rFonts w:hint="eastAsia" w:ascii="宋体" w:hAnsi="宋体" w:eastAsia="宋体" w:cs="宋体"/>
          <w:color w:val="auto"/>
          <w:sz w:val="32"/>
          <w:highlight w:val="none"/>
          <w:shd w:val="clear" w:color="auto" w:fill="auto"/>
        </w:rPr>
      </w:pPr>
    </w:p>
    <w:p>
      <w:pPr>
        <w:spacing w:line="276" w:lineRule="auto"/>
        <w:jc w:val="center"/>
        <w:rPr>
          <w:rFonts w:hint="eastAsia" w:ascii="宋体" w:hAnsi="宋体" w:eastAsia="宋体" w:cs="宋体"/>
          <w:color w:val="auto"/>
          <w:sz w:val="32"/>
          <w:highlight w:val="none"/>
          <w:shd w:val="clear" w:color="auto" w:fill="auto"/>
        </w:rPr>
      </w:pPr>
    </w:p>
    <w:p>
      <w:pPr>
        <w:spacing w:line="276" w:lineRule="auto"/>
        <w:jc w:val="center"/>
        <w:rPr>
          <w:rFonts w:hint="eastAsia" w:ascii="宋体" w:hAnsi="宋体" w:eastAsia="宋体" w:cs="宋体"/>
          <w:color w:val="auto"/>
          <w:sz w:val="32"/>
          <w:highlight w:val="none"/>
          <w:shd w:val="clear" w:color="auto" w:fill="auto"/>
        </w:rPr>
      </w:pPr>
    </w:p>
    <w:p>
      <w:pPr>
        <w:spacing w:line="276" w:lineRule="auto"/>
        <w:jc w:val="center"/>
        <w:rPr>
          <w:rFonts w:hint="eastAsia" w:ascii="宋体" w:hAnsi="宋体" w:eastAsia="宋体" w:cs="宋体"/>
          <w:color w:val="auto"/>
          <w:sz w:val="32"/>
          <w:highlight w:val="none"/>
          <w:shd w:val="clear" w:color="auto" w:fill="auto"/>
        </w:rPr>
      </w:pPr>
    </w:p>
    <w:p>
      <w:pPr>
        <w:spacing w:line="276" w:lineRule="auto"/>
        <w:jc w:val="center"/>
        <w:rPr>
          <w:rFonts w:hint="eastAsia" w:ascii="宋体" w:hAnsi="宋体" w:eastAsia="宋体" w:cs="宋体"/>
          <w:color w:val="auto"/>
          <w:sz w:val="32"/>
          <w:highlight w:val="none"/>
          <w:shd w:val="clear" w:color="auto" w:fill="auto"/>
        </w:rPr>
      </w:pPr>
    </w:p>
    <w:p>
      <w:pPr>
        <w:pStyle w:val="373"/>
        <w:pageBreakBefore/>
        <w:framePr w:w="12701" w:wrap="around" w:vAnchor="page" w:hAnchor="page" w:y="754"/>
        <w:rPr>
          <w:rFonts w:hint="eastAsia" w:ascii="宋体" w:hAnsi="宋体" w:eastAsia="宋体" w:cs="宋体"/>
          <w:color w:val="auto"/>
          <w:highlight w:val="none"/>
          <w:shd w:val="clear" w:color="auto" w:fill="auto"/>
        </w:rPr>
      </w:pPr>
    </w:p>
    <w:p>
      <w:pPr>
        <w:rPr>
          <w:rFonts w:hint="eastAsia" w:ascii="宋体" w:hAnsi="宋体" w:eastAsia="宋体" w:cs="宋体"/>
          <w:color w:val="auto"/>
          <w:highlight w:val="none"/>
          <w:shd w:val="clear" w:color="auto" w:fill="auto"/>
        </w:rPr>
      </w:pPr>
    </w:p>
    <w:p>
      <w:pPr>
        <w:pStyle w:val="4"/>
        <w:jc w:val="center"/>
        <w:rPr>
          <w:rFonts w:hint="eastAsia" w:ascii="宋体" w:hAnsi="宋体" w:eastAsia="宋体" w:cs="宋体"/>
          <w:color w:val="auto"/>
          <w:highlight w:val="none"/>
          <w:shd w:val="clear" w:color="auto" w:fill="auto"/>
        </w:rPr>
      </w:pPr>
      <w:bookmarkStart w:id="264" w:name="_Toc20561"/>
      <w:bookmarkStart w:id="265" w:name="_Toc505152708"/>
      <w:bookmarkStart w:id="266" w:name="_Toc22706"/>
      <w:r>
        <w:rPr>
          <w:rFonts w:hint="eastAsia" w:ascii="宋体" w:hAnsi="宋体" w:eastAsia="宋体" w:cs="宋体"/>
          <w:color w:val="auto"/>
          <w:highlight w:val="none"/>
          <w:shd w:val="clear" w:color="auto" w:fill="auto"/>
        </w:rPr>
        <w:t>第五章  投标文件格式</w:t>
      </w:r>
      <w:bookmarkEnd w:id="264"/>
      <w:bookmarkEnd w:id="265"/>
      <w:bookmarkEnd w:id="266"/>
    </w:p>
    <w:p>
      <w:pPr>
        <w:spacing w:line="400" w:lineRule="exact"/>
        <w:rPr>
          <w:rFonts w:hint="eastAsia" w:ascii="宋体" w:hAnsi="宋体" w:eastAsia="宋体" w:cs="宋体"/>
          <w:color w:val="auto"/>
          <w:highlight w:val="none"/>
          <w:shd w:val="clear" w:color="auto" w:fill="auto"/>
        </w:rPr>
      </w:pPr>
    </w:p>
    <w:p>
      <w:pPr>
        <w:spacing w:line="400" w:lineRule="exact"/>
        <w:rPr>
          <w:rFonts w:hint="eastAsia" w:ascii="宋体" w:hAnsi="宋体" w:eastAsia="宋体" w:cs="宋体"/>
          <w:color w:val="auto"/>
          <w:highlight w:val="none"/>
          <w:shd w:val="clear" w:color="auto" w:fill="auto"/>
        </w:rPr>
      </w:pPr>
    </w:p>
    <w:p>
      <w:pPr>
        <w:spacing w:line="400" w:lineRule="exact"/>
        <w:rPr>
          <w:rFonts w:hint="eastAsia" w:ascii="宋体" w:hAnsi="宋体" w:eastAsia="宋体" w:cs="宋体"/>
          <w:color w:val="auto"/>
          <w:highlight w:val="none"/>
          <w:shd w:val="clear" w:color="auto" w:fill="auto"/>
        </w:rPr>
        <w:sectPr>
          <w:pgSz w:w="11907" w:h="16840"/>
          <w:pgMar w:top="1440" w:right="1080" w:bottom="1440" w:left="1080" w:header="851" w:footer="992" w:gutter="0"/>
          <w:cols w:space="720" w:num="1"/>
          <w:docGrid w:linePitch="312" w:charSpace="0"/>
        </w:sectPr>
      </w:pPr>
    </w:p>
    <w:p>
      <w:pPr>
        <w:spacing w:line="360" w:lineRule="auto"/>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格式1：</w:t>
      </w:r>
    </w:p>
    <w:p>
      <w:pPr>
        <w:autoSpaceDE w:val="0"/>
        <w:autoSpaceDN w:val="0"/>
        <w:adjustRightInd w:val="0"/>
        <w:spacing w:line="360" w:lineRule="auto"/>
        <w:jc w:val="center"/>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b/>
          <w:bCs/>
          <w:color w:val="auto"/>
          <w:sz w:val="32"/>
          <w:szCs w:val="32"/>
          <w:highlight w:val="none"/>
          <w:shd w:val="clear" w:color="auto" w:fill="auto"/>
          <w:lang w:val="zh-CN"/>
        </w:rPr>
        <w:t>投标书</w:t>
      </w:r>
    </w:p>
    <w:tbl>
      <w:tblPr>
        <w:tblStyle w:val="5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843"/>
        <w:gridCol w:w="2409"/>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84" w:type="dxa"/>
            <w:gridSpan w:val="2"/>
            <w:vAlign w:val="center"/>
          </w:tcPr>
          <w:p>
            <w:pPr>
              <w:spacing w:line="300" w:lineRule="exact"/>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lang w:val="zh-CN"/>
              </w:rPr>
              <w:t>项目名称</w:t>
            </w:r>
          </w:p>
        </w:tc>
        <w:tc>
          <w:tcPr>
            <w:tcW w:w="7156" w:type="dxa"/>
            <w:gridSpan w:val="2"/>
            <w:vAlign w:val="center"/>
          </w:tcPr>
          <w:p>
            <w:pPr>
              <w:spacing w:line="300" w:lineRule="exact"/>
              <w:jc w:val="center"/>
              <w:rPr>
                <w:rFonts w:hint="eastAsia" w:ascii="宋体" w:hAnsi="宋体" w:eastAsia="宋体" w:cs="宋体"/>
                <w:b/>
                <w:color w:val="auto"/>
                <w:sz w:val="21"/>
                <w:szCs w:val="21"/>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384" w:type="dxa"/>
            <w:gridSpan w:val="2"/>
            <w:vAlign w:val="center"/>
          </w:tcPr>
          <w:p>
            <w:pPr>
              <w:spacing w:line="300" w:lineRule="exact"/>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lang w:val="zh-CN"/>
              </w:rPr>
              <w:t>投标</w:t>
            </w:r>
            <w:r>
              <w:rPr>
                <w:rFonts w:hint="eastAsia" w:ascii="宋体" w:hAnsi="宋体" w:eastAsia="宋体" w:cs="宋体"/>
                <w:b/>
                <w:color w:val="auto"/>
                <w:szCs w:val="21"/>
                <w:highlight w:val="none"/>
                <w:shd w:val="clear" w:color="auto" w:fill="auto"/>
                <w:lang w:val="en-US" w:eastAsia="zh-CN"/>
              </w:rPr>
              <w:t>总</w:t>
            </w:r>
            <w:r>
              <w:rPr>
                <w:rFonts w:hint="eastAsia" w:ascii="宋体" w:hAnsi="宋体" w:eastAsia="宋体" w:cs="宋体"/>
                <w:b/>
                <w:color w:val="auto"/>
                <w:szCs w:val="21"/>
                <w:highlight w:val="none"/>
                <w:shd w:val="clear" w:color="auto" w:fill="auto"/>
                <w:lang w:val="zh-CN"/>
              </w:rPr>
              <w:t>报价（元）</w:t>
            </w:r>
          </w:p>
        </w:tc>
        <w:tc>
          <w:tcPr>
            <w:tcW w:w="7156" w:type="dxa"/>
            <w:gridSpan w:val="2"/>
            <w:vAlign w:val="center"/>
          </w:tcPr>
          <w:p>
            <w:pPr>
              <w:snapToGrid w:val="0"/>
              <w:spacing w:line="360" w:lineRule="auto"/>
              <w:jc w:val="lef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大写：</w:t>
            </w:r>
          </w:p>
          <w:p>
            <w:pPr>
              <w:spacing w:line="300" w:lineRule="exact"/>
              <w:jc w:val="lef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41" w:type="dxa"/>
            <w:vMerge w:val="restart"/>
            <w:tcBorders>
              <w:right w:val="single" w:color="000000" w:sz="4" w:space="0"/>
            </w:tcBorders>
            <w:vAlign w:val="center"/>
          </w:tcPr>
          <w:p>
            <w:pPr>
              <w:spacing w:line="300" w:lineRule="exact"/>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rPr>
              <w:t>其中：</w:t>
            </w:r>
          </w:p>
        </w:tc>
        <w:tc>
          <w:tcPr>
            <w:tcW w:w="1843" w:type="dxa"/>
            <w:tcBorders>
              <w:left w:val="single" w:color="000000" w:sz="4" w:space="0"/>
            </w:tcBorders>
            <w:vAlign w:val="center"/>
          </w:tcPr>
          <w:p>
            <w:pPr>
              <w:numPr>
                <w:ilvl w:val="0"/>
                <w:numId w:val="6"/>
              </w:numPr>
              <w:spacing w:line="300" w:lineRule="exact"/>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施工费</w:t>
            </w:r>
          </w:p>
          <w:p>
            <w:pPr>
              <w:numPr>
                <w:ilvl w:val="0"/>
                <w:numId w:val="0"/>
              </w:numPr>
              <w:spacing w:line="300" w:lineRule="exact"/>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w:t>
            </w:r>
            <w:r>
              <w:rPr>
                <w:rFonts w:hint="eastAsia" w:ascii="宋体" w:hAnsi="宋体" w:eastAsia="宋体" w:cs="宋体"/>
                <w:b/>
                <w:color w:val="auto"/>
                <w:szCs w:val="21"/>
                <w:highlight w:val="none"/>
                <w:shd w:val="clear" w:color="auto" w:fill="auto"/>
                <w:lang w:val="en-US" w:eastAsia="zh-CN"/>
              </w:rPr>
              <w:t>建安</w:t>
            </w:r>
            <w:r>
              <w:rPr>
                <w:rFonts w:hint="eastAsia" w:ascii="宋体" w:hAnsi="宋体" w:eastAsia="宋体" w:cs="宋体"/>
                <w:b/>
                <w:color w:val="auto"/>
                <w:szCs w:val="21"/>
                <w:highlight w:val="none"/>
                <w:shd w:val="clear" w:color="auto" w:fill="auto"/>
                <w:lang w:val="zh-CN"/>
              </w:rPr>
              <w:t>工程费）</w:t>
            </w:r>
          </w:p>
        </w:tc>
        <w:tc>
          <w:tcPr>
            <w:tcW w:w="7156" w:type="dxa"/>
            <w:gridSpan w:val="2"/>
            <w:vAlign w:val="center"/>
          </w:tcPr>
          <w:p>
            <w:pPr>
              <w:spacing w:line="300" w:lineRule="exact"/>
              <w:jc w:val="lef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dxa"/>
            <w:vMerge w:val="continue"/>
            <w:tcBorders>
              <w:right w:val="single" w:color="000000" w:sz="4" w:space="0"/>
            </w:tcBorders>
            <w:vAlign w:val="center"/>
          </w:tcPr>
          <w:p>
            <w:pPr>
              <w:spacing w:line="300" w:lineRule="exact"/>
              <w:ind w:firstLine="422" w:firstLineChars="200"/>
              <w:rPr>
                <w:rFonts w:hint="eastAsia" w:ascii="宋体" w:hAnsi="宋体" w:eastAsia="宋体" w:cs="宋体"/>
                <w:b/>
                <w:color w:val="auto"/>
                <w:szCs w:val="21"/>
                <w:highlight w:val="none"/>
                <w:shd w:val="clear" w:color="auto" w:fill="auto"/>
                <w:lang w:val="zh-CN"/>
              </w:rPr>
            </w:pPr>
          </w:p>
        </w:tc>
        <w:tc>
          <w:tcPr>
            <w:tcW w:w="1843" w:type="dxa"/>
            <w:tcBorders>
              <w:left w:val="single" w:color="000000" w:sz="4" w:space="0"/>
            </w:tcBorders>
            <w:vAlign w:val="center"/>
          </w:tcPr>
          <w:p>
            <w:pPr>
              <w:spacing w:line="300" w:lineRule="exact"/>
              <w:rPr>
                <w:rFonts w:hint="eastAsia" w:ascii="宋体" w:hAnsi="宋体" w:eastAsia="宋体" w:cs="宋体"/>
                <w:b/>
                <w:color w:val="auto"/>
                <w:szCs w:val="21"/>
                <w:highlight w:val="none"/>
                <w:u w:val="none"/>
                <w:shd w:val="clear" w:color="auto" w:fill="auto"/>
                <w:lang w:val="zh-CN"/>
              </w:rPr>
            </w:pPr>
            <w:r>
              <w:rPr>
                <w:rFonts w:hint="eastAsia" w:ascii="宋体" w:hAnsi="宋体" w:eastAsia="宋体" w:cs="宋体"/>
                <w:b/>
                <w:color w:val="auto"/>
                <w:szCs w:val="21"/>
                <w:highlight w:val="none"/>
                <w:u w:val="none"/>
                <w:shd w:val="clear" w:color="auto" w:fill="auto"/>
              </w:rPr>
              <w:t>二、工程</w:t>
            </w:r>
            <w:r>
              <w:rPr>
                <w:rFonts w:hint="eastAsia" w:ascii="宋体" w:hAnsi="宋体" w:eastAsia="宋体" w:cs="宋体"/>
                <w:b/>
                <w:color w:val="auto"/>
                <w:szCs w:val="21"/>
                <w:highlight w:val="none"/>
                <w:u w:val="none"/>
                <w:shd w:val="clear" w:color="auto" w:fill="auto"/>
                <w:lang w:val="zh-CN"/>
              </w:rPr>
              <w:t>勘察费</w:t>
            </w:r>
          </w:p>
        </w:tc>
        <w:tc>
          <w:tcPr>
            <w:tcW w:w="7156" w:type="dxa"/>
            <w:gridSpan w:val="2"/>
            <w:vAlign w:val="center"/>
          </w:tcPr>
          <w:p>
            <w:pPr>
              <w:spacing w:line="300" w:lineRule="exact"/>
              <w:jc w:val="left"/>
              <w:rPr>
                <w:rFonts w:hint="eastAsia" w:ascii="宋体" w:hAnsi="宋体" w:eastAsia="宋体" w:cs="宋体"/>
                <w:b/>
                <w:bCs/>
                <w:color w:val="auto"/>
                <w:szCs w:val="21"/>
                <w:highlight w:val="none"/>
                <w:u w:val="none"/>
                <w:shd w:val="clear" w:color="auto" w:fill="auto"/>
              </w:rPr>
            </w:pPr>
            <w:r>
              <w:rPr>
                <w:rFonts w:hint="eastAsia" w:ascii="宋体" w:hAnsi="宋体" w:eastAsia="宋体" w:cs="宋体"/>
                <w:b/>
                <w:bCs/>
                <w:color w:val="auto"/>
                <w:szCs w:val="21"/>
                <w:highlight w:val="none"/>
                <w:u w:val="none"/>
                <w:shd w:val="clear" w:color="auto" w:fil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dxa"/>
            <w:vMerge w:val="continue"/>
            <w:tcBorders>
              <w:right w:val="single" w:color="000000" w:sz="4" w:space="0"/>
            </w:tcBorders>
            <w:vAlign w:val="center"/>
          </w:tcPr>
          <w:p>
            <w:pPr>
              <w:spacing w:line="300" w:lineRule="exact"/>
              <w:ind w:firstLine="422" w:firstLineChars="200"/>
              <w:rPr>
                <w:rFonts w:hint="eastAsia" w:ascii="宋体" w:hAnsi="宋体" w:eastAsia="宋体" w:cs="宋体"/>
                <w:b/>
                <w:color w:val="auto"/>
                <w:szCs w:val="21"/>
                <w:highlight w:val="none"/>
                <w:shd w:val="clear" w:color="auto" w:fill="auto"/>
              </w:rPr>
            </w:pPr>
          </w:p>
        </w:tc>
        <w:tc>
          <w:tcPr>
            <w:tcW w:w="1843" w:type="dxa"/>
            <w:tcBorders>
              <w:left w:val="single" w:color="000000" w:sz="4" w:space="0"/>
            </w:tcBorders>
            <w:vAlign w:val="center"/>
          </w:tcPr>
          <w:p>
            <w:pPr>
              <w:spacing w:line="300" w:lineRule="exact"/>
              <w:rPr>
                <w:rFonts w:hint="eastAsia" w:ascii="宋体" w:hAnsi="宋体" w:eastAsia="宋体" w:cs="宋体"/>
                <w:b/>
                <w:color w:val="auto"/>
                <w:szCs w:val="21"/>
                <w:highlight w:val="none"/>
                <w:u w:val="none"/>
                <w:shd w:val="clear" w:color="auto" w:fill="auto"/>
                <w:lang w:val="zh-CN"/>
              </w:rPr>
            </w:pPr>
            <w:r>
              <w:rPr>
                <w:rFonts w:hint="eastAsia" w:ascii="宋体" w:hAnsi="宋体" w:eastAsia="宋体" w:cs="宋体"/>
                <w:b/>
                <w:color w:val="auto"/>
                <w:szCs w:val="21"/>
                <w:highlight w:val="none"/>
                <w:u w:val="none"/>
                <w:shd w:val="clear" w:color="auto" w:fill="auto"/>
                <w:lang w:val="zh-CN"/>
              </w:rPr>
              <w:t>三、工程设计费</w:t>
            </w:r>
          </w:p>
        </w:tc>
        <w:tc>
          <w:tcPr>
            <w:tcW w:w="7156" w:type="dxa"/>
            <w:gridSpan w:val="2"/>
            <w:vAlign w:val="center"/>
          </w:tcPr>
          <w:p>
            <w:pPr>
              <w:spacing w:line="300" w:lineRule="exact"/>
              <w:jc w:val="left"/>
              <w:rPr>
                <w:rFonts w:hint="eastAsia" w:ascii="宋体" w:hAnsi="宋体" w:eastAsia="宋体" w:cs="宋体"/>
                <w:b/>
                <w:color w:val="auto"/>
                <w:szCs w:val="21"/>
                <w:highlight w:val="none"/>
                <w:u w:val="none"/>
                <w:shd w:val="clear" w:color="auto" w:fill="auto"/>
              </w:rPr>
            </w:pPr>
            <w:r>
              <w:rPr>
                <w:rFonts w:hint="eastAsia" w:ascii="宋体" w:hAnsi="宋体" w:eastAsia="宋体" w:cs="宋体"/>
                <w:b/>
                <w:bCs/>
                <w:color w:val="auto"/>
                <w:szCs w:val="21"/>
                <w:highlight w:val="none"/>
                <w:u w:val="none"/>
                <w:shd w:val="clear" w:color="auto" w:fil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84" w:type="dxa"/>
            <w:gridSpan w:val="2"/>
            <w:vAlign w:val="center"/>
          </w:tcPr>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投标工期</w:t>
            </w:r>
          </w:p>
        </w:tc>
        <w:tc>
          <w:tcPr>
            <w:tcW w:w="7156" w:type="dxa"/>
            <w:gridSpan w:val="2"/>
            <w:vAlign w:val="center"/>
          </w:tcPr>
          <w:p>
            <w:pPr>
              <w:spacing w:line="300" w:lineRule="exact"/>
              <w:jc w:val="both"/>
              <w:rPr>
                <w:rFonts w:hint="eastAsia" w:ascii="宋体" w:hAnsi="宋体" w:eastAsia="宋体" w:cs="宋体"/>
                <w:b/>
                <w:color w:val="auto"/>
                <w:szCs w:val="21"/>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384" w:type="dxa"/>
            <w:gridSpan w:val="2"/>
            <w:vAlign w:val="center"/>
          </w:tcPr>
          <w:p>
            <w:pPr>
              <w:spacing w:line="300" w:lineRule="exact"/>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lang w:val="zh-CN"/>
              </w:rPr>
              <w:t>工程质量标准</w:t>
            </w:r>
          </w:p>
        </w:tc>
        <w:tc>
          <w:tcPr>
            <w:tcW w:w="7156" w:type="dxa"/>
            <w:gridSpan w:val="2"/>
            <w:vAlign w:val="center"/>
          </w:tcPr>
          <w:p>
            <w:pPr>
              <w:spacing w:line="300" w:lineRule="exac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按招标文件</w:t>
            </w:r>
            <w:r>
              <w:rPr>
                <w:rFonts w:hint="eastAsia" w:ascii="宋体" w:hAnsi="宋体" w:eastAsia="宋体" w:cs="宋体"/>
                <w:b/>
                <w:color w:val="auto"/>
                <w:szCs w:val="21"/>
                <w:highlight w:val="none"/>
                <w:shd w:val="clear" w:color="auto" w:fill="auto"/>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384" w:type="dxa"/>
            <w:gridSpan w:val="2"/>
            <w:vAlign w:val="center"/>
          </w:tcPr>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保修期限</w:t>
            </w:r>
          </w:p>
        </w:tc>
        <w:tc>
          <w:tcPr>
            <w:tcW w:w="7156" w:type="dxa"/>
            <w:gridSpan w:val="2"/>
            <w:vAlign w:val="center"/>
          </w:tcPr>
          <w:p>
            <w:pPr>
              <w:spacing w:line="300" w:lineRule="exac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按招标文件</w:t>
            </w:r>
            <w:r>
              <w:rPr>
                <w:rFonts w:hint="eastAsia" w:ascii="宋体" w:hAnsi="宋体" w:eastAsia="宋体" w:cs="宋体"/>
                <w:b/>
                <w:color w:val="auto"/>
                <w:szCs w:val="21"/>
                <w:highlight w:val="none"/>
                <w:shd w:val="clear" w:color="auto" w:fill="auto"/>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84" w:type="dxa"/>
            <w:gridSpan w:val="2"/>
            <w:vAlign w:val="center"/>
          </w:tcPr>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委派的项目负责人</w:t>
            </w:r>
          </w:p>
          <w:p>
            <w:pPr>
              <w:spacing w:line="300" w:lineRule="exact"/>
              <w:jc w:val="center"/>
              <w:rPr>
                <w:rFonts w:hint="eastAsia" w:ascii="宋体" w:hAnsi="宋体" w:eastAsia="宋体" w:cs="宋体"/>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（兼施工负责人）</w:t>
            </w:r>
          </w:p>
        </w:tc>
        <w:tc>
          <w:tcPr>
            <w:tcW w:w="2409" w:type="dxa"/>
            <w:vAlign w:val="center"/>
          </w:tcPr>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姓    名</w:t>
            </w:r>
          </w:p>
        </w:tc>
        <w:tc>
          <w:tcPr>
            <w:tcW w:w="4747" w:type="dxa"/>
            <w:vAlign w:val="center"/>
          </w:tcPr>
          <w:p>
            <w:pPr>
              <w:spacing w:line="300" w:lineRule="exact"/>
              <w:rPr>
                <w:rFonts w:hint="eastAsia" w:ascii="宋体" w:hAnsi="宋体" w:eastAsia="宋体" w:cs="宋体"/>
                <w:b/>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84" w:type="dxa"/>
            <w:gridSpan w:val="2"/>
            <w:vAlign w:val="center"/>
          </w:tcPr>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委派的安全员</w:t>
            </w:r>
          </w:p>
        </w:tc>
        <w:tc>
          <w:tcPr>
            <w:tcW w:w="2409" w:type="dxa"/>
            <w:vAlign w:val="center"/>
          </w:tcPr>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姓    名</w:t>
            </w:r>
          </w:p>
        </w:tc>
        <w:tc>
          <w:tcPr>
            <w:tcW w:w="4747" w:type="dxa"/>
            <w:vAlign w:val="center"/>
          </w:tcPr>
          <w:p>
            <w:pPr>
              <w:spacing w:line="300" w:lineRule="exact"/>
              <w:rPr>
                <w:rFonts w:hint="eastAsia" w:ascii="宋体" w:hAnsi="宋体" w:eastAsia="宋体" w:cs="宋体"/>
                <w:b/>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84" w:type="dxa"/>
            <w:gridSpan w:val="2"/>
            <w:vAlign w:val="center"/>
          </w:tcPr>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委派的设计负责人</w:t>
            </w:r>
          </w:p>
        </w:tc>
        <w:tc>
          <w:tcPr>
            <w:tcW w:w="2409" w:type="dxa"/>
            <w:vAlign w:val="center"/>
          </w:tcPr>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姓    名</w:t>
            </w:r>
          </w:p>
        </w:tc>
        <w:tc>
          <w:tcPr>
            <w:tcW w:w="4747" w:type="dxa"/>
            <w:vAlign w:val="center"/>
          </w:tcPr>
          <w:p>
            <w:pPr>
              <w:spacing w:line="300" w:lineRule="exact"/>
              <w:rPr>
                <w:rFonts w:hint="eastAsia" w:ascii="宋体" w:hAnsi="宋体" w:eastAsia="宋体" w:cs="宋体"/>
                <w:b/>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4" w:type="dxa"/>
            <w:gridSpan w:val="2"/>
            <w:vAlign w:val="center"/>
          </w:tcPr>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投标有效期</w:t>
            </w:r>
          </w:p>
        </w:tc>
        <w:tc>
          <w:tcPr>
            <w:tcW w:w="7156" w:type="dxa"/>
            <w:gridSpan w:val="2"/>
            <w:vAlign w:val="center"/>
          </w:tcPr>
          <w:p>
            <w:pPr>
              <w:spacing w:line="300" w:lineRule="exac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84" w:type="dxa"/>
            <w:gridSpan w:val="2"/>
            <w:vAlign w:val="center"/>
          </w:tcPr>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法 定 代 表 人</w:t>
            </w:r>
          </w:p>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（签名或盖章）</w:t>
            </w:r>
          </w:p>
        </w:tc>
        <w:tc>
          <w:tcPr>
            <w:tcW w:w="7156" w:type="dxa"/>
            <w:gridSpan w:val="2"/>
            <w:vAlign w:val="center"/>
          </w:tcPr>
          <w:p>
            <w:pPr>
              <w:spacing w:line="300" w:lineRule="exact"/>
              <w:rPr>
                <w:rFonts w:hint="eastAsia" w:ascii="宋体" w:hAnsi="宋体" w:eastAsia="宋体" w:cs="宋体"/>
                <w:b/>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384" w:type="dxa"/>
            <w:gridSpan w:val="2"/>
            <w:vAlign w:val="center"/>
          </w:tcPr>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授 权 委 托 人</w:t>
            </w:r>
          </w:p>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（签名或盖章）</w:t>
            </w:r>
          </w:p>
        </w:tc>
        <w:tc>
          <w:tcPr>
            <w:tcW w:w="7156" w:type="dxa"/>
            <w:gridSpan w:val="2"/>
            <w:vAlign w:val="center"/>
          </w:tcPr>
          <w:p>
            <w:pPr>
              <w:spacing w:line="300" w:lineRule="exact"/>
              <w:rPr>
                <w:rFonts w:hint="eastAsia" w:ascii="宋体" w:hAnsi="宋体" w:eastAsia="宋体" w:cs="宋体"/>
                <w:b/>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384" w:type="dxa"/>
            <w:gridSpan w:val="2"/>
            <w:vAlign w:val="center"/>
          </w:tcPr>
          <w:p>
            <w:pPr>
              <w:spacing w:line="300" w:lineRule="exact"/>
              <w:jc w:val="center"/>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投标单位（盖章）</w:t>
            </w:r>
          </w:p>
        </w:tc>
        <w:tc>
          <w:tcPr>
            <w:tcW w:w="7156" w:type="dxa"/>
            <w:gridSpan w:val="2"/>
            <w:vAlign w:val="center"/>
          </w:tcPr>
          <w:p>
            <w:pPr>
              <w:spacing w:line="300" w:lineRule="exact"/>
              <w:rPr>
                <w:rFonts w:hint="eastAsia" w:ascii="宋体" w:hAnsi="宋体" w:eastAsia="宋体" w:cs="宋体"/>
                <w:b/>
                <w:color w:val="auto"/>
                <w:szCs w:val="21"/>
                <w:highlight w:val="none"/>
                <w:shd w:val="clear" w:color="auto" w:fill="auto"/>
              </w:rPr>
            </w:pPr>
          </w:p>
        </w:tc>
      </w:tr>
    </w:tbl>
    <w:p>
      <w:pPr>
        <w:snapToGrid w:val="0"/>
        <w:spacing w:line="288" w:lineRule="auto"/>
        <w:ind w:firstLine="422" w:firstLineChars="200"/>
        <w:jc w:val="lef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注：1、联合体投标的，“投标单位”一栏需书写所有联合体成员的单位全称，并由联合体主办方按要求签字或盖章，联合体其他成员可不签字或盖章。</w:t>
      </w:r>
    </w:p>
    <w:p>
      <w:pPr>
        <w:snapToGrid w:val="0"/>
        <w:spacing w:line="288" w:lineRule="auto"/>
        <w:ind w:firstLine="843" w:firstLineChars="400"/>
        <w:jc w:val="left"/>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rPr>
        <w:t>2、</w:t>
      </w:r>
      <w:r>
        <w:rPr>
          <w:rFonts w:hint="eastAsia" w:ascii="宋体" w:hAnsi="宋体" w:eastAsia="宋体" w:cs="宋体"/>
          <w:b/>
          <w:color w:val="auto"/>
          <w:szCs w:val="21"/>
          <w:highlight w:val="none"/>
          <w:shd w:val="clear" w:color="auto" w:fill="auto"/>
          <w:lang w:val="zh-CN"/>
        </w:rPr>
        <w:t>施工费（工程费用）报价=施工费投标最高限价×（1-下浮率）。</w:t>
      </w:r>
    </w:p>
    <w:p>
      <w:pPr>
        <w:spacing w:line="288" w:lineRule="auto"/>
        <w:ind w:firstLine="843" w:firstLineChars="400"/>
        <w:rPr>
          <w:rFonts w:hint="eastAsia" w:ascii="宋体" w:hAnsi="宋体" w:eastAsia="宋体" w:cs="宋体"/>
          <w:b/>
          <w:color w:val="auto"/>
          <w:szCs w:val="21"/>
          <w:highlight w:val="none"/>
          <w:shd w:val="clear" w:color="auto" w:fill="auto"/>
          <w:lang w:val="zh-CN"/>
        </w:rPr>
      </w:pPr>
      <w:r>
        <w:rPr>
          <w:rFonts w:hint="eastAsia" w:ascii="宋体" w:hAnsi="宋体" w:eastAsia="宋体" w:cs="宋体"/>
          <w:b/>
          <w:color w:val="auto"/>
          <w:szCs w:val="21"/>
          <w:highlight w:val="none"/>
          <w:shd w:val="clear" w:color="auto" w:fill="auto"/>
          <w:lang w:val="zh-CN"/>
        </w:rPr>
        <w:t>3、填写数据保留两位小数。</w:t>
      </w:r>
    </w:p>
    <w:p>
      <w:pPr>
        <w:autoSpaceDE w:val="0"/>
        <w:autoSpaceDN w:val="0"/>
        <w:adjustRightInd w:val="0"/>
        <w:spacing w:line="360" w:lineRule="auto"/>
        <w:rPr>
          <w:rFonts w:hint="eastAsia" w:ascii="宋体" w:hAnsi="宋体" w:eastAsia="宋体" w:cs="宋体"/>
          <w:b/>
          <w:color w:val="auto"/>
          <w:sz w:val="24"/>
          <w:highlight w:val="none"/>
          <w:shd w:val="clear" w:color="auto" w:fill="auto"/>
        </w:rPr>
      </w:pPr>
    </w:p>
    <w:p>
      <w:pPr>
        <w:autoSpaceDE w:val="0"/>
        <w:autoSpaceDN w:val="0"/>
        <w:adjustRightInd w:val="0"/>
        <w:spacing w:line="360" w:lineRule="auto"/>
        <w:rPr>
          <w:rFonts w:hint="eastAsia" w:ascii="宋体" w:hAnsi="宋体" w:eastAsia="宋体" w:cs="宋体"/>
          <w:b/>
          <w:color w:val="auto"/>
          <w:sz w:val="24"/>
          <w:highlight w:val="none"/>
          <w:shd w:val="clear" w:color="auto" w:fill="auto"/>
        </w:rPr>
      </w:pPr>
    </w:p>
    <w:p>
      <w:pPr>
        <w:autoSpaceDE w:val="0"/>
        <w:autoSpaceDN w:val="0"/>
        <w:adjustRightInd w:val="0"/>
        <w:spacing w:line="360" w:lineRule="auto"/>
        <w:rPr>
          <w:rFonts w:hint="eastAsia" w:ascii="宋体" w:hAnsi="宋体" w:eastAsia="宋体" w:cs="宋体"/>
          <w:b/>
          <w:color w:val="auto"/>
          <w:sz w:val="24"/>
          <w:highlight w:val="none"/>
          <w:shd w:val="clear" w:color="auto" w:fill="auto"/>
        </w:rPr>
      </w:pPr>
    </w:p>
    <w:p>
      <w:pPr>
        <w:autoSpaceDE w:val="0"/>
        <w:autoSpaceDN w:val="0"/>
        <w:adjustRightInd w:val="0"/>
        <w:spacing w:line="360" w:lineRule="auto"/>
        <w:rPr>
          <w:rFonts w:hint="eastAsia" w:ascii="宋体" w:hAnsi="宋体" w:eastAsia="宋体" w:cs="宋体"/>
          <w:b/>
          <w:color w:val="auto"/>
          <w:sz w:val="24"/>
          <w:highlight w:val="none"/>
          <w:shd w:val="clear" w:color="auto" w:fill="auto"/>
        </w:rPr>
      </w:pPr>
    </w:p>
    <w:p>
      <w:pPr>
        <w:spacing w:line="360" w:lineRule="auto"/>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格式1</w:t>
      </w:r>
      <w:r>
        <w:rPr>
          <w:rFonts w:hint="eastAsia" w:ascii="宋体" w:hAnsi="宋体" w:eastAsia="宋体" w:cs="宋体"/>
          <w:b/>
          <w:color w:val="auto"/>
          <w:sz w:val="32"/>
          <w:szCs w:val="32"/>
          <w:highlight w:val="none"/>
          <w:shd w:val="clear" w:color="auto" w:fill="auto"/>
          <w:lang w:val="en-US" w:eastAsia="zh-CN"/>
        </w:rPr>
        <w:t>-1</w:t>
      </w:r>
      <w:r>
        <w:rPr>
          <w:rFonts w:hint="eastAsia" w:ascii="宋体" w:hAnsi="宋体" w:eastAsia="宋体" w:cs="宋体"/>
          <w:b/>
          <w:color w:val="auto"/>
          <w:sz w:val="32"/>
          <w:szCs w:val="32"/>
          <w:highlight w:val="none"/>
          <w:shd w:val="clear" w:color="auto" w:fill="auto"/>
        </w:rPr>
        <w:t>：</w:t>
      </w:r>
    </w:p>
    <w:p>
      <w:pPr>
        <w:autoSpaceDE w:val="0"/>
        <w:autoSpaceDN w:val="0"/>
        <w:adjustRightInd w:val="0"/>
        <w:spacing w:line="360" w:lineRule="auto"/>
        <w:jc w:val="center"/>
        <w:rPr>
          <w:rFonts w:hint="eastAsia" w:ascii="宋体" w:hAnsi="宋体" w:eastAsia="宋体" w:cs="宋体"/>
          <w:b/>
          <w:bCs/>
          <w:color w:val="auto"/>
          <w:sz w:val="32"/>
          <w:szCs w:val="32"/>
          <w:highlight w:val="none"/>
          <w:shd w:val="clear" w:color="auto" w:fill="auto"/>
          <w:lang w:val="en-US" w:eastAsia="zh-CN"/>
        </w:rPr>
      </w:pPr>
      <w:r>
        <w:rPr>
          <w:rFonts w:hint="eastAsia" w:ascii="宋体" w:hAnsi="宋体" w:eastAsia="宋体" w:cs="宋体"/>
          <w:b/>
          <w:bCs/>
          <w:color w:val="auto"/>
          <w:sz w:val="32"/>
          <w:szCs w:val="32"/>
          <w:highlight w:val="none"/>
          <w:shd w:val="clear" w:color="auto" w:fill="auto"/>
          <w:lang w:val="en-US" w:eastAsia="zh-CN"/>
        </w:rPr>
        <w:t>建安工程费分项报价表</w:t>
      </w:r>
    </w:p>
    <w:tbl>
      <w:tblPr>
        <w:tblStyle w:val="55"/>
        <w:tblW w:w="4996" w:type="pct"/>
        <w:tblInd w:w="0" w:type="dxa"/>
        <w:shd w:val="clear" w:color="auto" w:fill="auto"/>
        <w:tblLayout w:type="fixed"/>
        <w:tblCellMar>
          <w:top w:w="0" w:type="dxa"/>
          <w:left w:w="0" w:type="dxa"/>
          <w:bottom w:w="0" w:type="dxa"/>
          <w:right w:w="0" w:type="dxa"/>
        </w:tblCellMar>
      </w:tblPr>
      <w:tblGrid>
        <w:gridCol w:w="692"/>
        <w:gridCol w:w="4633"/>
        <w:gridCol w:w="2529"/>
        <w:gridCol w:w="1914"/>
      </w:tblGrid>
      <w:tr>
        <w:tblPrEx>
          <w:tblCellMar>
            <w:top w:w="0" w:type="dxa"/>
            <w:left w:w="0" w:type="dxa"/>
            <w:bottom w:w="0" w:type="dxa"/>
            <w:right w:w="0" w:type="dxa"/>
          </w:tblCellMar>
        </w:tblPrEx>
        <w:trPr>
          <w:trHeight w:val="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sz w:val="21"/>
                <w:szCs w:val="21"/>
                <w:highlight w:val="none"/>
                <w:u w:val="none"/>
                <w:shd w:val="clear" w:color="auto" w:fill="auto"/>
              </w:rPr>
            </w:pPr>
            <w:r>
              <w:rPr>
                <w:rFonts w:hint="eastAsia" w:ascii="宋体" w:hAnsi="宋体" w:eastAsia="宋体" w:cs="宋体"/>
                <w:b/>
                <w:bCs/>
                <w:i w:val="0"/>
                <w:color w:val="auto"/>
                <w:kern w:val="0"/>
                <w:sz w:val="21"/>
                <w:szCs w:val="21"/>
                <w:highlight w:val="none"/>
                <w:u w:val="none"/>
                <w:shd w:val="clear" w:color="auto" w:fill="auto"/>
                <w:lang w:val="en-US" w:eastAsia="zh-CN" w:bidi="ar"/>
              </w:rPr>
              <w:t>编号</w:t>
            </w:r>
          </w:p>
        </w:tc>
        <w:tc>
          <w:tcPr>
            <w:tcW w:w="2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sz w:val="21"/>
                <w:szCs w:val="21"/>
                <w:highlight w:val="none"/>
                <w:u w:val="none"/>
                <w:shd w:val="clear" w:color="auto" w:fill="auto"/>
              </w:rPr>
            </w:pPr>
            <w:r>
              <w:rPr>
                <w:rFonts w:hint="eastAsia" w:ascii="宋体" w:hAnsi="宋体" w:eastAsia="宋体" w:cs="宋体"/>
                <w:b/>
                <w:bCs/>
                <w:i w:val="0"/>
                <w:color w:val="auto"/>
                <w:kern w:val="0"/>
                <w:sz w:val="21"/>
                <w:szCs w:val="21"/>
                <w:highlight w:val="none"/>
                <w:u w:val="none"/>
                <w:shd w:val="clear" w:color="auto" w:fill="auto"/>
                <w:lang w:val="en-US" w:eastAsia="zh-CN" w:bidi="ar"/>
              </w:rPr>
              <w:t>子项项目名称</w:t>
            </w:r>
          </w:p>
        </w:tc>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kern w:val="0"/>
                <w:sz w:val="21"/>
                <w:szCs w:val="21"/>
                <w:highlight w:val="none"/>
                <w:u w:val="none"/>
                <w:shd w:val="clear" w:color="auto" w:fill="auto"/>
                <w:lang w:val="en-US" w:eastAsia="zh-CN" w:bidi="ar"/>
              </w:rPr>
            </w:pPr>
            <w:r>
              <w:rPr>
                <w:rFonts w:hint="eastAsia" w:ascii="宋体" w:hAnsi="宋体" w:eastAsia="宋体" w:cs="宋体"/>
                <w:b/>
                <w:bCs/>
                <w:i w:val="0"/>
                <w:color w:val="auto"/>
                <w:kern w:val="0"/>
                <w:sz w:val="21"/>
                <w:szCs w:val="21"/>
                <w:highlight w:val="none"/>
                <w:u w:val="none"/>
                <w:shd w:val="clear" w:color="auto" w:fill="auto"/>
                <w:lang w:val="en-US" w:eastAsia="zh-CN" w:bidi="ar"/>
              </w:rPr>
              <w:t>建安费最高投标限价</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kern w:val="0"/>
                <w:sz w:val="21"/>
                <w:szCs w:val="21"/>
                <w:highlight w:val="none"/>
                <w:u w:val="none"/>
                <w:shd w:val="clear" w:color="auto" w:fill="auto"/>
                <w:lang w:val="en-US" w:eastAsia="zh-CN" w:bidi="ar"/>
              </w:rPr>
            </w:pPr>
            <w:r>
              <w:rPr>
                <w:rFonts w:hint="eastAsia" w:ascii="宋体" w:hAnsi="宋体" w:eastAsia="宋体" w:cs="宋体"/>
                <w:b/>
                <w:bCs/>
                <w:i w:val="0"/>
                <w:color w:val="auto"/>
                <w:kern w:val="0"/>
                <w:sz w:val="21"/>
                <w:szCs w:val="21"/>
                <w:highlight w:val="none"/>
                <w:u w:val="none"/>
                <w:shd w:val="clear" w:color="auto" w:fill="auto"/>
                <w:lang w:val="en-US" w:eastAsia="zh-CN" w:bidi="ar"/>
              </w:rPr>
              <w:t>（万元）</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kern w:val="0"/>
                <w:sz w:val="21"/>
                <w:szCs w:val="21"/>
                <w:highlight w:val="none"/>
                <w:u w:val="none"/>
                <w:shd w:val="clear" w:color="auto" w:fill="auto"/>
                <w:lang w:val="en-US" w:eastAsia="zh-CN" w:bidi="ar"/>
              </w:rPr>
            </w:pPr>
            <w:r>
              <w:rPr>
                <w:rFonts w:hint="eastAsia" w:ascii="宋体" w:hAnsi="宋体" w:eastAsia="宋体" w:cs="宋体"/>
                <w:b/>
                <w:bCs/>
                <w:i w:val="0"/>
                <w:color w:val="auto"/>
                <w:kern w:val="0"/>
                <w:sz w:val="21"/>
                <w:szCs w:val="21"/>
                <w:highlight w:val="none"/>
                <w:u w:val="none"/>
                <w:shd w:val="clear" w:color="auto" w:fill="auto"/>
                <w:lang w:val="en-US" w:eastAsia="zh-CN" w:bidi="ar"/>
              </w:rPr>
              <w:t>投标报价</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kern w:val="0"/>
                <w:sz w:val="21"/>
                <w:szCs w:val="21"/>
                <w:highlight w:val="none"/>
                <w:u w:val="none"/>
                <w:shd w:val="clear" w:color="auto" w:fill="auto"/>
                <w:lang w:val="en-US" w:eastAsia="zh-CN" w:bidi="ar"/>
              </w:rPr>
            </w:pPr>
            <w:r>
              <w:rPr>
                <w:rFonts w:hint="eastAsia" w:ascii="宋体" w:hAnsi="宋体" w:eastAsia="宋体" w:cs="宋体"/>
                <w:b/>
                <w:bCs/>
                <w:i w:val="0"/>
                <w:color w:val="auto"/>
                <w:kern w:val="0"/>
                <w:sz w:val="21"/>
                <w:szCs w:val="21"/>
                <w:highlight w:val="none"/>
                <w:u w:val="none"/>
                <w:shd w:val="clear" w:color="auto" w:fill="auto"/>
                <w:lang w:val="en-US" w:eastAsia="zh-CN" w:bidi="ar"/>
              </w:rPr>
              <w:t>（万元）</w:t>
            </w:r>
          </w:p>
        </w:tc>
      </w:tr>
      <w:tr>
        <w:tblPrEx>
          <w:shd w:val="clear" w:color="auto" w:fill="auto"/>
          <w:tblCellMar>
            <w:top w:w="0" w:type="dxa"/>
            <w:left w:w="0" w:type="dxa"/>
            <w:bottom w:w="0" w:type="dxa"/>
            <w:right w:w="0" w:type="dxa"/>
          </w:tblCellMar>
        </w:tblPrEx>
        <w:trPr>
          <w:trHeight w:val="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1</w:t>
            </w:r>
          </w:p>
        </w:tc>
        <w:tc>
          <w:tcPr>
            <w:tcW w:w="2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bCs w:val="0"/>
                <w:color w:val="auto"/>
                <w:sz w:val="21"/>
                <w:szCs w:val="21"/>
                <w:highlight w:val="none"/>
                <w:shd w:val="clear" w:color="auto" w:fill="auto"/>
                <w:lang w:eastAsia="zh-CN"/>
              </w:rPr>
              <w:t>广佛（佛冈）产业园规划19路（一横路至2号泵站）</w:t>
            </w:r>
            <w:r>
              <w:rPr>
                <w:rFonts w:hint="eastAsia" w:ascii="宋体" w:hAnsi="宋体" w:eastAsia="宋体" w:cs="宋体"/>
                <w:bCs w:val="0"/>
                <w:color w:val="auto"/>
                <w:sz w:val="21"/>
                <w:szCs w:val="21"/>
                <w:highlight w:val="none"/>
                <w:shd w:val="clear" w:color="auto" w:fill="auto"/>
                <w:lang w:val="en-US" w:eastAsia="zh-CN"/>
              </w:rPr>
              <w:t xml:space="preserve"> 工程</w:t>
            </w:r>
          </w:p>
        </w:tc>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Cs w:val="0"/>
                <w:color w:val="auto"/>
                <w:sz w:val="21"/>
                <w:szCs w:val="21"/>
                <w:highlight w:val="none"/>
                <w:shd w:val="clear" w:color="auto" w:fill="auto"/>
                <w:lang w:eastAsia="zh-CN"/>
              </w:rPr>
            </w:pPr>
            <w:r>
              <w:rPr>
                <w:rFonts w:hint="eastAsia" w:ascii="宋体" w:hAnsi="宋体" w:eastAsia="宋体" w:cs="宋体"/>
                <w:i w:val="0"/>
                <w:iCs w:val="0"/>
                <w:color w:val="auto"/>
                <w:kern w:val="0"/>
                <w:sz w:val="21"/>
                <w:szCs w:val="21"/>
                <w:highlight w:val="none"/>
                <w:u w:val="none"/>
                <w:shd w:val="clear" w:color="auto" w:fill="auto"/>
                <w:lang w:val="en-US" w:eastAsia="zh-CN" w:bidi="ar"/>
              </w:rPr>
              <w:t>2775.21</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tblPrEx>
          <w:shd w:val="clear" w:color="auto" w:fill="auto"/>
          <w:tblCellMar>
            <w:top w:w="0" w:type="dxa"/>
            <w:left w:w="0" w:type="dxa"/>
            <w:bottom w:w="0" w:type="dxa"/>
            <w:right w:w="0" w:type="dxa"/>
          </w:tblCellMar>
        </w:tblPrEx>
        <w:trPr>
          <w:trHeight w:val="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2</w:t>
            </w:r>
          </w:p>
        </w:tc>
        <w:tc>
          <w:tcPr>
            <w:tcW w:w="2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shd w:val="clear" w:color="auto" w:fill="auto"/>
                <w:lang w:val="en-US"/>
              </w:rPr>
            </w:pPr>
            <w:r>
              <w:rPr>
                <w:rFonts w:hint="eastAsia" w:ascii="宋体" w:hAnsi="宋体" w:eastAsia="宋体" w:cs="宋体"/>
                <w:color w:val="auto"/>
                <w:sz w:val="21"/>
                <w:szCs w:val="21"/>
                <w:highlight w:val="none"/>
                <w:shd w:val="clear" w:color="auto" w:fill="auto"/>
                <w:lang w:eastAsia="zh-CN"/>
              </w:rPr>
              <w:t>广佛（佛冈）产业园规划20路</w:t>
            </w:r>
            <w:r>
              <w:rPr>
                <w:rFonts w:hint="eastAsia" w:ascii="宋体" w:hAnsi="宋体" w:eastAsia="宋体" w:cs="宋体"/>
                <w:bCs w:val="0"/>
                <w:color w:val="auto"/>
                <w:sz w:val="21"/>
                <w:szCs w:val="21"/>
                <w:highlight w:val="none"/>
                <w:shd w:val="clear" w:color="auto" w:fill="auto"/>
                <w:lang w:val="en-US" w:eastAsia="zh-CN"/>
              </w:rPr>
              <w:t>工程</w:t>
            </w:r>
          </w:p>
        </w:tc>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i w:val="0"/>
                <w:iCs w:val="0"/>
                <w:color w:val="auto"/>
                <w:kern w:val="0"/>
                <w:sz w:val="21"/>
                <w:szCs w:val="21"/>
                <w:highlight w:val="none"/>
                <w:u w:val="none"/>
                <w:shd w:val="clear" w:color="auto" w:fill="auto"/>
                <w:lang w:val="en-US" w:eastAsia="zh-CN" w:bidi="ar"/>
              </w:rPr>
              <w:t>5452.17</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tblPrEx>
          <w:shd w:val="clear" w:color="auto" w:fill="auto"/>
          <w:tblCellMar>
            <w:top w:w="0" w:type="dxa"/>
            <w:left w:w="0" w:type="dxa"/>
            <w:bottom w:w="0" w:type="dxa"/>
            <w:right w:w="0" w:type="dxa"/>
          </w:tblCellMar>
        </w:tblPrEx>
        <w:trPr>
          <w:trHeight w:val="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3</w:t>
            </w:r>
          </w:p>
        </w:tc>
        <w:tc>
          <w:tcPr>
            <w:tcW w:w="2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color w:val="auto"/>
                <w:sz w:val="21"/>
                <w:szCs w:val="21"/>
                <w:highlight w:val="none"/>
                <w:shd w:val="clear" w:color="auto" w:fill="auto"/>
                <w:lang w:val="en-US" w:eastAsia="zh-CN"/>
              </w:rPr>
              <w:t>广佛（佛冈）产业园</w:t>
            </w:r>
            <w:r>
              <w:rPr>
                <w:rFonts w:hint="eastAsia" w:ascii="宋体" w:hAnsi="宋体" w:eastAsia="宋体" w:cs="宋体"/>
                <w:color w:val="auto"/>
                <w:sz w:val="21"/>
                <w:szCs w:val="21"/>
                <w:highlight w:val="none"/>
                <w:shd w:val="clear" w:color="auto" w:fill="auto"/>
              </w:rPr>
              <w:t>规划3</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路工程</w:t>
            </w:r>
          </w:p>
        </w:tc>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u w:val="none"/>
                <w:shd w:val="clear" w:color="auto" w:fill="auto"/>
                <w:lang w:val="en-US" w:eastAsia="zh-CN" w:bidi="ar"/>
              </w:rPr>
              <w:t>621.22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tblPrEx>
          <w:shd w:val="clear" w:color="auto" w:fill="auto"/>
          <w:tblCellMar>
            <w:top w:w="0" w:type="dxa"/>
            <w:left w:w="0" w:type="dxa"/>
            <w:bottom w:w="0" w:type="dxa"/>
            <w:right w:w="0" w:type="dxa"/>
          </w:tblCellMar>
        </w:tblPrEx>
        <w:trPr>
          <w:trHeight w:val="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4</w:t>
            </w:r>
          </w:p>
        </w:tc>
        <w:tc>
          <w:tcPr>
            <w:tcW w:w="2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color w:val="auto"/>
                <w:sz w:val="21"/>
                <w:szCs w:val="21"/>
                <w:highlight w:val="none"/>
                <w:shd w:val="clear" w:color="auto" w:fill="auto"/>
                <w:lang w:val="en-US" w:eastAsia="zh-CN"/>
              </w:rPr>
              <w:t>广佛（佛冈）产业园</w:t>
            </w:r>
            <w:r>
              <w:rPr>
                <w:rFonts w:hint="eastAsia" w:ascii="宋体" w:hAnsi="宋体" w:eastAsia="宋体" w:cs="宋体"/>
                <w:color w:val="auto"/>
                <w:sz w:val="21"/>
                <w:szCs w:val="21"/>
                <w:highlight w:val="none"/>
                <w:shd w:val="clear" w:color="auto" w:fill="auto"/>
              </w:rPr>
              <w:t>规划3</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路工程</w:t>
            </w:r>
          </w:p>
        </w:tc>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u w:val="none"/>
                <w:shd w:val="clear" w:color="auto" w:fill="auto"/>
                <w:lang w:val="en-US" w:eastAsia="zh-CN" w:bidi="ar"/>
              </w:rPr>
              <w:t>967.73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tblPrEx>
          <w:shd w:val="clear" w:color="auto" w:fill="auto"/>
          <w:tblCellMar>
            <w:top w:w="0" w:type="dxa"/>
            <w:left w:w="0" w:type="dxa"/>
            <w:bottom w:w="0" w:type="dxa"/>
            <w:right w:w="0" w:type="dxa"/>
          </w:tblCellMar>
        </w:tblPrEx>
        <w:trPr>
          <w:trHeight w:val="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5</w:t>
            </w:r>
          </w:p>
        </w:tc>
        <w:tc>
          <w:tcPr>
            <w:tcW w:w="2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color w:val="auto"/>
                <w:sz w:val="21"/>
                <w:szCs w:val="21"/>
                <w:highlight w:val="none"/>
                <w:shd w:val="clear" w:color="auto" w:fill="auto"/>
                <w:lang w:val="en-US" w:eastAsia="zh-CN"/>
              </w:rPr>
              <w:t>广佛（佛冈）产业园道路绿化升级工程（一期）</w:t>
            </w:r>
          </w:p>
        </w:tc>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u w:val="none"/>
                <w:shd w:val="clear" w:color="auto" w:fill="auto"/>
                <w:lang w:val="en-US" w:eastAsia="zh-CN" w:bidi="ar"/>
              </w:rPr>
              <w:t>3126.59</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tblPrEx>
          <w:shd w:val="clear" w:color="auto" w:fill="auto"/>
          <w:tblCellMar>
            <w:top w:w="0" w:type="dxa"/>
            <w:left w:w="0" w:type="dxa"/>
            <w:bottom w:w="0" w:type="dxa"/>
            <w:right w:w="0" w:type="dxa"/>
          </w:tblCellMar>
        </w:tblPrEx>
        <w:trPr>
          <w:trHeight w:val="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6</w:t>
            </w:r>
          </w:p>
        </w:tc>
        <w:tc>
          <w:tcPr>
            <w:tcW w:w="2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color w:val="auto"/>
                <w:sz w:val="21"/>
                <w:szCs w:val="21"/>
                <w:highlight w:val="none"/>
                <w:shd w:val="clear" w:color="auto" w:fill="auto"/>
                <w:lang w:val="en-US" w:eastAsia="zh-CN"/>
              </w:rPr>
              <w:t>广佛（佛冈）产业园入园大道一纵路、入园大道一横路（中段）、规划18路、规划25路照明工程</w:t>
            </w:r>
          </w:p>
        </w:tc>
        <w:tc>
          <w:tcPr>
            <w:tcW w:w="1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u w:val="none"/>
                <w:shd w:val="clear" w:color="auto" w:fill="auto"/>
                <w:lang w:val="en-US" w:eastAsia="zh-CN" w:bidi="ar"/>
              </w:rPr>
              <w:t>3324.23</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tblPrEx>
          <w:shd w:val="clear" w:color="auto" w:fill="auto"/>
          <w:tblCellMar>
            <w:top w:w="0" w:type="dxa"/>
            <w:left w:w="0" w:type="dxa"/>
            <w:bottom w:w="0" w:type="dxa"/>
            <w:right w:w="0" w:type="dxa"/>
          </w:tblCellMar>
        </w:tblPrEx>
        <w:trPr>
          <w:trHeight w:val="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i w:val="0"/>
                <w:color w:val="auto"/>
                <w:kern w:val="0"/>
                <w:sz w:val="21"/>
                <w:szCs w:val="21"/>
                <w:highlight w:val="none"/>
                <w:u w:val="none"/>
                <w:shd w:val="clear" w:color="auto" w:fill="auto"/>
                <w:lang w:val="en-US" w:eastAsia="zh-CN" w:bidi="ar"/>
              </w:rPr>
              <w:t>7</w:t>
            </w:r>
          </w:p>
        </w:tc>
        <w:tc>
          <w:tcPr>
            <w:tcW w:w="2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shd w:val="clear" w:color="auto" w:fill="auto"/>
              </w:rPr>
            </w:pPr>
            <w:r>
              <w:rPr>
                <w:rFonts w:hint="eastAsia" w:ascii="宋体" w:hAnsi="宋体" w:eastAsia="宋体" w:cs="宋体"/>
                <w:color w:val="auto"/>
                <w:sz w:val="21"/>
                <w:szCs w:val="21"/>
                <w:highlight w:val="none"/>
                <w:shd w:val="clear" w:color="auto" w:fill="auto"/>
                <w:lang w:val="en-US" w:eastAsia="zh-CN"/>
              </w:rPr>
              <w:t>广佛（佛冈）产业园市民休闲建设配套项目</w:t>
            </w:r>
          </w:p>
        </w:tc>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u w:val="none"/>
                <w:shd w:val="clear" w:color="auto" w:fill="auto"/>
                <w:lang w:val="en-US" w:eastAsia="zh-CN" w:bidi="ar"/>
              </w:rPr>
              <w:t>766.64</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tblPrEx>
          <w:shd w:val="clear" w:color="auto" w:fill="auto"/>
          <w:tblCellMar>
            <w:top w:w="0" w:type="dxa"/>
            <w:left w:w="0" w:type="dxa"/>
            <w:bottom w:w="0" w:type="dxa"/>
            <w:right w:w="0" w:type="dxa"/>
          </w:tblCellMar>
        </w:tblPrEx>
        <w:trPr>
          <w:trHeight w:val="0" w:hRule="atLeast"/>
        </w:trPr>
        <w:tc>
          <w:tcPr>
            <w:tcW w:w="272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sz w:val="21"/>
                <w:szCs w:val="21"/>
                <w:highlight w:val="none"/>
                <w:u w:val="none"/>
                <w:shd w:val="clear" w:color="auto" w:fill="auto"/>
              </w:rPr>
            </w:pPr>
            <w:r>
              <w:rPr>
                <w:rFonts w:hint="eastAsia" w:ascii="宋体" w:hAnsi="宋体" w:eastAsia="宋体" w:cs="宋体"/>
                <w:b/>
                <w:bCs/>
                <w:i w:val="0"/>
                <w:color w:val="auto"/>
                <w:kern w:val="0"/>
                <w:sz w:val="21"/>
                <w:szCs w:val="21"/>
                <w:highlight w:val="none"/>
                <w:u w:val="none"/>
                <w:shd w:val="clear" w:color="auto" w:fill="auto"/>
                <w:lang w:val="en-US" w:eastAsia="zh-CN" w:bidi="ar"/>
              </w:rPr>
              <w:t>合计</w:t>
            </w:r>
          </w:p>
        </w:tc>
        <w:tc>
          <w:tcPr>
            <w:tcW w:w="1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17,033.79</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p>
        </w:tc>
      </w:tr>
    </w:tbl>
    <w:p>
      <w:pPr>
        <w:autoSpaceDE w:val="0"/>
        <w:autoSpaceDN w:val="0"/>
        <w:adjustRightInd w:val="0"/>
        <w:spacing w:line="360" w:lineRule="auto"/>
        <w:rPr>
          <w:rFonts w:hint="eastAsia" w:ascii="宋体" w:hAnsi="宋体" w:eastAsia="宋体" w:cs="宋体"/>
          <w:b/>
          <w:color w:val="auto"/>
          <w:sz w:val="21"/>
          <w:szCs w:val="21"/>
          <w:highlight w:val="none"/>
          <w:shd w:val="clear" w:color="auto" w:fill="auto"/>
        </w:rPr>
      </w:pPr>
    </w:p>
    <w:p>
      <w:pPr>
        <w:autoSpaceDE w:val="0"/>
        <w:autoSpaceDN w:val="0"/>
        <w:adjustRightInd w:val="0"/>
        <w:spacing w:line="360" w:lineRule="auto"/>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24"/>
          <w:highlight w:val="none"/>
          <w:shd w:val="clear" w:color="auto" w:fill="auto"/>
        </w:rPr>
        <w:br w:type="page"/>
      </w:r>
      <w:r>
        <w:rPr>
          <w:rFonts w:hint="eastAsia" w:ascii="宋体" w:hAnsi="宋体" w:eastAsia="宋体" w:cs="宋体"/>
          <w:b/>
          <w:color w:val="auto"/>
          <w:sz w:val="32"/>
          <w:szCs w:val="32"/>
          <w:highlight w:val="none"/>
          <w:shd w:val="clear" w:color="auto" w:fill="auto"/>
        </w:rPr>
        <w:t>格式2</w:t>
      </w:r>
      <w:r>
        <w:rPr>
          <w:rFonts w:hint="eastAsia" w:ascii="宋体" w:hAnsi="宋体" w:eastAsia="宋体" w:cs="宋体"/>
          <w:b/>
          <w:color w:val="auto"/>
          <w:sz w:val="32"/>
          <w:szCs w:val="32"/>
          <w:highlight w:val="none"/>
          <w:shd w:val="clear" w:color="auto" w:fill="auto"/>
          <w:lang w:eastAsia="zh-CN"/>
        </w:rPr>
        <w:t>：</w:t>
      </w:r>
    </w:p>
    <w:p>
      <w:pPr>
        <w:wordWrap w:val="0"/>
        <w:topLinePunct/>
        <w:rPr>
          <w:rFonts w:hint="eastAsia" w:ascii="宋体" w:hAnsi="宋体" w:eastAsia="宋体" w:cs="宋体"/>
          <w:color w:val="auto"/>
          <w:sz w:val="32"/>
          <w:szCs w:val="32"/>
          <w:highlight w:val="none"/>
          <w:shd w:val="clear" w:color="auto" w:fill="auto"/>
        </w:rPr>
      </w:pPr>
    </w:p>
    <w:p>
      <w:pPr>
        <w:wordWrap w:val="0"/>
        <w:topLinePunct/>
        <w:snapToGrid w:val="0"/>
        <w:spacing w:line="240" w:lineRule="atLeast"/>
        <w:ind w:right="-687" w:rightChars="-327"/>
        <w:jc w:val="center"/>
        <w:outlineLvl w:val="1"/>
        <w:rPr>
          <w:rFonts w:hint="eastAsia" w:ascii="宋体" w:hAnsi="宋体" w:eastAsia="宋体" w:cs="宋体"/>
          <w:b/>
          <w:bCs/>
          <w:color w:val="auto"/>
          <w:sz w:val="32"/>
          <w:szCs w:val="32"/>
          <w:highlight w:val="none"/>
          <w:shd w:val="clear" w:color="auto" w:fill="auto"/>
        </w:rPr>
      </w:pPr>
      <w:bookmarkStart w:id="267" w:name="_Toc19387"/>
      <w:r>
        <w:rPr>
          <w:rFonts w:hint="eastAsia" w:ascii="宋体" w:hAnsi="宋体" w:eastAsia="宋体" w:cs="宋体"/>
          <w:b/>
          <w:bCs/>
          <w:color w:val="auto"/>
          <w:sz w:val="32"/>
          <w:szCs w:val="32"/>
          <w:highlight w:val="none"/>
          <w:shd w:val="clear" w:color="auto" w:fill="auto"/>
        </w:rPr>
        <w:t>2-1勘察设计费投标报价汇总表</w:t>
      </w:r>
      <w:bookmarkEnd w:id="267"/>
    </w:p>
    <w:p>
      <w:pPr>
        <w:wordWrap w:val="0"/>
        <w:topLinePunct/>
        <w:snapToGrid w:val="0"/>
        <w:spacing w:line="240" w:lineRule="atLeast"/>
        <w:ind w:right="-687" w:rightChars="-327"/>
        <w:outlineLvl w:val="1"/>
        <w:rPr>
          <w:rFonts w:hint="eastAsia" w:ascii="宋体" w:hAnsi="宋体" w:eastAsia="宋体" w:cs="宋体"/>
          <w:b/>
          <w:bCs/>
          <w:color w:val="auto"/>
          <w:sz w:val="24"/>
          <w:highlight w:val="none"/>
          <w:shd w:val="clear" w:color="auto" w:fill="auto"/>
        </w:rPr>
      </w:pPr>
    </w:p>
    <w:tbl>
      <w:tblPr>
        <w:tblStyle w:val="55"/>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2863"/>
        <w:gridCol w:w="4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4" w:type="dxa"/>
            <w:vAlign w:val="center"/>
          </w:tcPr>
          <w:p>
            <w:pPr>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  号</w:t>
            </w:r>
          </w:p>
        </w:tc>
        <w:tc>
          <w:tcPr>
            <w:tcW w:w="2863" w:type="dxa"/>
            <w:vAlign w:val="center"/>
          </w:tcPr>
          <w:p>
            <w:pPr>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项  目</w:t>
            </w:r>
          </w:p>
        </w:tc>
        <w:tc>
          <w:tcPr>
            <w:tcW w:w="4722" w:type="dxa"/>
            <w:vAlign w:val="center"/>
          </w:tcPr>
          <w:p>
            <w:pPr>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14" w:type="dxa"/>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p>
        </w:tc>
        <w:tc>
          <w:tcPr>
            <w:tcW w:w="2863" w:type="dxa"/>
            <w:vAlign w:val="center"/>
          </w:tcPr>
          <w:p>
            <w:pPr>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设计费报价</w:t>
            </w:r>
          </w:p>
        </w:tc>
        <w:tc>
          <w:tcPr>
            <w:tcW w:w="4722" w:type="dxa"/>
            <w:vAlign w:val="center"/>
          </w:tcPr>
          <w:p>
            <w:pPr>
              <w:wordWrap w:val="0"/>
              <w:topLinePunct/>
              <w:snapToGrid w:val="0"/>
              <w:spacing w:line="240" w:lineRule="atLeast"/>
              <w:ind w:right="-687" w:rightChars="-327"/>
              <w:outlineLvl w:val="1"/>
              <w:rPr>
                <w:rFonts w:hint="eastAsia" w:ascii="宋体" w:hAnsi="宋体" w:eastAsia="宋体" w:cs="宋体"/>
                <w:b/>
                <w:bCs/>
                <w:color w:val="auto"/>
                <w:sz w:val="21"/>
                <w:szCs w:val="21"/>
                <w:highlight w:val="none"/>
                <w:shd w:val="clear" w:color="auto" w:fill="auto"/>
              </w:rPr>
            </w:pPr>
            <w:bookmarkStart w:id="268" w:name="_Toc348"/>
            <w:r>
              <w:rPr>
                <w:rFonts w:hint="eastAsia" w:ascii="宋体" w:hAnsi="宋体" w:eastAsia="宋体" w:cs="宋体"/>
                <w:b/>
                <w:bCs/>
                <w:color w:val="auto"/>
                <w:sz w:val="21"/>
                <w:szCs w:val="21"/>
                <w:highlight w:val="none"/>
                <w:shd w:val="clear" w:color="auto" w:fill="auto"/>
              </w:rPr>
              <w:t>大写：</w:t>
            </w:r>
            <w:bookmarkEnd w:id="268"/>
          </w:p>
          <w:p>
            <w:pPr>
              <w:wordWrap w:val="0"/>
              <w:topLinePunct/>
              <w:snapToGrid w:val="0"/>
              <w:spacing w:line="240" w:lineRule="atLeast"/>
              <w:ind w:right="-687" w:rightChars="-327"/>
              <w:outlineLvl w:val="1"/>
              <w:rPr>
                <w:rFonts w:hint="eastAsia" w:ascii="宋体" w:hAnsi="宋体" w:eastAsia="宋体" w:cs="宋体"/>
                <w:b/>
                <w:bCs/>
                <w:color w:val="auto"/>
                <w:sz w:val="21"/>
                <w:szCs w:val="21"/>
                <w:highlight w:val="none"/>
                <w:shd w:val="clear" w:color="auto" w:fill="auto"/>
              </w:rPr>
            </w:pPr>
            <w:bookmarkStart w:id="269" w:name="_Toc9421"/>
            <w:r>
              <w:rPr>
                <w:rFonts w:hint="eastAsia" w:ascii="宋体" w:hAnsi="宋体" w:eastAsia="宋体" w:cs="宋体"/>
                <w:b/>
                <w:bCs/>
                <w:color w:val="auto"/>
                <w:sz w:val="21"/>
                <w:szCs w:val="21"/>
                <w:highlight w:val="none"/>
                <w:shd w:val="clear" w:color="auto" w:fill="auto"/>
              </w:rPr>
              <w:t>小写：元</w:t>
            </w:r>
            <w:bookmarkEnd w:id="2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14" w:type="dxa"/>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p>
        </w:tc>
        <w:tc>
          <w:tcPr>
            <w:tcW w:w="2863" w:type="dxa"/>
            <w:vAlign w:val="center"/>
          </w:tcPr>
          <w:p>
            <w:pPr>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勘察费报价</w:t>
            </w:r>
          </w:p>
        </w:tc>
        <w:tc>
          <w:tcPr>
            <w:tcW w:w="4722" w:type="dxa"/>
            <w:vAlign w:val="center"/>
          </w:tcPr>
          <w:p>
            <w:pPr>
              <w:wordWrap w:val="0"/>
              <w:topLinePunct/>
              <w:snapToGrid w:val="0"/>
              <w:spacing w:line="240" w:lineRule="atLeast"/>
              <w:ind w:right="-687" w:rightChars="-327"/>
              <w:outlineLvl w:val="1"/>
              <w:rPr>
                <w:rFonts w:hint="eastAsia" w:ascii="宋体" w:hAnsi="宋体" w:eastAsia="宋体" w:cs="宋体"/>
                <w:b/>
                <w:bCs/>
                <w:color w:val="auto"/>
                <w:sz w:val="21"/>
                <w:szCs w:val="21"/>
                <w:highlight w:val="none"/>
                <w:shd w:val="clear" w:color="auto" w:fill="auto"/>
              </w:rPr>
            </w:pPr>
            <w:bookmarkStart w:id="270" w:name="_Toc31148"/>
            <w:r>
              <w:rPr>
                <w:rFonts w:hint="eastAsia" w:ascii="宋体" w:hAnsi="宋体" w:eastAsia="宋体" w:cs="宋体"/>
                <w:b/>
                <w:bCs/>
                <w:color w:val="auto"/>
                <w:sz w:val="21"/>
                <w:szCs w:val="21"/>
                <w:highlight w:val="none"/>
                <w:shd w:val="clear" w:color="auto" w:fill="auto"/>
              </w:rPr>
              <w:t>大写：</w:t>
            </w:r>
            <w:bookmarkEnd w:id="270"/>
          </w:p>
          <w:p>
            <w:pPr>
              <w:wordWrap w:val="0"/>
              <w:topLinePunct/>
              <w:snapToGrid w:val="0"/>
              <w:spacing w:line="240" w:lineRule="atLeast"/>
              <w:ind w:right="-687" w:rightChars="-327"/>
              <w:outlineLvl w:val="1"/>
              <w:rPr>
                <w:rFonts w:hint="eastAsia" w:ascii="宋体" w:hAnsi="宋体" w:eastAsia="宋体" w:cs="宋体"/>
                <w:b/>
                <w:bCs/>
                <w:color w:val="auto"/>
                <w:sz w:val="21"/>
                <w:szCs w:val="21"/>
                <w:highlight w:val="none"/>
                <w:shd w:val="clear" w:color="auto" w:fill="auto"/>
              </w:rPr>
            </w:pPr>
            <w:bookmarkStart w:id="271" w:name="_Toc22767"/>
            <w:r>
              <w:rPr>
                <w:rFonts w:hint="eastAsia" w:ascii="宋体" w:hAnsi="宋体" w:eastAsia="宋体" w:cs="宋体"/>
                <w:b/>
                <w:bCs/>
                <w:color w:val="auto"/>
                <w:sz w:val="21"/>
                <w:szCs w:val="21"/>
                <w:highlight w:val="none"/>
                <w:shd w:val="clear" w:color="auto" w:fill="auto"/>
              </w:rPr>
              <w:t>小写：元</w:t>
            </w:r>
            <w:bookmarkEnd w:id="2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214" w:type="dxa"/>
            <w:vAlign w:val="center"/>
          </w:tcPr>
          <w:p>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w:t>
            </w:r>
          </w:p>
        </w:tc>
        <w:tc>
          <w:tcPr>
            <w:tcW w:w="2863" w:type="dxa"/>
            <w:vAlign w:val="center"/>
          </w:tcPr>
          <w:p>
            <w:pPr>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勘察设计费总计</w:t>
            </w:r>
          </w:p>
        </w:tc>
        <w:tc>
          <w:tcPr>
            <w:tcW w:w="4722" w:type="dxa"/>
            <w:vAlign w:val="center"/>
          </w:tcPr>
          <w:p>
            <w:pPr>
              <w:wordWrap w:val="0"/>
              <w:topLinePunct/>
              <w:snapToGrid w:val="0"/>
              <w:spacing w:line="240" w:lineRule="atLeast"/>
              <w:ind w:right="-687" w:rightChars="-327"/>
              <w:outlineLvl w:val="1"/>
              <w:rPr>
                <w:rFonts w:hint="eastAsia" w:ascii="宋体" w:hAnsi="宋体" w:eastAsia="宋体" w:cs="宋体"/>
                <w:b/>
                <w:bCs/>
                <w:color w:val="auto"/>
                <w:sz w:val="21"/>
                <w:szCs w:val="21"/>
                <w:highlight w:val="none"/>
                <w:shd w:val="clear" w:color="auto" w:fill="auto"/>
              </w:rPr>
            </w:pPr>
            <w:bookmarkStart w:id="272" w:name="_Toc3894"/>
            <w:r>
              <w:rPr>
                <w:rFonts w:hint="eastAsia" w:ascii="宋体" w:hAnsi="宋体" w:eastAsia="宋体" w:cs="宋体"/>
                <w:b/>
                <w:bCs/>
                <w:color w:val="auto"/>
                <w:sz w:val="21"/>
                <w:szCs w:val="21"/>
                <w:highlight w:val="none"/>
                <w:shd w:val="clear" w:color="auto" w:fill="auto"/>
              </w:rPr>
              <w:t>大写：</w:t>
            </w:r>
            <w:bookmarkEnd w:id="272"/>
          </w:p>
          <w:p>
            <w:pPr>
              <w:wordWrap w:val="0"/>
              <w:topLinePunct/>
              <w:snapToGrid w:val="0"/>
              <w:spacing w:line="240" w:lineRule="atLeast"/>
              <w:ind w:right="-687" w:rightChars="-327"/>
              <w:outlineLvl w:val="1"/>
              <w:rPr>
                <w:rFonts w:hint="eastAsia" w:ascii="宋体" w:hAnsi="宋体" w:eastAsia="宋体" w:cs="宋体"/>
                <w:b/>
                <w:bCs/>
                <w:color w:val="auto"/>
                <w:sz w:val="21"/>
                <w:szCs w:val="21"/>
                <w:highlight w:val="none"/>
                <w:shd w:val="clear" w:color="auto" w:fill="auto"/>
              </w:rPr>
            </w:pPr>
            <w:bookmarkStart w:id="273" w:name="_Toc26399"/>
            <w:r>
              <w:rPr>
                <w:rFonts w:hint="eastAsia" w:ascii="宋体" w:hAnsi="宋体" w:eastAsia="宋体" w:cs="宋体"/>
                <w:b/>
                <w:bCs/>
                <w:color w:val="auto"/>
                <w:sz w:val="21"/>
                <w:szCs w:val="21"/>
                <w:highlight w:val="none"/>
                <w:shd w:val="clear" w:color="auto" w:fill="auto"/>
              </w:rPr>
              <w:t>小写：元</w:t>
            </w:r>
            <w:bookmarkEnd w:id="273"/>
          </w:p>
        </w:tc>
      </w:tr>
    </w:tbl>
    <w:p>
      <w:pPr>
        <w:wordWrap w:val="0"/>
        <w:topLinePunct/>
        <w:snapToGrid w:val="0"/>
        <w:spacing w:line="240" w:lineRule="atLeast"/>
        <w:ind w:right="-687" w:rightChars="-327"/>
        <w:outlineLvl w:val="1"/>
        <w:rPr>
          <w:rFonts w:hint="eastAsia" w:ascii="宋体" w:hAnsi="宋体" w:eastAsia="宋体" w:cs="宋体"/>
          <w:b/>
          <w:bCs/>
          <w:color w:val="auto"/>
          <w:sz w:val="21"/>
          <w:szCs w:val="21"/>
          <w:highlight w:val="none"/>
          <w:shd w:val="clear" w:color="auto" w:fill="auto"/>
        </w:rPr>
      </w:pPr>
    </w:p>
    <w:p>
      <w:pPr>
        <w:wordWrap w:val="0"/>
        <w:topLinePunct/>
        <w:snapToGrid w:val="0"/>
        <w:spacing w:line="360" w:lineRule="auto"/>
        <w:ind w:right="-687" w:rightChars="-327"/>
        <w:outlineLvl w:val="1"/>
        <w:rPr>
          <w:rFonts w:hint="eastAsia" w:ascii="宋体" w:hAnsi="宋体" w:eastAsia="宋体" w:cs="宋体"/>
          <w:b/>
          <w:bCs/>
          <w:color w:val="auto"/>
          <w:sz w:val="21"/>
          <w:szCs w:val="21"/>
          <w:highlight w:val="none"/>
          <w:shd w:val="clear" w:color="auto" w:fill="auto"/>
        </w:rPr>
      </w:pPr>
      <w:bookmarkStart w:id="274" w:name="_Toc19036"/>
      <w:r>
        <w:rPr>
          <w:rFonts w:hint="eastAsia" w:ascii="宋体" w:hAnsi="宋体" w:eastAsia="宋体" w:cs="宋体"/>
          <w:b/>
          <w:bCs/>
          <w:color w:val="auto"/>
          <w:sz w:val="21"/>
          <w:szCs w:val="21"/>
          <w:highlight w:val="none"/>
          <w:shd w:val="clear" w:color="auto" w:fill="auto"/>
        </w:rPr>
        <w:t>注：1.设计费报价为设计费计算依据表的总额。</w:t>
      </w:r>
      <w:bookmarkEnd w:id="274"/>
    </w:p>
    <w:p>
      <w:pPr>
        <w:wordWrap w:val="0"/>
        <w:topLinePunct/>
        <w:snapToGrid w:val="0"/>
        <w:spacing w:line="360" w:lineRule="auto"/>
        <w:ind w:right="-687" w:rightChars="-327"/>
        <w:outlineLvl w:val="1"/>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 xml:space="preserve">    </w:t>
      </w:r>
      <w:bookmarkStart w:id="275" w:name="_Toc3626"/>
      <w:r>
        <w:rPr>
          <w:rFonts w:hint="eastAsia" w:ascii="宋体" w:hAnsi="宋体" w:eastAsia="宋体" w:cs="宋体"/>
          <w:b/>
          <w:bCs/>
          <w:color w:val="auto"/>
          <w:sz w:val="21"/>
          <w:szCs w:val="21"/>
          <w:highlight w:val="none"/>
          <w:shd w:val="clear" w:color="auto" w:fill="auto"/>
        </w:rPr>
        <w:t>2.勘察费报价为岩土工程勘察费报价及计算依据表总额。</w:t>
      </w:r>
      <w:bookmarkEnd w:id="275"/>
    </w:p>
    <w:p>
      <w:pPr>
        <w:wordWrap w:val="0"/>
        <w:topLinePunct/>
        <w:snapToGrid w:val="0"/>
        <w:spacing w:line="360" w:lineRule="auto"/>
        <w:ind w:right="42" w:rightChars="20" w:firstLine="422" w:firstLineChars="200"/>
        <w:outlineLvl w:val="1"/>
        <w:rPr>
          <w:rFonts w:hint="eastAsia" w:ascii="宋体" w:hAnsi="宋体" w:eastAsia="宋体" w:cs="宋体"/>
          <w:b/>
          <w:bCs/>
          <w:color w:val="auto"/>
          <w:sz w:val="21"/>
          <w:szCs w:val="21"/>
          <w:highlight w:val="none"/>
          <w:shd w:val="clear" w:color="auto" w:fill="auto"/>
        </w:rPr>
      </w:pPr>
      <w:bookmarkStart w:id="276" w:name="_Toc11998"/>
      <w:r>
        <w:rPr>
          <w:rFonts w:hint="eastAsia" w:ascii="宋体" w:hAnsi="宋体" w:eastAsia="宋体" w:cs="宋体"/>
          <w:b/>
          <w:bCs/>
          <w:color w:val="auto"/>
          <w:sz w:val="21"/>
          <w:szCs w:val="21"/>
          <w:highlight w:val="none"/>
          <w:shd w:val="clear" w:color="auto" w:fill="auto"/>
        </w:rPr>
        <w:t>3.设计费报价不得超过设计费最高投标限价，勘察费报价不得超过勘察费最高投标限价。</w:t>
      </w:r>
      <w:bookmarkEnd w:id="276"/>
    </w:p>
    <w:p>
      <w:pPr>
        <w:wordWrap w:val="0"/>
        <w:topLinePunct/>
        <w:snapToGrid w:val="0"/>
        <w:spacing w:line="240" w:lineRule="atLeast"/>
        <w:ind w:left="50" w:leftChars="24" w:firstLine="241" w:firstLineChars="100"/>
        <w:outlineLvl w:val="1"/>
        <w:rPr>
          <w:rFonts w:hint="eastAsia" w:ascii="宋体" w:hAnsi="宋体" w:eastAsia="宋体" w:cs="宋体"/>
          <w:b/>
          <w:bCs/>
          <w:color w:val="auto"/>
          <w:sz w:val="24"/>
          <w:highlight w:val="none"/>
          <w:shd w:val="clear" w:color="auto" w:fill="auto"/>
        </w:rPr>
      </w:pPr>
    </w:p>
    <w:p>
      <w:pPr>
        <w:pStyle w:val="4"/>
        <w:spacing w:line="240" w:lineRule="auto"/>
        <w:jc w:val="center"/>
        <w:rPr>
          <w:rFonts w:hint="eastAsia" w:ascii="宋体" w:hAnsi="宋体" w:eastAsia="宋体" w:cs="宋体"/>
          <w:bCs w:val="0"/>
          <w:color w:val="auto"/>
          <w:sz w:val="32"/>
          <w:szCs w:val="32"/>
          <w:highlight w:val="none"/>
          <w:u w:val="wave"/>
          <w:shd w:val="clear" w:color="auto" w:fill="auto"/>
        </w:rPr>
      </w:pPr>
      <w:r>
        <w:rPr>
          <w:rFonts w:hint="eastAsia" w:ascii="宋体" w:hAnsi="宋体" w:eastAsia="宋体" w:cs="宋体"/>
          <w:color w:val="auto"/>
          <w:sz w:val="28"/>
          <w:szCs w:val="28"/>
          <w:highlight w:val="none"/>
          <w:shd w:val="clear" w:color="auto" w:fill="auto"/>
        </w:rPr>
        <w:br w:type="page"/>
      </w:r>
      <w:bookmarkStart w:id="277" w:name="_Toc444614028"/>
      <w:bookmarkStart w:id="278" w:name="_Toc505152709"/>
      <w:bookmarkStart w:id="279" w:name="_Toc480225672"/>
      <w:bookmarkStart w:id="280" w:name="_Toc10836"/>
      <w:r>
        <w:rPr>
          <w:rFonts w:hint="eastAsia" w:ascii="宋体" w:hAnsi="宋体" w:eastAsia="宋体" w:cs="宋体"/>
          <w:color w:val="auto"/>
          <w:sz w:val="32"/>
          <w:szCs w:val="32"/>
          <w:highlight w:val="none"/>
          <w:shd w:val="clear" w:color="auto" w:fill="auto"/>
        </w:rPr>
        <w:t xml:space="preserve">2-2  </w:t>
      </w:r>
      <w:r>
        <w:rPr>
          <w:rFonts w:hint="eastAsia" w:ascii="宋体" w:hAnsi="宋体" w:eastAsia="宋体" w:cs="宋体"/>
          <w:bCs w:val="0"/>
          <w:color w:val="auto"/>
          <w:sz w:val="32"/>
          <w:szCs w:val="32"/>
          <w:highlight w:val="none"/>
          <w:u w:val="wave"/>
          <w:shd w:val="clear" w:color="auto" w:fill="auto"/>
        </w:rPr>
        <w:t>设计费用报价及计算依据表</w:t>
      </w:r>
      <w:bookmarkEnd w:id="277"/>
      <w:bookmarkEnd w:id="278"/>
      <w:bookmarkEnd w:id="279"/>
      <w:bookmarkEnd w:id="280"/>
    </w:p>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子项项目名称：</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606"/>
        <w:gridCol w:w="1215"/>
        <w:gridCol w:w="1825"/>
        <w:gridCol w:w="1825"/>
        <w:gridCol w:w="1628"/>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序号</w:t>
            </w:r>
          </w:p>
        </w:tc>
        <w:tc>
          <w:tcPr>
            <w:tcW w:w="80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项目名称</w:t>
            </w:r>
          </w:p>
        </w:tc>
        <w:tc>
          <w:tcPr>
            <w:tcW w:w="610"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投资额</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工程设计收费基价（万元）</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调整系数</w:t>
            </w:r>
          </w:p>
        </w:tc>
        <w:tc>
          <w:tcPr>
            <w:tcW w:w="814"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基本设计费（万元）</w:t>
            </w:r>
          </w:p>
        </w:tc>
        <w:tc>
          <w:tcPr>
            <w:tcW w:w="620"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一</w:t>
            </w:r>
          </w:p>
        </w:tc>
        <w:tc>
          <w:tcPr>
            <w:tcW w:w="806" w:type="pct"/>
            <w:vAlign w:val="center"/>
          </w:tcPr>
          <w:p>
            <w:pPr>
              <w:wordWrap w:val="0"/>
              <w:topLinePunc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项目总投资</w:t>
            </w:r>
          </w:p>
        </w:tc>
        <w:tc>
          <w:tcPr>
            <w:tcW w:w="610"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A=</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L=</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1.0*1.0*1.0</w:t>
            </w:r>
          </w:p>
        </w:tc>
        <w:tc>
          <w:tcPr>
            <w:tcW w:w="814"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B=</w:t>
            </w:r>
          </w:p>
        </w:tc>
        <w:tc>
          <w:tcPr>
            <w:tcW w:w="620" w:type="pct"/>
            <w:vAlign w:val="center"/>
          </w:tcPr>
          <w:p>
            <w:pPr>
              <w:wordWrap w:val="0"/>
              <w:topLinePun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3"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p>
        </w:tc>
        <w:tc>
          <w:tcPr>
            <w:tcW w:w="80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道路工程</w:t>
            </w:r>
          </w:p>
        </w:tc>
        <w:tc>
          <w:tcPr>
            <w:tcW w:w="610"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C1=</w:t>
            </w:r>
          </w:p>
        </w:tc>
        <w:tc>
          <w:tcPr>
            <w:tcW w:w="916" w:type="pct"/>
            <w:vAlign w:val="center"/>
          </w:tcPr>
          <w:p>
            <w:pPr>
              <w:wordWrap w:val="0"/>
              <w:topLinePunct/>
              <w:ind w:firstLine="210" w:firstLineChars="1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C1/A*B=</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p>
        </w:tc>
        <w:tc>
          <w:tcPr>
            <w:tcW w:w="814"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D1</w:t>
            </w:r>
          </w:p>
        </w:tc>
        <w:tc>
          <w:tcPr>
            <w:tcW w:w="620" w:type="pct"/>
            <w:vAlign w:val="center"/>
          </w:tcPr>
          <w:p>
            <w:pPr>
              <w:wordWrap w:val="0"/>
              <w:topLinePun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3"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w:t>
            </w:r>
          </w:p>
        </w:tc>
        <w:tc>
          <w:tcPr>
            <w:tcW w:w="80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隧道工程</w:t>
            </w:r>
          </w:p>
        </w:tc>
        <w:tc>
          <w:tcPr>
            <w:tcW w:w="610"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C2=</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C2/A*B=</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p>
        </w:tc>
        <w:tc>
          <w:tcPr>
            <w:tcW w:w="814"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D2</w:t>
            </w:r>
          </w:p>
        </w:tc>
        <w:tc>
          <w:tcPr>
            <w:tcW w:w="620" w:type="pct"/>
            <w:vAlign w:val="center"/>
          </w:tcPr>
          <w:p>
            <w:pPr>
              <w:wordWrap w:val="0"/>
              <w:topLinePun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3"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w:t>
            </w:r>
          </w:p>
        </w:tc>
        <w:tc>
          <w:tcPr>
            <w:tcW w:w="80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排水工程</w:t>
            </w:r>
          </w:p>
        </w:tc>
        <w:tc>
          <w:tcPr>
            <w:tcW w:w="610"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C3=</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C3/A*B=</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p>
        </w:tc>
        <w:tc>
          <w:tcPr>
            <w:tcW w:w="814"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D3</w:t>
            </w:r>
          </w:p>
        </w:tc>
        <w:tc>
          <w:tcPr>
            <w:tcW w:w="620" w:type="pct"/>
            <w:vAlign w:val="center"/>
          </w:tcPr>
          <w:p>
            <w:pPr>
              <w:wordWrap w:val="0"/>
              <w:topLinePun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3"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w:t>
            </w:r>
          </w:p>
        </w:tc>
        <w:tc>
          <w:tcPr>
            <w:tcW w:w="806" w:type="pct"/>
            <w:vAlign w:val="center"/>
          </w:tcPr>
          <w:p>
            <w:pPr>
              <w:pStyle w:val="18"/>
              <w:wordWrap w:val="0"/>
              <w:topLinePunct/>
              <w:jc w:val="center"/>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供水工程</w:t>
            </w:r>
          </w:p>
        </w:tc>
        <w:tc>
          <w:tcPr>
            <w:tcW w:w="610"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C4=</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C4/A*B=</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p>
        </w:tc>
        <w:tc>
          <w:tcPr>
            <w:tcW w:w="814"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D4</w:t>
            </w:r>
          </w:p>
        </w:tc>
        <w:tc>
          <w:tcPr>
            <w:tcW w:w="620" w:type="pct"/>
            <w:vAlign w:val="center"/>
          </w:tcPr>
          <w:p>
            <w:pPr>
              <w:wordWrap w:val="0"/>
              <w:topLinePun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13"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w:t>
            </w:r>
          </w:p>
        </w:tc>
        <w:tc>
          <w:tcPr>
            <w:tcW w:w="806" w:type="pct"/>
            <w:vAlign w:val="center"/>
          </w:tcPr>
          <w:p>
            <w:pPr>
              <w:pStyle w:val="18"/>
              <w:wordWrap w:val="0"/>
              <w:topLinePunct/>
              <w:jc w:val="center"/>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电力及照明</w:t>
            </w:r>
          </w:p>
        </w:tc>
        <w:tc>
          <w:tcPr>
            <w:tcW w:w="610"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C5=</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C5/A*B=</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p>
        </w:tc>
        <w:tc>
          <w:tcPr>
            <w:tcW w:w="814"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D5</w:t>
            </w:r>
          </w:p>
        </w:tc>
        <w:tc>
          <w:tcPr>
            <w:tcW w:w="620" w:type="pct"/>
            <w:vAlign w:val="center"/>
          </w:tcPr>
          <w:p>
            <w:pPr>
              <w:wordWrap w:val="0"/>
              <w:topLinePun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13"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6</w:t>
            </w:r>
          </w:p>
        </w:tc>
        <w:tc>
          <w:tcPr>
            <w:tcW w:w="806" w:type="pct"/>
            <w:vAlign w:val="center"/>
          </w:tcPr>
          <w:p>
            <w:pPr>
              <w:pStyle w:val="18"/>
              <w:wordWrap w:val="0"/>
              <w:topLinePunct/>
              <w:jc w:val="center"/>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通信工程</w:t>
            </w:r>
          </w:p>
        </w:tc>
        <w:tc>
          <w:tcPr>
            <w:tcW w:w="610"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C6=</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C6/A*B=</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p>
        </w:tc>
        <w:tc>
          <w:tcPr>
            <w:tcW w:w="814"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D6</w:t>
            </w:r>
          </w:p>
        </w:tc>
        <w:tc>
          <w:tcPr>
            <w:tcW w:w="620" w:type="pct"/>
            <w:vAlign w:val="center"/>
          </w:tcPr>
          <w:p>
            <w:pPr>
              <w:wordWrap w:val="0"/>
              <w:topLinePun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3"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7</w:t>
            </w:r>
          </w:p>
        </w:tc>
        <w:tc>
          <w:tcPr>
            <w:tcW w:w="806" w:type="pct"/>
            <w:vAlign w:val="center"/>
          </w:tcPr>
          <w:p>
            <w:pPr>
              <w:pStyle w:val="18"/>
              <w:wordWrap w:val="0"/>
              <w:topLinePunct/>
              <w:jc w:val="center"/>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景观工程</w:t>
            </w:r>
          </w:p>
        </w:tc>
        <w:tc>
          <w:tcPr>
            <w:tcW w:w="610"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C7=</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C7/ A*B=</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p>
        </w:tc>
        <w:tc>
          <w:tcPr>
            <w:tcW w:w="814"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D7</w:t>
            </w:r>
          </w:p>
        </w:tc>
        <w:tc>
          <w:tcPr>
            <w:tcW w:w="620" w:type="pct"/>
            <w:vAlign w:val="center"/>
          </w:tcPr>
          <w:p>
            <w:pPr>
              <w:wordWrap w:val="0"/>
              <w:topLinePun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3"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8</w:t>
            </w:r>
          </w:p>
        </w:tc>
        <w:tc>
          <w:tcPr>
            <w:tcW w:w="806" w:type="pct"/>
            <w:vAlign w:val="center"/>
          </w:tcPr>
          <w:p>
            <w:pPr>
              <w:pStyle w:val="18"/>
              <w:wordWrap w:val="0"/>
              <w:topLinePunct/>
              <w:jc w:val="center"/>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交通工程</w:t>
            </w:r>
          </w:p>
        </w:tc>
        <w:tc>
          <w:tcPr>
            <w:tcW w:w="610"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C8=</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C8/ A*B=</w:t>
            </w: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p>
        </w:tc>
        <w:tc>
          <w:tcPr>
            <w:tcW w:w="814"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D8</w:t>
            </w:r>
          </w:p>
        </w:tc>
        <w:tc>
          <w:tcPr>
            <w:tcW w:w="620" w:type="pct"/>
            <w:vAlign w:val="center"/>
          </w:tcPr>
          <w:p>
            <w:pPr>
              <w:wordWrap w:val="0"/>
              <w:topLinePun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3"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p>
        </w:tc>
        <w:tc>
          <w:tcPr>
            <w:tcW w:w="806" w:type="pct"/>
            <w:vAlign w:val="center"/>
          </w:tcPr>
          <w:p>
            <w:pPr>
              <w:pStyle w:val="18"/>
              <w:wordWrap w:val="0"/>
              <w:topLinePunct/>
              <w:jc w:val="center"/>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w:t>
            </w:r>
          </w:p>
        </w:tc>
        <w:tc>
          <w:tcPr>
            <w:tcW w:w="610" w:type="pct"/>
            <w:vAlign w:val="center"/>
          </w:tcPr>
          <w:p>
            <w:pPr>
              <w:wordWrap w:val="0"/>
              <w:topLinePunct/>
              <w:jc w:val="center"/>
              <w:rPr>
                <w:rFonts w:hint="eastAsia" w:ascii="宋体" w:hAnsi="宋体" w:eastAsia="宋体" w:cs="宋体"/>
                <w:color w:val="auto"/>
                <w:szCs w:val="21"/>
                <w:highlight w:val="none"/>
                <w:shd w:val="clear" w:color="auto" w:fill="auto"/>
              </w:rPr>
            </w:pP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p>
        </w:tc>
        <w:tc>
          <w:tcPr>
            <w:tcW w:w="916" w:type="pct"/>
            <w:vAlign w:val="center"/>
          </w:tcPr>
          <w:p>
            <w:pPr>
              <w:wordWrap w:val="0"/>
              <w:topLinePunct/>
              <w:jc w:val="center"/>
              <w:rPr>
                <w:rFonts w:hint="eastAsia" w:ascii="宋体" w:hAnsi="宋体" w:eastAsia="宋体" w:cs="宋体"/>
                <w:color w:val="auto"/>
                <w:szCs w:val="21"/>
                <w:highlight w:val="none"/>
                <w:shd w:val="clear" w:color="auto" w:fill="auto"/>
              </w:rPr>
            </w:pPr>
          </w:p>
        </w:tc>
        <w:tc>
          <w:tcPr>
            <w:tcW w:w="814" w:type="pct"/>
            <w:vAlign w:val="center"/>
          </w:tcPr>
          <w:p>
            <w:pPr>
              <w:wordWrap w:val="0"/>
              <w:topLinePunct/>
              <w:jc w:val="center"/>
              <w:rPr>
                <w:rFonts w:hint="eastAsia" w:ascii="宋体" w:hAnsi="宋体" w:eastAsia="宋体" w:cs="宋体"/>
                <w:color w:val="auto"/>
                <w:szCs w:val="21"/>
                <w:highlight w:val="none"/>
                <w:shd w:val="clear" w:color="auto" w:fill="auto"/>
              </w:rPr>
            </w:pPr>
          </w:p>
        </w:tc>
        <w:tc>
          <w:tcPr>
            <w:tcW w:w="620" w:type="pct"/>
            <w:vAlign w:val="center"/>
          </w:tcPr>
          <w:p>
            <w:pPr>
              <w:wordWrap w:val="0"/>
              <w:topLinePun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13" w:type="pct"/>
            <w:vAlign w:val="center"/>
          </w:tcPr>
          <w:p>
            <w:pPr>
              <w:wordWrap w:val="0"/>
              <w:topLinePun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二</w:t>
            </w:r>
          </w:p>
        </w:tc>
        <w:tc>
          <w:tcPr>
            <w:tcW w:w="806" w:type="pct"/>
            <w:vAlign w:val="center"/>
          </w:tcPr>
          <w:p>
            <w:pPr>
              <w:pStyle w:val="18"/>
              <w:wordWrap w:val="0"/>
              <w:topLinePunct/>
              <w:jc w:val="center"/>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设计总收费</w:t>
            </w:r>
          </w:p>
        </w:tc>
        <w:tc>
          <w:tcPr>
            <w:tcW w:w="3259" w:type="pct"/>
            <w:gridSpan w:val="4"/>
            <w:vAlign w:val="center"/>
          </w:tcPr>
          <w:p>
            <w:pPr>
              <w:pStyle w:val="18"/>
              <w:wordWrap w:val="0"/>
              <w:topLinePunct/>
              <w:jc w:val="center"/>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（D1+D2+…+D8+...）*80%=</w:t>
            </w:r>
          </w:p>
        </w:tc>
        <w:tc>
          <w:tcPr>
            <w:tcW w:w="620" w:type="pct"/>
            <w:vAlign w:val="center"/>
          </w:tcPr>
          <w:p>
            <w:pPr>
              <w:pStyle w:val="18"/>
              <w:wordWrap w:val="0"/>
              <w:topLinePunct/>
              <w:jc w:val="center"/>
              <w:rPr>
                <w:rFonts w:hint="eastAsia" w:ascii="宋体" w:hAnsi="宋体" w:eastAsia="宋体" w:cs="宋体"/>
                <w:color w:val="auto"/>
                <w:kern w:val="2"/>
                <w:sz w:val="21"/>
                <w:szCs w:val="21"/>
                <w:highlight w:val="none"/>
                <w:shd w:val="clear" w:color="auto" w:fill="auto"/>
              </w:rPr>
            </w:pPr>
          </w:p>
        </w:tc>
      </w:tr>
    </w:tbl>
    <w:p>
      <w:pPr>
        <w:wordWrap w:val="0"/>
        <w:topLinePun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本表格根据国家计委、建设部颁发的《工程勘察设计收费标准》（计价格[2002]10号）及穗开财字【2014】53号文下浮20%计取，各单项基本设计收费=各单项工程设计收费基价×专业调整系数×工程复杂程度调整系数×附加调整系数。专业调整系数分别定为：道路0.9，隧道1.1，其他专业 1.0；复杂程度调整系数定为1.0；附加调整系数为1.0。</w:t>
      </w:r>
    </w:p>
    <w:p>
      <w:pPr>
        <w:wordWrap w:val="0"/>
        <w:topLinePun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本项目涉及的土地平整工程土石方平衡设计设计费按广州开发区财政局文件（（穗开财建函【2011】520号）规定，土石方平衡设计费用低于1万元的，按1万元以内控制，超过15万元的，按15万元控制；涉及的边坡支护设计国家计委、建设部颁发的《工程勘察设计收费标准》（计价格[2002]10号）及穗开财字【2014】53号文下浮20%计取，复杂程度调整系数定为：1.0；专业调整系数分别定为：1.0；附加调整系数定为1.0。</w:t>
      </w:r>
    </w:p>
    <w:p>
      <w:pPr>
        <w:wordWrap w:val="0"/>
        <w:topLinePunct/>
        <w:ind w:firstLine="411" w:firstLineChars="196"/>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szCs w:val="21"/>
          <w:highlight w:val="none"/>
          <w:shd w:val="clear" w:color="auto" w:fill="auto"/>
        </w:rPr>
        <w:t>本工程设计费计取方式：</w:t>
      </w:r>
      <w:r>
        <w:rPr>
          <w:rFonts w:hint="eastAsia" w:ascii="宋体" w:hAnsi="宋体" w:eastAsia="宋体" w:cs="宋体"/>
          <w:color w:val="auto"/>
          <w:kern w:val="0"/>
          <w:szCs w:val="21"/>
          <w:highlight w:val="none"/>
          <w:shd w:val="clear" w:color="auto" w:fill="auto"/>
        </w:rPr>
        <w:t>先以整个建设项目的建筑安装工程费（A）为计费基数,三个系数均按照1.0，计算一个总的设计费（B）；再根据各单项工程（或专业）对应的概算批复建筑安装工程费（Ci）及对应需要调整的系数，计算相应单项工程（或专业）的设计费：Di= Ci/A×B×相应调整的系数，最后汇总各单项工程（或专业）的设计费即为建设项目最终应计取的设计费E=∑Di ×(1-下浮系数)。</w:t>
      </w:r>
    </w:p>
    <w:p>
      <w:pPr>
        <w:tabs>
          <w:tab w:val="left" w:pos="1467"/>
        </w:tabs>
        <w:wordWrap w:val="0"/>
        <w:topLinePunc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ab/>
      </w:r>
    </w:p>
    <w:p>
      <w:pPr>
        <w:wordWrap w:val="0"/>
        <w:topLinePunct/>
        <w:rPr>
          <w:rFonts w:hint="eastAsia" w:ascii="宋体" w:hAnsi="宋体" w:eastAsia="宋体" w:cs="宋体"/>
          <w:color w:val="auto"/>
          <w:szCs w:val="21"/>
          <w:highlight w:val="none"/>
          <w:u w:val="wave"/>
          <w:shd w:val="clear" w:color="auto" w:fill="auto"/>
        </w:rPr>
      </w:pPr>
    </w:p>
    <w:p>
      <w:pPr>
        <w:wordWrap w:val="0"/>
        <w:topLinePunct/>
        <w:rPr>
          <w:rFonts w:hint="eastAsia" w:ascii="宋体" w:hAnsi="宋体" w:eastAsia="宋体" w:cs="宋体"/>
          <w:color w:val="auto"/>
          <w:szCs w:val="21"/>
          <w:highlight w:val="none"/>
          <w:u w:val="wave"/>
          <w:shd w:val="clear" w:color="auto" w:fill="auto"/>
        </w:rPr>
      </w:pPr>
      <w:r>
        <w:rPr>
          <w:rFonts w:hint="eastAsia" w:ascii="宋体" w:hAnsi="宋体" w:eastAsia="宋体" w:cs="宋体"/>
          <w:color w:val="auto"/>
          <w:szCs w:val="21"/>
          <w:highlight w:val="none"/>
          <w:u w:val="wave"/>
          <w:shd w:val="clear" w:color="auto" w:fill="auto"/>
        </w:rPr>
        <w:t>注：投标人需按</w:t>
      </w:r>
      <w:r>
        <w:rPr>
          <w:rFonts w:hint="eastAsia" w:ascii="宋体" w:hAnsi="宋体" w:eastAsia="宋体" w:cs="宋体"/>
          <w:color w:val="auto"/>
          <w:szCs w:val="21"/>
          <w:highlight w:val="none"/>
          <w:shd w:val="clear" w:color="auto" w:fill="auto"/>
        </w:rPr>
        <w:t>子项</w:t>
      </w:r>
      <w:r>
        <w:rPr>
          <w:rFonts w:hint="eastAsia" w:ascii="宋体" w:hAnsi="宋体" w:eastAsia="宋体" w:cs="宋体"/>
          <w:color w:val="auto"/>
          <w:szCs w:val="21"/>
          <w:highlight w:val="none"/>
          <w:u w:val="wave"/>
          <w:shd w:val="clear" w:color="auto" w:fill="auto"/>
        </w:rPr>
        <w:t>项目名称报价，可根据具体实际情况增减项目。《设计费用报价及计算依据表》每子项单独报价，共计</w:t>
      </w:r>
      <w:r>
        <w:rPr>
          <w:rFonts w:hint="eastAsia" w:ascii="宋体" w:hAnsi="宋体" w:eastAsia="宋体" w:cs="宋体"/>
          <w:color w:val="auto"/>
          <w:szCs w:val="21"/>
          <w:highlight w:val="none"/>
          <w:u w:val="wave"/>
          <w:shd w:val="clear" w:color="auto" w:fill="auto"/>
          <w:lang w:val="en-US" w:eastAsia="zh-CN"/>
        </w:rPr>
        <w:t>7</w:t>
      </w:r>
      <w:r>
        <w:rPr>
          <w:rFonts w:hint="eastAsia" w:ascii="宋体" w:hAnsi="宋体" w:eastAsia="宋体" w:cs="宋体"/>
          <w:color w:val="auto"/>
          <w:szCs w:val="21"/>
          <w:highlight w:val="none"/>
          <w:u w:val="wave"/>
          <w:shd w:val="clear" w:color="auto" w:fill="auto"/>
        </w:rPr>
        <w:t>项子项报价。</w:t>
      </w:r>
    </w:p>
    <w:p>
      <w:pPr>
        <w:wordWrap w:val="0"/>
        <w:topLinePunct/>
        <w:rPr>
          <w:rFonts w:hint="eastAsia" w:ascii="宋体" w:hAnsi="宋体" w:eastAsia="宋体" w:cs="宋体"/>
          <w:color w:val="auto"/>
          <w:szCs w:val="21"/>
          <w:highlight w:val="none"/>
          <w:u w:val="wave"/>
          <w:shd w:val="clear" w:color="auto" w:fill="auto"/>
        </w:rPr>
      </w:pPr>
    </w:p>
    <w:p>
      <w:pPr>
        <w:jc w:val="center"/>
        <w:rPr>
          <w:rFonts w:hint="eastAsia" w:ascii="宋体" w:hAnsi="宋体" w:eastAsia="宋体" w:cs="宋体"/>
          <w:b/>
          <w:bCs/>
          <w:color w:val="auto"/>
          <w:sz w:val="32"/>
          <w:highlight w:val="none"/>
          <w:u w:val="wave"/>
          <w:shd w:val="clear" w:color="auto" w:fill="auto"/>
        </w:rPr>
      </w:pPr>
      <w:r>
        <w:rPr>
          <w:rFonts w:hint="eastAsia" w:ascii="宋体" w:hAnsi="宋体" w:eastAsia="宋体" w:cs="宋体"/>
          <w:b/>
          <w:bCs/>
          <w:color w:val="auto"/>
          <w:sz w:val="21"/>
          <w:szCs w:val="21"/>
          <w:highlight w:val="none"/>
          <w:shd w:val="clear" w:color="auto" w:fill="auto"/>
        </w:rPr>
        <w:br w:type="page"/>
      </w:r>
      <w:r>
        <w:rPr>
          <w:rFonts w:hint="eastAsia" w:ascii="宋体" w:hAnsi="宋体" w:eastAsia="宋体" w:cs="宋体"/>
          <w:b/>
          <w:bCs/>
          <w:color w:val="auto"/>
          <w:sz w:val="32"/>
          <w:szCs w:val="32"/>
          <w:highlight w:val="none"/>
          <w:shd w:val="clear" w:color="auto" w:fill="auto"/>
        </w:rPr>
        <w:t xml:space="preserve">2-3  </w:t>
      </w:r>
      <w:r>
        <w:rPr>
          <w:rFonts w:hint="eastAsia" w:ascii="宋体" w:hAnsi="宋体" w:eastAsia="宋体" w:cs="宋体"/>
          <w:b/>
          <w:bCs/>
          <w:color w:val="auto"/>
          <w:sz w:val="32"/>
          <w:szCs w:val="32"/>
          <w:highlight w:val="none"/>
          <w:u w:val="wave"/>
          <w:shd w:val="clear" w:color="auto" w:fill="auto"/>
        </w:rPr>
        <w:t>勘探费报价及计算依据表</w:t>
      </w:r>
    </w:p>
    <w:p>
      <w:pPr>
        <w:pStyle w:val="368"/>
        <w:jc w:val="left"/>
        <w:rPr>
          <w:rFonts w:hint="eastAsia" w:ascii="宋体" w:hAnsi="宋体" w:eastAsia="宋体" w:cs="宋体"/>
          <w:color w:val="auto"/>
          <w:szCs w:val="21"/>
          <w:highlight w:val="none"/>
          <w:shd w:val="clear" w:color="auto" w:fill="auto"/>
        </w:rPr>
      </w:pPr>
      <w:r>
        <w:rPr>
          <w:rFonts w:hint="eastAsia" w:ascii="宋体" w:hAnsi="宋体" w:eastAsia="宋体" w:cs="宋体"/>
          <w:b w:val="0"/>
          <w:bCs/>
          <w:color w:val="auto"/>
          <w:szCs w:val="21"/>
          <w:highlight w:val="none"/>
          <w:shd w:val="clear" w:color="auto" w:fill="auto"/>
        </w:rPr>
        <w:t>子项项目名称：</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405"/>
        <w:gridCol w:w="2812"/>
        <w:gridCol w:w="2208"/>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序号</w:t>
            </w:r>
          </w:p>
        </w:tc>
        <w:tc>
          <w:tcPr>
            <w:tcW w:w="2116" w:type="pct"/>
            <w:gridSpan w:val="2"/>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勘探费</w:t>
            </w:r>
          </w:p>
        </w:tc>
        <w:tc>
          <w:tcPr>
            <w:tcW w:w="1108"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投标值</w:t>
            </w: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p>
        </w:tc>
        <w:tc>
          <w:tcPr>
            <w:tcW w:w="705" w:type="pct"/>
            <w:vMerge w:val="restar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一般场地道路工程、房建工程</w:t>
            </w: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每米综合包干单价（元）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暂定工程量（米）</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暂定勘探费（元）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w:t>
            </w:r>
          </w:p>
        </w:tc>
        <w:tc>
          <w:tcPr>
            <w:tcW w:w="705" w:type="pct"/>
            <w:vMerge w:val="restar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山上道路工程、房建工程</w:t>
            </w: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每米综合包干单价（元）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暂定工程量（米）</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6</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暂定勘探费（元）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7</w:t>
            </w:r>
          </w:p>
        </w:tc>
        <w:tc>
          <w:tcPr>
            <w:tcW w:w="705" w:type="pct"/>
            <w:vMerge w:val="restar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水上道路工程</w:t>
            </w: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每米综合包干单价（元）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8</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暂定工程量（米）</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9</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暂定勘探费（元）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10</w:t>
            </w:r>
          </w:p>
        </w:tc>
        <w:tc>
          <w:tcPr>
            <w:tcW w:w="705" w:type="pct"/>
            <w:vMerge w:val="restar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一般场地桥梁工程</w:t>
            </w: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每米综合包干单价（元）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11</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暂定工程量（米）</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12</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暂定勘探费（元）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13</w:t>
            </w:r>
          </w:p>
        </w:tc>
        <w:tc>
          <w:tcPr>
            <w:tcW w:w="705" w:type="pct"/>
            <w:vMerge w:val="restar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山上水上桥梁工程</w:t>
            </w: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每米综合包干单价（元）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14</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暂定工程量（米）</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15</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暂定勘探费（元）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15=13×14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16</w:t>
            </w:r>
          </w:p>
        </w:tc>
        <w:tc>
          <w:tcPr>
            <w:tcW w:w="705" w:type="pct"/>
            <w:vMerge w:val="restar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跨江、河</w:t>
            </w:r>
          </w:p>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桥梁工程</w:t>
            </w: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每米综合包干单价（元）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17</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暂定工程量（米）</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18</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暂定勘探费（元）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18=16×17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19</w:t>
            </w:r>
          </w:p>
        </w:tc>
        <w:tc>
          <w:tcPr>
            <w:tcW w:w="705" w:type="pct"/>
            <w:vMerge w:val="restar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过山隧道工程</w:t>
            </w: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每米综合包干单价（元）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20</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暂定工程量（米）</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21</w:t>
            </w:r>
          </w:p>
        </w:tc>
        <w:tc>
          <w:tcPr>
            <w:tcW w:w="705" w:type="pct"/>
            <w:vMerge w:val="continue"/>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暂定勘探费（元）</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21=19×20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62"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22</w:t>
            </w:r>
          </w:p>
        </w:tc>
        <w:tc>
          <w:tcPr>
            <w:tcW w:w="2116" w:type="pct"/>
            <w:gridSpan w:val="2"/>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合计</w:t>
            </w:r>
          </w:p>
        </w:tc>
        <w:tc>
          <w:tcPr>
            <w:tcW w:w="1108" w:type="pct"/>
            <w:vAlign w:val="center"/>
          </w:tcPr>
          <w:p>
            <w:pPr>
              <w:jc w:val="center"/>
              <w:rPr>
                <w:rFonts w:hint="eastAsia" w:ascii="宋体" w:hAnsi="宋体" w:eastAsia="宋体" w:cs="宋体"/>
                <w:color w:val="auto"/>
                <w:szCs w:val="21"/>
                <w:highlight w:val="none"/>
                <w:shd w:val="clear" w:color="auto" w:fill="auto"/>
              </w:rPr>
            </w:pPr>
          </w:p>
        </w:tc>
        <w:tc>
          <w:tcPr>
            <w:tcW w:w="1411" w:type="pct"/>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22=3+6+9+12+15+18+21</w:t>
            </w:r>
          </w:p>
        </w:tc>
      </w:tr>
    </w:tbl>
    <w:p>
      <w:pPr>
        <w:pStyle w:val="18"/>
        <w:rPr>
          <w:rFonts w:hint="eastAsia" w:ascii="宋体" w:hAnsi="宋体" w:eastAsia="宋体" w:cs="宋体"/>
          <w:bCs/>
          <w:color w:val="auto"/>
          <w:sz w:val="21"/>
          <w:szCs w:val="21"/>
          <w:highlight w:val="none"/>
          <w:u w:val="single"/>
          <w:shd w:val="clear" w:color="auto" w:fill="auto"/>
        </w:rPr>
      </w:pPr>
    </w:p>
    <w:p>
      <w:pPr>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注1、勘探收费须按国家发展计划委员会、建设部2002年颁布的《工程勘察设计收费标准》、《关于广州开发区、萝岗区财政投资基本建设项目前期费用取费办法的意见》（穗开财字【2014】53号）、广州开发区财政局《关于调整我区岩土工程勘察费取费标准的复函》（穗开财函[2013]615号）及穗开建管[2014]1号文标准计取。</w:t>
      </w:r>
    </w:p>
    <w:p>
      <w:pPr>
        <w:ind w:firstLine="315" w:firstLineChars="15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2、投标人需严格按表中勘探费计算依据所列项目报价，不得增减分项目，否则属于投标报价不符合招标文件规定。如投标人认为计算依据所列项目中的某一项不需计算，投标报价应为“0”。</w:t>
      </w:r>
    </w:p>
    <w:p>
      <w:pPr>
        <w:ind w:firstLine="210" w:firstLineChars="1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3、最终勘探内容和工作量以招标人根据现场实际情况确认为准。</w:t>
      </w:r>
    </w:p>
    <w:p>
      <w:pPr>
        <w:ind w:firstLine="210" w:firstLineChars="1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4、投标人需按子项项目名称报价，可根据具体实际情况增减项目。《勘探费报价及计算依据表》每子项单独报价，共计</w:t>
      </w:r>
      <w:r>
        <w:rPr>
          <w:rFonts w:hint="eastAsia" w:ascii="宋体" w:hAnsi="宋体" w:eastAsia="宋体" w:cs="宋体"/>
          <w:color w:val="auto"/>
          <w:szCs w:val="21"/>
          <w:highlight w:val="none"/>
          <w:shd w:val="clear" w:color="auto" w:fill="auto"/>
          <w:lang w:val="en-US" w:eastAsia="zh-CN"/>
        </w:rPr>
        <w:t>7</w:t>
      </w:r>
      <w:r>
        <w:rPr>
          <w:rFonts w:hint="eastAsia" w:ascii="宋体" w:hAnsi="宋体" w:eastAsia="宋体" w:cs="宋体"/>
          <w:color w:val="auto"/>
          <w:szCs w:val="21"/>
          <w:highlight w:val="none"/>
          <w:u w:val="wave"/>
          <w:shd w:val="clear" w:color="auto" w:fill="auto"/>
        </w:rPr>
        <w:t>项</w:t>
      </w:r>
      <w:r>
        <w:rPr>
          <w:rFonts w:hint="eastAsia" w:ascii="宋体" w:hAnsi="宋体" w:eastAsia="宋体" w:cs="宋体"/>
          <w:color w:val="auto"/>
          <w:szCs w:val="21"/>
          <w:highlight w:val="none"/>
          <w:shd w:val="clear" w:color="auto" w:fill="auto"/>
        </w:rPr>
        <w:t>子项报价。</w:t>
      </w:r>
    </w:p>
    <w:p>
      <w:pPr>
        <w:wordWrap w:val="0"/>
        <w:topLinePunct/>
        <w:snapToGrid w:val="0"/>
        <w:jc w:val="center"/>
        <w:outlineLvl w:val="1"/>
        <w:rPr>
          <w:rFonts w:hint="eastAsia" w:ascii="宋体" w:hAnsi="宋体" w:eastAsia="宋体" w:cs="宋体"/>
          <w:b/>
          <w:color w:val="auto"/>
          <w:sz w:val="28"/>
          <w:szCs w:val="28"/>
          <w:highlight w:val="none"/>
          <w:u w:val="wave"/>
          <w:shd w:val="clear" w:color="auto" w:fill="auto"/>
        </w:rPr>
      </w:pPr>
      <w:bookmarkStart w:id="281" w:name="_Toc444614032"/>
      <w:bookmarkStart w:id="282" w:name="_Toc480225675"/>
      <w:bookmarkStart w:id="283" w:name="_Toc505152712"/>
    </w:p>
    <w:p>
      <w:pPr>
        <w:wordWrap w:val="0"/>
        <w:topLinePunct/>
        <w:snapToGrid w:val="0"/>
        <w:jc w:val="center"/>
        <w:outlineLvl w:val="1"/>
        <w:rPr>
          <w:rFonts w:hint="eastAsia" w:ascii="宋体" w:hAnsi="宋体" w:eastAsia="宋体" w:cs="宋体"/>
          <w:b/>
          <w:color w:val="auto"/>
          <w:sz w:val="28"/>
          <w:szCs w:val="28"/>
          <w:highlight w:val="none"/>
          <w:u w:val="wave"/>
          <w:shd w:val="clear" w:color="auto" w:fill="auto"/>
        </w:rPr>
      </w:pPr>
    </w:p>
    <w:p>
      <w:pPr>
        <w:wordWrap w:val="0"/>
        <w:topLinePunct/>
        <w:snapToGrid w:val="0"/>
        <w:jc w:val="center"/>
        <w:outlineLvl w:val="1"/>
        <w:rPr>
          <w:rFonts w:hint="eastAsia" w:ascii="宋体" w:hAnsi="宋体" w:eastAsia="宋体" w:cs="宋体"/>
          <w:b/>
          <w:color w:val="auto"/>
          <w:sz w:val="32"/>
          <w:szCs w:val="32"/>
          <w:highlight w:val="none"/>
          <w:u w:val="wave"/>
          <w:shd w:val="clear" w:color="auto" w:fill="auto"/>
        </w:rPr>
      </w:pPr>
      <w:bookmarkStart w:id="284" w:name="_Toc31088"/>
      <w:r>
        <w:rPr>
          <w:rFonts w:hint="eastAsia" w:ascii="宋体" w:hAnsi="宋体" w:eastAsia="宋体" w:cs="宋体"/>
          <w:b/>
          <w:color w:val="auto"/>
          <w:sz w:val="32"/>
          <w:szCs w:val="32"/>
          <w:highlight w:val="none"/>
          <w:u w:val="wave"/>
          <w:shd w:val="clear" w:color="auto" w:fill="auto"/>
        </w:rPr>
        <w:t>2-4  测量费报价及计算依据表</w:t>
      </w:r>
      <w:bookmarkEnd w:id="281"/>
      <w:bookmarkEnd w:id="282"/>
      <w:bookmarkEnd w:id="283"/>
      <w:bookmarkEnd w:id="284"/>
    </w:p>
    <w:p>
      <w:pPr>
        <w:pStyle w:val="368"/>
        <w:jc w:val="left"/>
        <w:rPr>
          <w:rFonts w:hint="eastAsia" w:ascii="宋体" w:hAnsi="宋体" w:eastAsia="宋体" w:cs="宋体"/>
          <w:b w:val="0"/>
          <w:bCs/>
          <w:color w:val="auto"/>
          <w:szCs w:val="21"/>
          <w:highlight w:val="none"/>
          <w:shd w:val="clear" w:color="auto" w:fill="auto"/>
        </w:rPr>
      </w:pPr>
      <w:r>
        <w:rPr>
          <w:rFonts w:hint="eastAsia" w:ascii="宋体" w:hAnsi="宋体" w:eastAsia="宋体" w:cs="宋体"/>
          <w:b w:val="0"/>
          <w:bCs/>
          <w:color w:val="auto"/>
          <w:szCs w:val="21"/>
          <w:highlight w:val="none"/>
          <w:shd w:val="clear" w:color="auto" w:fill="auto"/>
        </w:rPr>
        <w:t>子项项目名称：</w:t>
      </w:r>
    </w:p>
    <w:tbl>
      <w:tblPr>
        <w:tblStyle w:val="5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3090"/>
        <w:gridCol w:w="725"/>
        <w:gridCol w:w="719"/>
        <w:gridCol w:w="818"/>
        <w:gridCol w:w="1350"/>
        <w:gridCol w:w="116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序号</w:t>
            </w:r>
          </w:p>
        </w:tc>
        <w:tc>
          <w:tcPr>
            <w:tcW w:w="1552"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工作项目</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系数</w:t>
            </w: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数量</w:t>
            </w: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单位</w:t>
            </w: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单价（元）</w:t>
            </w:r>
          </w:p>
        </w:tc>
        <w:tc>
          <w:tcPr>
            <w:tcW w:w="58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金额（元）</w:t>
            </w:r>
          </w:p>
        </w:tc>
        <w:tc>
          <w:tcPr>
            <w:tcW w:w="664" w:type="pct"/>
            <w:tcBorders>
              <w:top w:val="single" w:color="auto" w:sz="4" w:space="0"/>
              <w:left w:val="nil"/>
              <w:bottom w:val="single" w:color="auto" w:sz="4" w:space="0"/>
              <w:right w:val="single" w:color="auto" w:sz="4" w:space="0"/>
            </w:tcBorders>
            <w:vAlign w:val="center"/>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b/>
                <w:color w:val="auto"/>
                <w:kern w:val="0"/>
                <w:sz w:val="21"/>
                <w:szCs w:val="21"/>
                <w:highlight w:val="none"/>
                <w:shd w:val="clear" w:color="auto" w:fill="auto"/>
              </w:rPr>
            </w:pPr>
            <w:r>
              <w:rPr>
                <w:rFonts w:hint="eastAsia" w:ascii="宋体" w:hAnsi="宋体" w:eastAsia="宋体" w:cs="宋体"/>
                <w:b/>
                <w:color w:val="auto"/>
                <w:kern w:val="0"/>
                <w:sz w:val="21"/>
                <w:szCs w:val="21"/>
                <w:highlight w:val="none"/>
                <w:shd w:val="clear" w:color="auto" w:fill="auto"/>
              </w:rPr>
              <w:t>一</w:t>
            </w:r>
          </w:p>
        </w:tc>
        <w:tc>
          <w:tcPr>
            <w:tcW w:w="1552" w:type="pct"/>
            <w:tcBorders>
              <w:top w:val="single" w:color="auto" w:sz="4" w:space="0"/>
              <w:left w:val="nil"/>
              <w:bottom w:val="single" w:color="auto" w:sz="4" w:space="0"/>
              <w:right w:val="single" w:color="auto" w:sz="4" w:space="0"/>
            </w:tcBorders>
          </w:tcPr>
          <w:p>
            <w:pPr>
              <w:widowControl/>
              <w:wordWrap w:val="0"/>
              <w:topLinePunct/>
              <w:ind w:firstLine="422" w:firstLineChars="200"/>
              <w:rPr>
                <w:rFonts w:hint="eastAsia" w:ascii="宋体" w:hAnsi="宋体" w:eastAsia="宋体" w:cs="宋体"/>
                <w:b/>
                <w:color w:val="auto"/>
                <w:kern w:val="0"/>
                <w:sz w:val="21"/>
                <w:szCs w:val="21"/>
                <w:highlight w:val="none"/>
                <w:shd w:val="clear" w:color="auto" w:fill="auto"/>
              </w:rPr>
            </w:pPr>
            <w:r>
              <w:rPr>
                <w:rFonts w:hint="eastAsia" w:ascii="宋体" w:hAnsi="宋体" w:eastAsia="宋体" w:cs="宋体"/>
                <w:b/>
                <w:color w:val="auto"/>
                <w:kern w:val="0"/>
                <w:sz w:val="21"/>
                <w:szCs w:val="21"/>
                <w:highlight w:val="none"/>
                <w:shd w:val="clear" w:color="auto" w:fill="auto"/>
              </w:rPr>
              <w:t>测量费计算</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tcBorders>
              <w:top w:val="single" w:color="auto" w:sz="4" w:space="0"/>
              <w:left w:val="nil"/>
              <w:bottom w:val="single" w:color="auto" w:sz="4" w:space="0"/>
              <w:right w:val="single" w:color="auto" w:sz="4" w:space="0"/>
            </w:tcBorders>
            <w:vAlign w:val="center"/>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nil"/>
              <w:left w:val="single" w:color="auto" w:sz="8"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1552" w:type="pct"/>
            <w:tcBorders>
              <w:top w:val="nil"/>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E级GPS测量</w:t>
            </w:r>
          </w:p>
        </w:tc>
        <w:tc>
          <w:tcPr>
            <w:tcW w:w="36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restart"/>
            <w:tcBorders>
              <w:top w:val="nil"/>
              <w:left w:val="nil"/>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nil"/>
              <w:left w:val="single" w:color="auto" w:sz="8"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w:t>
            </w:r>
          </w:p>
        </w:tc>
        <w:tc>
          <w:tcPr>
            <w:tcW w:w="1552" w:type="pct"/>
            <w:tcBorders>
              <w:top w:val="nil"/>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图根控制点</w:t>
            </w:r>
          </w:p>
        </w:tc>
        <w:tc>
          <w:tcPr>
            <w:tcW w:w="36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nil"/>
              <w:right w:val="single" w:color="auto" w:sz="8" w:space="0"/>
            </w:tcBorders>
            <w:vAlign w:val="center"/>
          </w:tcPr>
          <w:p>
            <w:pPr>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nil"/>
              <w:left w:val="single" w:color="auto" w:sz="8"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w:t>
            </w:r>
          </w:p>
        </w:tc>
        <w:tc>
          <w:tcPr>
            <w:tcW w:w="1552" w:type="pct"/>
            <w:tcBorders>
              <w:top w:val="nil"/>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Ⅳ等水准测量</w:t>
            </w:r>
          </w:p>
        </w:tc>
        <w:tc>
          <w:tcPr>
            <w:tcW w:w="36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nil"/>
              <w:right w:val="single" w:color="auto" w:sz="8" w:space="0"/>
            </w:tcBorders>
            <w:vAlign w:val="center"/>
          </w:tcPr>
          <w:p>
            <w:pPr>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nil"/>
              <w:left w:val="single" w:color="auto" w:sz="8"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4</w:t>
            </w:r>
          </w:p>
        </w:tc>
        <w:tc>
          <w:tcPr>
            <w:tcW w:w="1552" w:type="pct"/>
            <w:tcBorders>
              <w:top w:val="nil"/>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图根水准测量</w:t>
            </w:r>
          </w:p>
        </w:tc>
        <w:tc>
          <w:tcPr>
            <w:tcW w:w="36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nil"/>
              <w:right w:val="single" w:color="auto" w:sz="8" w:space="0"/>
            </w:tcBorders>
            <w:vAlign w:val="center"/>
          </w:tcPr>
          <w:p>
            <w:pPr>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nil"/>
              <w:left w:val="single" w:color="auto" w:sz="8"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5</w:t>
            </w:r>
          </w:p>
        </w:tc>
        <w:tc>
          <w:tcPr>
            <w:tcW w:w="1552" w:type="pct"/>
            <w:tcBorders>
              <w:top w:val="nil"/>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1：500数字化地形图（一般区）</w:t>
            </w:r>
          </w:p>
        </w:tc>
        <w:tc>
          <w:tcPr>
            <w:tcW w:w="36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nil"/>
              <w:left w:val="nil"/>
              <w:bottom w:val="single" w:color="auto" w:sz="4" w:space="0"/>
              <w:right w:val="single" w:color="auto" w:sz="4" w:space="0"/>
            </w:tcBorders>
            <w:vAlign w:val="center"/>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nil"/>
              <w:right w:val="single" w:color="auto" w:sz="8" w:space="0"/>
            </w:tcBorders>
            <w:vAlign w:val="center"/>
          </w:tcPr>
          <w:p>
            <w:pPr>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nil"/>
              <w:left w:val="single" w:color="auto" w:sz="8"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6</w:t>
            </w:r>
          </w:p>
        </w:tc>
        <w:tc>
          <w:tcPr>
            <w:tcW w:w="1552" w:type="pct"/>
            <w:tcBorders>
              <w:top w:val="nil"/>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1：500数字化地形图（建筑区）</w:t>
            </w:r>
          </w:p>
        </w:tc>
        <w:tc>
          <w:tcPr>
            <w:tcW w:w="36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nil"/>
              <w:left w:val="nil"/>
              <w:bottom w:val="single" w:color="auto" w:sz="4" w:space="0"/>
              <w:right w:val="single" w:color="auto" w:sz="4" w:space="0"/>
            </w:tcBorders>
            <w:vAlign w:val="center"/>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sz w:val="21"/>
                <w:szCs w:val="21"/>
                <w:highlight w:val="none"/>
                <w:shd w:val="clear" w:color="auto" w:fill="auto"/>
              </w:rPr>
            </w:pPr>
          </w:p>
        </w:tc>
        <w:tc>
          <w:tcPr>
            <w:tcW w:w="664" w:type="pct"/>
            <w:vMerge w:val="continue"/>
            <w:tcBorders>
              <w:left w:val="nil"/>
              <w:right w:val="single" w:color="auto" w:sz="8" w:space="0"/>
            </w:tcBorders>
            <w:vAlign w:val="center"/>
          </w:tcPr>
          <w:p>
            <w:pPr>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nil"/>
              <w:left w:val="single" w:color="auto" w:sz="8" w:space="0"/>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w:t>
            </w:r>
          </w:p>
        </w:tc>
        <w:tc>
          <w:tcPr>
            <w:tcW w:w="1552" w:type="pct"/>
            <w:tcBorders>
              <w:top w:val="nil"/>
              <w:left w:val="nil"/>
              <w:bottom w:val="single" w:color="auto" w:sz="4" w:space="0"/>
              <w:right w:val="single" w:color="auto" w:sz="4" w:space="0"/>
            </w:tcBorders>
          </w:tcPr>
          <w:p>
            <w:pPr>
              <w:wordWrap w:val="0"/>
              <w:topLinePun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定测中桩施放</w:t>
            </w:r>
          </w:p>
        </w:tc>
        <w:tc>
          <w:tcPr>
            <w:tcW w:w="364"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361"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411"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677"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584"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664" w:type="pct"/>
            <w:vMerge w:val="continue"/>
            <w:tcBorders>
              <w:left w:val="nil"/>
              <w:right w:val="single" w:color="auto" w:sz="8" w:space="0"/>
            </w:tcBorders>
            <w:vAlign w:val="center"/>
          </w:tcPr>
          <w:p>
            <w:pPr>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nil"/>
              <w:left w:val="single" w:color="auto" w:sz="8" w:space="0"/>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w:t>
            </w:r>
          </w:p>
        </w:tc>
        <w:tc>
          <w:tcPr>
            <w:tcW w:w="1552" w:type="pct"/>
            <w:tcBorders>
              <w:top w:val="nil"/>
              <w:left w:val="nil"/>
              <w:bottom w:val="single" w:color="auto" w:sz="4" w:space="0"/>
              <w:right w:val="single" w:color="auto" w:sz="4" w:space="0"/>
            </w:tcBorders>
          </w:tcPr>
          <w:p>
            <w:pPr>
              <w:wordWrap w:val="0"/>
              <w:topLinePun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定测纵断面测量</w:t>
            </w:r>
          </w:p>
        </w:tc>
        <w:tc>
          <w:tcPr>
            <w:tcW w:w="364"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361"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411"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677"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584"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664" w:type="pct"/>
            <w:vMerge w:val="continue"/>
            <w:tcBorders>
              <w:left w:val="nil"/>
              <w:right w:val="single" w:color="auto" w:sz="8" w:space="0"/>
            </w:tcBorders>
            <w:vAlign w:val="center"/>
          </w:tcPr>
          <w:p>
            <w:pPr>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nil"/>
              <w:left w:val="single" w:color="auto" w:sz="8" w:space="0"/>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w:t>
            </w:r>
          </w:p>
        </w:tc>
        <w:tc>
          <w:tcPr>
            <w:tcW w:w="1552" w:type="pct"/>
            <w:tcBorders>
              <w:top w:val="nil"/>
              <w:left w:val="nil"/>
              <w:bottom w:val="single" w:color="auto" w:sz="4" w:space="0"/>
              <w:right w:val="single" w:color="auto" w:sz="4" w:space="0"/>
            </w:tcBorders>
          </w:tcPr>
          <w:p>
            <w:pPr>
              <w:wordWrap w:val="0"/>
              <w:topLinePun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横断面测量</w:t>
            </w:r>
          </w:p>
        </w:tc>
        <w:tc>
          <w:tcPr>
            <w:tcW w:w="364"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361"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411"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677"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584"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664" w:type="pct"/>
            <w:vMerge w:val="continue"/>
            <w:tcBorders>
              <w:left w:val="nil"/>
              <w:right w:val="single" w:color="auto" w:sz="8" w:space="0"/>
            </w:tcBorders>
            <w:vAlign w:val="center"/>
          </w:tcPr>
          <w:p>
            <w:pPr>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nil"/>
              <w:left w:val="single" w:color="auto" w:sz="8" w:space="0"/>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w:t>
            </w:r>
          </w:p>
        </w:tc>
        <w:tc>
          <w:tcPr>
            <w:tcW w:w="1552" w:type="pct"/>
            <w:tcBorders>
              <w:top w:val="nil"/>
              <w:left w:val="nil"/>
              <w:bottom w:val="single" w:color="auto" w:sz="4" w:space="0"/>
              <w:right w:val="single" w:color="auto" w:sz="4" w:space="0"/>
            </w:tcBorders>
          </w:tcPr>
          <w:p>
            <w:pPr>
              <w:wordWrap w:val="0"/>
              <w:topLinePun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桥涵、路口等测量详细调查</w:t>
            </w:r>
          </w:p>
        </w:tc>
        <w:tc>
          <w:tcPr>
            <w:tcW w:w="364"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361"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411"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677"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584" w:type="pct"/>
            <w:tcBorders>
              <w:top w:val="nil"/>
              <w:left w:val="nil"/>
              <w:bottom w:val="single" w:color="auto" w:sz="4" w:space="0"/>
              <w:right w:val="single" w:color="auto" w:sz="4" w:space="0"/>
            </w:tcBorders>
          </w:tcPr>
          <w:p>
            <w:pPr>
              <w:wordWrap w:val="0"/>
              <w:topLinePunct/>
              <w:jc w:val="center"/>
              <w:rPr>
                <w:rFonts w:hint="eastAsia" w:ascii="宋体" w:hAnsi="宋体" w:eastAsia="宋体" w:cs="宋体"/>
                <w:color w:val="auto"/>
                <w:sz w:val="21"/>
                <w:szCs w:val="21"/>
                <w:highlight w:val="none"/>
                <w:shd w:val="clear" w:color="auto" w:fill="auto"/>
              </w:rPr>
            </w:pPr>
          </w:p>
        </w:tc>
        <w:tc>
          <w:tcPr>
            <w:tcW w:w="664" w:type="pct"/>
            <w:vMerge w:val="continue"/>
            <w:tcBorders>
              <w:left w:val="nil"/>
              <w:right w:val="single" w:color="auto" w:sz="8" w:space="0"/>
            </w:tcBorders>
            <w:vAlign w:val="center"/>
          </w:tcPr>
          <w:p>
            <w:pPr>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nil"/>
              <w:left w:val="single" w:color="auto" w:sz="8"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11</w:t>
            </w:r>
          </w:p>
        </w:tc>
        <w:tc>
          <w:tcPr>
            <w:tcW w:w="1552" w:type="pct"/>
            <w:tcBorders>
              <w:top w:val="nil"/>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小计</w:t>
            </w:r>
          </w:p>
        </w:tc>
        <w:tc>
          <w:tcPr>
            <w:tcW w:w="36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nil"/>
              <w:right w:val="single" w:color="auto" w:sz="8" w:space="0"/>
            </w:tcBorders>
            <w:vAlign w:val="center"/>
          </w:tcPr>
          <w:p>
            <w:pPr>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nil"/>
              <w:left w:val="single" w:color="auto" w:sz="8"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12</w:t>
            </w:r>
          </w:p>
        </w:tc>
        <w:tc>
          <w:tcPr>
            <w:tcW w:w="1552" w:type="pct"/>
            <w:tcBorders>
              <w:top w:val="nil"/>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技术工作费</w:t>
            </w:r>
          </w:p>
        </w:tc>
        <w:tc>
          <w:tcPr>
            <w:tcW w:w="1814" w:type="pct"/>
            <w:gridSpan w:val="4"/>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nil"/>
              <w:right w:val="single" w:color="auto" w:sz="8" w:space="0"/>
            </w:tcBorders>
            <w:vAlign w:val="center"/>
          </w:tcPr>
          <w:p>
            <w:pPr>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nil"/>
              <w:left w:val="single" w:color="auto" w:sz="8"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13</w:t>
            </w:r>
          </w:p>
        </w:tc>
        <w:tc>
          <w:tcPr>
            <w:tcW w:w="1552" w:type="pct"/>
            <w:tcBorders>
              <w:top w:val="nil"/>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合计</w:t>
            </w:r>
          </w:p>
        </w:tc>
        <w:tc>
          <w:tcPr>
            <w:tcW w:w="364"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nil"/>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nil"/>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b/>
                <w:color w:val="auto"/>
                <w:kern w:val="0"/>
                <w:sz w:val="21"/>
                <w:szCs w:val="21"/>
                <w:highlight w:val="none"/>
                <w:shd w:val="clear" w:color="auto" w:fill="auto"/>
              </w:rPr>
            </w:pPr>
            <w:r>
              <w:rPr>
                <w:rFonts w:hint="eastAsia" w:ascii="宋体" w:hAnsi="宋体" w:eastAsia="宋体" w:cs="宋体"/>
                <w:b/>
                <w:color w:val="auto"/>
                <w:kern w:val="0"/>
                <w:sz w:val="21"/>
                <w:szCs w:val="21"/>
                <w:highlight w:val="none"/>
                <w:shd w:val="clear" w:color="auto" w:fill="auto"/>
              </w:rPr>
              <w:t>二</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b/>
                <w:color w:val="auto"/>
                <w:kern w:val="0"/>
                <w:sz w:val="21"/>
                <w:szCs w:val="21"/>
                <w:highlight w:val="none"/>
                <w:shd w:val="clear" w:color="auto" w:fill="auto"/>
              </w:rPr>
            </w:pPr>
            <w:r>
              <w:rPr>
                <w:rFonts w:hint="eastAsia" w:ascii="宋体" w:hAnsi="宋体" w:eastAsia="宋体" w:cs="宋体"/>
                <w:b/>
                <w:color w:val="auto"/>
                <w:kern w:val="0"/>
                <w:sz w:val="21"/>
                <w:szCs w:val="21"/>
                <w:highlight w:val="none"/>
                <w:shd w:val="clear" w:color="auto" w:fill="auto"/>
              </w:rPr>
              <w:t>管线探测（土石方探测）费计算</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b/>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物探费计算</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b/>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1.1</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雨水管物探</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1.2</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污水管物探</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1.3</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给水管物探</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1.4</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电力管线物探</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1.5</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电信管线物探</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1.6</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小计</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管线测量</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b/>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2.1</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雨水管物探</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2.2</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污水管物探</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2.3</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给水管物探</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2.4</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电力管线物探</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2.5</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电信管线物探</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2.6</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标高测点</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2.7</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小计</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技术工作费</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4</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合计</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三</w:t>
            </w:r>
          </w:p>
        </w:tc>
        <w:tc>
          <w:tcPr>
            <w:tcW w:w="1552" w:type="pct"/>
            <w:tcBorders>
              <w:top w:val="single" w:color="auto" w:sz="4" w:space="0"/>
              <w:left w:val="nil"/>
              <w:bottom w:val="single" w:color="auto" w:sz="4" w:space="0"/>
              <w:right w:val="single" w:color="auto" w:sz="4" w:space="0"/>
            </w:tcBorders>
          </w:tcPr>
          <w:p>
            <w:pPr>
              <w:widowControl/>
              <w:wordWrap w:val="0"/>
              <w:topLinePunc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实际应收费</w:t>
            </w:r>
          </w:p>
        </w:tc>
        <w:tc>
          <w:tcPr>
            <w:tcW w:w="364"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361"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411" w:type="pct"/>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c>
          <w:tcPr>
            <w:tcW w:w="677" w:type="pct"/>
            <w:tcBorders>
              <w:top w:val="single" w:color="auto" w:sz="4" w:space="0"/>
              <w:left w:val="nil"/>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584" w:type="pct"/>
            <w:tcBorders>
              <w:top w:val="single" w:color="auto" w:sz="4" w:space="0"/>
              <w:left w:val="single" w:color="auto" w:sz="4" w:space="0"/>
              <w:bottom w:val="single" w:color="auto" w:sz="4" w:space="0"/>
              <w:right w:val="single" w:color="auto" w:sz="4" w:space="0"/>
            </w:tcBorders>
          </w:tcPr>
          <w:p>
            <w:pPr>
              <w:widowControl/>
              <w:wordWrap w:val="0"/>
              <w:topLinePunct/>
              <w:jc w:val="center"/>
              <w:rPr>
                <w:rFonts w:hint="eastAsia" w:ascii="宋体" w:hAnsi="宋体" w:eastAsia="宋体" w:cs="宋体"/>
                <w:color w:val="auto"/>
                <w:kern w:val="0"/>
                <w:sz w:val="21"/>
                <w:szCs w:val="21"/>
                <w:highlight w:val="none"/>
                <w:shd w:val="clear" w:color="auto" w:fill="auto"/>
              </w:rPr>
            </w:pPr>
          </w:p>
        </w:tc>
        <w:tc>
          <w:tcPr>
            <w:tcW w:w="664" w:type="pct"/>
            <w:vMerge w:val="continue"/>
            <w:tcBorders>
              <w:left w:val="single" w:color="auto" w:sz="4" w:space="0"/>
              <w:right w:val="single" w:color="auto" w:sz="8" w:space="0"/>
            </w:tcBorders>
            <w:vAlign w:val="center"/>
          </w:tcPr>
          <w:p>
            <w:pPr>
              <w:widowControl/>
              <w:wordWrap w:val="0"/>
              <w:topLinePunct/>
              <w:rPr>
                <w:rFonts w:hint="eastAsia" w:ascii="宋体" w:hAnsi="宋体" w:eastAsia="宋体" w:cs="宋体"/>
                <w:color w:val="auto"/>
                <w:kern w:val="0"/>
                <w:sz w:val="21"/>
                <w:szCs w:val="21"/>
                <w:highlight w:val="none"/>
                <w:shd w:val="clear" w:color="auto" w:fill="auto"/>
              </w:rPr>
            </w:pPr>
          </w:p>
        </w:tc>
      </w:tr>
    </w:tbl>
    <w:p>
      <w:pPr>
        <w:wordWrap w:val="0"/>
        <w:topLinePunct/>
        <w:snapToGrid w:val="0"/>
        <w:ind w:left="-359" w:leftChars="-171" w:right="-687" w:rightChars="-327"/>
        <w:outlineLvl w:val="1"/>
        <w:rPr>
          <w:rFonts w:hint="eastAsia" w:ascii="宋体" w:hAnsi="宋体" w:eastAsia="宋体" w:cs="宋体"/>
          <w:bCs/>
          <w:color w:val="auto"/>
          <w:szCs w:val="21"/>
          <w:highlight w:val="none"/>
          <w:shd w:val="clear" w:color="auto" w:fill="auto"/>
        </w:rPr>
      </w:pPr>
      <w:bookmarkStart w:id="285" w:name="_Toc30994"/>
      <w:bookmarkStart w:id="286" w:name="_Toc444614033"/>
      <w:bookmarkStart w:id="287" w:name="_Toc444613741"/>
      <w:bookmarkStart w:id="288" w:name="_Toc505152713"/>
      <w:bookmarkStart w:id="289" w:name="_Toc444613484"/>
      <w:bookmarkStart w:id="290" w:name="_Toc480225676"/>
      <w:r>
        <w:rPr>
          <w:rFonts w:hint="eastAsia" w:ascii="宋体" w:hAnsi="宋体" w:eastAsia="宋体" w:cs="宋体"/>
          <w:color w:val="auto"/>
          <w:sz w:val="21"/>
          <w:szCs w:val="21"/>
          <w:highlight w:val="none"/>
          <w:shd w:val="clear" w:color="auto" w:fill="auto"/>
        </w:rPr>
        <w:t>注：1、工程测量费、工程物探（土石方比例探测）费按国家发展计划委员会建设部2002年颁布的《工程勘察设计收费标准》下浮30%计算。其中用于办理规划报建用地预审、规划国土等手续的1:500地形测量收费标准按国家测绘局颁发的国家测绘产品价格收费标准下浮30%计算。投标人需严格按表中测量费计算依据所列项目报价，不得增减分项目，否则属于投标报价不符合招标文件规定。如投标人认为计算依据所列项目中的某一项不需计算，投标报价应为“0”。最终测量内容和工作量以招标人根据现场实际情况确认为准。</w:t>
      </w:r>
      <w:bookmarkEnd w:id="285"/>
      <w:bookmarkEnd w:id="286"/>
      <w:bookmarkEnd w:id="287"/>
      <w:bookmarkEnd w:id="288"/>
      <w:bookmarkEnd w:id="289"/>
      <w:bookmarkEnd w:id="290"/>
      <w:bookmarkStart w:id="291" w:name="_Toc444613485"/>
      <w:bookmarkStart w:id="292" w:name="_Toc444613742"/>
      <w:bookmarkStart w:id="293" w:name="_Toc444614034"/>
    </w:p>
    <w:bookmarkEnd w:id="291"/>
    <w:bookmarkEnd w:id="292"/>
    <w:bookmarkEnd w:id="293"/>
    <w:p>
      <w:pPr>
        <w:wordWrap w:val="0"/>
        <w:topLinePunct/>
        <w:snapToGrid w:val="0"/>
        <w:ind w:left="61" w:leftChars="-171" w:right="-687" w:rightChars="-327" w:hanging="420" w:hangingChars="200"/>
        <w:outlineLvl w:val="1"/>
        <w:rPr>
          <w:rFonts w:hint="eastAsia" w:ascii="宋体" w:hAnsi="宋体" w:eastAsia="宋体" w:cs="宋体"/>
          <w:color w:val="auto"/>
          <w:sz w:val="21"/>
          <w:szCs w:val="21"/>
          <w:highlight w:val="none"/>
          <w:shd w:val="clear" w:color="auto" w:fill="auto"/>
        </w:rPr>
      </w:pPr>
      <w:bookmarkStart w:id="294" w:name="_Toc24312"/>
      <w:r>
        <w:rPr>
          <w:rFonts w:hint="eastAsia" w:ascii="宋体" w:hAnsi="宋体" w:eastAsia="宋体" w:cs="宋体"/>
          <w:color w:val="auto"/>
          <w:sz w:val="21"/>
          <w:szCs w:val="21"/>
          <w:highlight w:val="none"/>
          <w:shd w:val="clear" w:color="auto" w:fill="auto"/>
        </w:rPr>
        <w:t>2、投标人需按子项项目名称报价，可根据具体实际情况增减项目。《测量费报价及计算依据表》每子项单独报价，共计</w:t>
      </w: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项子项报价。</w:t>
      </w:r>
      <w:bookmarkEnd w:id="294"/>
    </w:p>
    <w:p>
      <w:pPr>
        <w:wordWrap w:val="0"/>
        <w:topLinePunct/>
        <w:ind w:firstLine="482" w:firstLineChars="20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b/>
          <w:color w:val="auto"/>
          <w:sz w:val="24"/>
          <w:highlight w:val="none"/>
          <w:shd w:val="clear" w:color="auto" w:fill="auto"/>
        </w:rPr>
        <w:br w:type="page"/>
      </w:r>
      <w:r>
        <w:rPr>
          <w:rFonts w:hint="eastAsia" w:ascii="宋体" w:hAnsi="宋体" w:eastAsia="宋体" w:cs="宋体"/>
          <w:b/>
          <w:color w:val="auto"/>
          <w:sz w:val="32"/>
          <w:szCs w:val="32"/>
          <w:highlight w:val="none"/>
          <w:shd w:val="clear" w:color="auto" w:fill="auto"/>
        </w:rPr>
        <w:t>格式3：</w:t>
      </w:r>
    </w:p>
    <w:p>
      <w:pPr>
        <w:autoSpaceDE w:val="0"/>
        <w:autoSpaceDN w:val="0"/>
        <w:adjustRightInd w:val="0"/>
        <w:spacing w:line="360" w:lineRule="auto"/>
        <w:jc w:val="center"/>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b/>
          <w:bCs/>
          <w:color w:val="auto"/>
          <w:sz w:val="32"/>
          <w:szCs w:val="32"/>
          <w:highlight w:val="none"/>
          <w:shd w:val="clear" w:color="auto" w:fill="auto"/>
          <w:lang w:val="zh-CN"/>
        </w:rPr>
        <w:t>联合体投标协议书</w:t>
      </w:r>
    </w:p>
    <w:tbl>
      <w:tblPr>
        <w:tblStyle w:val="5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0" w:hRule="atLeast"/>
          <w:jc w:val="center"/>
        </w:trPr>
        <w:tc>
          <w:tcPr>
            <w:tcW w:w="9634" w:type="dxa"/>
          </w:tcPr>
          <w:p>
            <w:pPr>
              <w:topLinePunct/>
              <w:spacing w:line="400" w:lineRule="exact"/>
              <w:ind w:firstLine="630" w:firstLineChars="3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u w:val="single"/>
                <w:shd w:val="clear" w:color="auto" w:fill="auto"/>
              </w:rPr>
              <w:t>（主办方单位名称、各成员名称）</w:t>
            </w:r>
            <w:r>
              <w:rPr>
                <w:rFonts w:hint="eastAsia" w:ascii="宋体" w:hAnsi="宋体" w:eastAsia="宋体" w:cs="宋体"/>
                <w:color w:val="auto"/>
                <w:szCs w:val="21"/>
                <w:highlight w:val="none"/>
                <w:shd w:val="clear" w:color="auto" w:fill="auto"/>
              </w:rPr>
              <w:t>自愿组成联合体，共同参加</w:t>
            </w:r>
            <w:r>
              <w:rPr>
                <w:rFonts w:hint="eastAsia" w:ascii="宋体" w:hAnsi="宋体" w:eastAsia="宋体" w:cs="宋体"/>
                <w:color w:val="auto"/>
                <w:szCs w:val="21"/>
                <w:highlight w:val="none"/>
                <w:u w:val="single"/>
                <w:shd w:val="clear" w:color="auto" w:fill="auto"/>
              </w:rPr>
              <w:t>（项目名称）</w:t>
            </w:r>
            <w:r>
              <w:rPr>
                <w:rFonts w:hint="eastAsia" w:ascii="宋体" w:hAnsi="宋体" w:eastAsia="宋体" w:cs="宋体"/>
                <w:color w:val="auto"/>
                <w:szCs w:val="21"/>
                <w:highlight w:val="none"/>
                <w:shd w:val="clear" w:color="auto" w:fill="auto"/>
              </w:rPr>
              <w:t>投标。现就联合体投标事宜订立如下协议。</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r>
              <w:rPr>
                <w:rFonts w:hint="eastAsia" w:ascii="宋体" w:hAnsi="宋体" w:eastAsia="宋体" w:cs="宋体"/>
                <w:color w:val="auto"/>
                <w:szCs w:val="21"/>
                <w:highlight w:val="none"/>
                <w:u w:val="single"/>
                <w:shd w:val="clear" w:color="auto" w:fill="auto"/>
              </w:rPr>
              <w:t xml:space="preserve">        （施工单位名称）</w:t>
            </w:r>
            <w:r>
              <w:rPr>
                <w:rFonts w:hint="eastAsia" w:ascii="宋体" w:hAnsi="宋体" w:eastAsia="宋体" w:cs="宋体"/>
                <w:color w:val="auto"/>
                <w:szCs w:val="21"/>
                <w:highlight w:val="none"/>
                <w:shd w:val="clear" w:color="auto" w:fill="auto"/>
              </w:rPr>
              <w:t>为联合体主办方。</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3、联合体将严格按照招标文件的各项要求，递交投标文件，履行合同，联合体各成员向招标人承担连带责任。</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4、联合体各成员单位内部的职责分工如下：</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：作为联合体的主办方负责本工程的施工及牵头工作。联合体其他相关方违约时，主办方应承担连带责任，具体按合同要求。联合体其他相关方违约时，主办方应承担连带责任，具体按合同要求。</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：主要负责本工程的</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工作，具体按合同要求。</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w:t>
            </w:r>
            <w:r>
              <w:rPr>
                <w:rFonts w:hint="eastAsia" w:ascii="宋体" w:hAnsi="宋体" w:eastAsia="宋体" w:cs="宋体"/>
                <w:color w:val="auto"/>
                <w:szCs w:val="21"/>
                <w:highlight w:val="none"/>
                <w:u w:val="single"/>
                <w:shd w:val="clear" w:color="auto" w:fill="auto"/>
                <w:lang w:val="en-US" w:eastAsia="zh-CN"/>
              </w:rPr>
              <w:t xml:space="preserve"> （如有）       </w:t>
            </w:r>
            <w:r>
              <w:rPr>
                <w:rFonts w:hint="eastAsia" w:ascii="宋体" w:hAnsi="宋体" w:eastAsia="宋体" w:cs="宋体"/>
                <w:color w:val="auto"/>
                <w:szCs w:val="21"/>
                <w:highlight w:val="none"/>
                <w:shd w:val="clear" w:color="auto" w:fill="auto"/>
              </w:rPr>
              <w:t>：主要负责本工程的</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工作，具体按合同要求。</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w:t>
            </w:r>
            <w:r>
              <w:rPr>
                <w:rFonts w:hint="eastAsia" w:ascii="宋体" w:hAnsi="宋体" w:eastAsia="宋体" w:cs="宋体"/>
                <w:color w:val="auto"/>
                <w:szCs w:val="21"/>
                <w:highlight w:val="none"/>
                <w:u w:val="single"/>
                <w:shd w:val="clear" w:color="auto" w:fill="auto"/>
                <w:lang w:val="en-US" w:eastAsia="zh-CN"/>
              </w:rPr>
              <w:t xml:space="preserve"> （如有）       </w:t>
            </w:r>
            <w:r>
              <w:rPr>
                <w:rFonts w:hint="eastAsia" w:ascii="宋体" w:hAnsi="宋体" w:eastAsia="宋体" w:cs="宋体"/>
                <w:color w:val="auto"/>
                <w:szCs w:val="21"/>
                <w:highlight w:val="none"/>
                <w:shd w:val="clear" w:color="auto" w:fill="auto"/>
              </w:rPr>
              <w:t>：主要负责本工程的</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工作，具体按合同要求。</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5、本协议书自签署之日起生效，合同履行完毕后自动失效。 </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施工单位名称：</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（盖单位章）</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法定代表人：</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（签字或盖章）</w:t>
            </w:r>
          </w:p>
          <w:p>
            <w:pPr>
              <w:topLinePunct/>
              <w:spacing w:line="400" w:lineRule="exact"/>
              <w:ind w:firstLine="420" w:firstLineChars="200"/>
              <w:rPr>
                <w:rFonts w:hint="eastAsia" w:ascii="宋体" w:hAnsi="宋体" w:eastAsia="宋体" w:cs="宋体"/>
                <w:color w:val="auto"/>
                <w:szCs w:val="21"/>
                <w:highlight w:val="none"/>
                <w:shd w:val="clear" w:color="auto" w:fill="auto"/>
              </w:rPr>
            </w:pP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成员1名称：</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（盖单位章）</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法定代表人：</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（签字或盖章）</w:t>
            </w:r>
          </w:p>
          <w:p>
            <w:pPr>
              <w:topLinePunct/>
              <w:spacing w:line="400" w:lineRule="exact"/>
              <w:ind w:firstLine="420" w:firstLineChars="200"/>
              <w:rPr>
                <w:rFonts w:hint="eastAsia" w:ascii="宋体" w:hAnsi="宋体" w:eastAsia="宋体" w:cs="宋体"/>
                <w:color w:val="auto"/>
                <w:szCs w:val="21"/>
                <w:highlight w:val="none"/>
                <w:shd w:val="clear" w:color="auto" w:fill="auto"/>
              </w:rPr>
            </w:pP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成员2名称（如有）：</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（盖单位章）</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法定代表人：</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（签字或盖章）</w:t>
            </w:r>
          </w:p>
          <w:p>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p>
          <w:p>
            <w:pPr>
              <w:topLinePunct/>
              <w:spacing w:line="400" w:lineRule="exact"/>
              <w:ind w:firstLine="420" w:firstLineChars="200"/>
              <w:rPr>
                <w:rFonts w:hint="eastAsia" w:ascii="宋体" w:hAnsi="宋体" w:eastAsia="宋体" w:cs="宋体"/>
                <w:color w:val="auto"/>
                <w:szCs w:val="21"/>
                <w:highlight w:val="none"/>
                <w:shd w:val="clear" w:color="auto" w:fill="auto"/>
              </w:rPr>
            </w:pPr>
          </w:p>
          <w:p>
            <w:pPr>
              <w:autoSpaceDE w:val="0"/>
              <w:autoSpaceDN w:val="0"/>
              <w:adjustRightInd w:val="0"/>
              <w:spacing w:line="400" w:lineRule="exact"/>
              <w:jc w:val="center"/>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tc>
      </w:tr>
    </w:tbl>
    <w:p>
      <w:pPr>
        <w:topLinePunct/>
        <w:spacing w:line="440" w:lineRule="exact"/>
        <w:ind w:firstLine="420" w:firstLineChars="200"/>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注：本</w:t>
      </w:r>
      <w:r>
        <w:rPr>
          <w:rFonts w:hint="eastAsia" w:ascii="宋体" w:hAnsi="宋体" w:eastAsia="宋体" w:cs="宋体"/>
          <w:color w:val="auto"/>
          <w:szCs w:val="21"/>
          <w:highlight w:val="none"/>
          <w:shd w:val="clear" w:color="auto" w:fill="auto"/>
          <w:lang w:val="zh-CN"/>
        </w:rPr>
        <w:t>联合体投标协议书</w:t>
      </w:r>
      <w:r>
        <w:rPr>
          <w:rFonts w:hint="eastAsia" w:ascii="宋体" w:hAnsi="宋体" w:eastAsia="宋体" w:cs="宋体"/>
          <w:color w:val="auto"/>
          <w:szCs w:val="21"/>
          <w:highlight w:val="none"/>
          <w:shd w:val="clear" w:color="auto" w:fill="auto"/>
          <w:lang w:val="en-US" w:eastAsia="zh-CN"/>
        </w:rPr>
        <w:t>投标人可根据实际情况自行调整。</w:t>
      </w:r>
    </w:p>
    <w:p>
      <w:pPr>
        <w:autoSpaceDE w:val="0"/>
        <w:autoSpaceDN w:val="0"/>
        <w:adjustRightInd w:val="0"/>
        <w:spacing w:line="360" w:lineRule="auto"/>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b/>
          <w:color w:val="auto"/>
          <w:sz w:val="24"/>
          <w:highlight w:val="none"/>
          <w:shd w:val="clear" w:color="auto" w:fill="auto"/>
        </w:rPr>
        <w:br w:type="page"/>
      </w:r>
      <w:r>
        <w:rPr>
          <w:rFonts w:hint="eastAsia" w:ascii="宋体" w:hAnsi="宋体" w:eastAsia="宋体" w:cs="宋体"/>
          <w:b/>
          <w:color w:val="auto"/>
          <w:sz w:val="32"/>
          <w:szCs w:val="32"/>
          <w:highlight w:val="none"/>
          <w:shd w:val="clear" w:color="auto" w:fill="auto"/>
        </w:rPr>
        <w:t>格式4：</w:t>
      </w:r>
    </w:p>
    <w:p>
      <w:pPr>
        <w:autoSpaceDE w:val="0"/>
        <w:autoSpaceDN w:val="0"/>
        <w:adjustRightInd w:val="0"/>
        <w:spacing w:line="360" w:lineRule="auto"/>
        <w:jc w:val="center"/>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b/>
          <w:bCs/>
          <w:color w:val="auto"/>
          <w:sz w:val="32"/>
          <w:szCs w:val="32"/>
          <w:highlight w:val="none"/>
          <w:shd w:val="clear" w:color="auto" w:fill="auto"/>
          <w:lang w:val="zh-CN"/>
        </w:rPr>
        <w:t>法定代表人（负责人）证明书、法定代表人授权委托书</w:t>
      </w:r>
    </w:p>
    <w:p>
      <w:pPr>
        <w:spacing w:line="360" w:lineRule="auto"/>
        <w:jc w:val="center"/>
        <w:rPr>
          <w:rFonts w:hint="eastAsia" w:ascii="宋体" w:hAnsi="宋体" w:eastAsia="宋体" w:cs="宋体"/>
          <w:b/>
          <w:color w:val="auto"/>
          <w:sz w:val="28"/>
          <w:highlight w:val="none"/>
          <w:shd w:val="clear" w:color="auto" w:fill="auto"/>
        </w:rPr>
      </w:pPr>
      <w:r>
        <w:rPr>
          <w:rFonts w:hint="eastAsia" w:ascii="宋体" w:hAnsi="宋体" w:eastAsia="宋体" w:cs="宋体"/>
          <w:b/>
          <w:color w:val="auto"/>
          <w:sz w:val="28"/>
          <w:highlight w:val="none"/>
          <w:shd w:val="clear" w:color="auto" w:fill="auto"/>
        </w:rPr>
        <w:t>法定代表人（负责人）证明书</w:t>
      </w:r>
    </w:p>
    <w:p>
      <w:pPr>
        <w:spacing w:line="360" w:lineRule="auto"/>
        <w:jc w:val="right"/>
        <w:rPr>
          <w:rFonts w:hint="eastAsia" w:ascii="宋体" w:hAnsi="宋体" w:eastAsia="宋体" w:cs="宋体"/>
          <w:color w:val="auto"/>
          <w:sz w:val="24"/>
          <w:highlight w:val="none"/>
          <w:shd w:val="clear" w:color="auto" w:fill="auto"/>
        </w:rPr>
      </w:pPr>
      <w:r>
        <w:rPr>
          <w:rFonts w:hint="eastAsia" w:ascii="宋体" w:hAnsi="宋体" w:eastAsia="宋体" w:cs="宋体"/>
          <w:color w:val="auto"/>
          <w:highlight w:val="none"/>
          <w:shd w:val="clear" w:color="auto" w:fill="auto"/>
        </w:rPr>
        <w:t>（　 ）第　号</w:t>
      </w:r>
    </w:p>
    <w:tbl>
      <w:tblPr>
        <w:tblStyle w:val="55"/>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43" w:type="dxa"/>
          </w:tcPr>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现任我单位</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职务，为法定代表人（负责人），特此证明。</w:t>
            </w:r>
          </w:p>
          <w:p>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有效期限：</w:t>
            </w:r>
          </w:p>
          <w:p>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附：法定代表人（负责人）性别：</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年龄：</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身份证号码：</w:t>
            </w:r>
          </w:p>
          <w:p>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注册号码：</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企业类型：</w:t>
            </w:r>
          </w:p>
          <w:p>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经营范围：</w:t>
            </w:r>
          </w:p>
          <w:p>
            <w:pPr>
              <w:spacing w:line="360" w:lineRule="auto"/>
              <w:ind w:firstLine="5040" w:firstLineChars="2100"/>
              <w:jc w:val="righ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单位：</w:t>
            </w:r>
            <w:r>
              <w:rPr>
                <w:rFonts w:hint="eastAsia" w:ascii="宋体" w:hAnsi="宋体" w:eastAsia="宋体" w:cs="宋体"/>
                <w:color w:val="auto"/>
                <w:sz w:val="24"/>
                <w:highlight w:val="none"/>
                <w:u w:val="single"/>
                <w:shd w:val="clear" w:color="auto" w:fill="auto"/>
              </w:rPr>
              <w:t>（盖章）</w:t>
            </w:r>
          </w:p>
          <w:p>
            <w:pPr>
              <w:spacing w:line="360" w:lineRule="auto"/>
              <w:ind w:firstLine="5280" w:firstLineChars="2200"/>
              <w:jc w:val="righ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年 月 日</w:t>
            </w:r>
          </w:p>
        </w:tc>
      </w:tr>
    </w:tbl>
    <w:p>
      <w:pPr>
        <w:spacing w:line="360"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注：1、法定代表人证明书也可以采用工商行政管理局统一印制的格式。</w:t>
      </w:r>
    </w:p>
    <w:p>
      <w:pPr>
        <w:spacing w:line="360"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2、联合体投标的，本证明书由主办方出具，仅填写主办方单位名称并由主办方盖章即可。</w:t>
      </w:r>
    </w:p>
    <w:p>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法定代表人授权委托书</w:t>
      </w:r>
    </w:p>
    <w:p>
      <w:pPr>
        <w:spacing w:line="360" w:lineRule="auto"/>
        <w:jc w:val="right"/>
        <w:rPr>
          <w:rFonts w:hint="eastAsia" w:ascii="宋体" w:hAnsi="宋体" w:eastAsia="宋体" w:cs="宋体"/>
          <w:color w:val="auto"/>
          <w:sz w:val="24"/>
          <w:highlight w:val="none"/>
          <w:shd w:val="clear" w:color="auto" w:fill="auto"/>
        </w:rPr>
      </w:pPr>
      <w:r>
        <w:rPr>
          <w:rFonts w:hint="eastAsia" w:ascii="宋体" w:hAnsi="宋体" w:eastAsia="宋体" w:cs="宋体"/>
          <w:color w:val="auto"/>
          <w:highlight w:val="none"/>
          <w:shd w:val="clear" w:color="auto" w:fill="auto"/>
        </w:rPr>
        <w:t>（　 ）第　号</w:t>
      </w:r>
    </w:p>
    <w:tbl>
      <w:tblPr>
        <w:tblStyle w:val="55"/>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43" w:type="dxa"/>
          </w:tcPr>
          <w:p>
            <w:pPr>
              <w:spacing w:line="360" w:lineRule="auto"/>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兹授权为我方委托代理人，其权限是：</w:t>
            </w:r>
          </w:p>
          <w:p>
            <w:pPr>
              <w:spacing w:line="360" w:lineRule="auto"/>
              <w:rPr>
                <w:rFonts w:hint="eastAsia" w:ascii="宋体" w:hAnsi="宋体" w:eastAsia="宋体" w:cs="宋体"/>
                <w:color w:val="auto"/>
                <w:sz w:val="24"/>
                <w:highlight w:val="none"/>
                <w:u w:val="single"/>
                <w:shd w:val="clear" w:color="auto" w:fill="auto"/>
              </w:rPr>
            </w:pPr>
          </w:p>
          <w:p>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有效期限：</w:t>
            </w:r>
          </w:p>
          <w:p>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附：代理人性别：年龄：身份证号码：</w:t>
            </w:r>
          </w:p>
          <w:p>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注册号码：企业类型：</w:t>
            </w:r>
          </w:p>
          <w:p>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经营范围：</w:t>
            </w:r>
          </w:p>
          <w:p>
            <w:pPr>
              <w:spacing w:line="360" w:lineRule="auto"/>
              <w:jc w:val="righ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法定代表人（负责人）：</w:t>
            </w:r>
            <w:r>
              <w:rPr>
                <w:rFonts w:hint="eastAsia" w:ascii="宋体" w:hAnsi="宋体" w:eastAsia="宋体" w:cs="宋体"/>
                <w:color w:val="auto"/>
                <w:sz w:val="24"/>
                <w:highlight w:val="none"/>
                <w:u w:val="single"/>
                <w:shd w:val="clear" w:color="auto" w:fill="auto"/>
              </w:rPr>
              <w:t>（签名或盖章）</w:t>
            </w:r>
          </w:p>
          <w:p>
            <w:pPr>
              <w:spacing w:line="360" w:lineRule="auto"/>
              <w:ind w:right="840"/>
              <w:jc w:val="righ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授权单位：</w:t>
            </w:r>
            <w:r>
              <w:rPr>
                <w:rFonts w:hint="eastAsia" w:ascii="宋体" w:hAnsi="宋体" w:eastAsia="宋体" w:cs="宋体"/>
                <w:color w:val="auto"/>
                <w:sz w:val="24"/>
                <w:highlight w:val="none"/>
                <w:u w:val="single"/>
                <w:shd w:val="clear" w:color="auto" w:fill="auto"/>
              </w:rPr>
              <w:t>（盖章）</w:t>
            </w:r>
          </w:p>
          <w:p>
            <w:pPr>
              <w:spacing w:line="360" w:lineRule="auto"/>
              <w:ind w:right="720" w:firstLine="720" w:firstLineChars="300"/>
              <w:jc w:val="righ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年  月   日</w:t>
            </w:r>
          </w:p>
        </w:tc>
      </w:tr>
    </w:tbl>
    <w:p>
      <w:pPr>
        <w:spacing w:line="360"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注：1、法定代表人授权委托书也可以采用工商行政管理局统一印制的格式。</w:t>
      </w:r>
    </w:p>
    <w:p>
      <w:pPr>
        <w:spacing w:line="360" w:lineRule="auto"/>
        <w:rPr>
          <w:rFonts w:hint="eastAsia" w:ascii="宋体" w:hAnsi="宋体" w:eastAsia="宋体" w:cs="宋体"/>
          <w:color w:val="auto"/>
          <w:szCs w:val="21"/>
          <w:highlight w:val="none"/>
          <w:shd w:val="clear" w:color="auto" w:fill="auto"/>
        </w:rPr>
        <w:sectPr>
          <w:footerReference r:id="rId15" w:type="default"/>
          <w:pgSz w:w="11906" w:h="16838"/>
          <w:pgMar w:top="1440" w:right="1080" w:bottom="1440" w:left="1080" w:header="851" w:footer="992" w:gutter="0"/>
          <w:cols w:space="720" w:num="1"/>
          <w:docGrid w:type="lines" w:linePitch="312" w:charSpace="0"/>
        </w:sectPr>
      </w:pPr>
      <w:r>
        <w:rPr>
          <w:rFonts w:hint="eastAsia" w:ascii="宋体" w:hAnsi="宋体" w:eastAsia="宋体" w:cs="宋体"/>
          <w:color w:val="auto"/>
          <w:szCs w:val="21"/>
          <w:highlight w:val="none"/>
          <w:shd w:val="clear" w:color="auto" w:fill="auto"/>
        </w:rPr>
        <w:t>2、联合体投标的，本授权书由主办方出具，仅填写主办方单位名称并由主办方签字或盖章即可。</w:t>
      </w:r>
    </w:p>
    <w:p>
      <w:pPr>
        <w:autoSpaceDE w:val="0"/>
        <w:autoSpaceDN w:val="0"/>
        <w:adjustRightInd w:val="0"/>
        <w:spacing w:line="360" w:lineRule="auto"/>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b/>
          <w:color w:val="auto"/>
          <w:sz w:val="32"/>
          <w:szCs w:val="32"/>
          <w:highlight w:val="none"/>
          <w:shd w:val="clear" w:color="auto" w:fill="auto"/>
        </w:rPr>
        <w:t>格式5：</w:t>
      </w:r>
    </w:p>
    <w:p>
      <w:pPr>
        <w:autoSpaceDE w:val="0"/>
        <w:autoSpaceDN w:val="0"/>
        <w:adjustRightInd w:val="0"/>
        <w:spacing w:line="360" w:lineRule="auto"/>
        <w:jc w:val="center"/>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b/>
          <w:bCs/>
          <w:color w:val="auto"/>
          <w:sz w:val="32"/>
          <w:szCs w:val="32"/>
          <w:highlight w:val="none"/>
          <w:shd w:val="clear" w:color="auto" w:fill="auto"/>
          <w:lang w:val="zh-CN"/>
        </w:rPr>
        <w:t>投标承诺书</w:t>
      </w:r>
    </w:p>
    <w:p>
      <w:pPr>
        <w:spacing w:line="360" w:lineRule="auto"/>
        <w:jc w:val="center"/>
        <w:rPr>
          <w:rFonts w:hint="eastAsia" w:ascii="宋体" w:hAnsi="宋体" w:eastAsia="宋体" w:cs="宋体"/>
          <w:b/>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致：</w:t>
      </w:r>
      <w:r>
        <w:rPr>
          <w:rFonts w:hint="eastAsia" w:ascii="宋体" w:hAnsi="宋体" w:eastAsia="宋体" w:cs="宋体"/>
          <w:color w:val="auto"/>
          <w:sz w:val="21"/>
          <w:szCs w:val="21"/>
          <w:highlight w:val="none"/>
          <w:u w:val="single"/>
          <w:shd w:val="clear" w:color="auto" w:fill="auto"/>
        </w:rPr>
        <w:t xml:space="preserve">     （招标人名称）       </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我司确认收到贵司提供的</w:t>
      </w:r>
      <w:r>
        <w:rPr>
          <w:rFonts w:hint="eastAsia" w:ascii="宋体" w:hAnsi="宋体" w:eastAsia="宋体" w:cs="宋体"/>
          <w:color w:val="auto"/>
          <w:sz w:val="21"/>
          <w:szCs w:val="21"/>
          <w:highlight w:val="none"/>
          <w:u w:val="single"/>
          <w:shd w:val="clear" w:color="auto" w:fill="auto"/>
        </w:rPr>
        <w:t xml:space="preserve">      （项目名称）      </w:t>
      </w:r>
      <w:r>
        <w:rPr>
          <w:rFonts w:hint="eastAsia" w:ascii="宋体" w:hAnsi="宋体" w:eastAsia="宋体" w:cs="宋体"/>
          <w:color w:val="auto"/>
          <w:sz w:val="21"/>
          <w:szCs w:val="21"/>
          <w:highlight w:val="none"/>
          <w:shd w:val="clear" w:color="auto" w:fill="auto"/>
        </w:rPr>
        <w:t>招标文件的全部内容，我司：</w:t>
      </w:r>
      <w:r>
        <w:rPr>
          <w:rFonts w:hint="eastAsia" w:ascii="宋体" w:hAnsi="宋体" w:eastAsia="宋体" w:cs="宋体"/>
          <w:color w:val="auto"/>
          <w:sz w:val="21"/>
          <w:szCs w:val="21"/>
          <w:highlight w:val="none"/>
          <w:u w:val="single"/>
          <w:shd w:val="clear" w:color="auto" w:fill="auto"/>
        </w:rPr>
        <w:t xml:space="preserve">       (投标人名称)      </w:t>
      </w:r>
      <w:r>
        <w:rPr>
          <w:rFonts w:hint="eastAsia" w:ascii="宋体" w:hAnsi="宋体" w:eastAsia="宋体" w:cs="宋体"/>
          <w:color w:val="auto"/>
          <w:sz w:val="21"/>
          <w:szCs w:val="21"/>
          <w:highlight w:val="none"/>
          <w:shd w:val="clear" w:color="auto" w:fill="auto"/>
        </w:rPr>
        <w:t>已作为投标人正式授权</w:t>
      </w:r>
      <w:r>
        <w:rPr>
          <w:rFonts w:hint="eastAsia" w:ascii="宋体" w:hAnsi="宋体" w:eastAsia="宋体" w:cs="宋体"/>
          <w:color w:val="auto"/>
          <w:sz w:val="21"/>
          <w:szCs w:val="21"/>
          <w:highlight w:val="none"/>
          <w:u w:val="single"/>
          <w:shd w:val="clear" w:color="auto" w:fill="auto"/>
        </w:rPr>
        <w:t xml:space="preserve">         (授权代表全名，职务)    </w:t>
      </w:r>
      <w:r>
        <w:rPr>
          <w:rFonts w:hint="eastAsia" w:ascii="宋体" w:hAnsi="宋体" w:eastAsia="宋体" w:cs="宋体"/>
          <w:color w:val="auto"/>
          <w:sz w:val="21"/>
          <w:szCs w:val="21"/>
          <w:highlight w:val="none"/>
          <w:shd w:val="clear" w:color="auto" w:fill="auto"/>
        </w:rPr>
        <w:t>代表我司进行有关本投标的一切事宜。</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我司已完全明白和接受招标文件的所有条款要求，并重申以下几点：</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 我司已充分阅读了本项目招标文件并充分了解有关报价方式及变更、结算方式，我司完全响应招标文件的规定。</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3．本投标文件的有效期为投标截止日后</w:t>
      </w:r>
      <w:r>
        <w:rPr>
          <w:rFonts w:hint="eastAsia" w:ascii="宋体" w:hAnsi="宋体" w:eastAsia="宋体" w:cs="宋体"/>
          <w:b/>
          <w:color w:val="auto"/>
          <w:sz w:val="21"/>
          <w:szCs w:val="21"/>
          <w:highlight w:val="none"/>
          <w:u w:val="single"/>
          <w:shd w:val="clear" w:color="auto" w:fill="auto"/>
        </w:rPr>
        <w:t>120日历天</w:t>
      </w:r>
      <w:r>
        <w:rPr>
          <w:rFonts w:hint="eastAsia" w:ascii="宋体" w:hAnsi="宋体" w:eastAsia="宋体" w:cs="宋体"/>
          <w:color w:val="auto"/>
          <w:sz w:val="21"/>
          <w:szCs w:val="21"/>
          <w:highlight w:val="none"/>
          <w:shd w:val="clear" w:color="auto" w:fill="auto"/>
        </w:rPr>
        <w:t>内有效；</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4．我司承诺投标文件中的一切资料、数据是真实的，并承担由此引起的一切责任。</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5．我司明白并愿意若在规定的投标截止时间之后至投标有效期之内撤回投标，则投标担保将被贵司没收。</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6．我司同意按照贵司可能提出的要求而提供与投标有关的任何其它数据或信息。</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7．我司如果中标，我司保证：</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7.1保证履行招标文件以及招标文件修改书(如有)中的全部责任和义务，在中标通知书规定的时间内签订合同，并严格按国家有关法规履行我司的全部责任，按质、按量、按期完成合同约定的全部任务。</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7.2保证将我司的资质承包范围不能涵盖或不具备相应能力(该能力须保证进度和质量且须获得发包人认可)的部分专业工程（如果有），委托获得发包人批准的具备相应专业资质和能力的单位实施，确保项目质量及进度。</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7.3保证所完成的设计将完全符合国家相关规范要求，符合或优于招标文件、技术条件、合同条款的要求。若我司完成的设计文件未能达到发包人（或相关政府部门）的要求，我司将无条件根据要求进行修改设计文件，直至得到发包人（及相关政府部门）的认可为止。</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7.4保证尽一切力量确保投标承诺的竣工日期，若我司未能按投标承诺的工期完成本项目，除承担合同约定的违约责任外，发包人有权解除合同，我司承担由于违约解除合同退场造成的对发包人的一切损失。</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7.5保证投标所报的项目负责人、设计负责人在本项目合同签订后7日内到职，全过程服务于本项目，在过程中非不可抗力或发包人要求不得更换。我司违反以上承诺的，同意按合同条款的规定承担违约责任。</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7.6保证所投入本项目的主要材料、设备质量符合或优于招标文件要求，所投入本项目的辅助设备、材料与主主要材料、设备质量一致并有良好的配套性。</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7.7保证按照招标文件的要求确保安全生产及文明施工，如有违反，我司愿意按合同约定承担违约责任，并为此负相关的法律责任。</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7.8保证按国家的有关规定制订保证民工工资支付的方案及保证措施，否则，我司愿按合同条款规定承担违约责任并赔偿发包人的全部损失。</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7.9如我方中标,我方承诺：须按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发包人有权根据建设业主已有资料进行审核并审定，审定的竣工结算合同总价视同是经我方认可的工程竣工结算合同总价。 </w:t>
      </w:r>
    </w:p>
    <w:p>
      <w:pPr>
        <w:spacing w:line="360" w:lineRule="auto"/>
        <w:ind w:firstLine="3360" w:firstLineChars="1600"/>
        <w:rPr>
          <w:rFonts w:hint="eastAsia" w:ascii="宋体" w:hAnsi="宋体" w:eastAsia="宋体" w:cs="宋体"/>
          <w:color w:val="auto"/>
          <w:sz w:val="21"/>
          <w:szCs w:val="21"/>
          <w:highlight w:val="none"/>
          <w:shd w:val="clear" w:color="auto" w:fill="auto"/>
        </w:rPr>
      </w:pPr>
    </w:p>
    <w:p>
      <w:pPr>
        <w:spacing w:line="360" w:lineRule="auto"/>
        <w:ind w:firstLine="3360" w:firstLineChars="16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    （盖章）</w:t>
      </w:r>
    </w:p>
    <w:p>
      <w:pPr>
        <w:spacing w:line="360" w:lineRule="auto"/>
        <w:ind w:firstLine="3360" w:firstLineChars="16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法定代表人或其授权代理人(签名或盖章)：</w:t>
      </w:r>
    </w:p>
    <w:p>
      <w:pPr>
        <w:spacing w:line="360" w:lineRule="auto"/>
        <w:ind w:firstLine="3360" w:firstLineChars="16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日   期：    年    月    日</w:t>
      </w:r>
    </w:p>
    <w:p>
      <w:pPr>
        <w:pStyle w:val="28"/>
        <w:spacing w:line="360" w:lineRule="auto"/>
        <w:ind w:firstLine="211" w:firstLineChars="100"/>
        <w:rPr>
          <w:rFonts w:hint="eastAsia" w:ascii="宋体" w:hAnsi="宋体" w:eastAsia="宋体" w:cs="宋体"/>
          <w:b/>
          <w:color w:val="auto"/>
          <w:sz w:val="21"/>
          <w:szCs w:val="21"/>
          <w:highlight w:val="none"/>
          <w:shd w:val="clear" w:color="auto" w:fill="auto"/>
        </w:rPr>
      </w:pPr>
    </w:p>
    <w:p>
      <w:pPr>
        <w:wordWrap w:val="0"/>
        <w:topLinePunct/>
        <w:rPr>
          <w:rFonts w:hint="eastAsia" w:ascii="宋体" w:hAnsi="宋体" w:eastAsia="宋体" w:cs="宋体"/>
          <w:b/>
          <w:bCs/>
          <w:color w:val="auto"/>
          <w:szCs w:val="21"/>
          <w:highlight w:val="none"/>
          <w:shd w:val="clear" w:color="auto" w:fill="auto"/>
        </w:rPr>
      </w:pPr>
      <w:r>
        <w:rPr>
          <w:rFonts w:hint="eastAsia" w:ascii="宋体" w:hAnsi="宋体" w:eastAsia="宋体" w:cs="宋体"/>
          <w:b/>
          <w:color w:val="auto"/>
          <w:szCs w:val="21"/>
          <w:highlight w:val="none"/>
          <w:shd w:val="clear" w:color="auto" w:fill="auto"/>
        </w:rPr>
        <w:t>注：联合体投标的，“投标人”一栏需书写所有联合体成员的单位全称，可由主办方签署、盖章。</w:t>
      </w:r>
    </w:p>
    <w:p>
      <w:pPr>
        <w:spacing w:line="360" w:lineRule="auto"/>
        <w:rPr>
          <w:rFonts w:hint="eastAsia" w:ascii="宋体" w:hAnsi="宋体" w:eastAsia="宋体" w:cs="宋体"/>
          <w:color w:val="auto"/>
          <w:sz w:val="32"/>
          <w:szCs w:val="32"/>
          <w:highlight w:val="none"/>
          <w:shd w:val="clear" w:color="auto" w:fill="auto"/>
        </w:rPr>
      </w:pPr>
      <w:r>
        <w:rPr>
          <w:rFonts w:hint="eastAsia" w:ascii="宋体" w:hAnsi="宋体" w:eastAsia="宋体" w:cs="宋体"/>
          <w:b/>
          <w:bCs/>
          <w:color w:val="auto"/>
          <w:szCs w:val="21"/>
          <w:highlight w:val="none"/>
          <w:shd w:val="clear" w:color="auto" w:fill="auto"/>
        </w:rPr>
        <w:br w:type="page"/>
      </w:r>
      <w:r>
        <w:rPr>
          <w:rFonts w:hint="eastAsia" w:ascii="宋体" w:hAnsi="宋体" w:eastAsia="宋体" w:cs="宋体"/>
          <w:b/>
          <w:color w:val="auto"/>
          <w:sz w:val="32"/>
          <w:szCs w:val="32"/>
          <w:highlight w:val="none"/>
          <w:shd w:val="clear" w:color="auto" w:fill="auto"/>
        </w:rPr>
        <w:t>格式6：</w:t>
      </w:r>
    </w:p>
    <w:p>
      <w:pPr>
        <w:spacing w:line="360" w:lineRule="auto"/>
        <w:jc w:val="center"/>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b/>
          <w:bCs/>
          <w:color w:val="auto"/>
          <w:sz w:val="32"/>
          <w:szCs w:val="32"/>
          <w:highlight w:val="none"/>
          <w:shd w:val="clear" w:color="auto" w:fill="auto"/>
          <w:lang w:val="zh-CN"/>
        </w:rPr>
        <w:t>投标人基本情况表</w:t>
      </w:r>
    </w:p>
    <w:tbl>
      <w:tblPr>
        <w:tblStyle w:val="55"/>
        <w:tblW w:w="4999" w:type="pct"/>
        <w:jc w:val="center"/>
        <w:tblLayout w:type="autofit"/>
        <w:tblCellMar>
          <w:top w:w="0" w:type="dxa"/>
          <w:left w:w="0" w:type="dxa"/>
          <w:bottom w:w="0" w:type="dxa"/>
          <w:right w:w="0" w:type="dxa"/>
        </w:tblCellMar>
      </w:tblPr>
      <w:tblGrid>
        <w:gridCol w:w="2033"/>
        <w:gridCol w:w="1188"/>
        <w:gridCol w:w="1311"/>
        <w:gridCol w:w="904"/>
        <w:gridCol w:w="459"/>
        <w:gridCol w:w="232"/>
        <w:gridCol w:w="1363"/>
        <w:gridCol w:w="219"/>
        <w:gridCol w:w="904"/>
        <w:gridCol w:w="1152"/>
      </w:tblGrid>
      <w:tr>
        <w:tblPrEx>
          <w:tblCellMar>
            <w:top w:w="0" w:type="dxa"/>
            <w:left w:w="0" w:type="dxa"/>
            <w:bottom w:w="0" w:type="dxa"/>
            <w:right w:w="0" w:type="dxa"/>
          </w:tblCellMar>
        </w:tblPrEx>
        <w:trPr>
          <w:trHeight w:val="500" w:hRule="exact"/>
          <w:jc w:val="center"/>
        </w:trPr>
        <w:tc>
          <w:tcPr>
            <w:tcW w:w="1041"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投标人名称</w:t>
            </w:r>
          </w:p>
        </w:tc>
        <w:tc>
          <w:tcPr>
            <w:tcW w:w="3958" w:type="pct"/>
            <w:gridSpan w:val="9"/>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r>
      <w:tr>
        <w:tblPrEx>
          <w:tblCellMar>
            <w:top w:w="0" w:type="dxa"/>
            <w:left w:w="0" w:type="dxa"/>
            <w:bottom w:w="0" w:type="dxa"/>
            <w:right w:w="0" w:type="dxa"/>
          </w:tblCellMar>
        </w:tblPrEx>
        <w:trPr>
          <w:trHeight w:val="520" w:hRule="exact"/>
          <w:jc w:val="center"/>
        </w:trPr>
        <w:tc>
          <w:tcPr>
            <w:tcW w:w="1041"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注册地址</w:t>
            </w:r>
          </w:p>
        </w:tc>
        <w:tc>
          <w:tcPr>
            <w:tcW w:w="2096" w:type="pct"/>
            <w:gridSpan w:val="5"/>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698"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邮政编码</w:t>
            </w:r>
          </w:p>
        </w:tc>
        <w:tc>
          <w:tcPr>
            <w:tcW w:w="1163" w:type="pct"/>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r>
      <w:tr>
        <w:tblPrEx>
          <w:tblCellMar>
            <w:top w:w="0" w:type="dxa"/>
            <w:left w:w="0" w:type="dxa"/>
            <w:bottom w:w="0" w:type="dxa"/>
            <w:right w:w="0" w:type="dxa"/>
          </w:tblCellMar>
        </w:tblPrEx>
        <w:trPr>
          <w:cantSplit/>
          <w:trHeight w:val="540" w:hRule="exact"/>
          <w:jc w:val="center"/>
        </w:trPr>
        <w:tc>
          <w:tcPr>
            <w:tcW w:w="1041" w:type="pct"/>
            <w:vMerge w:val="restart"/>
            <w:tcBorders>
              <w:top w:val="single" w:color="auto" w:sz="8" w:space="0"/>
              <w:left w:val="single" w:color="auto" w:sz="8" w:space="0"/>
              <w:bottom w:val="nil"/>
              <w:right w:val="single" w:color="auto" w:sz="8" w:space="0"/>
            </w:tcBorders>
            <w:vAlign w:val="center"/>
          </w:tcPr>
          <w:p>
            <w:pPr>
              <w:adjustRightInd w:val="0"/>
              <w:snapToGrid w:val="0"/>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联系方式</w:t>
            </w:r>
          </w:p>
        </w:tc>
        <w:tc>
          <w:tcPr>
            <w:tcW w:w="608"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联系人</w:t>
            </w:r>
          </w:p>
        </w:tc>
        <w:tc>
          <w:tcPr>
            <w:tcW w:w="1487" w:type="pct"/>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698"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电  话</w:t>
            </w:r>
          </w:p>
        </w:tc>
        <w:tc>
          <w:tcPr>
            <w:tcW w:w="1163" w:type="pct"/>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r>
      <w:tr>
        <w:tblPrEx>
          <w:tblCellMar>
            <w:top w:w="0" w:type="dxa"/>
            <w:left w:w="0" w:type="dxa"/>
            <w:bottom w:w="0" w:type="dxa"/>
            <w:right w:w="0" w:type="dxa"/>
          </w:tblCellMar>
        </w:tblPrEx>
        <w:trPr>
          <w:cantSplit/>
          <w:trHeight w:val="520" w:hRule="exact"/>
          <w:jc w:val="center"/>
        </w:trPr>
        <w:tc>
          <w:tcPr>
            <w:tcW w:w="1041" w:type="pct"/>
            <w:vMerge w:val="continue"/>
            <w:tcBorders>
              <w:top w:val="nil"/>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kern w:val="0"/>
                <w:szCs w:val="21"/>
                <w:highlight w:val="none"/>
                <w:shd w:val="clear" w:color="auto" w:fill="auto"/>
              </w:rPr>
            </w:pPr>
          </w:p>
        </w:tc>
        <w:tc>
          <w:tcPr>
            <w:tcW w:w="608"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传  真</w:t>
            </w:r>
          </w:p>
        </w:tc>
        <w:tc>
          <w:tcPr>
            <w:tcW w:w="1487" w:type="pct"/>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698"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电子邮件</w:t>
            </w:r>
          </w:p>
        </w:tc>
        <w:tc>
          <w:tcPr>
            <w:tcW w:w="1163" w:type="pct"/>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r>
      <w:tr>
        <w:tblPrEx>
          <w:tblCellMar>
            <w:top w:w="0" w:type="dxa"/>
            <w:left w:w="0" w:type="dxa"/>
            <w:bottom w:w="0" w:type="dxa"/>
            <w:right w:w="0" w:type="dxa"/>
          </w:tblCellMar>
        </w:tblPrEx>
        <w:trPr>
          <w:trHeight w:val="520" w:hRule="exact"/>
          <w:jc w:val="center"/>
        </w:trPr>
        <w:tc>
          <w:tcPr>
            <w:tcW w:w="1041"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法定代表人</w:t>
            </w:r>
          </w:p>
        </w:tc>
        <w:tc>
          <w:tcPr>
            <w:tcW w:w="608"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姓名</w:t>
            </w:r>
          </w:p>
        </w:tc>
        <w:tc>
          <w:tcPr>
            <w:tcW w:w="670"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698"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技术职称</w:t>
            </w:r>
          </w:p>
        </w:tc>
        <w:tc>
          <w:tcPr>
            <w:tcW w:w="929" w:type="pct"/>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463"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电话</w:t>
            </w:r>
          </w:p>
        </w:tc>
        <w:tc>
          <w:tcPr>
            <w:tcW w:w="587"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r>
      <w:tr>
        <w:tblPrEx>
          <w:tblCellMar>
            <w:top w:w="0" w:type="dxa"/>
            <w:left w:w="0" w:type="dxa"/>
            <w:bottom w:w="0" w:type="dxa"/>
            <w:right w:w="0" w:type="dxa"/>
          </w:tblCellMar>
        </w:tblPrEx>
        <w:trPr>
          <w:trHeight w:val="520" w:hRule="exact"/>
          <w:jc w:val="center"/>
        </w:trPr>
        <w:tc>
          <w:tcPr>
            <w:tcW w:w="1041"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技术负责人</w:t>
            </w:r>
          </w:p>
        </w:tc>
        <w:tc>
          <w:tcPr>
            <w:tcW w:w="608"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姓名</w:t>
            </w:r>
          </w:p>
        </w:tc>
        <w:tc>
          <w:tcPr>
            <w:tcW w:w="670"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698"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技术职称</w:t>
            </w:r>
          </w:p>
        </w:tc>
        <w:tc>
          <w:tcPr>
            <w:tcW w:w="929" w:type="pct"/>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463"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电话</w:t>
            </w:r>
          </w:p>
        </w:tc>
        <w:tc>
          <w:tcPr>
            <w:tcW w:w="587"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r>
      <w:tr>
        <w:tblPrEx>
          <w:tblCellMar>
            <w:top w:w="0" w:type="dxa"/>
            <w:left w:w="0" w:type="dxa"/>
            <w:bottom w:w="0" w:type="dxa"/>
            <w:right w:w="0" w:type="dxa"/>
          </w:tblCellMar>
        </w:tblPrEx>
        <w:trPr>
          <w:trHeight w:val="540" w:hRule="exact"/>
          <w:jc w:val="center"/>
        </w:trPr>
        <w:tc>
          <w:tcPr>
            <w:tcW w:w="1041"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成立时间</w:t>
            </w:r>
          </w:p>
        </w:tc>
        <w:tc>
          <w:tcPr>
            <w:tcW w:w="1279"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2679" w:type="pct"/>
            <w:gridSpan w:val="7"/>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员工总人数：</w:t>
            </w:r>
          </w:p>
        </w:tc>
      </w:tr>
      <w:tr>
        <w:tblPrEx>
          <w:tblCellMar>
            <w:top w:w="0" w:type="dxa"/>
            <w:left w:w="0" w:type="dxa"/>
            <w:bottom w:w="0" w:type="dxa"/>
            <w:right w:w="0" w:type="dxa"/>
          </w:tblCellMar>
        </w:tblPrEx>
        <w:trPr>
          <w:trHeight w:val="500" w:hRule="exact"/>
          <w:jc w:val="center"/>
        </w:trPr>
        <w:tc>
          <w:tcPr>
            <w:tcW w:w="1041"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企业资质等级</w:t>
            </w:r>
          </w:p>
        </w:tc>
        <w:tc>
          <w:tcPr>
            <w:tcW w:w="1279"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463" w:type="pct"/>
            <w:vMerge w:val="restart"/>
            <w:tcBorders>
              <w:top w:val="single" w:color="auto" w:sz="8" w:space="0"/>
              <w:left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其中</w:t>
            </w:r>
          </w:p>
        </w:tc>
        <w:tc>
          <w:tcPr>
            <w:tcW w:w="1164" w:type="pct"/>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项目经理</w:t>
            </w:r>
          </w:p>
        </w:tc>
        <w:tc>
          <w:tcPr>
            <w:tcW w:w="1051"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r>
      <w:tr>
        <w:tblPrEx>
          <w:tblCellMar>
            <w:top w:w="0" w:type="dxa"/>
            <w:left w:w="0" w:type="dxa"/>
            <w:bottom w:w="0" w:type="dxa"/>
            <w:right w:w="0" w:type="dxa"/>
          </w:tblCellMar>
        </w:tblPrEx>
        <w:trPr>
          <w:cantSplit/>
          <w:trHeight w:val="540" w:hRule="exact"/>
          <w:jc w:val="center"/>
        </w:trPr>
        <w:tc>
          <w:tcPr>
            <w:tcW w:w="1041"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营业执照号</w:t>
            </w:r>
          </w:p>
        </w:tc>
        <w:tc>
          <w:tcPr>
            <w:tcW w:w="1279"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463" w:type="pct"/>
            <w:vMerge w:val="continue"/>
            <w:tcBorders>
              <w:left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1164" w:type="pct"/>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高级职称人员</w:t>
            </w:r>
          </w:p>
        </w:tc>
        <w:tc>
          <w:tcPr>
            <w:tcW w:w="1051"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r>
      <w:tr>
        <w:tblPrEx>
          <w:tblCellMar>
            <w:top w:w="0" w:type="dxa"/>
            <w:left w:w="0" w:type="dxa"/>
            <w:bottom w:w="0" w:type="dxa"/>
            <w:right w:w="0" w:type="dxa"/>
          </w:tblCellMar>
        </w:tblPrEx>
        <w:trPr>
          <w:trHeight w:val="520" w:hRule="exact"/>
          <w:jc w:val="center"/>
        </w:trPr>
        <w:tc>
          <w:tcPr>
            <w:tcW w:w="1041"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注册资金</w:t>
            </w:r>
          </w:p>
        </w:tc>
        <w:tc>
          <w:tcPr>
            <w:tcW w:w="1279"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463" w:type="pct"/>
            <w:vMerge w:val="continue"/>
            <w:tcBorders>
              <w:left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1164" w:type="pct"/>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中级职称人员</w:t>
            </w:r>
          </w:p>
        </w:tc>
        <w:tc>
          <w:tcPr>
            <w:tcW w:w="1051"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r>
      <w:tr>
        <w:tblPrEx>
          <w:tblCellMar>
            <w:top w:w="0" w:type="dxa"/>
            <w:left w:w="0" w:type="dxa"/>
            <w:bottom w:w="0" w:type="dxa"/>
            <w:right w:w="0" w:type="dxa"/>
          </w:tblCellMar>
        </w:tblPrEx>
        <w:trPr>
          <w:cantSplit/>
          <w:trHeight w:val="782" w:hRule="exact"/>
          <w:jc w:val="center"/>
        </w:trPr>
        <w:tc>
          <w:tcPr>
            <w:tcW w:w="1041"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基本账户开户银行</w:t>
            </w:r>
          </w:p>
        </w:tc>
        <w:tc>
          <w:tcPr>
            <w:tcW w:w="1279"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463" w:type="pct"/>
            <w:vMerge w:val="continue"/>
            <w:tcBorders>
              <w:left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1164" w:type="pct"/>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初级职称人员</w:t>
            </w:r>
          </w:p>
        </w:tc>
        <w:tc>
          <w:tcPr>
            <w:tcW w:w="1051"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r>
      <w:tr>
        <w:tblPrEx>
          <w:tblCellMar>
            <w:top w:w="0" w:type="dxa"/>
            <w:left w:w="0" w:type="dxa"/>
            <w:bottom w:w="0" w:type="dxa"/>
            <w:right w:w="0" w:type="dxa"/>
          </w:tblCellMar>
        </w:tblPrEx>
        <w:trPr>
          <w:cantSplit/>
          <w:trHeight w:val="710" w:hRule="exact"/>
          <w:jc w:val="center"/>
        </w:trPr>
        <w:tc>
          <w:tcPr>
            <w:tcW w:w="1041"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基本账户账号</w:t>
            </w:r>
          </w:p>
        </w:tc>
        <w:tc>
          <w:tcPr>
            <w:tcW w:w="1279"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463" w:type="pct"/>
            <w:vMerge w:val="continue"/>
            <w:tcBorders>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c>
          <w:tcPr>
            <w:tcW w:w="1164" w:type="pct"/>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技工</w:t>
            </w:r>
          </w:p>
        </w:tc>
        <w:tc>
          <w:tcPr>
            <w:tcW w:w="1051"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r>
      <w:tr>
        <w:tblPrEx>
          <w:tblCellMar>
            <w:top w:w="0" w:type="dxa"/>
            <w:left w:w="0" w:type="dxa"/>
            <w:bottom w:w="0" w:type="dxa"/>
            <w:right w:w="0" w:type="dxa"/>
          </w:tblCellMar>
        </w:tblPrEx>
        <w:trPr>
          <w:trHeight w:val="1676" w:hRule="exact"/>
          <w:jc w:val="center"/>
        </w:trPr>
        <w:tc>
          <w:tcPr>
            <w:tcW w:w="1041"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经营范围</w:t>
            </w:r>
          </w:p>
        </w:tc>
        <w:tc>
          <w:tcPr>
            <w:tcW w:w="3958" w:type="pct"/>
            <w:gridSpan w:val="9"/>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r>
      <w:tr>
        <w:tblPrEx>
          <w:tblCellMar>
            <w:top w:w="0" w:type="dxa"/>
            <w:left w:w="0" w:type="dxa"/>
            <w:bottom w:w="0" w:type="dxa"/>
            <w:right w:w="0" w:type="dxa"/>
          </w:tblCellMar>
        </w:tblPrEx>
        <w:trPr>
          <w:trHeight w:val="1421" w:hRule="exact"/>
          <w:jc w:val="center"/>
        </w:trPr>
        <w:tc>
          <w:tcPr>
            <w:tcW w:w="1041"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企业简介</w:t>
            </w:r>
          </w:p>
        </w:tc>
        <w:tc>
          <w:tcPr>
            <w:tcW w:w="3958" w:type="pct"/>
            <w:gridSpan w:val="9"/>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（本项内容可另附页）</w:t>
            </w:r>
          </w:p>
        </w:tc>
      </w:tr>
      <w:tr>
        <w:tblPrEx>
          <w:tblCellMar>
            <w:top w:w="0" w:type="dxa"/>
            <w:left w:w="0" w:type="dxa"/>
            <w:bottom w:w="0" w:type="dxa"/>
            <w:right w:w="0" w:type="dxa"/>
          </w:tblCellMar>
        </w:tblPrEx>
        <w:trPr>
          <w:trHeight w:val="1084" w:hRule="exact"/>
          <w:jc w:val="center"/>
        </w:trPr>
        <w:tc>
          <w:tcPr>
            <w:tcW w:w="1041"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备注</w:t>
            </w:r>
          </w:p>
        </w:tc>
        <w:tc>
          <w:tcPr>
            <w:tcW w:w="3958" w:type="pct"/>
            <w:gridSpan w:val="9"/>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color w:val="auto"/>
                <w:szCs w:val="21"/>
                <w:highlight w:val="none"/>
                <w:shd w:val="clear" w:color="auto" w:fill="auto"/>
              </w:rPr>
            </w:pPr>
          </w:p>
        </w:tc>
      </w:tr>
    </w:tbl>
    <w:p>
      <w:pPr>
        <w:spacing w:line="360" w:lineRule="auto"/>
        <w:ind w:right="42" w:rightChars="2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注：联合体投标的，由联合体主办方提交本表。</w:t>
      </w:r>
    </w:p>
    <w:p>
      <w:pPr>
        <w:autoSpaceDE w:val="0"/>
        <w:autoSpaceDN w:val="0"/>
        <w:adjustRightInd w:val="0"/>
        <w:spacing w:line="360" w:lineRule="auto"/>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color w:val="auto"/>
          <w:szCs w:val="21"/>
          <w:highlight w:val="none"/>
          <w:shd w:val="clear" w:color="auto" w:fill="auto"/>
        </w:rPr>
        <w:br w:type="page"/>
      </w:r>
      <w:r>
        <w:rPr>
          <w:rFonts w:hint="eastAsia" w:ascii="宋体" w:hAnsi="宋体" w:eastAsia="宋体" w:cs="宋体"/>
          <w:b/>
          <w:color w:val="auto"/>
          <w:sz w:val="32"/>
          <w:szCs w:val="32"/>
          <w:highlight w:val="none"/>
          <w:shd w:val="clear" w:color="auto" w:fill="auto"/>
        </w:rPr>
        <w:t>格式7：</w:t>
      </w:r>
    </w:p>
    <w:p>
      <w:pPr>
        <w:autoSpaceDE w:val="0"/>
        <w:autoSpaceDN w:val="0"/>
        <w:adjustRightInd w:val="0"/>
        <w:spacing w:line="360" w:lineRule="auto"/>
        <w:jc w:val="center"/>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b/>
          <w:bCs/>
          <w:color w:val="auto"/>
          <w:sz w:val="32"/>
          <w:szCs w:val="32"/>
          <w:highlight w:val="none"/>
          <w:shd w:val="clear" w:color="auto" w:fill="auto"/>
          <w:lang w:val="zh-CN"/>
        </w:rPr>
        <w:t>参与编制投标文件人员名单</w:t>
      </w:r>
    </w:p>
    <w:p>
      <w:pPr>
        <w:tabs>
          <w:tab w:val="left" w:pos="720"/>
        </w:tabs>
        <w:snapToGrid w:val="0"/>
        <w:spacing w:line="360" w:lineRule="auto"/>
        <w:rPr>
          <w:rFonts w:hint="eastAsia" w:ascii="宋体" w:hAnsi="宋体" w:eastAsia="宋体" w:cs="宋体"/>
          <w:caps/>
          <w:color w:val="auto"/>
          <w:sz w:val="24"/>
          <w:highlight w:val="none"/>
          <w:shd w:val="clear" w:color="auto" w:fill="auto"/>
        </w:rPr>
      </w:pPr>
    </w:p>
    <w:tbl>
      <w:tblPr>
        <w:tblStyle w:val="55"/>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44"/>
        <w:gridCol w:w="1479"/>
        <w:gridCol w:w="2616"/>
        <w:gridCol w:w="2764"/>
        <w:gridCol w:w="16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姓名</w:t>
            </w: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职务</w:t>
            </w: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所承担工作</w:t>
            </w: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身份证号码</w:t>
            </w:r>
          </w:p>
        </w:tc>
        <w:tc>
          <w:tcPr>
            <w:tcW w:w="831" w:type="pct"/>
            <w:vAlign w:val="center"/>
          </w:tcPr>
          <w:p>
            <w:pPr>
              <w:tabs>
                <w:tab w:val="left" w:pos="0"/>
                <w:tab w:val="left" w:pos="720"/>
              </w:tabs>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725"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742"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13"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1387"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c>
          <w:tcPr>
            <w:tcW w:w="831" w:type="pct"/>
            <w:vAlign w:val="center"/>
          </w:tcPr>
          <w:p>
            <w:pPr>
              <w:tabs>
                <w:tab w:val="left" w:pos="0"/>
                <w:tab w:val="left" w:pos="720"/>
              </w:tabs>
              <w:adjustRightInd w:val="0"/>
              <w:snapToGrid w:val="0"/>
              <w:jc w:val="center"/>
              <w:rPr>
                <w:rFonts w:hint="eastAsia" w:ascii="宋体" w:hAnsi="宋体" w:eastAsia="宋体" w:cs="宋体"/>
                <w:color w:val="auto"/>
                <w:sz w:val="21"/>
                <w:szCs w:val="21"/>
                <w:highlight w:val="none"/>
                <w:shd w:val="clear" w:color="auto" w:fill="auto"/>
              </w:rPr>
            </w:pPr>
          </w:p>
        </w:tc>
      </w:tr>
    </w:tbl>
    <w:p>
      <w:pPr>
        <w:ind w:left="208" w:leftChars="99" w:right="42" w:rightChars="2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注：参与编制标书所有人员名单应包括如编制技术投标方案、编制投标报价、负责清样校对、负责打印及复印等所有人员在内的人员名单。</w:t>
      </w:r>
    </w:p>
    <w:p>
      <w:pPr>
        <w:spacing w:line="360" w:lineRule="auto"/>
        <w:ind w:left="-283" w:leftChars="-135" w:right="-191" w:rightChars="-91"/>
        <w:rPr>
          <w:rFonts w:hint="eastAsia" w:ascii="宋体" w:hAnsi="宋体" w:eastAsia="宋体" w:cs="宋体"/>
          <w:color w:val="auto"/>
          <w:sz w:val="21"/>
          <w:szCs w:val="21"/>
          <w:highlight w:val="none"/>
          <w:shd w:val="clear" w:color="auto" w:fill="auto"/>
        </w:rPr>
      </w:pPr>
    </w:p>
    <w:p>
      <w:pPr>
        <w:spacing w:line="360" w:lineRule="auto"/>
        <w:ind w:left="-283" w:leftChars="-135" w:right="-191" w:rightChars="-91"/>
        <w:rPr>
          <w:rFonts w:hint="eastAsia" w:ascii="宋体" w:hAnsi="宋体" w:eastAsia="宋体" w:cs="宋体"/>
          <w:color w:val="auto"/>
          <w:sz w:val="24"/>
          <w:highlight w:val="none"/>
          <w:shd w:val="clear" w:color="auto" w:fill="auto"/>
        </w:rPr>
      </w:pPr>
    </w:p>
    <w:p>
      <w:pPr>
        <w:spacing w:line="360" w:lineRule="auto"/>
        <w:ind w:left="-283" w:leftChars="-135" w:right="-191" w:rightChars="-91"/>
        <w:rPr>
          <w:rFonts w:hint="eastAsia" w:ascii="宋体" w:hAnsi="宋体" w:eastAsia="宋体" w:cs="宋体"/>
          <w:color w:val="auto"/>
          <w:sz w:val="24"/>
          <w:highlight w:val="none"/>
          <w:shd w:val="clear" w:color="auto" w:fill="auto"/>
        </w:rPr>
      </w:pPr>
    </w:p>
    <w:p>
      <w:pPr>
        <w:spacing w:line="360" w:lineRule="auto"/>
        <w:ind w:left="-283" w:leftChars="-135" w:right="-191" w:rightChars="-91"/>
        <w:rPr>
          <w:rFonts w:hint="eastAsia" w:ascii="宋体" w:hAnsi="宋体" w:eastAsia="宋体" w:cs="宋体"/>
          <w:color w:val="auto"/>
          <w:sz w:val="24"/>
          <w:highlight w:val="none"/>
          <w:shd w:val="clear" w:color="auto" w:fill="auto"/>
        </w:rPr>
      </w:pPr>
    </w:p>
    <w:p>
      <w:pPr>
        <w:spacing w:line="360" w:lineRule="auto"/>
        <w:ind w:right="-130" w:rightChars="-62"/>
        <w:rPr>
          <w:rFonts w:hint="eastAsia" w:ascii="宋体" w:hAnsi="宋体" w:eastAsia="宋体" w:cs="宋体"/>
          <w:color w:val="auto"/>
          <w:highlight w:val="none"/>
          <w:shd w:val="clear" w:color="auto" w:fill="auto"/>
        </w:rPr>
      </w:pPr>
    </w:p>
    <w:sectPr>
      <w:headerReference r:id="rId16" w:type="default"/>
      <w:footerReference r:id="rId17" w:type="default"/>
      <w:pgSz w:w="11907" w:h="16840"/>
      <w:pgMar w:top="1440" w:right="1080" w:bottom="1440" w:left="1080" w:header="851"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enlo">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Beijing">
    <w:altName w:val="Arial"/>
    <w:panose1 w:val="00000000000000000000"/>
    <w:charset w:val="5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IBM Helvetica Light">
    <w:altName w:val="Arial"/>
    <w:panose1 w:val="00000000000000000000"/>
    <w:charset w:val="00"/>
    <w:family w:val="swiss"/>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Yenti EG">
    <w:altName w:val="宋体"/>
    <w:panose1 w:val="00000000000000000000"/>
    <w:charset w:val="86"/>
    <w:family w:val="roman"/>
    <w:pitch w:val="default"/>
    <w:sig w:usb0="00000000" w:usb1="00000000" w:usb2="0000001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07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1">
                      <a:spAutoFit/>
                    </wps:bodyPr>
                  </wps:wsp>
                </a:graphicData>
              </a:graphic>
            </wp:anchor>
          </w:drawing>
        </mc:Choice>
        <mc:Fallback>
          <w:pict>
            <v:shape id="文本框 3077"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L3UTQAAAAAgEAAA8AAAAAAAAAAQAgAAAAIgAAAGRycy9k&#10;b3ducmV2LnhtbFBLAQIUABQAAAAIAIdO4kCwFCTb0QEAAJkDAAAOAAAAAAAAAAEAIAAAAB8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upright="1">
                      <a:spAutoFit/>
                    </wps:bodyPr>
                  </wps:wsp>
                </a:graphicData>
              </a:graphic>
            </wp:anchor>
          </w:drawing>
        </mc:Choice>
        <mc:Fallback>
          <w:pict>
            <v:shape id="文本框 307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05XlUzAEAAJw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307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wps:txbx>
                    <wps:bodyPr wrap="none" lIns="0" tIns="0" rIns="0" bIns="0" upright="1">
                      <a:spAutoFit/>
                    </wps:bodyPr>
                  </wps:wsp>
                </a:graphicData>
              </a:graphic>
            </wp:anchor>
          </w:drawing>
        </mc:Choice>
        <mc:Fallback>
          <w:pict>
            <v:shape id="文本框 307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PlfknQAAAAAwEAAA8AAAAAAAAAAQAgAAAAIgAAAGRycy9k&#10;b3ducmV2LnhtbFBLAQIUABQAAAAIAIdO4kAgexL80QEAAJoDAAAOAAAAAAAAAAEAIAAAAB8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0"/>
      </w:rPr>
    </w:pPr>
    <w:r>
      <w:fldChar w:fldCharType="begin"/>
    </w:r>
    <w:r>
      <w:rPr>
        <w:rStyle w:val="60"/>
      </w:rPr>
      <w:instrText xml:space="preserve">PAGE  </w:instrText>
    </w:r>
    <w:r>
      <w:fldChar w:fldCharType="separate"/>
    </w:r>
    <w:r>
      <w:rPr>
        <w:rStyle w:val="60"/>
      </w:rPr>
      <w:t>32</w:t>
    </w:r>
    <w:r>
      <w:fldChar w:fldCharType="end"/>
    </w:r>
  </w:p>
  <w:p>
    <w:pPr>
      <w:pStyle w:val="3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0"/>
      </w:rPr>
    </w:pPr>
    <w:r>
      <w:fldChar w:fldCharType="begin"/>
    </w:r>
    <w:r>
      <w:rPr>
        <w:rStyle w:val="60"/>
      </w:rPr>
      <w:instrText xml:space="preserve">PAGE  </w:instrText>
    </w:r>
    <w:r>
      <w:fldChar w:fldCharType="separate"/>
    </w:r>
    <w:r>
      <w:rPr>
        <w:rStyle w:val="60"/>
      </w:rPr>
      <w:t>43</w:t>
    </w:r>
    <w:r>
      <w:fldChar w:fldCharType="end"/>
    </w:r>
  </w:p>
  <w:p>
    <w:pPr>
      <w:pStyle w:val="3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0"/>
      </w:rPr>
    </w:pPr>
    <w:r>
      <w:fldChar w:fldCharType="begin"/>
    </w:r>
    <w:r>
      <w:rPr>
        <w:rStyle w:val="60"/>
      </w:rPr>
      <w:instrText xml:space="preserve">PAGE  </w:instrText>
    </w:r>
    <w:r>
      <w:fldChar w:fldCharType="separate"/>
    </w:r>
    <w:r>
      <w:rPr>
        <w:rStyle w:val="60"/>
      </w:rPr>
      <w:t>42</w:t>
    </w:r>
    <w:r>
      <w:fldChar w:fldCharType="end"/>
    </w:r>
  </w:p>
  <w:p>
    <w:pPr>
      <w:pStyle w:val="34"/>
      <w:tabs>
        <w:tab w:val="left" w:pos="9455"/>
        <w:tab w:val="clear" w:pos="4153"/>
        <w:tab w:val="clear" w:pos="8306"/>
      </w:tabs>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rPr>
        <w:rStyle w:val="60"/>
      </w:rPr>
      <w:instrText xml:space="preserve"> PAGE </w:instrText>
    </w:r>
    <w:r>
      <w:fldChar w:fldCharType="separate"/>
    </w:r>
    <w:r>
      <w:rPr>
        <w:rStyle w:val="60"/>
      </w:rPr>
      <w:t>48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jc w:val="right"/>
                          </w:pPr>
                          <w:r>
                            <w:fldChar w:fldCharType="begin"/>
                          </w:r>
                          <w:r>
                            <w:instrText xml:space="preserve">PAGE   \* MERGEFORMAT</w:instrText>
                          </w:r>
                          <w:r>
                            <w:fldChar w:fldCharType="separate"/>
                          </w:r>
                          <w:r>
                            <w:rPr>
                              <w:lang w:val="zh-CN"/>
                            </w:rPr>
                            <w:t>50</w:t>
                          </w:r>
                          <w:r>
                            <w:rPr>
                              <w:lang w:val="zh-CN"/>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ujLswBAACc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W6MuzAEAAJwDAAAOAAAAAAAAAAEAIAAAAB4BAABkcnMvZTJv&#10;RG9jLnhtbFBLBQYAAAAABgAGAFkBAABcBQAAAAA=&#10;">
              <v:fill on="f" focussize="0,0"/>
              <v:stroke on="f"/>
              <v:imagedata o:title=""/>
              <o:lock v:ext="edit" aspectratio="f"/>
              <v:textbox inset="0mm,0mm,0mm,0mm" style="mso-fit-shape-to-text:t;">
                <w:txbxContent>
                  <w:p>
                    <w:pPr>
                      <w:pStyle w:val="34"/>
                      <w:jc w:val="right"/>
                    </w:pPr>
                    <w:r>
                      <w:fldChar w:fldCharType="begin"/>
                    </w:r>
                    <w:r>
                      <w:instrText xml:space="preserve">PAGE   \* MERGEFORMAT</w:instrText>
                    </w:r>
                    <w:r>
                      <w:fldChar w:fldCharType="separate"/>
                    </w:r>
                    <w:r>
                      <w:rPr>
                        <w:lang w:val="zh-CN"/>
                      </w:rPr>
                      <w:t>50</w:t>
                    </w:r>
                    <w:r>
                      <w:rPr>
                        <w:lang w:val="zh-CN"/>
                      </w:rPr>
                      <w:fldChar w:fldCharType="end"/>
                    </w:r>
                  </w:p>
                </w:txbxContent>
              </v:textbox>
            </v:shape>
          </w:pict>
        </mc:Fallback>
      </mc:AlternateContent>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7B3B2"/>
    <w:multiLevelType w:val="singleLevel"/>
    <w:tmpl w:val="9C37B3B2"/>
    <w:lvl w:ilvl="0" w:tentative="0">
      <w:start w:val="1"/>
      <w:numFmt w:val="chineseCounting"/>
      <w:suff w:val="nothing"/>
      <w:lvlText w:val="%1、"/>
      <w:lvlJc w:val="left"/>
      <w:rPr>
        <w:rFonts w:hint="eastAsia"/>
      </w:rPr>
    </w:lvl>
  </w:abstractNum>
  <w:abstractNum w:abstractNumId="1">
    <w:nsid w:val="A741416A"/>
    <w:multiLevelType w:val="singleLevel"/>
    <w:tmpl w:val="A741416A"/>
    <w:lvl w:ilvl="0" w:tentative="0">
      <w:start w:val="1"/>
      <w:numFmt w:val="decimal"/>
      <w:suff w:val="nothing"/>
      <w:lvlText w:val="%1）"/>
      <w:lvlJc w:val="left"/>
    </w:lvl>
  </w:abstractNum>
  <w:abstractNum w:abstractNumId="2">
    <w:nsid w:val="B02787D2"/>
    <w:multiLevelType w:val="singleLevel"/>
    <w:tmpl w:val="B02787D2"/>
    <w:lvl w:ilvl="0" w:tentative="0">
      <w:start w:val="1"/>
      <w:numFmt w:val="decimal"/>
      <w:suff w:val="nothing"/>
      <w:lvlText w:val="%1、"/>
      <w:lvlJc w:val="left"/>
    </w:lvl>
  </w:abstractNum>
  <w:abstractNum w:abstractNumId="3">
    <w:nsid w:val="CABCF9B8"/>
    <w:multiLevelType w:val="singleLevel"/>
    <w:tmpl w:val="CABCF9B8"/>
    <w:lvl w:ilvl="0" w:tentative="0">
      <w:start w:val="3"/>
      <w:numFmt w:val="chineseCounting"/>
      <w:suff w:val="space"/>
      <w:lvlText w:val="第%1章"/>
      <w:lvlJc w:val="left"/>
      <w:rPr>
        <w:rFonts w:hint="eastAsia"/>
      </w:rPr>
    </w:lvl>
  </w:abstractNum>
  <w:abstractNum w:abstractNumId="4">
    <w:nsid w:val="34053AFD"/>
    <w:multiLevelType w:val="singleLevel"/>
    <w:tmpl w:val="34053AFD"/>
    <w:lvl w:ilvl="0" w:tentative="0">
      <w:start w:val="1"/>
      <w:numFmt w:val="decimal"/>
      <w:suff w:val="nothing"/>
      <w:lvlText w:val="（%1）"/>
      <w:lvlJc w:val="left"/>
    </w:lvl>
  </w:abstractNum>
  <w:abstractNum w:abstractNumId="5">
    <w:nsid w:val="5E830D99"/>
    <w:multiLevelType w:val="singleLevel"/>
    <w:tmpl w:val="5E830D99"/>
    <w:lvl w:ilvl="0" w:tentative="0">
      <w:start w:val="4"/>
      <w:numFmt w:val="chineseCounting"/>
      <w:suff w:val="space"/>
      <w:lvlText w:val="第%1章"/>
      <w:lvlJc w:val="left"/>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removePersonalInformation/>
  <w:doNotDisplayPageBoundaries w:val="1"/>
  <w:bordersDoNotSurroundHeader w:val="0"/>
  <w:bordersDoNotSurroundFooter w:val="0"/>
  <w:trackRevisions w:val="1"/>
  <w:documentProtection w:edit="trackedChanges" w:enforcement="0"/>
  <w:defaultTabStop w:val="420"/>
  <w:drawingGridHorizontalSpacing w:val="21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0F"/>
    <w:rsid w:val="00000AF2"/>
    <w:rsid w:val="0000128D"/>
    <w:rsid w:val="000026B8"/>
    <w:rsid w:val="00003B78"/>
    <w:rsid w:val="00003EFF"/>
    <w:rsid w:val="00004C11"/>
    <w:rsid w:val="000074B8"/>
    <w:rsid w:val="000076F5"/>
    <w:rsid w:val="00010152"/>
    <w:rsid w:val="0001134C"/>
    <w:rsid w:val="000117B8"/>
    <w:rsid w:val="00013501"/>
    <w:rsid w:val="00014605"/>
    <w:rsid w:val="000146DD"/>
    <w:rsid w:val="00015F03"/>
    <w:rsid w:val="0001687B"/>
    <w:rsid w:val="000205D7"/>
    <w:rsid w:val="00020987"/>
    <w:rsid w:val="00021121"/>
    <w:rsid w:val="0002131C"/>
    <w:rsid w:val="000214A6"/>
    <w:rsid w:val="000252A7"/>
    <w:rsid w:val="00026DDB"/>
    <w:rsid w:val="00027B32"/>
    <w:rsid w:val="000320BD"/>
    <w:rsid w:val="000325CC"/>
    <w:rsid w:val="000344C7"/>
    <w:rsid w:val="00034529"/>
    <w:rsid w:val="00034FE3"/>
    <w:rsid w:val="00035D06"/>
    <w:rsid w:val="00040156"/>
    <w:rsid w:val="00042EE1"/>
    <w:rsid w:val="00043787"/>
    <w:rsid w:val="00043D9F"/>
    <w:rsid w:val="000470ED"/>
    <w:rsid w:val="0004730B"/>
    <w:rsid w:val="000514DC"/>
    <w:rsid w:val="0005186A"/>
    <w:rsid w:val="00051E7A"/>
    <w:rsid w:val="000522D2"/>
    <w:rsid w:val="00054A2F"/>
    <w:rsid w:val="000557A1"/>
    <w:rsid w:val="00060207"/>
    <w:rsid w:val="0006411C"/>
    <w:rsid w:val="000644C2"/>
    <w:rsid w:val="00064B75"/>
    <w:rsid w:val="00065209"/>
    <w:rsid w:val="00067419"/>
    <w:rsid w:val="00071CF6"/>
    <w:rsid w:val="000729E0"/>
    <w:rsid w:val="000754D8"/>
    <w:rsid w:val="0007591F"/>
    <w:rsid w:val="000762B1"/>
    <w:rsid w:val="00076AD2"/>
    <w:rsid w:val="00076ECD"/>
    <w:rsid w:val="000772B5"/>
    <w:rsid w:val="00077D2E"/>
    <w:rsid w:val="00080193"/>
    <w:rsid w:val="00082F47"/>
    <w:rsid w:val="00084EC9"/>
    <w:rsid w:val="00085EC3"/>
    <w:rsid w:val="00085F62"/>
    <w:rsid w:val="00085FA9"/>
    <w:rsid w:val="00085FD0"/>
    <w:rsid w:val="00086168"/>
    <w:rsid w:val="000876AD"/>
    <w:rsid w:val="000878F9"/>
    <w:rsid w:val="00091FB5"/>
    <w:rsid w:val="00094A98"/>
    <w:rsid w:val="00095844"/>
    <w:rsid w:val="00096D32"/>
    <w:rsid w:val="000A1D17"/>
    <w:rsid w:val="000A2587"/>
    <w:rsid w:val="000A3336"/>
    <w:rsid w:val="000A3537"/>
    <w:rsid w:val="000A408A"/>
    <w:rsid w:val="000A4DAC"/>
    <w:rsid w:val="000A5B80"/>
    <w:rsid w:val="000A6713"/>
    <w:rsid w:val="000A7498"/>
    <w:rsid w:val="000B0013"/>
    <w:rsid w:val="000B007A"/>
    <w:rsid w:val="000B0EED"/>
    <w:rsid w:val="000B1A41"/>
    <w:rsid w:val="000B2154"/>
    <w:rsid w:val="000B5541"/>
    <w:rsid w:val="000B591A"/>
    <w:rsid w:val="000B6239"/>
    <w:rsid w:val="000B7313"/>
    <w:rsid w:val="000C0289"/>
    <w:rsid w:val="000C04E6"/>
    <w:rsid w:val="000C15BD"/>
    <w:rsid w:val="000C1AE1"/>
    <w:rsid w:val="000C208E"/>
    <w:rsid w:val="000C258A"/>
    <w:rsid w:val="000C3A1F"/>
    <w:rsid w:val="000C4DA9"/>
    <w:rsid w:val="000C51C8"/>
    <w:rsid w:val="000C51D5"/>
    <w:rsid w:val="000C59C5"/>
    <w:rsid w:val="000C696A"/>
    <w:rsid w:val="000C7234"/>
    <w:rsid w:val="000D0200"/>
    <w:rsid w:val="000D2449"/>
    <w:rsid w:val="000D2B8B"/>
    <w:rsid w:val="000D2E1A"/>
    <w:rsid w:val="000D54CF"/>
    <w:rsid w:val="000D5F8C"/>
    <w:rsid w:val="000E078D"/>
    <w:rsid w:val="000E2C74"/>
    <w:rsid w:val="000E555A"/>
    <w:rsid w:val="000E6573"/>
    <w:rsid w:val="000F12FB"/>
    <w:rsid w:val="000F1501"/>
    <w:rsid w:val="000F2586"/>
    <w:rsid w:val="000F3E18"/>
    <w:rsid w:val="000F46EE"/>
    <w:rsid w:val="000F4C83"/>
    <w:rsid w:val="000F557B"/>
    <w:rsid w:val="000F5A41"/>
    <w:rsid w:val="001015D3"/>
    <w:rsid w:val="001024D7"/>
    <w:rsid w:val="00102A14"/>
    <w:rsid w:val="001037EA"/>
    <w:rsid w:val="0010529D"/>
    <w:rsid w:val="00105544"/>
    <w:rsid w:val="00105E60"/>
    <w:rsid w:val="0010625B"/>
    <w:rsid w:val="0010648A"/>
    <w:rsid w:val="001065B8"/>
    <w:rsid w:val="00106755"/>
    <w:rsid w:val="001070CC"/>
    <w:rsid w:val="00110206"/>
    <w:rsid w:val="0011058A"/>
    <w:rsid w:val="0011082D"/>
    <w:rsid w:val="0011266D"/>
    <w:rsid w:val="00113DAF"/>
    <w:rsid w:val="00113DC9"/>
    <w:rsid w:val="00116F90"/>
    <w:rsid w:val="00117B9A"/>
    <w:rsid w:val="0012015F"/>
    <w:rsid w:val="0012205B"/>
    <w:rsid w:val="00122C47"/>
    <w:rsid w:val="001231B4"/>
    <w:rsid w:val="00127D0A"/>
    <w:rsid w:val="001326DB"/>
    <w:rsid w:val="001327FF"/>
    <w:rsid w:val="0013283E"/>
    <w:rsid w:val="00133F00"/>
    <w:rsid w:val="001369AD"/>
    <w:rsid w:val="00137070"/>
    <w:rsid w:val="00137820"/>
    <w:rsid w:val="00140273"/>
    <w:rsid w:val="00141218"/>
    <w:rsid w:val="001426F5"/>
    <w:rsid w:val="00146566"/>
    <w:rsid w:val="0015151C"/>
    <w:rsid w:val="0015393B"/>
    <w:rsid w:val="00154032"/>
    <w:rsid w:val="0015419F"/>
    <w:rsid w:val="00154CA8"/>
    <w:rsid w:val="00154F73"/>
    <w:rsid w:val="00155296"/>
    <w:rsid w:val="00156D44"/>
    <w:rsid w:val="00156F2A"/>
    <w:rsid w:val="00157D18"/>
    <w:rsid w:val="001601EC"/>
    <w:rsid w:val="001602C0"/>
    <w:rsid w:val="00161A6B"/>
    <w:rsid w:val="00162324"/>
    <w:rsid w:val="00164B71"/>
    <w:rsid w:val="00164E89"/>
    <w:rsid w:val="001652D7"/>
    <w:rsid w:val="001658A4"/>
    <w:rsid w:val="00165B7F"/>
    <w:rsid w:val="00165C91"/>
    <w:rsid w:val="00166019"/>
    <w:rsid w:val="0016612D"/>
    <w:rsid w:val="00166FDF"/>
    <w:rsid w:val="0016757A"/>
    <w:rsid w:val="00167D92"/>
    <w:rsid w:val="00170571"/>
    <w:rsid w:val="00170C9C"/>
    <w:rsid w:val="00171FCA"/>
    <w:rsid w:val="00172294"/>
    <w:rsid w:val="00172A27"/>
    <w:rsid w:val="00172D1B"/>
    <w:rsid w:val="0017335C"/>
    <w:rsid w:val="00173505"/>
    <w:rsid w:val="00173740"/>
    <w:rsid w:val="001739B7"/>
    <w:rsid w:val="00174359"/>
    <w:rsid w:val="00175520"/>
    <w:rsid w:val="0017592C"/>
    <w:rsid w:val="00175BD9"/>
    <w:rsid w:val="00176AFA"/>
    <w:rsid w:val="001771F5"/>
    <w:rsid w:val="00177D1A"/>
    <w:rsid w:val="00177ECF"/>
    <w:rsid w:val="00181A21"/>
    <w:rsid w:val="00182C23"/>
    <w:rsid w:val="00183D18"/>
    <w:rsid w:val="001844FF"/>
    <w:rsid w:val="001854BB"/>
    <w:rsid w:val="00185869"/>
    <w:rsid w:val="00185C22"/>
    <w:rsid w:val="00187095"/>
    <w:rsid w:val="0018744A"/>
    <w:rsid w:val="00187687"/>
    <w:rsid w:val="001877A6"/>
    <w:rsid w:val="001879B8"/>
    <w:rsid w:val="00187FEE"/>
    <w:rsid w:val="001907D6"/>
    <w:rsid w:val="00192072"/>
    <w:rsid w:val="001923EE"/>
    <w:rsid w:val="00192D24"/>
    <w:rsid w:val="001953C8"/>
    <w:rsid w:val="00195A5C"/>
    <w:rsid w:val="001966EB"/>
    <w:rsid w:val="00197AE7"/>
    <w:rsid w:val="001A0C0B"/>
    <w:rsid w:val="001A2524"/>
    <w:rsid w:val="001A2821"/>
    <w:rsid w:val="001A41DE"/>
    <w:rsid w:val="001A43FB"/>
    <w:rsid w:val="001A4663"/>
    <w:rsid w:val="001A5BC3"/>
    <w:rsid w:val="001A6E72"/>
    <w:rsid w:val="001A7EB9"/>
    <w:rsid w:val="001B0536"/>
    <w:rsid w:val="001B126B"/>
    <w:rsid w:val="001B337C"/>
    <w:rsid w:val="001B43E1"/>
    <w:rsid w:val="001B7E1C"/>
    <w:rsid w:val="001C12B4"/>
    <w:rsid w:val="001C1D6C"/>
    <w:rsid w:val="001C2A66"/>
    <w:rsid w:val="001C6DA6"/>
    <w:rsid w:val="001C7B36"/>
    <w:rsid w:val="001D129F"/>
    <w:rsid w:val="001D37E7"/>
    <w:rsid w:val="001D4ACC"/>
    <w:rsid w:val="001D7BC8"/>
    <w:rsid w:val="001E2685"/>
    <w:rsid w:val="001E437A"/>
    <w:rsid w:val="001E4796"/>
    <w:rsid w:val="001E4BA5"/>
    <w:rsid w:val="001E4D89"/>
    <w:rsid w:val="001E5F72"/>
    <w:rsid w:val="001E6A54"/>
    <w:rsid w:val="001E77EE"/>
    <w:rsid w:val="001F1BE2"/>
    <w:rsid w:val="001F2310"/>
    <w:rsid w:val="001F2626"/>
    <w:rsid w:val="001F2CDE"/>
    <w:rsid w:val="001F4058"/>
    <w:rsid w:val="001F4DF0"/>
    <w:rsid w:val="001F57E9"/>
    <w:rsid w:val="001F708D"/>
    <w:rsid w:val="002003F8"/>
    <w:rsid w:val="00201E49"/>
    <w:rsid w:val="0020249A"/>
    <w:rsid w:val="002036A7"/>
    <w:rsid w:val="00203BA6"/>
    <w:rsid w:val="0020686D"/>
    <w:rsid w:val="00210EED"/>
    <w:rsid w:val="0021115B"/>
    <w:rsid w:val="00211359"/>
    <w:rsid w:val="00211D81"/>
    <w:rsid w:val="00212CA9"/>
    <w:rsid w:val="00215272"/>
    <w:rsid w:val="002158CD"/>
    <w:rsid w:val="002159C0"/>
    <w:rsid w:val="00217880"/>
    <w:rsid w:val="00217AED"/>
    <w:rsid w:val="0022082D"/>
    <w:rsid w:val="0022140E"/>
    <w:rsid w:val="00225E53"/>
    <w:rsid w:val="00227ACD"/>
    <w:rsid w:val="00230085"/>
    <w:rsid w:val="002308CE"/>
    <w:rsid w:val="0023110A"/>
    <w:rsid w:val="00233C16"/>
    <w:rsid w:val="0023407E"/>
    <w:rsid w:val="0023515E"/>
    <w:rsid w:val="00235B2E"/>
    <w:rsid w:val="002366FA"/>
    <w:rsid w:val="00236939"/>
    <w:rsid w:val="00237373"/>
    <w:rsid w:val="0024112E"/>
    <w:rsid w:val="00242166"/>
    <w:rsid w:val="002434AE"/>
    <w:rsid w:val="002440F7"/>
    <w:rsid w:val="002443AA"/>
    <w:rsid w:val="00245AED"/>
    <w:rsid w:val="00245B46"/>
    <w:rsid w:val="002461C2"/>
    <w:rsid w:val="00246D38"/>
    <w:rsid w:val="002507A3"/>
    <w:rsid w:val="0025097F"/>
    <w:rsid w:val="00250A4D"/>
    <w:rsid w:val="002533C8"/>
    <w:rsid w:val="002534BB"/>
    <w:rsid w:val="00253AE2"/>
    <w:rsid w:val="00254F4C"/>
    <w:rsid w:val="00255198"/>
    <w:rsid w:val="00255FBA"/>
    <w:rsid w:val="002567CF"/>
    <w:rsid w:val="002573AA"/>
    <w:rsid w:val="00257BCF"/>
    <w:rsid w:val="002621E9"/>
    <w:rsid w:val="00262B56"/>
    <w:rsid w:val="00262B84"/>
    <w:rsid w:val="00263B24"/>
    <w:rsid w:val="00263C2D"/>
    <w:rsid w:val="00264A81"/>
    <w:rsid w:val="0027061E"/>
    <w:rsid w:val="002717AE"/>
    <w:rsid w:val="00273CCA"/>
    <w:rsid w:val="002749CC"/>
    <w:rsid w:val="00275ACD"/>
    <w:rsid w:val="00276702"/>
    <w:rsid w:val="002777BD"/>
    <w:rsid w:val="00286AB3"/>
    <w:rsid w:val="00290941"/>
    <w:rsid w:val="00291330"/>
    <w:rsid w:val="002919B5"/>
    <w:rsid w:val="00292903"/>
    <w:rsid w:val="002936E3"/>
    <w:rsid w:val="00293740"/>
    <w:rsid w:val="002952C8"/>
    <w:rsid w:val="00295369"/>
    <w:rsid w:val="002A031E"/>
    <w:rsid w:val="002A2806"/>
    <w:rsid w:val="002A2CAB"/>
    <w:rsid w:val="002A3A72"/>
    <w:rsid w:val="002A3E02"/>
    <w:rsid w:val="002A4C70"/>
    <w:rsid w:val="002A552A"/>
    <w:rsid w:val="002A7095"/>
    <w:rsid w:val="002A70C9"/>
    <w:rsid w:val="002A75A8"/>
    <w:rsid w:val="002B0F9B"/>
    <w:rsid w:val="002B17A3"/>
    <w:rsid w:val="002B255C"/>
    <w:rsid w:val="002B264E"/>
    <w:rsid w:val="002B28DD"/>
    <w:rsid w:val="002B2E7A"/>
    <w:rsid w:val="002B355C"/>
    <w:rsid w:val="002B57CA"/>
    <w:rsid w:val="002B5F72"/>
    <w:rsid w:val="002B64A5"/>
    <w:rsid w:val="002C046D"/>
    <w:rsid w:val="002C048A"/>
    <w:rsid w:val="002C05F2"/>
    <w:rsid w:val="002C1747"/>
    <w:rsid w:val="002C29AB"/>
    <w:rsid w:val="002C52BC"/>
    <w:rsid w:val="002C62D9"/>
    <w:rsid w:val="002C66FE"/>
    <w:rsid w:val="002D297B"/>
    <w:rsid w:val="002D42FA"/>
    <w:rsid w:val="002D433B"/>
    <w:rsid w:val="002D443E"/>
    <w:rsid w:val="002D6425"/>
    <w:rsid w:val="002D7F08"/>
    <w:rsid w:val="002E0628"/>
    <w:rsid w:val="002E1721"/>
    <w:rsid w:val="002E20E6"/>
    <w:rsid w:val="002E4ACC"/>
    <w:rsid w:val="002E666A"/>
    <w:rsid w:val="002E72D6"/>
    <w:rsid w:val="002E79D6"/>
    <w:rsid w:val="002F1189"/>
    <w:rsid w:val="002F12F9"/>
    <w:rsid w:val="002F1F9C"/>
    <w:rsid w:val="002F2634"/>
    <w:rsid w:val="002F2B86"/>
    <w:rsid w:val="002F3DEF"/>
    <w:rsid w:val="002F60D7"/>
    <w:rsid w:val="002F61AC"/>
    <w:rsid w:val="002F70E8"/>
    <w:rsid w:val="002F73FD"/>
    <w:rsid w:val="0030234D"/>
    <w:rsid w:val="00303647"/>
    <w:rsid w:val="00304057"/>
    <w:rsid w:val="0030472C"/>
    <w:rsid w:val="0030537D"/>
    <w:rsid w:val="00305C31"/>
    <w:rsid w:val="00310791"/>
    <w:rsid w:val="003110C6"/>
    <w:rsid w:val="00314855"/>
    <w:rsid w:val="0031531F"/>
    <w:rsid w:val="003156C2"/>
    <w:rsid w:val="00315F4A"/>
    <w:rsid w:val="00316085"/>
    <w:rsid w:val="003167D9"/>
    <w:rsid w:val="00317B82"/>
    <w:rsid w:val="00321614"/>
    <w:rsid w:val="0032304C"/>
    <w:rsid w:val="00325F72"/>
    <w:rsid w:val="003260F7"/>
    <w:rsid w:val="00327FAE"/>
    <w:rsid w:val="00330586"/>
    <w:rsid w:val="00331687"/>
    <w:rsid w:val="00332F42"/>
    <w:rsid w:val="0033364D"/>
    <w:rsid w:val="00334595"/>
    <w:rsid w:val="00336268"/>
    <w:rsid w:val="00336F6B"/>
    <w:rsid w:val="00340FFB"/>
    <w:rsid w:val="0034115B"/>
    <w:rsid w:val="003411AA"/>
    <w:rsid w:val="00342C78"/>
    <w:rsid w:val="003442B2"/>
    <w:rsid w:val="0034479F"/>
    <w:rsid w:val="00344CD2"/>
    <w:rsid w:val="00344D74"/>
    <w:rsid w:val="00345BE0"/>
    <w:rsid w:val="00346329"/>
    <w:rsid w:val="00350990"/>
    <w:rsid w:val="00351181"/>
    <w:rsid w:val="00351BB0"/>
    <w:rsid w:val="0035356B"/>
    <w:rsid w:val="003545C8"/>
    <w:rsid w:val="00355943"/>
    <w:rsid w:val="00361C48"/>
    <w:rsid w:val="003644F2"/>
    <w:rsid w:val="00364C18"/>
    <w:rsid w:val="00364FF4"/>
    <w:rsid w:val="003656FE"/>
    <w:rsid w:val="0036575F"/>
    <w:rsid w:val="003678EB"/>
    <w:rsid w:val="00370A3F"/>
    <w:rsid w:val="00371855"/>
    <w:rsid w:val="00374B30"/>
    <w:rsid w:val="00374B5C"/>
    <w:rsid w:val="0037541F"/>
    <w:rsid w:val="003764F6"/>
    <w:rsid w:val="00376565"/>
    <w:rsid w:val="00380673"/>
    <w:rsid w:val="003808A0"/>
    <w:rsid w:val="00380D23"/>
    <w:rsid w:val="00381280"/>
    <w:rsid w:val="00382F38"/>
    <w:rsid w:val="00383C33"/>
    <w:rsid w:val="0038663E"/>
    <w:rsid w:val="0038742A"/>
    <w:rsid w:val="00387CFB"/>
    <w:rsid w:val="003907CF"/>
    <w:rsid w:val="00390ACD"/>
    <w:rsid w:val="00391290"/>
    <w:rsid w:val="003915C0"/>
    <w:rsid w:val="0039291C"/>
    <w:rsid w:val="00393625"/>
    <w:rsid w:val="00394B82"/>
    <w:rsid w:val="003A3BD6"/>
    <w:rsid w:val="003A3F0D"/>
    <w:rsid w:val="003A4722"/>
    <w:rsid w:val="003B19BA"/>
    <w:rsid w:val="003B2F1A"/>
    <w:rsid w:val="003B35E7"/>
    <w:rsid w:val="003B38E9"/>
    <w:rsid w:val="003B4FBD"/>
    <w:rsid w:val="003B5268"/>
    <w:rsid w:val="003B629B"/>
    <w:rsid w:val="003B674C"/>
    <w:rsid w:val="003B6C46"/>
    <w:rsid w:val="003B7F2D"/>
    <w:rsid w:val="003C0820"/>
    <w:rsid w:val="003C1296"/>
    <w:rsid w:val="003C20C5"/>
    <w:rsid w:val="003C2905"/>
    <w:rsid w:val="003C3D26"/>
    <w:rsid w:val="003C4B00"/>
    <w:rsid w:val="003C61BA"/>
    <w:rsid w:val="003C6ABC"/>
    <w:rsid w:val="003C6BA4"/>
    <w:rsid w:val="003C6FD5"/>
    <w:rsid w:val="003C7C41"/>
    <w:rsid w:val="003C7C4E"/>
    <w:rsid w:val="003D097C"/>
    <w:rsid w:val="003D1FF2"/>
    <w:rsid w:val="003D46E4"/>
    <w:rsid w:val="003D4AC0"/>
    <w:rsid w:val="003D545F"/>
    <w:rsid w:val="003D6827"/>
    <w:rsid w:val="003D6929"/>
    <w:rsid w:val="003E4FCB"/>
    <w:rsid w:val="003E7C62"/>
    <w:rsid w:val="003F084D"/>
    <w:rsid w:val="003F0F6A"/>
    <w:rsid w:val="003F2017"/>
    <w:rsid w:val="003F3518"/>
    <w:rsid w:val="003F38E9"/>
    <w:rsid w:val="003F46B0"/>
    <w:rsid w:val="003F638E"/>
    <w:rsid w:val="003F71AE"/>
    <w:rsid w:val="004009E2"/>
    <w:rsid w:val="00400C4E"/>
    <w:rsid w:val="004013DC"/>
    <w:rsid w:val="00401BD3"/>
    <w:rsid w:val="00401DA4"/>
    <w:rsid w:val="004027B3"/>
    <w:rsid w:val="004042EF"/>
    <w:rsid w:val="00404C46"/>
    <w:rsid w:val="004061B5"/>
    <w:rsid w:val="0040671E"/>
    <w:rsid w:val="00410CE1"/>
    <w:rsid w:val="00412F09"/>
    <w:rsid w:val="00414219"/>
    <w:rsid w:val="00416065"/>
    <w:rsid w:val="0041607C"/>
    <w:rsid w:val="00417085"/>
    <w:rsid w:val="00417CB1"/>
    <w:rsid w:val="00421596"/>
    <w:rsid w:val="00421B0A"/>
    <w:rsid w:val="00421F24"/>
    <w:rsid w:val="004234F8"/>
    <w:rsid w:val="0042358F"/>
    <w:rsid w:val="00423EB8"/>
    <w:rsid w:val="0042422D"/>
    <w:rsid w:val="00425EC4"/>
    <w:rsid w:val="004267CE"/>
    <w:rsid w:val="00430806"/>
    <w:rsid w:val="00432BB1"/>
    <w:rsid w:val="00433A29"/>
    <w:rsid w:val="004341B0"/>
    <w:rsid w:val="004342CD"/>
    <w:rsid w:val="00434417"/>
    <w:rsid w:val="00434422"/>
    <w:rsid w:val="00434477"/>
    <w:rsid w:val="00434E18"/>
    <w:rsid w:val="0043512B"/>
    <w:rsid w:val="004401A7"/>
    <w:rsid w:val="00441278"/>
    <w:rsid w:val="00443659"/>
    <w:rsid w:val="00444B85"/>
    <w:rsid w:val="00445479"/>
    <w:rsid w:val="00450493"/>
    <w:rsid w:val="00450FA2"/>
    <w:rsid w:val="0045203D"/>
    <w:rsid w:val="00454230"/>
    <w:rsid w:val="00455C66"/>
    <w:rsid w:val="004562BD"/>
    <w:rsid w:val="00456724"/>
    <w:rsid w:val="00456F49"/>
    <w:rsid w:val="00457280"/>
    <w:rsid w:val="004575AC"/>
    <w:rsid w:val="0046194F"/>
    <w:rsid w:val="00463788"/>
    <w:rsid w:val="0047230D"/>
    <w:rsid w:val="00472D04"/>
    <w:rsid w:val="0047716A"/>
    <w:rsid w:val="00480F86"/>
    <w:rsid w:val="00484243"/>
    <w:rsid w:val="004863D3"/>
    <w:rsid w:val="00490299"/>
    <w:rsid w:val="004902B8"/>
    <w:rsid w:val="004904D3"/>
    <w:rsid w:val="00491253"/>
    <w:rsid w:val="0049201E"/>
    <w:rsid w:val="00492096"/>
    <w:rsid w:val="00492746"/>
    <w:rsid w:val="004942E4"/>
    <w:rsid w:val="00495A90"/>
    <w:rsid w:val="004973CB"/>
    <w:rsid w:val="00497C84"/>
    <w:rsid w:val="004A0DE9"/>
    <w:rsid w:val="004A0FC4"/>
    <w:rsid w:val="004A201F"/>
    <w:rsid w:val="004A2DF0"/>
    <w:rsid w:val="004A32DE"/>
    <w:rsid w:val="004A4195"/>
    <w:rsid w:val="004A4D9E"/>
    <w:rsid w:val="004A5B3C"/>
    <w:rsid w:val="004A6AD9"/>
    <w:rsid w:val="004A7C11"/>
    <w:rsid w:val="004A7DDD"/>
    <w:rsid w:val="004B00DE"/>
    <w:rsid w:val="004B0A76"/>
    <w:rsid w:val="004B0D26"/>
    <w:rsid w:val="004B12EE"/>
    <w:rsid w:val="004B13A7"/>
    <w:rsid w:val="004B5E33"/>
    <w:rsid w:val="004B6D4F"/>
    <w:rsid w:val="004B70A7"/>
    <w:rsid w:val="004B79CD"/>
    <w:rsid w:val="004B7B35"/>
    <w:rsid w:val="004C141D"/>
    <w:rsid w:val="004C143C"/>
    <w:rsid w:val="004C3390"/>
    <w:rsid w:val="004C45A5"/>
    <w:rsid w:val="004C5E9D"/>
    <w:rsid w:val="004D0B47"/>
    <w:rsid w:val="004D1816"/>
    <w:rsid w:val="004D29AC"/>
    <w:rsid w:val="004D3BDF"/>
    <w:rsid w:val="004D60D6"/>
    <w:rsid w:val="004D6877"/>
    <w:rsid w:val="004D7BB1"/>
    <w:rsid w:val="004E1F89"/>
    <w:rsid w:val="004E21EF"/>
    <w:rsid w:val="004E3CDC"/>
    <w:rsid w:val="004E455F"/>
    <w:rsid w:val="004E7418"/>
    <w:rsid w:val="004E7EBF"/>
    <w:rsid w:val="004F0057"/>
    <w:rsid w:val="004F0A49"/>
    <w:rsid w:val="004F163B"/>
    <w:rsid w:val="004F2F9E"/>
    <w:rsid w:val="004F3579"/>
    <w:rsid w:val="004F3F74"/>
    <w:rsid w:val="004F520A"/>
    <w:rsid w:val="004F5932"/>
    <w:rsid w:val="004F5C7E"/>
    <w:rsid w:val="004F70CF"/>
    <w:rsid w:val="004F7D9F"/>
    <w:rsid w:val="005000AF"/>
    <w:rsid w:val="00501E06"/>
    <w:rsid w:val="00501F8B"/>
    <w:rsid w:val="00502A4B"/>
    <w:rsid w:val="005036E0"/>
    <w:rsid w:val="00505F69"/>
    <w:rsid w:val="00507558"/>
    <w:rsid w:val="00507B54"/>
    <w:rsid w:val="00507C12"/>
    <w:rsid w:val="00511DCB"/>
    <w:rsid w:val="00515F92"/>
    <w:rsid w:val="00516C4A"/>
    <w:rsid w:val="00520B4B"/>
    <w:rsid w:val="00521522"/>
    <w:rsid w:val="00521F0E"/>
    <w:rsid w:val="00525D94"/>
    <w:rsid w:val="00526E24"/>
    <w:rsid w:val="005271D9"/>
    <w:rsid w:val="00527288"/>
    <w:rsid w:val="0052776B"/>
    <w:rsid w:val="00530C4C"/>
    <w:rsid w:val="005368C8"/>
    <w:rsid w:val="00537B40"/>
    <w:rsid w:val="00540884"/>
    <w:rsid w:val="00543BE1"/>
    <w:rsid w:val="005440E2"/>
    <w:rsid w:val="00544815"/>
    <w:rsid w:val="005455BB"/>
    <w:rsid w:val="00545B07"/>
    <w:rsid w:val="005509CF"/>
    <w:rsid w:val="00551586"/>
    <w:rsid w:val="005544AC"/>
    <w:rsid w:val="0055532F"/>
    <w:rsid w:val="005554B6"/>
    <w:rsid w:val="005556A5"/>
    <w:rsid w:val="00557FD9"/>
    <w:rsid w:val="005600E9"/>
    <w:rsid w:val="00562796"/>
    <w:rsid w:val="005647FA"/>
    <w:rsid w:val="0056658C"/>
    <w:rsid w:val="0056696F"/>
    <w:rsid w:val="0057065E"/>
    <w:rsid w:val="00570860"/>
    <w:rsid w:val="0057235C"/>
    <w:rsid w:val="0057280A"/>
    <w:rsid w:val="0057379F"/>
    <w:rsid w:val="005755DD"/>
    <w:rsid w:val="00575AE6"/>
    <w:rsid w:val="00576794"/>
    <w:rsid w:val="00577132"/>
    <w:rsid w:val="00580822"/>
    <w:rsid w:val="00580B0C"/>
    <w:rsid w:val="005816D4"/>
    <w:rsid w:val="00581E0D"/>
    <w:rsid w:val="00582D66"/>
    <w:rsid w:val="00584577"/>
    <w:rsid w:val="00585703"/>
    <w:rsid w:val="0058631E"/>
    <w:rsid w:val="005863FF"/>
    <w:rsid w:val="00586584"/>
    <w:rsid w:val="00587DBD"/>
    <w:rsid w:val="00587EC3"/>
    <w:rsid w:val="00592985"/>
    <w:rsid w:val="005929BD"/>
    <w:rsid w:val="00594369"/>
    <w:rsid w:val="005A0352"/>
    <w:rsid w:val="005A066B"/>
    <w:rsid w:val="005A1A38"/>
    <w:rsid w:val="005A2688"/>
    <w:rsid w:val="005A2DD9"/>
    <w:rsid w:val="005A3A42"/>
    <w:rsid w:val="005A4C00"/>
    <w:rsid w:val="005A4FF7"/>
    <w:rsid w:val="005A5309"/>
    <w:rsid w:val="005A5630"/>
    <w:rsid w:val="005A79E6"/>
    <w:rsid w:val="005A7D51"/>
    <w:rsid w:val="005A7F36"/>
    <w:rsid w:val="005B22EB"/>
    <w:rsid w:val="005B5E59"/>
    <w:rsid w:val="005B607F"/>
    <w:rsid w:val="005B7496"/>
    <w:rsid w:val="005B7BB2"/>
    <w:rsid w:val="005C0962"/>
    <w:rsid w:val="005C10C8"/>
    <w:rsid w:val="005C31AE"/>
    <w:rsid w:val="005C3902"/>
    <w:rsid w:val="005C3D28"/>
    <w:rsid w:val="005D1511"/>
    <w:rsid w:val="005D3459"/>
    <w:rsid w:val="005D50D0"/>
    <w:rsid w:val="005D5469"/>
    <w:rsid w:val="005D7EB9"/>
    <w:rsid w:val="005E006F"/>
    <w:rsid w:val="005E27A2"/>
    <w:rsid w:val="005E5C6D"/>
    <w:rsid w:val="005E6D70"/>
    <w:rsid w:val="005F2897"/>
    <w:rsid w:val="005F2C55"/>
    <w:rsid w:val="005F2E5A"/>
    <w:rsid w:val="005F3209"/>
    <w:rsid w:val="005F5EEA"/>
    <w:rsid w:val="005F6089"/>
    <w:rsid w:val="005F64C0"/>
    <w:rsid w:val="005F728E"/>
    <w:rsid w:val="00600D2D"/>
    <w:rsid w:val="006025F5"/>
    <w:rsid w:val="006026C9"/>
    <w:rsid w:val="0060679D"/>
    <w:rsid w:val="00606955"/>
    <w:rsid w:val="0060749A"/>
    <w:rsid w:val="00610988"/>
    <w:rsid w:val="0061111E"/>
    <w:rsid w:val="006165F7"/>
    <w:rsid w:val="006176B5"/>
    <w:rsid w:val="00620252"/>
    <w:rsid w:val="0062191D"/>
    <w:rsid w:val="00621A87"/>
    <w:rsid w:val="0062505F"/>
    <w:rsid w:val="00626B76"/>
    <w:rsid w:val="006307C6"/>
    <w:rsid w:val="00630A25"/>
    <w:rsid w:val="006315A5"/>
    <w:rsid w:val="006327DB"/>
    <w:rsid w:val="00632858"/>
    <w:rsid w:val="00632FEA"/>
    <w:rsid w:val="00634D26"/>
    <w:rsid w:val="00635AD0"/>
    <w:rsid w:val="006373D3"/>
    <w:rsid w:val="006402C6"/>
    <w:rsid w:val="006403F4"/>
    <w:rsid w:val="0064111F"/>
    <w:rsid w:val="0064173C"/>
    <w:rsid w:val="00641BD3"/>
    <w:rsid w:val="00642A27"/>
    <w:rsid w:val="00642DC6"/>
    <w:rsid w:val="00644BE7"/>
    <w:rsid w:val="006454AE"/>
    <w:rsid w:val="00647CE2"/>
    <w:rsid w:val="00650A12"/>
    <w:rsid w:val="00653003"/>
    <w:rsid w:val="006539E4"/>
    <w:rsid w:val="00653B0A"/>
    <w:rsid w:val="006557BE"/>
    <w:rsid w:val="006619B6"/>
    <w:rsid w:val="006622C9"/>
    <w:rsid w:val="00662E97"/>
    <w:rsid w:val="0066365D"/>
    <w:rsid w:val="006636C2"/>
    <w:rsid w:val="00663FF2"/>
    <w:rsid w:val="00665F02"/>
    <w:rsid w:val="006660D3"/>
    <w:rsid w:val="006671AD"/>
    <w:rsid w:val="00671631"/>
    <w:rsid w:val="00672F08"/>
    <w:rsid w:val="006760D0"/>
    <w:rsid w:val="00676636"/>
    <w:rsid w:val="00676E62"/>
    <w:rsid w:val="00686FBB"/>
    <w:rsid w:val="00687DF0"/>
    <w:rsid w:val="0069061C"/>
    <w:rsid w:val="006949B5"/>
    <w:rsid w:val="00694B7B"/>
    <w:rsid w:val="00695E03"/>
    <w:rsid w:val="00695EE0"/>
    <w:rsid w:val="00696102"/>
    <w:rsid w:val="00696A89"/>
    <w:rsid w:val="006A5F52"/>
    <w:rsid w:val="006A65CB"/>
    <w:rsid w:val="006A67A9"/>
    <w:rsid w:val="006A6F92"/>
    <w:rsid w:val="006A73DD"/>
    <w:rsid w:val="006A797C"/>
    <w:rsid w:val="006B1C3F"/>
    <w:rsid w:val="006B1D4B"/>
    <w:rsid w:val="006B2834"/>
    <w:rsid w:val="006B384D"/>
    <w:rsid w:val="006B6507"/>
    <w:rsid w:val="006B7164"/>
    <w:rsid w:val="006B77F9"/>
    <w:rsid w:val="006C28A0"/>
    <w:rsid w:val="006C5B41"/>
    <w:rsid w:val="006C61C5"/>
    <w:rsid w:val="006C77FE"/>
    <w:rsid w:val="006C7F40"/>
    <w:rsid w:val="006D08F9"/>
    <w:rsid w:val="006D2235"/>
    <w:rsid w:val="006D2315"/>
    <w:rsid w:val="006D3B88"/>
    <w:rsid w:val="006D4D5A"/>
    <w:rsid w:val="006D5D3F"/>
    <w:rsid w:val="006E037E"/>
    <w:rsid w:val="006E047A"/>
    <w:rsid w:val="006E047B"/>
    <w:rsid w:val="006E14ED"/>
    <w:rsid w:val="006E1530"/>
    <w:rsid w:val="006E29B1"/>
    <w:rsid w:val="006E3706"/>
    <w:rsid w:val="006E47DA"/>
    <w:rsid w:val="006E47DF"/>
    <w:rsid w:val="006E47EE"/>
    <w:rsid w:val="006E606D"/>
    <w:rsid w:val="006E7191"/>
    <w:rsid w:val="006E7CF4"/>
    <w:rsid w:val="006F1BE6"/>
    <w:rsid w:val="006F4A0A"/>
    <w:rsid w:val="006F5759"/>
    <w:rsid w:val="006F5E0E"/>
    <w:rsid w:val="006F6C83"/>
    <w:rsid w:val="006F7F76"/>
    <w:rsid w:val="00700364"/>
    <w:rsid w:val="007008F1"/>
    <w:rsid w:val="0070141B"/>
    <w:rsid w:val="0070144E"/>
    <w:rsid w:val="00701E9A"/>
    <w:rsid w:val="00701EDC"/>
    <w:rsid w:val="00703029"/>
    <w:rsid w:val="0070470E"/>
    <w:rsid w:val="00705089"/>
    <w:rsid w:val="0070511E"/>
    <w:rsid w:val="00706B8D"/>
    <w:rsid w:val="00710073"/>
    <w:rsid w:val="00710186"/>
    <w:rsid w:val="007119A7"/>
    <w:rsid w:val="00711F40"/>
    <w:rsid w:val="00712CC9"/>
    <w:rsid w:val="00714257"/>
    <w:rsid w:val="007151FB"/>
    <w:rsid w:val="0071576A"/>
    <w:rsid w:val="00715F4B"/>
    <w:rsid w:val="00720924"/>
    <w:rsid w:val="007244DC"/>
    <w:rsid w:val="00724AF1"/>
    <w:rsid w:val="00725469"/>
    <w:rsid w:val="00725591"/>
    <w:rsid w:val="00727D30"/>
    <w:rsid w:val="0073162B"/>
    <w:rsid w:val="007316AC"/>
    <w:rsid w:val="00733B28"/>
    <w:rsid w:val="00734067"/>
    <w:rsid w:val="0073431A"/>
    <w:rsid w:val="007353F2"/>
    <w:rsid w:val="007363AB"/>
    <w:rsid w:val="00740073"/>
    <w:rsid w:val="0074168C"/>
    <w:rsid w:val="00741F26"/>
    <w:rsid w:val="0074278A"/>
    <w:rsid w:val="00742D66"/>
    <w:rsid w:val="00744605"/>
    <w:rsid w:val="007449E1"/>
    <w:rsid w:val="00744AFF"/>
    <w:rsid w:val="0074783F"/>
    <w:rsid w:val="00747CAD"/>
    <w:rsid w:val="007524B2"/>
    <w:rsid w:val="007537C8"/>
    <w:rsid w:val="00754708"/>
    <w:rsid w:val="00755F66"/>
    <w:rsid w:val="00757039"/>
    <w:rsid w:val="007574CC"/>
    <w:rsid w:val="00757C2D"/>
    <w:rsid w:val="00761152"/>
    <w:rsid w:val="0076372C"/>
    <w:rsid w:val="00765C8E"/>
    <w:rsid w:val="00765D8E"/>
    <w:rsid w:val="00766E44"/>
    <w:rsid w:val="007678DE"/>
    <w:rsid w:val="00771099"/>
    <w:rsid w:val="007733E2"/>
    <w:rsid w:val="0077364D"/>
    <w:rsid w:val="007736EA"/>
    <w:rsid w:val="007744D3"/>
    <w:rsid w:val="00775A91"/>
    <w:rsid w:val="00777BCE"/>
    <w:rsid w:val="00782B7E"/>
    <w:rsid w:val="00783C25"/>
    <w:rsid w:val="00785759"/>
    <w:rsid w:val="00787981"/>
    <w:rsid w:val="00790B9B"/>
    <w:rsid w:val="00791158"/>
    <w:rsid w:val="00791CCB"/>
    <w:rsid w:val="00795B0C"/>
    <w:rsid w:val="007A155B"/>
    <w:rsid w:val="007A3011"/>
    <w:rsid w:val="007A307B"/>
    <w:rsid w:val="007A3191"/>
    <w:rsid w:val="007A442C"/>
    <w:rsid w:val="007A7FA7"/>
    <w:rsid w:val="007B00CA"/>
    <w:rsid w:val="007B016D"/>
    <w:rsid w:val="007B01E6"/>
    <w:rsid w:val="007B0DCD"/>
    <w:rsid w:val="007B1536"/>
    <w:rsid w:val="007B1FEC"/>
    <w:rsid w:val="007B25B2"/>
    <w:rsid w:val="007B28A2"/>
    <w:rsid w:val="007B4043"/>
    <w:rsid w:val="007B6231"/>
    <w:rsid w:val="007B75E4"/>
    <w:rsid w:val="007C0242"/>
    <w:rsid w:val="007C3D09"/>
    <w:rsid w:val="007C3FA1"/>
    <w:rsid w:val="007C499C"/>
    <w:rsid w:val="007C5263"/>
    <w:rsid w:val="007C5E71"/>
    <w:rsid w:val="007C6DC6"/>
    <w:rsid w:val="007C7E86"/>
    <w:rsid w:val="007D437A"/>
    <w:rsid w:val="007D5BEF"/>
    <w:rsid w:val="007D6890"/>
    <w:rsid w:val="007D7740"/>
    <w:rsid w:val="007E037E"/>
    <w:rsid w:val="007E0459"/>
    <w:rsid w:val="007E0886"/>
    <w:rsid w:val="007E567A"/>
    <w:rsid w:val="007E6DB3"/>
    <w:rsid w:val="007E7712"/>
    <w:rsid w:val="007E7D93"/>
    <w:rsid w:val="007F2B4E"/>
    <w:rsid w:val="007F48C4"/>
    <w:rsid w:val="007F496F"/>
    <w:rsid w:val="007F54D9"/>
    <w:rsid w:val="007F5D51"/>
    <w:rsid w:val="008014D6"/>
    <w:rsid w:val="00805D2F"/>
    <w:rsid w:val="00806484"/>
    <w:rsid w:val="00807139"/>
    <w:rsid w:val="00807851"/>
    <w:rsid w:val="00807C81"/>
    <w:rsid w:val="00807CE4"/>
    <w:rsid w:val="0081022E"/>
    <w:rsid w:val="0081136D"/>
    <w:rsid w:val="00812B41"/>
    <w:rsid w:val="00814112"/>
    <w:rsid w:val="0081451F"/>
    <w:rsid w:val="0081457F"/>
    <w:rsid w:val="008151CF"/>
    <w:rsid w:val="008159C5"/>
    <w:rsid w:val="00817D5D"/>
    <w:rsid w:val="00817F97"/>
    <w:rsid w:val="00821853"/>
    <w:rsid w:val="00821FFC"/>
    <w:rsid w:val="0082600D"/>
    <w:rsid w:val="00826555"/>
    <w:rsid w:val="00827438"/>
    <w:rsid w:val="008274CD"/>
    <w:rsid w:val="0083072E"/>
    <w:rsid w:val="00832EDC"/>
    <w:rsid w:val="00834736"/>
    <w:rsid w:val="00834CCE"/>
    <w:rsid w:val="00834F27"/>
    <w:rsid w:val="008353DC"/>
    <w:rsid w:val="00840B0E"/>
    <w:rsid w:val="00840FD9"/>
    <w:rsid w:val="0084242B"/>
    <w:rsid w:val="00844D96"/>
    <w:rsid w:val="008453CA"/>
    <w:rsid w:val="008457DB"/>
    <w:rsid w:val="008470F0"/>
    <w:rsid w:val="0085014E"/>
    <w:rsid w:val="00852777"/>
    <w:rsid w:val="00853522"/>
    <w:rsid w:val="0085547A"/>
    <w:rsid w:val="008556E3"/>
    <w:rsid w:val="0085660E"/>
    <w:rsid w:val="0085662D"/>
    <w:rsid w:val="00857E54"/>
    <w:rsid w:val="008600F7"/>
    <w:rsid w:val="0086044F"/>
    <w:rsid w:val="00860579"/>
    <w:rsid w:val="00861866"/>
    <w:rsid w:val="0086398B"/>
    <w:rsid w:val="008639F6"/>
    <w:rsid w:val="00864117"/>
    <w:rsid w:val="008651BF"/>
    <w:rsid w:val="00866987"/>
    <w:rsid w:val="008703E1"/>
    <w:rsid w:val="008737FA"/>
    <w:rsid w:val="00873A08"/>
    <w:rsid w:val="00874438"/>
    <w:rsid w:val="008751C6"/>
    <w:rsid w:val="00875372"/>
    <w:rsid w:val="00875390"/>
    <w:rsid w:val="00875DEF"/>
    <w:rsid w:val="00876D8B"/>
    <w:rsid w:val="00880282"/>
    <w:rsid w:val="008803F7"/>
    <w:rsid w:val="00881211"/>
    <w:rsid w:val="00884839"/>
    <w:rsid w:val="0088489B"/>
    <w:rsid w:val="00884CA8"/>
    <w:rsid w:val="0088515C"/>
    <w:rsid w:val="00891F06"/>
    <w:rsid w:val="00892F92"/>
    <w:rsid w:val="00894232"/>
    <w:rsid w:val="008943B1"/>
    <w:rsid w:val="0089468D"/>
    <w:rsid w:val="008960AE"/>
    <w:rsid w:val="008962FA"/>
    <w:rsid w:val="008A1546"/>
    <w:rsid w:val="008A1568"/>
    <w:rsid w:val="008A15FF"/>
    <w:rsid w:val="008A1674"/>
    <w:rsid w:val="008A3D4F"/>
    <w:rsid w:val="008A466B"/>
    <w:rsid w:val="008A4D1A"/>
    <w:rsid w:val="008A5170"/>
    <w:rsid w:val="008A66DD"/>
    <w:rsid w:val="008A79CF"/>
    <w:rsid w:val="008A7F98"/>
    <w:rsid w:val="008B0D1F"/>
    <w:rsid w:val="008B1BDE"/>
    <w:rsid w:val="008B6CA0"/>
    <w:rsid w:val="008B6FFA"/>
    <w:rsid w:val="008B7C3D"/>
    <w:rsid w:val="008C1291"/>
    <w:rsid w:val="008C1566"/>
    <w:rsid w:val="008C2123"/>
    <w:rsid w:val="008C502E"/>
    <w:rsid w:val="008C5874"/>
    <w:rsid w:val="008C61E2"/>
    <w:rsid w:val="008D0CBC"/>
    <w:rsid w:val="008D172A"/>
    <w:rsid w:val="008D1E8A"/>
    <w:rsid w:val="008D2916"/>
    <w:rsid w:val="008D33E5"/>
    <w:rsid w:val="008D34D4"/>
    <w:rsid w:val="008D391A"/>
    <w:rsid w:val="008D4AB8"/>
    <w:rsid w:val="008D4CF0"/>
    <w:rsid w:val="008D4F81"/>
    <w:rsid w:val="008D5349"/>
    <w:rsid w:val="008E21AD"/>
    <w:rsid w:val="008E2AE3"/>
    <w:rsid w:val="008E3139"/>
    <w:rsid w:val="008E46A1"/>
    <w:rsid w:val="008E476E"/>
    <w:rsid w:val="008E4A2B"/>
    <w:rsid w:val="008E59FC"/>
    <w:rsid w:val="008E6398"/>
    <w:rsid w:val="008E720E"/>
    <w:rsid w:val="008E7288"/>
    <w:rsid w:val="008F22D8"/>
    <w:rsid w:val="008F2E57"/>
    <w:rsid w:val="008F3754"/>
    <w:rsid w:val="008F3D13"/>
    <w:rsid w:val="008F4643"/>
    <w:rsid w:val="008F4DE7"/>
    <w:rsid w:val="008F5FEA"/>
    <w:rsid w:val="009004E4"/>
    <w:rsid w:val="009010DA"/>
    <w:rsid w:val="009012D4"/>
    <w:rsid w:val="009018AB"/>
    <w:rsid w:val="00902114"/>
    <w:rsid w:val="009038D9"/>
    <w:rsid w:val="00904FF9"/>
    <w:rsid w:val="00905895"/>
    <w:rsid w:val="009061DB"/>
    <w:rsid w:val="00910785"/>
    <w:rsid w:val="00910814"/>
    <w:rsid w:val="009109BF"/>
    <w:rsid w:val="009119D6"/>
    <w:rsid w:val="00912477"/>
    <w:rsid w:val="00913DCA"/>
    <w:rsid w:val="009144AA"/>
    <w:rsid w:val="00915A95"/>
    <w:rsid w:val="00915E3C"/>
    <w:rsid w:val="009160AB"/>
    <w:rsid w:val="00917413"/>
    <w:rsid w:val="009209F7"/>
    <w:rsid w:val="00921395"/>
    <w:rsid w:val="009229EF"/>
    <w:rsid w:val="00922B49"/>
    <w:rsid w:val="00923F85"/>
    <w:rsid w:val="0092465A"/>
    <w:rsid w:val="00924902"/>
    <w:rsid w:val="00925318"/>
    <w:rsid w:val="00925512"/>
    <w:rsid w:val="009265BA"/>
    <w:rsid w:val="00927C37"/>
    <w:rsid w:val="00927F21"/>
    <w:rsid w:val="00932B15"/>
    <w:rsid w:val="00935967"/>
    <w:rsid w:val="00936DED"/>
    <w:rsid w:val="00937D40"/>
    <w:rsid w:val="0094231A"/>
    <w:rsid w:val="00943CFA"/>
    <w:rsid w:val="00944CE6"/>
    <w:rsid w:val="00945297"/>
    <w:rsid w:val="00945790"/>
    <w:rsid w:val="00945917"/>
    <w:rsid w:val="00945BAE"/>
    <w:rsid w:val="00946813"/>
    <w:rsid w:val="00950A1C"/>
    <w:rsid w:val="00950E2D"/>
    <w:rsid w:val="0095276A"/>
    <w:rsid w:val="009527D7"/>
    <w:rsid w:val="009535F2"/>
    <w:rsid w:val="0095379D"/>
    <w:rsid w:val="009542CE"/>
    <w:rsid w:val="00955592"/>
    <w:rsid w:val="009570FB"/>
    <w:rsid w:val="00960D15"/>
    <w:rsid w:val="009612D7"/>
    <w:rsid w:val="0096382C"/>
    <w:rsid w:val="00965AB9"/>
    <w:rsid w:val="0096607E"/>
    <w:rsid w:val="00966167"/>
    <w:rsid w:val="00966946"/>
    <w:rsid w:val="00967041"/>
    <w:rsid w:val="009704D2"/>
    <w:rsid w:val="00971281"/>
    <w:rsid w:val="0097178C"/>
    <w:rsid w:val="00971942"/>
    <w:rsid w:val="009749DC"/>
    <w:rsid w:val="009752CF"/>
    <w:rsid w:val="00976010"/>
    <w:rsid w:val="009762CF"/>
    <w:rsid w:val="0097689D"/>
    <w:rsid w:val="00980119"/>
    <w:rsid w:val="00980B11"/>
    <w:rsid w:val="0098161D"/>
    <w:rsid w:val="00985257"/>
    <w:rsid w:val="00985A50"/>
    <w:rsid w:val="00985DB7"/>
    <w:rsid w:val="00990AA4"/>
    <w:rsid w:val="009916FF"/>
    <w:rsid w:val="009920D5"/>
    <w:rsid w:val="00992242"/>
    <w:rsid w:val="00992939"/>
    <w:rsid w:val="0099431B"/>
    <w:rsid w:val="00995CDB"/>
    <w:rsid w:val="00996730"/>
    <w:rsid w:val="00997129"/>
    <w:rsid w:val="009A0CA2"/>
    <w:rsid w:val="009A111E"/>
    <w:rsid w:val="009A224D"/>
    <w:rsid w:val="009A33E4"/>
    <w:rsid w:val="009A397D"/>
    <w:rsid w:val="009A6537"/>
    <w:rsid w:val="009A7010"/>
    <w:rsid w:val="009A79FE"/>
    <w:rsid w:val="009B3237"/>
    <w:rsid w:val="009B387B"/>
    <w:rsid w:val="009B4372"/>
    <w:rsid w:val="009B4E9A"/>
    <w:rsid w:val="009B633F"/>
    <w:rsid w:val="009B7A32"/>
    <w:rsid w:val="009C0EA1"/>
    <w:rsid w:val="009C1993"/>
    <w:rsid w:val="009C5BF8"/>
    <w:rsid w:val="009C706A"/>
    <w:rsid w:val="009D159E"/>
    <w:rsid w:val="009D1A6B"/>
    <w:rsid w:val="009D32BC"/>
    <w:rsid w:val="009D35FB"/>
    <w:rsid w:val="009D48B7"/>
    <w:rsid w:val="009D4C63"/>
    <w:rsid w:val="009D6413"/>
    <w:rsid w:val="009D68C7"/>
    <w:rsid w:val="009D7369"/>
    <w:rsid w:val="009D7AC3"/>
    <w:rsid w:val="009D7DDF"/>
    <w:rsid w:val="009E0897"/>
    <w:rsid w:val="009E105B"/>
    <w:rsid w:val="009E4336"/>
    <w:rsid w:val="009E61A9"/>
    <w:rsid w:val="009E71B9"/>
    <w:rsid w:val="009F14AD"/>
    <w:rsid w:val="009F299A"/>
    <w:rsid w:val="009F37D7"/>
    <w:rsid w:val="009F4D0B"/>
    <w:rsid w:val="009F6618"/>
    <w:rsid w:val="009F6D23"/>
    <w:rsid w:val="009F7262"/>
    <w:rsid w:val="009F740B"/>
    <w:rsid w:val="009F769B"/>
    <w:rsid w:val="009F7EFA"/>
    <w:rsid w:val="00A00004"/>
    <w:rsid w:val="00A00E58"/>
    <w:rsid w:val="00A0155D"/>
    <w:rsid w:val="00A0243A"/>
    <w:rsid w:val="00A03108"/>
    <w:rsid w:val="00A03317"/>
    <w:rsid w:val="00A03900"/>
    <w:rsid w:val="00A03D9E"/>
    <w:rsid w:val="00A06543"/>
    <w:rsid w:val="00A07386"/>
    <w:rsid w:val="00A11A81"/>
    <w:rsid w:val="00A13B34"/>
    <w:rsid w:val="00A1401C"/>
    <w:rsid w:val="00A15A12"/>
    <w:rsid w:val="00A15BAE"/>
    <w:rsid w:val="00A1693C"/>
    <w:rsid w:val="00A16A93"/>
    <w:rsid w:val="00A16B6C"/>
    <w:rsid w:val="00A20856"/>
    <w:rsid w:val="00A20AEA"/>
    <w:rsid w:val="00A25297"/>
    <w:rsid w:val="00A27A07"/>
    <w:rsid w:val="00A34C7A"/>
    <w:rsid w:val="00A355EE"/>
    <w:rsid w:val="00A35754"/>
    <w:rsid w:val="00A36F8D"/>
    <w:rsid w:val="00A4002D"/>
    <w:rsid w:val="00A406EB"/>
    <w:rsid w:val="00A4089E"/>
    <w:rsid w:val="00A4137E"/>
    <w:rsid w:val="00A41758"/>
    <w:rsid w:val="00A4336C"/>
    <w:rsid w:val="00A43CF8"/>
    <w:rsid w:val="00A447CE"/>
    <w:rsid w:val="00A45763"/>
    <w:rsid w:val="00A45A9C"/>
    <w:rsid w:val="00A47386"/>
    <w:rsid w:val="00A47479"/>
    <w:rsid w:val="00A50423"/>
    <w:rsid w:val="00A52B41"/>
    <w:rsid w:val="00A536BE"/>
    <w:rsid w:val="00A54635"/>
    <w:rsid w:val="00A54A9A"/>
    <w:rsid w:val="00A550DA"/>
    <w:rsid w:val="00A55D1B"/>
    <w:rsid w:val="00A56EA8"/>
    <w:rsid w:val="00A61BAC"/>
    <w:rsid w:val="00A62D64"/>
    <w:rsid w:val="00A65754"/>
    <w:rsid w:val="00A67DFB"/>
    <w:rsid w:val="00A73B1C"/>
    <w:rsid w:val="00A765AA"/>
    <w:rsid w:val="00A77A75"/>
    <w:rsid w:val="00A80087"/>
    <w:rsid w:val="00A80AC8"/>
    <w:rsid w:val="00A81945"/>
    <w:rsid w:val="00A81F94"/>
    <w:rsid w:val="00A82850"/>
    <w:rsid w:val="00A82AB9"/>
    <w:rsid w:val="00A83104"/>
    <w:rsid w:val="00A83ACD"/>
    <w:rsid w:val="00A83CD2"/>
    <w:rsid w:val="00A845AF"/>
    <w:rsid w:val="00A853D6"/>
    <w:rsid w:val="00A86C14"/>
    <w:rsid w:val="00A87ECA"/>
    <w:rsid w:val="00A9441B"/>
    <w:rsid w:val="00A95111"/>
    <w:rsid w:val="00A97260"/>
    <w:rsid w:val="00AA1260"/>
    <w:rsid w:val="00AA1C3E"/>
    <w:rsid w:val="00AA25F2"/>
    <w:rsid w:val="00AA2727"/>
    <w:rsid w:val="00AA3226"/>
    <w:rsid w:val="00AA335C"/>
    <w:rsid w:val="00AA55C8"/>
    <w:rsid w:val="00AA6C21"/>
    <w:rsid w:val="00AA739B"/>
    <w:rsid w:val="00AA7ED0"/>
    <w:rsid w:val="00AB139E"/>
    <w:rsid w:val="00AB2E6E"/>
    <w:rsid w:val="00AB3404"/>
    <w:rsid w:val="00AB3C15"/>
    <w:rsid w:val="00AB6935"/>
    <w:rsid w:val="00AB714A"/>
    <w:rsid w:val="00AB7FC8"/>
    <w:rsid w:val="00AC11FE"/>
    <w:rsid w:val="00AC123C"/>
    <w:rsid w:val="00AC17BE"/>
    <w:rsid w:val="00AC2228"/>
    <w:rsid w:val="00AC2385"/>
    <w:rsid w:val="00AC30AD"/>
    <w:rsid w:val="00AC5D78"/>
    <w:rsid w:val="00AC5F70"/>
    <w:rsid w:val="00AC6488"/>
    <w:rsid w:val="00AC726B"/>
    <w:rsid w:val="00AC7346"/>
    <w:rsid w:val="00AC7AEE"/>
    <w:rsid w:val="00AD06CE"/>
    <w:rsid w:val="00AD2EC7"/>
    <w:rsid w:val="00AD5217"/>
    <w:rsid w:val="00AE02F3"/>
    <w:rsid w:val="00AE17C8"/>
    <w:rsid w:val="00AE3EBF"/>
    <w:rsid w:val="00AE4122"/>
    <w:rsid w:val="00AE574F"/>
    <w:rsid w:val="00AE6A00"/>
    <w:rsid w:val="00AF02DE"/>
    <w:rsid w:val="00AF20A4"/>
    <w:rsid w:val="00AF3B58"/>
    <w:rsid w:val="00AF4C5A"/>
    <w:rsid w:val="00AF51FF"/>
    <w:rsid w:val="00AF5EE6"/>
    <w:rsid w:val="00AF6F20"/>
    <w:rsid w:val="00AF7BE3"/>
    <w:rsid w:val="00B01600"/>
    <w:rsid w:val="00B026AF"/>
    <w:rsid w:val="00B048F6"/>
    <w:rsid w:val="00B055FB"/>
    <w:rsid w:val="00B05DB6"/>
    <w:rsid w:val="00B05E0C"/>
    <w:rsid w:val="00B0632A"/>
    <w:rsid w:val="00B10AAA"/>
    <w:rsid w:val="00B10C2D"/>
    <w:rsid w:val="00B10E80"/>
    <w:rsid w:val="00B11800"/>
    <w:rsid w:val="00B13F2E"/>
    <w:rsid w:val="00B153B8"/>
    <w:rsid w:val="00B15D2F"/>
    <w:rsid w:val="00B15F5A"/>
    <w:rsid w:val="00B1645F"/>
    <w:rsid w:val="00B17447"/>
    <w:rsid w:val="00B2055D"/>
    <w:rsid w:val="00B21D41"/>
    <w:rsid w:val="00B239D6"/>
    <w:rsid w:val="00B2431C"/>
    <w:rsid w:val="00B24EF2"/>
    <w:rsid w:val="00B25183"/>
    <w:rsid w:val="00B25514"/>
    <w:rsid w:val="00B263FC"/>
    <w:rsid w:val="00B27ACB"/>
    <w:rsid w:val="00B27C19"/>
    <w:rsid w:val="00B31462"/>
    <w:rsid w:val="00B31BF1"/>
    <w:rsid w:val="00B33DE7"/>
    <w:rsid w:val="00B34994"/>
    <w:rsid w:val="00B349A9"/>
    <w:rsid w:val="00B35135"/>
    <w:rsid w:val="00B43384"/>
    <w:rsid w:val="00B43400"/>
    <w:rsid w:val="00B43CE4"/>
    <w:rsid w:val="00B440FC"/>
    <w:rsid w:val="00B44692"/>
    <w:rsid w:val="00B46A8A"/>
    <w:rsid w:val="00B506DC"/>
    <w:rsid w:val="00B526FA"/>
    <w:rsid w:val="00B5420C"/>
    <w:rsid w:val="00B55930"/>
    <w:rsid w:val="00B57422"/>
    <w:rsid w:val="00B61D6D"/>
    <w:rsid w:val="00B62485"/>
    <w:rsid w:val="00B6304D"/>
    <w:rsid w:val="00B64A49"/>
    <w:rsid w:val="00B64EAC"/>
    <w:rsid w:val="00B65AE1"/>
    <w:rsid w:val="00B67973"/>
    <w:rsid w:val="00B7004C"/>
    <w:rsid w:val="00B705A0"/>
    <w:rsid w:val="00B70FC7"/>
    <w:rsid w:val="00B725E7"/>
    <w:rsid w:val="00B7327F"/>
    <w:rsid w:val="00B741D0"/>
    <w:rsid w:val="00B747AB"/>
    <w:rsid w:val="00B770F1"/>
    <w:rsid w:val="00B77D84"/>
    <w:rsid w:val="00B77E7B"/>
    <w:rsid w:val="00B82FD8"/>
    <w:rsid w:val="00B830B0"/>
    <w:rsid w:val="00B84057"/>
    <w:rsid w:val="00B84110"/>
    <w:rsid w:val="00B850CD"/>
    <w:rsid w:val="00B91A74"/>
    <w:rsid w:val="00B9283F"/>
    <w:rsid w:val="00B9318A"/>
    <w:rsid w:val="00B93213"/>
    <w:rsid w:val="00B93426"/>
    <w:rsid w:val="00B95991"/>
    <w:rsid w:val="00BA1156"/>
    <w:rsid w:val="00BA1751"/>
    <w:rsid w:val="00BA25F8"/>
    <w:rsid w:val="00BA3CD0"/>
    <w:rsid w:val="00BA72B5"/>
    <w:rsid w:val="00BA7AA6"/>
    <w:rsid w:val="00BB58D4"/>
    <w:rsid w:val="00BB752B"/>
    <w:rsid w:val="00BB7E60"/>
    <w:rsid w:val="00BC2283"/>
    <w:rsid w:val="00BC2EDE"/>
    <w:rsid w:val="00BC4452"/>
    <w:rsid w:val="00BC61A5"/>
    <w:rsid w:val="00BD0235"/>
    <w:rsid w:val="00BD05EA"/>
    <w:rsid w:val="00BD132E"/>
    <w:rsid w:val="00BD222D"/>
    <w:rsid w:val="00BD2D0D"/>
    <w:rsid w:val="00BD43FA"/>
    <w:rsid w:val="00BD5128"/>
    <w:rsid w:val="00BD5F6C"/>
    <w:rsid w:val="00BD613C"/>
    <w:rsid w:val="00BD695A"/>
    <w:rsid w:val="00BE0489"/>
    <w:rsid w:val="00BE1320"/>
    <w:rsid w:val="00BE2E1D"/>
    <w:rsid w:val="00BE3CC9"/>
    <w:rsid w:val="00BE519E"/>
    <w:rsid w:val="00BE5CA1"/>
    <w:rsid w:val="00BE706D"/>
    <w:rsid w:val="00BE7205"/>
    <w:rsid w:val="00BF2E70"/>
    <w:rsid w:val="00BF4FC3"/>
    <w:rsid w:val="00BF53FA"/>
    <w:rsid w:val="00BF64FE"/>
    <w:rsid w:val="00BF799F"/>
    <w:rsid w:val="00C02203"/>
    <w:rsid w:val="00C02472"/>
    <w:rsid w:val="00C0538E"/>
    <w:rsid w:val="00C077EA"/>
    <w:rsid w:val="00C079AB"/>
    <w:rsid w:val="00C07AC1"/>
    <w:rsid w:val="00C10876"/>
    <w:rsid w:val="00C12DF5"/>
    <w:rsid w:val="00C14382"/>
    <w:rsid w:val="00C16F24"/>
    <w:rsid w:val="00C17102"/>
    <w:rsid w:val="00C21747"/>
    <w:rsid w:val="00C227D5"/>
    <w:rsid w:val="00C2453F"/>
    <w:rsid w:val="00C25511"/>
    <w:rsid w:val="00C261DD"/>
    <w:rsid w:val="00C2653B"/>
    <w:rsid w:val="00C26B01"/>
    <w:rsid w:val="00C279F9"/>
    <w:rsid w:val="00C27D02"/>
    <w:rsid w:val="00C3133C"/>
    <w:rsid w:val="00C31768"/>
    <w:rsid w:val="00C32810"/>
    <w:rsid w:val="00C33BA6"/>
    <w:rsid w:val="00C34CD5"/>
    <w:rsid w:val="00C36738"/>
    <w:rsid w:val="00C375BD"/>
    <w:rsid w:val="00C419F0"/>
    <w:rsid w:val="00C41A0E"/>
    <w:rsid w:val="00C42445"/>
    <w:rsid w:val="00C42E67"/>
    <w:rsid w:val="00C434F4"/>
    <w:rsid w:val="00C435DA"/>
    <w:rsid w:val="00C43B04"/>
    <w:rsid w:val="00C43ECD"/>
    <w:rsid w:val="00C44E10"/>
    <w:rsid w:val="00C47CE1"/>
    <w:rsid w:val="00C510CA"/>
    <w:rsid w:val="00C51118"/>
    <w:rsid w:val="00C5111F"/>
    <w:rsid w:val="00C535D5"/>
    <w:rsid w:val="00C558A6"/>
    <w:rsid w:val="00C5596C"/>
    <w:rsid w:val="00C57AD6"/>
    <w:rsid w:val="00C60D61"/>
    <w:rsid w:val="00C60F9A"/>
    <w:rsid w:val="00C6245B"/>
    <w:rsid w:val="00C63EED"/>
    <w:rsid w:val="00C6448A"/>
    <w:rsid w:val="00C6478B"/>
    <w:rsid w:val="00C651D8"/>
    <w:rsid w:val="00C652BA"/>
    <w:rsid w:val="00C65447"/>
    <w:rsid w:val="00C6601C"/>
    <w:rsid w:val="00C667CF"/>
    <w:rsid w:val="00C66C00"/>
    <w:rsid w:val="00C676F0"/>
    <w:rsid w:val="00C70722"/>
    <w:rsid w:val="00C728CD"/>
    <w:rsid w:val="00C76BD4"/>
    <w:rsid w:val="00C76CD4"/>
    <w:rsid w:val="00C76EED"/>
    <w:rsid w:val="00C820FA"/>
    <w:rsid w:val="00C833EF"/>
    <w:rsid w:val="00C83672"/>
    <w:rsid w:val="00C84D7F"/>
    <w:rsid w:val="00C85305"/>
    <w:rsid w:val="00C86B51"/>
    <w:rsid w:val="00C8718F"/>
    <w:rsid w:val="00C8759B"/>
    <w:rsid w:val="00C90ED7"/>
    <w:rsid w:val="00C92F2B"/>
    <w:rsid w:val="00C931FF"/>
    <w:rsid w:val="00C95F4F"/>
    <w:rsid w:val="00CA092B"/>
    <w:rsid w:val="00CA0C94"/>
    <w:rsid w:val="00CA146E"/>
    <w:rsid w:val="00CA31FF"/>
    <w:rsid w:val="00CA3908"/>
    <w:rsid w:val="00CA49A2"/>
    <w:rsid w:val="00CA4D5B"/>
    <w:rsid w:val="00CA54E5"/>
    <w:rsid w:val="00CA5853"/>
    <w:rsid w:val="00CA65D8"/>
    <w:rsid w:val="00CA6ADA"/>
    <w:rsid w:val="00CA7038"/>
    <w:rsid w:val="00CB11AB"/>
    <w:rsid w:val="00CB155B"/>
    <w:rsid w:val="00CB224B"/>
    <w:rsid w:val="00CB23E5"/>
    <w:rsid w:val="00CB5307"/>
    <w:rsid w:val="00CB599E"/>
    <w:rsid w:val="00CB5CF9"/>
    <w:rsid w:val="00CB5D5C"/>
    <w:rsid w:val="00CB74C3"/>
    <w:rsid w:val="00CC152E"/>
    <w:rsid w:val="00CC2216"/>
    <w:rsid w:val="00CC24DD"/>
    <w:rsid w:val="00CC2E18"/>
    <w:rsid w:val="00CC2E32"/>
    <w:rsid w:val="00CC48B2"/>
    <w:rsid w:val="00CC5000"/>
    <w:rsid w:val="00CC5B11"/>
    <w:rsid w:val="00CD1823"/>
    <w:rsid w:val="00CD1E6A"/>
    <w:rsid w:val="00CD25A5"/>
    <w:rsid w:val="00CD262E"/>
    <w:rsid w:val="00CD2A43"/>
    <w:rsid w:val="00CD2CC5"/>
    <w:rsid w:val="00CD5076"/>
    <w:rsid w:val="00CD58EB"/>
    <w:rsid w:val="00CD6980"/>
    <w:rsid w:val="00CE1034"/>
    <w:rsid w:val="00CE1744"/>
    <w:rsid w:val="00CE1EED"/>
    <w:rsid w:val="00CE2EA3"/>
    <w:rsid w:val="00CE507E"/>
    <w:rsid w:val="00CE6664"/>
    <w:rsid w:val="00CE7712"/>
    <w:rsid w:val="00CF00C8"/>
    <w:rsid w:val="00CF0CCC"/>
    <w:rsid w:val="00CF0D25"/>
    <w:rsid w:val="00CF4D1B"/>
    <w:rsid w:val="00CF4F0A"/>
    <w:rsid w:val="00CF576A"/>
    <w:rsid w:val="00CF631A"/>
    <w:rsid w:val="00CF6865"/>
    <w:rsid w:val="00CF6F72"/>
    <w:rsid w:val="00CF7F71"/>
    <w:rsid w:val="00D023F0"/>
    <w:rsid w:val="00D02A47"/>
    <w:rsid w:val="00D05324"/>
    <w:rsid w:val="00D05458"/>
    <w:rsid w:val="00D05CDC"/>
    <w:rsid w:val="00D06F9F"/>
    <w:rsid w:val="00D101F6"/>
    <w:rsid w:val="00D104FF"/>
    <w:rsid w:val="00D12609"/>
    <w:rsid w:val="00D12A23"/>
    <w:rsid w:val="00D1372F"/>
    <w:rsid w:val="00D14FBB"/>
    <w:rsid w:val="00D17C1E"/>
    <w:rsid w:val="00D213B3"/>
    <w:rsid w:val="00D22659"/>
    <w:rsid w:val="00D22BF0"/>
    <w:rsid w:val="00D2339C"/>
    <w:rsid w:val="00D23D91"/>
    <w:rsid w:val="00D24CC0"/>
    <w:rsid w:val="00D24FF0"/>
    <w:rsid w:val="00D25A40"/>
    <w:rsid w:val="00D30074"/>
    <w:rsid w:val="00D325A8"/>
    <w:rsid w:val="00D33D37"/>
    <w:rsid w:val="00D36173"/>
    <w:rsid w:val="00D371A9"/>
    <w:rsid w:val="00D375C4"/>
    <w:rsid w:val="00D37678"/>
    <w:rsid w:val="00D403FF"/>
    <w:rsid w:val="00D4246B"/>
    <w:rsid w:val="00D4297E"/>
    <w:rsid w:val="00D42EF9"/>
    <w:rsid w:val="00D43079"/>
    <w:rsid w:val="00D445B4"/>
    <w:rsid w:val="00D4584A"/>
    <w:rsid w:val="00D46CBC"/>
    <w:rsid w:val="00D46D12"/>
    <w:rsid w:val="00D471F6"/>
    <w:rsid w:val="00D50DC1"/>
    <w:rsid w:val="00D516B6"/>
    <w:rsid w:val="00D51825"/>
    <w:rsid w:val="00D53F28"/>
    <w:rsid w:val="00D54271"/>
    <w:rsid w:val="00D54782"/>
    <w:rsid w:val="00D557A7"/>
    <w:rsid w:val="00D56FB5"/>
    <w:rsid w:val="00D575DC"/>
    <w:rsid w:val="00D601DC"/>
    <w:rsid w:val="00D603ED"/>
    <w:rsid w:val="00D61081"/>
    <w:rsid w:val="00D622B5"/>
    <w:rsid w:val="00D6294D"/>
    <w:rsid w:val="00D63ECC"/>
    <w:rsid w:val="00D647FB"/>
    <w:rsid w:val="00D66012"/>
    <w:rsid w:val="00D6615A"/>
    <w:rsid w:val="00D672A3"/>
    <w:rsid w:val="00D677B5"/>
    <w:rsid w:val="00D707EF"/>
    <w:rsid w:val="00D7081E"/>
    <w:rsid w:val="00D71099"/>
    <w:rsid w:val="00D726C1"/>
    <w:rsid w:val="00D72FE0"/>
    <w:rsid w:val="00D7303A"/>
    <w:rsid w:val="00D74BA9"/>
    <w:rsid w:val="00D762AD"/>
    <w:rsid w:val="00D80E4A"/>
    <w:rsid w:val="00D81417"/>
    <w:rsid w:val="00D81635"/>
    <w:rsid w:val="00D839F5"/>
    <w:rsid w:val="00D84A29"/>
    <w:rsid w:val="00D8660A"/>
    <w:rsid w:val="00D86644"/>
    <w:rsid w:val="00D8726D"/>
    <w:rsid w:val="00D87DE4"/>
    <w:rsid w:val="00D9020B"/>
    <w:rsid w:val="00D90888"/>
    <w:rsid w:val="00D91222"/>
    <w:rsid w:val="00D91340"/>
    <w:rsid w:val="00D96F36"/>
    <w:rsid w:val="00D97236"/>
    <w:rsid w:val="00D9775E"/>
    <w:rsid w:val="00DA149D"/>
    <w:rsid w:val="00DA1829"/>
    <w:rsid w:val="00DA18BF"/>
    <w:rsid w:val="00DA1F72"/>
    <w:rsid w:val="00DA242C"/>
    <w:rsid w:val="00DA2FB4"/>
    <w:rsid w:val="00DA345B"/>
    <w:rsid w:val="00DA55CE"/>
    <w:rsid w:val="00DA6248"/>
    <w:rsid w:val="00DA65B1"/>
    <w:rsid w:val="00DA6738"/>
    <w:rsid w:val="00DA7F70"/>
    <w:rsid w:val="00DB0069"/>
    <w:rsid w:val="00DB199E"/>
    <w:rsid w:val="00DB389B"/>
    <w:rsid w:val="00DB3F17"/>
    <w:rsid w:val="00DB4538"/>
    <w:rsid w:val="00DB6187"/>
    <w:rsid w:val="00DB6CB8"/>
    <w:rsid w:val="00DC132A"/>
    <w:rsid w:val="00DC2A01"/>
    <w:rsid w:val="00DC2B98"/>
    <w:rsid w:val="00DC3BBC"/>
    <w:rsid w:val="00DC3F68"/>
    <w:rsid w:val="00DC50DC"/>
    <w:rsid w:val="00DC50EE"/>
    <w:rsid w:val="00DC5A2B"/>
    <w:rsid w:val="00DC5D99"/>
    <w:rsid w:val="00DC67CD"/>
    <w:rsid w:val="00DC6BBE"/>
    <w:rsid w:val="00DC7047"/>
    <w:rsid w:val="00DD03A1"/>
    <w:rsid w:val="00DD400E"/>
    <w:rsid w:val="00DD441E"/>
    <w:rsid w:val="00DD4616"/>
    <w:rsid w:val="00DD726D"/>
    <w:rsid w:val="00DE05FD"/>
    <w:rsid w:val="00DE1C51"/>
    <w:rsid w:val="00DE2C7D"/>
    <w:rsid w:val="00DE4A49"/>
    <w:rsid w:val="00DE72C0"/>
    <w:rsid w:val="00DE7A68"/>
    <w:rsid w:val="00DF2854"/>
    <w:rsid w:val="00DF2F6E"/>
    <w:rsid w:val="00DF4B53"/>
    <w:rsid w:val="00DF5464"/>
    <w:rsid w:val="00DF62C3"/>
    <w:rsid w:val="00DF656A"/>
    <w:rsid w:val="00DF7702"/>
    <w:rsid w:val="00DF7950"/>
    <w:rsid w:val="00E00196"/>
    <w:rsid w:val="00E01A89"/>
    <w:rsid w:val="00E02892"/>
    <w:rsid w:val="00E06941"/>
    <w:rsid w:val="00E1071B"/>
    <w:rsid w:val="00E118CE"/>
    <w:rsid w:val="00E1220D"/>
    <w:rsid w:val="00E125C9"/>
    <w:rsid w:val="00E13220"/>
    <w:rsid w:val="00E1446F"/>
    <w:rsid w:val="00E14E1F"/>
    <w:rsid w:val="00E21F0C"/>
    <w:rsid w:val="00E2202D"/>
    <w:rsid w:val="00E22668"/>
    <w:rsid w:val="00E22CE5"/>
    <w:rsid w:val="00E23581"/>
    <w:rsid w:val="00E23BC7"/>
    <w:rsid w:val="00E2567F"/>
    <w:rsid w:val="00E277E5"/>
    <w:rsid w:val="00E30FC8"/>
    <w:rsid w:val="00E31490"/>
    <w:rsid w:val="00E320E5"/>
    <w:rsid w:val="00E328BD"/>
    <w:rsid w:val="00E35D9F"/>
    <w:rsid w:val="00E40781"/>
    <w:rsid w:val="00E407BA"/>
    <w:rsid w:val="00E4083B"/>
    <w:rsid w:val="00E410C3"/>
    <w:rsid w:val="00E41350"/>
    <w:rsid w:val="00E41FF2"/>
    <w:rsid w:val="00E42392"/>
    <w:rsid w:val="00E43DF0"/>
    <w:rsid w:val="00E46714"/>
    <w:rsid w:val="00E46DA1"/>
    <w:rsid w:val="00E47038"/>
    <w:rsid w:val="00E47243"/>
    <w:rsid w:val="00E47C14"/>
    <w:rsid w:val="00E514E5"/>
    <w:rsid w:val="00E53EA1"/>
    <w:rsid w:val="00E550C5"/>
    <w:rsid w:val="00E565A1"/>
    <w:rsid w:val="00E61794"/>
    <w:rsid w:val="00E61D1D"/>
    <w:rsid w:val="00E62212"/>
    <w:rsid w:val="00E62976"/>
    <w:rsid w:val="00E62DCA"/>
    <w:rsid w:val="00E62F66"/>
    <w:rsid w:val="00E63045"/>
    <w:rsid w:val="00E638EA"/>
    <w:rsid w:val="00E65B1B"/>
    <w:rsid w:val="00E66F68"/>
    <w:rsid w:val="00E67F07"/>
    <w:rsid w:val="00E70176"/>
    <w:rsid w:val="00E71F73"/>
    <w:rsid w:val="00E72650"/>
    <w:rsid w:val="00E74FCE"/>
    <w:rsid w:val="00E75CAC"/>
    <w:rsid w:val="00E80B81"/>
    <w:rsid w:val="00E81374"/>
    <w:rsid w:val="00E82676"/>
    <w:rsid w:val="00E8392A"/>
    <w:rsid w:val="00E8588D"/>
    <w:rsid w:val="00E9031E"/>
    <w:rsid w:val="00E90DBA"/>
    <w:rsid w:val="00E917A0"/>
    <w:rsid w:val="00E92F07"/>
    <w:rsid w:val="00E943F6"/>
    <w:rsid w:val="00E95DB1"/>
    <w:rsid w:val="00EA0A8E"/>
    <w:rsid w:val="00EA19C5"/>
    <w:rsid w:val="00EA29B2"/>
    <w:rsid w:val="00EA59B4"/>
    <w:rsid w:val="00EA6D9B"/>
    <w:rsid w:val="00EA72F5"/>
    <w:rsid w:val="00EA7E61"/>
    <w:rsid w:val="00EA7E9C"/>
    <w:rsid w:val="00EB15C9"/>
    <w:rsid w:val="00EB16AF"/>
    <w:rsid w:val="00EB4550"/>
    <w:rsid w:val="00EB4552"/>
    <w:rsid w:val="00EB4DCB"/>
    <w:rsid w:val="00EC00BA"/>
    <w:rsid w:val="00EC098C"/>
    <w:rsid w:val="00EC0BFF"/>
    <w:rsid w:val="00EC3F66"/>
    <w:rsid w:val="00EC43FE"/>
    <w:rsid w:val="00EC64CD"/>
    <w:rsid w:val="00EC6D59"/>
    <w:rsid w:val="00EC6D60"/>
    <w:rsid w:val="00EC79B1"/>
    <w:rsid w:val="00ED0826"/>
    <w:rsid w:val="00ED0E54"/>
    <w:rsid w:val="00ED2FBF"/>
    <w:rsid w:val="00ED319F"/>
    <w:rsid w:val="00ED6213"/>
    <w:rsid w:val="00ED7357"/>
    <w:rsid w:val="00ED76CD"/>
    <w:rsid w:val="00ED7BE4"/>
    <w:rsid w:val="00ED7D80"/>
    <w:rsid w:val="00EE00C9"/>
    <w:rsid w:val="00EE0D84"/>
    <w:rsid w:val="00EE12B3"/>
    <w:rsid w:val="00EE15C1"/>
    <w:rsid w:val="00EE2154"/>
    <w:rsid w:val="00EE3117"/>
    <w:rsid w:val="00EE3C92"/>
    <w:rsid w:val="00EE3D32"/>
    <w:rsid w:val="00EE7864"/>
    <w:rsid w:val="00EF045E"/>
    <w:rsid w:val="00EF161E"/>
    <w:rsid w:val="00EF1CF8"/>
    <w:rsid w:val="00EF2756"/>
    <w:rsid w:val="00EF343D"/>
    <w:rsid w:val="00EF3CAF"/>
    <w:rsid w:val="00EF49A8"/>
    <w:rsid w:val="00EF6352"/>
    <w:rsid w:val="00EF64FE"/>
    <w:rsid w:val="00EF7FCD"/>
    <w:rsid w:val="00F03594"/>
    <w:rsid w:val="00F03FAC"/>
    <w:rsid w:val="00F04B6D"/>
    <w:rsid w:val="00F04C82"/>
    <w:rsid w:val="00F0545F"/>
    <w:rsid w:val="00F0693E"/>
    <w:rsid w:val="00F06D0B"/>
    <w:rsid w:val="00F06FD5"/>
    <w:rsid w:val="00F07D6C"/>
    <w:rsid w:val="00F11FA0"/>
    <w:rsid w:val="00F1237D"/>
    <w:rsid w:val="00F142E9"/>
    <w:rsid w:val="00F205C5"/>
    <w:rsid w:val="00F2171B"/>
    <w:rsid w:val="00F218E5"/>
    <w:rsid w:val="00F22D8E"/>
    <w:rsid w:val="00F240B0"/>
    <w:rsid w:val="00F253BE"/>
    <w:rsid w:val="00F26077"/>
    <w:rsid w:val="00F27224"/>
    <w:rsid w:val="00F27828"/>
    <w:rsid w:val="00F27E8F"/>
    <w:rsid w:val="00F31249"/>
    <w:rsid w:val="00F31706"/>
    <w:rsid w:val="00F330EA"/>
    <w:rsid w:val="00F33AA6"/>
    <w:rsid w:val="00F35CE4"/>
    <w:rsid w:val="00F3714D"/>
    <w:rsid w:val="00F406D3"/>
    <w:rsid w:val="00F45458"/>
    <w:rsid w:val="00F4592E"/>
    <w:rsid w:val="00F45CCA"/>
    <w:rsid w:val="00F45EE0"/>
    <w:rsid w:val="00F46BC3"/>
    <w:rsid w:val="00F4708F"/>
    <w:rsid w:val="00F50EF1"/>
    <w:rsid w:val="00F5158C"/>
    <w:rsid w:val="00F52732"/>
    <w:rsid w:val="00F52B00"/>
    <w:rsid w:val="00F5537E"/>
    <w:rsid w:val="00F5645F"/>
    <w:rsid w:val="00F60B6A"/>
    <w:rsid w:val="00F642A6"/>
    <w:rsid w:val="00F64E3C"/>
    <w:rsid w:val="00F66F5D"/>
    <w:rsid w:val="00F67076"/>
    <w:rsid w:val="00F67EDB"/>
    <w:rsid w:val="00F70046"/>
    <w:rsid w:val="00F70C25"/>
    <w:rsid w:val="00F71802"/>
    <w:rsid w:val="00F72BBD"/>
    <w:rsid w:val="00F758E3"/>
    <w:rsid w:val="00F76A93"/>
    <w:rsid w:val="00F77301"/>
    <w:rsid w:val="00F77A26"/>
    <w:rsid w:val="00F77D68"/>
    <w:rsid w:val="00F77F06"/>
    <w:rsid w:val="00F800F5"/>
    <w:rsid w:val="00F80E7B"/>
    <w:rsid w:val="00F812D3"/>
    <w:rsid w:val="00F81A5D"/>
    <w:rsid w:val="00F820B7"/>
    <w:rsid w:val="00F83194"/>
    <w:rsid w:val="00F8498D"/>
    <w:rsid w:val="00F84E06"/>
    <w:rsid w:val="00F85573"/>
    <w:rsid w:val="00F86DA7"/>
    <w:rsid w:val="00F875C1"/>
    <w:rsid w:val="00F90A53"/>
    <w:rsid w:val="00F920DA"/>
    <w:rsid w:val="00F921F2"/>
    <w:rsid w:val="00F9258C"/>
    <w:rsid w:val="00F92656"/>
    <w:rsid w:val="00F9338F"/>
    <w:rsid w:val="00F950D3"/>
    <w:rsid w:val="00F950E0"/>
    <w:rsid w:val="00F958C3"/>
    <w:rsid w:val="00F95941"/>
    <w:rsid w:val="00F97B9C"/>
    <w:rsid w:val="00FA0D61"/>
    <w:rsid w:val="00FA1BF1"/>
    <w:rsid w:val="00FA35BE"/>
    <w:rsid w:val="00FA3CC6"/>
    <w:rsid w:val="00FA5240"/>
    <w:rsid w:val="00FA5412"/>
    <w:rsid w:val="00FA55A0"/>
    <w:rsid w:val="00FA72B8"/>
    <w:rsid w:val="00FA7730"/>
    <w:rsid w:val="00FB18B9"/>
    <w:rsid w:val="00FB2815"/>
    <w:rsid w:val="00FB3A30"/>
    <w:rsid w:val="00FB3E23"/>
    <w:rsid w:val="00FB3F47"/>
    <w:rsid w:val="00FB4223"/>
    <w:rsid w:val="00FB7AD8"/>
    <w:rsid w:val="00FC3ED2"/>
    <w:rsid w:val="00FC3FCF"/>
    <w:rsid w:val="00FC4143"/>
    <w:rsid w:val="00FC4A67"/>
    <w:rsid w:val="00FC52E1"/>
    <w:rsid w:val="00FC5C8D"/>
    <w:rsid w:val="00FC6249"/>
    <w:rsid w:val="00FC676D"/>
    <w:rsid w:val="00FC79C6"/>
    <w:rsid w:val="00FC7D8F"/>
    <w:rsid w:val="00FD2670"/>
    <w:rsid w:val="00FD6596"/>
    <w:rsid w:val="00FD6A17"/>
    <w:rsid w:val="00FD707F"/>
    <w:rsid w:val="00FD7237"/>
    <w:rsid w:val="00FD7904"/>
    <w:rsid w:val="00FE02E7"/>
    <w:rsid w:val="00FE5A0A"/>
    <w:rsid w:val="00FF1C42"/>
    <w:rsid w:val="00FF535F"/>
    <w:rsid w:val="00FF6B54"/>
    <w:rsid w:val="01BA6F73"/>
    <w:rsid w:val="01C729B1"/>
    <w:rsid w:val="02113951"/>
    <w:rsid w:val="028B5B7A"/>
    <w:rsid w:val="02E72CC8"/>
    <w:rsid w:val="032064E7"/>
    <w:rsid w:val="036C2AC3"/>
    <w:rsid w:val="03D92758"/>
    <w:rsid w:val="042C7EA6"/>
    <w:rsid w:val="044707B2"/>
    <w:rsid w:val="04520EED"/>
    <w:rsid w:val="052A0A99"/>
    <w:rsid w:val="05616CEF"/>
    <w:rsid w:val="05B13702"/>
    <w:rsid w:val="071E3864"/>
    <w:rsid w:val="07624570"/>
    <w:rsid w:val="07B11F40"/>
    <w:rsid w:val="081913A0"/>
    <w:rsid w:val="08525743"/>
    <w:rsid w:val="09451F7A"/>
    <w:rsid w:val="094F6025"/>
    <w:rsid w:val="095A3D9C"/>
    <w:rsid w:val="098F05E9"/>
    <w:rsid w:val="09AD745A"/>
    <w:rsid w:val="09F932FF"/>
    <w:rsid w:val="0A8109FE"/>
    <w:rsid w:val="0AC8540F"/>
    <w:rsid w:val="0AED5ECE"/>
    <w:rsid w:val="0BA856FC"/>
    <w:rsid w:val="0C191EC4"/>
    <w:rsid w:val="0C6141AA"/>
    <w:rsid w:val="0C6D7125"/>
    <w:rsid w:val="0C8867BC"/>
    <w:rsid w:val="0CAF6DF3"/>
    <w:rsid w:val="0CD066CA"/>
    <w:rsid w:val="0D20116D"/>
    <w:rsid w:val="0D681984"/>
    <w:rsid w:val="0D9B241C"/>
    <w:rsid w:val="0E9225D8"/>
    <w:rsid w:val="0F094AF5"/>
    <w:rsid w:val="0F3A49F6"/>
    <w:rsid w:val="0F4C0579"/>
    <w:rsid w:val="0F882CCB"/>
    <w:rsid w:val="0FBA3B3D"/>
    <w:rsid w:val="101F0E47"/>
    <w:rsid w:val="1086405B"/>
    <w:rsid w:val="115715CC"/>
    <w:rsid w:val="11861D64"/>
    <w:rsid w:val="11F65BA8"/>
    <w:rsid w:val="120A76FF"/>
    <w:rsid w:val="12C46FCD"/>
    <w:rsid w:val="14164D9C"/>
    <w:rsid w:val="151C1DF4"/>
    <w:rsid w:val="154E693C"/>
    <w:rsid w:val="16034D27"/>
    <w:rsid w:val="164C5968"/>
    <w:rsid w:val="167075B4"/>
    <w:rsid w:val="16EA2D13"/>
    <w:rsid w:val="17274D2E"/>
    <w:rsid w:val="17A04556"/>
    <w:rsid w:val="17DA4F86"/>
    <w:rsid w:val="17EC6540"/>
    <w:rsid w:val="183556BB"/>
    <w:rsid w:val="18673E19"/>
    <w:rsid w:val="18E62CFA"/>
    <w:rsid w:val="195150C0"/>
    <w:rsid w:val="19A87491"/>
    <w:rsid w:val="1A5170F1"/>
    <w:rsid w:val="1A6C7570"/>
    <w:rsid w:val="1C241807"/>
    <w:rsid w:val="1C47280B"/>
    <w:rsid w:val="1C586676"/>
    <w:rsid w:val="1C901BF5"/>
    <w:rsid w:val="1CA81721"/>
    <w:rsid w:val="1D0625D0"/>
    <w:rsid w:val="1E1A1304"/>
    <w:rsid w:val="1EEB48C9"/>
    <w:rsid w:val="1F0444F8"/>
    <w:rsid w:val="1FCA4C34"/>
    <w:rsid w:val="1FD406D0"/>
    <w:rsid w:val="1FDF3477"/>
    <w:rsid w:val="1FF015EB"/>
    <w:rsid w:val="20220A34"/>
    <w:rsid w:val="20643FC2"/>
    <w:rsid w:val="20872855"/>
    <w:rsid w:val="209F4950"/>
    <w:rsid w:val="212668D0"/>
    <w:rsid w:val="21C61947"/>
    <w:rsid w:val="21CC7E96"/>
    <w:rsid w:val="22156CB6"/>
    <w:rsid w:val="222A3393"/>
    <w:rsid w:val="23097451"/>
    <w:rsid w:val="233F7E44"/>
    <w:rsid w:val="2344603D"/>
    <w:rsid w:val="23560BA1"/>
    <w:rsid w:val="236E097E"/>
    <w:rsid w:val="2374064A"/>
    <w:rsid w:val="237A7E80"/>
    <w:rsid w:val="238F6FBB"/>
    <w:rsid w:val="23C4139F"/>
    <w:rsid w:val="24962D62"/>
    <w:rsid w:val="252A641D"/>
    <w:rsid w:val="25360853"/>
    <w:rsid w:val="255850BD"/>
    <w:rsid w:val="25864B1A"/>
    <w:rsid w:val="25BF1652"/>
    <w:rsid w:val="262A24F6"/>
    <w:rsid w:val="26714382"/>
    <w:rsid w:val="267D35AA"/>
    <w:rsid w:val="273F2837"/>
    <w:rsid w:val="28755F08"/>
    <w:rsid w:val="28B42CCB"/>
    <w:rsid w:val="28F141F1"/>
    <w:rsid w:val="29BA6E20"/>
    <w:rsid w:val="29EE4900"/>
    <w:rsid w:val="2A6B2A50"/>
    <w:rsid w:val="2A796735"/>
    <w:rsid w:val="2B24753D"/>
    <w:rsid w:val="2B3705AD"/>
    <w:rsid w:val="2B9A29F6"/>
    <w:rsid w:val="2B9C468F"/>
    <w:rsid w:val="2BC63ECE"/>
    <w:rsid w:val="2C5B5355"/>
    <w:rsid w:val="2C5D4BAD"/>
    <w:rsid w:val="2C753EA3"/>
    <w:rsid w:val="2D9361FA"/>
    <w:rsid w:val="2DDA680D"/>
    <w:rsid w:val="2E890F54"/>
    <w:rsid w:val="2E8D111B"/>
    <w:rsid w:val="2E9A064C"/>
    <w:rsid w:val="2EB60DE6"/>
    <w:rsid w:val="2EB8684D"/>
    <w:rsid w:val="2F827D57"/>
    <w:rsid w:val="2FAE7E6F"/>
    <w:rsid w:val="2FE134D2"/>
    <w:rsid w:val="301B0475"/>
    <w:rsid w:val="30966C17"/>
    <w:rsid w:val="30B61A99"/>
    <w:rsid w:val="31181417"/>
    <w:rsid w:val="32033F9F"/>
    <w:rsid w:val="326658F0"/>
    <w:rsid w:val="331A0F72"/>
    <w:rsid w:val="331B3917"/>
    <w:rsid w:val="33967949"/>
    <w:rsid w:val="33E75D22"/>
    <w:rsid w:val="33EA19AF"/>
    <w:rsid w:val="346208E6"/>
    <w:rsid w:val="34884436"/>
    <w:rsid w:val="350E4B86"/>
    <w:rsid w:val="35FE08A0"/>
    <w:rsid w:val="35FF7F62"/>
    <w:rsid w:val="365E45FC"/>
    <w:rsid w:val="368F73D9"/>
    <w:rsid w:val="36916984"/>
    <w:rsid w:val="36D67A1B"/>
    <w:rsid w:val="370A45D5"/>
    <w:rsid w:val="376D69F6"/>
    <w:rsid w:val="38330227"/>
    <w:rsid w:val="385629A9"/>
    <w:rsid w:val="38843D39"/>
    <w:rsid w:val="38D31F85"/>
    <w:rsid w:val="38F32999"/>
    <w:rsid w:val="39C7718B"/>
    <w:rsid w:val="3A4153A8"/>
    <w:rsid w:val="3A571D6A"/>
    <w:rsid w:val="3A5C04DB"/>
    <w:rsid w:val="3A920F74"/>
    <w:rsid w:val="3AD8241D"/>
    <w:rsid w:val="3B2C2F33"/>
    <w:rsid w:val="3B4A5CED"/>
    <w:rsid w:val="3B923D97"/>
    <w:rsid w:val="3BAD7AB5"/>
    <w:rsid w:val="3BC43EEB"/>
    <w:rsid w:val="3C07525C"/>
    <w:rsid w:val="3C520FFE"/>
    <w:rsid w:val="3C6207FC"/>
    <w:rsid w:val="3D093CD9"/>
    <w:rsid w:val="3D4122AE"/>
    <w:rsid w:val="3D814ED5"/>
    <w:rsid w:val="3DA356EC"/>
    <w:rsid w:val="3DBC7E68"/>
    <w:rsid w:val="3DD75EFF"/>
    <w:rsid w:val="3E183178"/>
    <w:rsid w:val="3E8C4D9E"/>
    <w:rsid w:val="3EEB1385"/>
    <w:rsid w:val="3F2C096F"/>
    <w:rsid w:val="3F54562D"/>
    <w:rsid w:val="4007204F"/>
    <w:rsid w:val="40522748"/>
    <w:rsid w:val="40C4433A"/>
    <w:rsid w:val="41437083"/>
    <w:rsid w:val="41580644"/>
    <w:rsid w:val="41852EC6"/>
    <w:rsid w:val="41C5601F"/>
    <w:rsid w:val="423A44E1"/>
    <w:rsid w:val="423A7D24"/>
    <w:rsid w:val="423B5EA1"/>
    <w:rsid w:val="430E617A"/>
    <w:rsid w:val="43B80845"/>
    <w:rsid w:val="445656AE"/>
    <w:rsid w:val="44726792"/>
    <w:rsid w:val="44942FD9"/>
    <w:rsid w:val="4581249D"/>
    <w:rsid w:val="45AC0048"/>
    <w:rsid w:val="46215BA4"/>
    <w:rsid w:val="468E386C"/>
    <w:rsid w:val="4750410A"/>
    <w:rsid w:val="47AA3171"/>
    <w:rsid w:val="47BC632B"/>
    <w:rsid w:val="48786503"/>
    <w:rsid w:val="488311DF"/>
    <w:rsid w:val="48D51DC6"/>
    <w:rsid w:val="49085578"/>
    <w:rsid w:val="499042D4"/>
    <w:rsid w:val="49FD61F3"/>
    <w:rsid w:val="4A1D7850"/>
    <w:rsid w:val="4A2410AF"/>
    <w:rsid w:val="4A56688B"/>
    <w:rsid w:val="4AFC6378"/>
    <w:rsid w:val="4BE05D04"/>
    <w:rsid w:val="4E5346DB"/>
    <w:rsid w:val="4F8F4A40"/>
    <w:rsid w:val="4FA75EED"/>
    <w:rsid w:val="4FC738EF"/>
    <w:rsid w:val="4FED4228"/>
    <w:rsid w:val="50107CC5"/>
    <w:rsid w:val="508E3FDB"/>
    <w:rsid w:val="509872FE"/>
    <w:rsid w:val="50A304D1"/>
    <w:rsid w:val="50B45F93"/>
    <w:rsid w:val="50CC0885"/>
    <w:rsid w:val="51B762F0"/>
    <w:rsid w:val="51F66DE1"/>
    <w:rsid w:val="52D8735A"/>
    <w:rsid w:val="541F1144"/>
    <w:rsid w:val="542F24D7"/>
    <w:rsid w:val="544E3750"/>
    <w:rsid w:val="55701537"/>
    <w:rsid w:val="558F27BF"/>
    <w:rsid w:val="55AA29FC"/>
    <w:rsid w:val="55F57C24"/>
    <w:rsid w:val="56891B92"/>
    <w:rsid w:val="5690470E"/>
    <w:rsid w:val="56BE16F1"/>
    <w:rsid w:val="577A4019"/>
    <w:rsid w:val="579864E3"/>
    <w:rsid w:val="583F675A"/>
    <w:rsid w:val="58D77894"/>
    <w:rsid w:val="58DA5BAF"/>
    <w:rsid w:val="58DF6F83"/>
    <w:rsid w:val="598939CD"/>
    <w:rsid w:val="59A03DBA"/>
    <w:rsid w:val="59C348E2"/>
    <w:rsid w:val="5A644F5A"/>
    <w:rsid w:val="5A9900D0"/>
    <w:rsid w:val="5A9A2A00"/>
    <w:rsid w:val="5AA90D7D"/>
    <w:rsid w:val="5AE62DFC"/>
    <w:rsid w:val="5AF71638"/>
    <w:rsid w:val="5AFC22D0"/>
    <w:rsid w:val="5B024D90"/>
    <w:rsid w:val="5D20267F"/>
    <w:rsid w:val="5D3A62C9"/>
    <w:rsid w:val="5E156A95"/>
    <w:rsid w:val="5E546DD1"/>
    <w:rsid w:val="5EDE5AB0"/>
    <w:rsid w:val="5EFF0E64"/>
    <w:rsid w:val="5EFF41A6"/>
    <w:rsid w:val="5F136C4F"/>
    <w:rsid w:val="5F864555"/>
    <w:rsid w:val="5F973343"/>
    <w:rsid w:val="5FB32210"/>
    <w:rsid w:val="5FBC0EDC"/>
    <w:rsid w:val="5FC01D30"/>
    <w:rsid w:val="5FE75F9A"/>
    <w:rsid w:val="60ED71C5"/>
    <w:rsid w:val="61882E3B"/>
    <w:rsid w:val="6198467D"/>
    <w:rsid w:val="61AD22FD"/>
    <w:rsid w:val="61DA2CC0"/>
    <w:rsid w:val="62242220"/>
    <w:rsid w:val="623777B1"/>
    <w:rsid w:val="62CD145F"/>
    <w:rsid w:val="635E0D4E"/>
    <w:rsid w:val="63C931DF"/>
    <w:rsid w:val="63D75ABD"/>
    <w:rsid w:val="63DF57B0"/>
    <w:rsid w:val="6684528A"/>
    <w:rsid w:val="67407418"/>
    <w:rsid w:val="677C673A"/>
    <w:rsid w:val="688E4866"/>
    <w:rsid w:val="68C422C8"/>
    <w:rsid w:val="68CB0A20"/>
    <w:rsid w:val="692A27BC"/>
    <w:rsid w:val="695628A2"/>
    <w:rsid w:val="69BF3094"/>
    <w:rsid w:val="6A651371"/>
    <w:rsid w:val="6A801E0C"/>
    <w:rsid w:val="6A941878"/>
    <w:rsid w:val="6AFF3292"/>
    <w:rsid w:val="6CBC6243"/>
    <w:rsid w:val="6DEF798C"/>
    <w:rsid w:val="6DFB3020"/>
    <w:rsid w:val="6E674073"/>
    <w:rsid w:val="6ED83287"/>
    <w:rsid w:val="6F1A3B80"/>
    <w:rsid w:val="6F1E03A7"/>
    <w:rsid w:val="6F370DFD"/>
    <w:rsid w:val="6F3C7EE3"/>
    <w:rsid w:val="703D6AFC"/>
    <w:rsid w:val="70A16F4F"/>
    <w:rsid w:val="70B24606"/>
    <w:rsid w:val="70C07638"/>
    <w:rsid w:val="712647F8"/>
    <w:rsid w:val="71682C73"/>
    <w:rsid w:val="71C973D6"/>
    <w:rsid w:val="71FA154F"/>
    <w:rsid w:val="72BF60EE"/>
    <w:rsid w:val="73125B74"/>
    <w:rsid w:val="74142127"/>
    <w:rsid w:val="744F4568"/>
    <w:rsid w:val="748C091F"/>
    <w:rsid w:val="749649D5"/>
    <w:rsid w:val="74A33D53"/>
    <w:rsid w:val="754B77C8"/>
    <w:rsid w:val="75ED1CF7"/>
    <w:rsid w:val="75F637CF"/>
    <w:rsid w:val="76582707"/>
    <w:rsid w:val="768C116F"/>
    <w:rsid w:val="769E2863"/>
    <w:rsid w:val="788764DE"/>
    <w:rsid w:val="78A6531A"/>
    <w:rsid w:val="78FF28B2"/>
    <w:rsid w:val="791A4399"/>
    <w:rsid w:val="7A052821"/>
    <w:rsid w:val="7A356D16"/>
    <w:rsid w:val="7AA164A6"/>
    <w:rsid w:val="7AD03A22"/>
    <w:rsid w:val="7B4A310E"/>
    <w:rsid w:val="7B7C31B3"/>
    <w:rsid w:val="7B940FF7"/>
    <w:rsid w:val="7BA75C45"/>
    <w:rsid w:val="7C07736E"/>
    <w:rsid w:val="7CA030D8"/>
    <w:rsid w:val="7CEC03AB"/>
    <w:rsid w:val="7D01082D"/>
    <w:rsid w:val="7E137724"/>
    <w:rsid w:val="7EFD68CA"/>
    <w:rsid w:val="7F215DAD"/>
    <w:rsid w:val="7F4B4D91"/>
    <w:rsid w:val="7F6A358F"/>
    <w:rsid w:val="7F9059EF"/>
    <w:rsid w:val="7FE81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0"/>
    <w:qFormat/>
    <w:uiPriority w:val="0"/>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1"/>
    <w:next w:val="1"/>
    <w:link w:val="72"/>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3"/>
    <w:qFormat/>
    <w:uiPriority w:val="0"/>
    <w:pPr>
      <w:keepNext/>
      <w:keepLines/>
      <w:spacing w:before="260" w:after="260" w:line="415" w:lineRule="auto"/>
      <w:ind w:firstLine="137" w:firstLineChars="49"/>
      <w:outlineLvl w:val="2"/>
    </w:pPr>
    <w:rPr>
      <w:rFonts w:ascii="黑体" w:hAnsi="宋体" w:eastAsia="黑体"/>
      <w:bCs/>
      <w:kern w:val="0"/>
      <w:sz w:val="28"/>
      <w:szCs w:val="28"/>
    </w:rPr>
  </w:style>
  <w:style w:type="paragraph" w:styleId="6">
    <w:name w:val="heading 4"/>
    <w:basedOn w:val="1"/>
    <w:next w:val="1"/>
    <w:link w:val="74"/>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6"/>
    <w:next w:val="8"/>
    <w:link w:val="75"/>
    <w:qFormat/>
    <w:uiPriority w:val="0"/>
    <w:pPr>
      <w:spacing w:beforeLines="100" w:afterLines="100" w:line="240" w:lineRule="exact"/>
      <w:ind w:left="284" w:hanging="284"/>
      <w:jc w:val="center"/>
      <w:outlineLvl w:val="4"/>
    </w:pPr>
    <w:rPr>
      <w:rFonts w:eastAsia="宋体"/>
      <w:color w:val="000000"/>
      <w:sz w:val="24"/>
      <w:szCs w:val="24"/>
    </w:rPr>
  </w:style>
  <w:style w:type="paragraph" w:styleId="9">
    <w:name w:val="heading 6"/>
    <w:basedOn w:val="1"/>
    <w:next w:val="1"/>
    <w:link w:val="7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8"/>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4"/>
    </w:rPr>
  </w:style>
  <w:style w:type="paragraph" w:styleId="11">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8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3">
    <w:name w:val="macro"/>
    <w:link w:val="7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eastAsia="宋体" w:cs="Times New Roman"/>
      <w:kern w:val="2"/>
      <w:sz w:val="24"/>
      <w:lang w:val="en-US" w:eastAsia="zh-CN" w:bidi="ar-SA"/>
    </w:rPr>
  </w:style>
  <w:style w:type="paragraph" w:styleId="8">
    <w:name w:val="Normal Indent"/>
    <w:basedOn w:val="1"/>
    <w:link w:val="76"/>
    <w:qFormat/>
    <w:uiPriority w:val="0"/>
    <w:pPr>
      <w:ind w:firstLine="420" w:firstLineChars="200"/>
    </w:pPr>
    <w:rPr>
      <w:rFonts w:ascii="Times New Roman" w:hAnsi="Times New Roman"/>
      <w:szCs w:val="24"/>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w:basedOn w:val="1"/>
    <w:qFormat/>
    <w:uiPriority w:val="0"/>
    <w:pPr>
      <w:tabs>
        <w:tab w:val="left" w:pos="720"/>
        <w:tab w:val="left" w:pos="1440"/>
      </w:tabs>
      <w:spacing w:after="120"/>
      <w:ind w:left="360" w:hanging="360"/>
    </w:pPr>
    <w:rPr>
      <w:rFonts w:ascii="Times New Roman" w:hAnsi="Times New Roman"/>
      <w:sz w:val="20"/>
      <w:szCs w:val="20"/>
    </w:rPr>
  </w:style>
  <w:style w:type="paragraph" w:styleId="15">
    <w:name w:val="List Bullet"/>
    <w:basedOn w:val="1"/>
    <w:qFormat/>
    <w:uiPriority w:val="0"/>
    <w:rPr>
      <w:rFonts w:ascii="Times New Roman" w:hAnsi="Times New Roman"/>
      <w:szCs w:val="20"/>
    </w:rPr>
  </w:style>
  <w:style w:type="paragraph" w:styleId="16">
    <w:name w:val="Document Map"/>
    <w:basedOn w:val="1"/>
    <w:link w:val="81"/>
    <w:qFormat/>
    <w:uiPriority w:val="0"/>
    <w:pPr>
      <w:shd w:val="clear" w:color="auto" w:fill="000080"/>
    </w:pPr>
    <w:rPr>
      <w:kern w:val="0"/>
      <w:sz w:val="20"/>
      <w:szCs w:val="24"/>
      <w:shd w:val="clear" w:color="auto" w:fill="000080"/>
    </w:r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8">
    <w:name w:val="annotation text"/>
    <w:basedOn w:val="1"/>
    <w:link w:val="82"/>
    <w:qFormat/>
    <w:uiPriority w:val="0"/>
    <w:pPr>
      <w:jc w:val="left"/>
    </w:pPr>
    <w:rPr>
      <w:rFonts w:ascii="Times New Roman" w:hAnsi="Times New Roman"/>
      <w:kern w:val="0"/>
      <w:sz w:val="20"/>
      <w:szCs w:val="24"/>
    </w:rPr>
  </w:style>
  <w:style w:type="paragraph" w:styleId="19">
    <w:name w:val="Body Text 3"/>
    <w:basedOn w:val="1"/>
    <w:link w:val="83"/>
    <w:qFormat/>
    <w:uiPriority w:val="0"/>
    <w:rPr>
      <w:rFonts w:ascii="宋体" w:hAnsi="Times New Roman"/>
      <w:kern w:val="0"/>
      <w:sz w:val="24"/>
      <w:szCs w:val="20"/>
    </w:rPr>
  </w:style>
  <w:style w:type="paragraph" w:styleId="20">
    <w:name w:val="List Bullet 3"/>
    <w:basedOn w:val="1"/>
    <w:qFormat/>
    <w:uiPriority w:val="0"/>
    <w:pPr>
      <w:tabs>
        <w:tab w:val="left" w:pos="884"/>
      </w:tabs>
      <w:spacing w:line="360" w:lineRule="auto"/>
    </w:pPr>
    <w:rPr>
      <w:rFonts w:ascii="Times New Roman" w:hAnsi="Times New Roman"/>
      <w:sz w:val="24"/>
      <w:szCs w:val="20"/>
      <w:lang w:val="en-GB"/>
    </w:rPr>
  </w:style>
  <w:style w:type="paragraph" w:styleId="21">
    <w:name w:val="Body Text"/>
    <w:basedOn w:val="1"/>
    <w:link w:val="84"/>
    <w:unhideWhenUsed/>
    <w:qFormat/>
    <w:uiPriority w:val="99"/>
    <w:pPr>
      <w:spacing w:after="120"/>
    </w:pPr>
  </w:style>
  <w:style w:type="paragraph" w:styleId="22">
    <w:name w:val="Body Text Indent"/>
    <w:basedOn w:val="1"/>
    <w:link w:val="85"/>
    <w:qFormat/>
    <w:uiPriority w:val="0"/>
    <w:pPr>
      <w:spacing w:after="120"/>
      <w:ind w:left="420" w:leftChars="200"/>
    </w:pPr>
    <w:rPr>
      <w:rFonts w:ascii="Times New Roman" w:hAnsi="Times New Roman"/>
      <w:kern w:val="0"/>
      <w:sz w:val="20"/>
      <w:szCs w:val="24"/>
    </w:rPr>
  </w:style>
  <w:style w:type="paragraph" w:styleId="23">
    <w:name w:val="List 2"/>
    <w:basedOn w:val="1"/>
    <w:qFormat/>
    <w:uiPriority w:val="0"/>
    <w:pPr>
      <w:ind w:left="566" w:hanging="283"/>
    </w:pPr>
    <w:rPr>
      <w:rFonts w:ascii="Times New Roman" w:hAnsi="Times New Roman"/>
      <w:szCs w:val="20"/>
    </w:rPr>
  </w:style>
  <w:style w:type="paragraph" w:styleId="24">
    <w:name w:val="Block Text"/>
    <w:basedOn w:val="1"/>
    <w:qFormat/>
    <w:uiPriority w:val="0"/>
    <w:pPr>
      <w:spacing w:before="120" w:after="120" w:line="360" w:lineRule="auto"/>
      <w:ind w:left="57" w:right="57" w:firstLine="468"/>
    </w:pPr>
    <w:rPr>
      <w:rFonts w:ascii="Arial" w:hAnsi="Arial"/>
      <w:sz w:val="24"/>
      <w:szCs w:val="20"/>
    </w:rPr>
  </w:style>
  <w:style w:type="paragraph" w:styleId="25">
    <w:name w:val="List Bullet 2"/>
    <w:basedOn w:val="1"/>
    <w:qFormat/>
    <w:uiPriority w:val="0"/>
    <w:rPr>
      <w:rFonts w:ascii="Times New Roman" w:hAnsi="Times New Roman"/>
      <w:szCs w:val="20"/>
    </w:rPr>
  </w:style>
  <w:style w:type="paragraph" w:styleId="26">
    <w:name w:val="toc 5"/>
    <w:basedOn w:val="1"/>
    <w:next w:val="1"/>
    <w:qFormat/>
    <w:uiPriority w:val="0"/>
    <w:pPr>
      <w:ind w:left="840"/>
      <w:jc w:val="left"/>
    </w:pPr>
    <w:rPr>
      <w:rFonts w:ascii="Times New Roman" w:hAnsi="Times New Roman"/>
      <w:sz w:val="18"/>
      <w:szCs w:val="18"/>
    </w:rPr>
  </w:style>
  <w:style w:type="paragraph" w:styleId="27">
    <w:name w:val="toc 3"/>
    <w:basedOn w:val="1"/>
    <w:next w:val="1"/>
    <w:qFormat/>
    <w:uiPriority w:val="0"/>
    <w:pPr>
      <w:ind w:left="420"/>
      <w:jc w:val="left"/>
    </w:pPr>
    <w:rPr>
      <w:rFonts w:ascii="Times New Roman" w:hAnsi="Times New Roman"/>
      <w:i/>
      <w:iCs/>
      <w:sz w:val="20"/>
      <w:szCs w:val="20"/>
    </w:rPr>
  </w:style>
  <w:style w:type="paragraph" w:styleId="28">
    <w:name w:val="Plain Text"/>
    <w:basedOn w:val="1"/>
    <w:next w:val="1"/>
    <w:link w:val="86"/>
    <w:qFormat/>
    <w:uiPriority w:val="0"/>
    <w:rPr>
      <w:rFonts w:ascii="宋体" w:hAnsi="Courier New"/>
      <w:kern w:val="0"/>
      <w:sz w:val="20"/>
      <w:szCs w:val="20"/>
    </w:rPr>
  </w:style>
  <w:style w:type="paragraph" w:styleId="29">
    <w:name w:val="toc 8"/>
    <w:basedOn w:val="1"/>
    <w:next w:val="1"/>
    <w:qFormat/>
    <w:uiPriority w:val="0"/>
    <w:pPr>
      <w:ind w:left="1470"/>
      <w:jc w:val="left"/>
    </w:pPr>
    <w:rPr>
      <w:rFonts w:ascii="Times New Roman" w:hAnsi="Times New Roman"/>
      <w:sz w:val="18"/>
      <w:szCs w:val="18"/>
    </w:rPr>
  </w:style>
  <w:style w:type="paragraph" w:styleId="30">
    <w:name w:val="Date"/>
    <w:basedOn w:val="1"/>
    <w:next w:val="1"/>
    <w:link w:val="87"/>
    <w:qFormat/>
    <w:uiPriority w:val="0"/>
    <w:rPr>
      <w:rFonts w:ascii="Times New Roman" w:hAnsi="Times New Roman"/>
      <w:kern w:val="0"/>
      <w:sz w:val="24"/>
      <w:szCs w:val="20"/>
    </w:rPr>
  </w:style>
  <w:style w:type="paragraph" w:styleId="31">
    <w:name w:val="Body Text Indent 2"/>
    <w:basedOn w:val="1"/>
    <w:link w:val="88"/>
    <w:qFormat/>
    <w:uiPriority w:val="0"/>
    <w:pPr>
      <w:spacing w:after="120" w:line="480" w:lineRule="auto"/>
      <w:ind w:left="420" w:leftChars="200"/>
    </w:pPr>
    <w:rPr>
      <w:rFonts w:ascii="Times New Roman" w:hAnsi="Times New Roman"/>
      <w:kern w:val="0"/>
      <w:sz w:val="20"/>
      <w:szCs w:val="24"/>
    </w:rPr>
  </w:style>
  <w:style w:type="paragraph" w:styleId="32">
    <w:name w:val="endnote text"/>
    <w:basedOn w:val="1"/>
    <w:link w:val="89"/>
    <w:qFormat/>
    <w:uiPriority w:val="0"/>
    <w:pPr>
      <w:snapToGrid w:val="0"/>
      <w:jc w:val="left"/>
    </w:pPr>
    <w:rPr>
      <w:rFonts w:ascii="Times New Roman" w:hAnsi="Times New Roman"/>
      <w:kern w:val="0"/>
      <w:sz w:val="20"/>
      <w:szCs w:val="20"/>
    </w:rPr>
  </w:style>
  <w:style w:type="paragraph" w:styleId="33">
    <w:name w:val="Balloon Text"/>
    <w:basedOn w:val="1"/>
    <w:link w:val="90"/>
    <w:qFormat/>
    <w:uiPriority w:val="0"/>
    <w:rPr>
      <w:rFonts w:ascii="Times New Roman" w:hAnsi="Times New Roman"/>
      <w:kern w:val="0"/>
      <w:sz w:val="18"/>
      <w:szCs w:val="18"/>
    </w:rPr>
  </w:style>
  <w:style w:type="paragraph" w:styleId="34">
    <w:name w:val="footer"/>
    <w:basedOn w:val="1"/>
    <w:link w:val="91"/>
    <w:qFormat/>
    <w:uiPriority w:val="0"/>
    <w:pPr>
      <w:tabs>
        <w:tab w:val="center" w:pos="4153"/>
        <w:tab w:val="right" w:pos="8306"/>
      </w:tabs>
      <w:snapToGrid w:val="0"/>
      <w:jc w:val="left"/>
    </w:pPr>
    <w:rPr>
      <w:kern w:val="0"/>
      <w:sz w:val="18"/>
      <w:szCs w:val="18"/>
    </w:rPr>
  </w:style>
  <w:style w:type="paragraph" w:styleId="35">
    <w:name w:val="header"/>
    <w:basedOn w:val="1"/>
    <w:link w:val="92"/>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93"/>
    <w:qFormat/>
    <w:uiPriority w:val="0"/>
    <w:pPr>
      <w:ind w:left="4320"/>
    </w:pPr>
    <w:rPr>
      <w:rFonts w:eastAsia="楷体_GB2312"/>
      <w:szCs w:val="20"/>
    </w:rPr>
  </w:style>
  <w:style w:type="paragraph" w:styleId="37">
    <w:name w:val="toc 1"/>
    <w:basedOn w:val="1"/>
    <w:next w:val="1"/>
    <w:qFormat/>
    <w:uiPriority w:val="39"/>
    <w:pPr>
      <w:spacing w:before="120" w:after="120"/>
      <w:jc w:val="left"/>
    </w:pPr>
    <w:rPr>
      <w:rFonts w:ascii="Times New Roman" w:hAnsi="Times New Roman"/>
      <w:b/>
      <w:bCs/>
      <w:caps/>
      <w:sz w:val="20"/>
      <w:szCs w:val="20"/>
    </w:rPr>
  </w:style>
  <w:style w:type="paragraph" w:styleId="38">
    <w:name w:val="toc 4"/>
    <w:basedOn w:val="1"/>
    <w:next w:val="1"/>
    <w:qFormat/>
    <w:uiPriority w:val="0"/>
    <w:pPr>
      <w:ind w:left="630"/>
      <w:jc w:val="left"/>
    </w:pPr>
    <w:rPr>
      <w:rFonts w:ascii="Times New Roman" w:hAnsi="Times New Roman"/>
      <w:sz w:val="18"/>
      <w:szCs w:val="18"/>
    </w:rPr>
  </w:style>
  <w:style w:type="paragraph" w:styleId="39">
    <w:name w:val="index heading"/>
    <w:basedOn w:val="1"/>
    <w:next w:val="40"/>
    <w:qFormat/>
    <w:uiPriority w:val="0"/>
    <w:rPr>
      <w:rFonts w:ascii="Times New Roman" w:hAnsi="Times New Roman"/>
      <w:szCs w:val="24"/>
    </w:rPr>
  </w:style>
  <w:style w:type="paragraph" w:styleId="40">
    <w:name w:val="index 1"/>
    <w:basedOn w:val="1"/>
    <w:next w:val="1"/>
    <w:unhideWhenUsed/>
    <w:qFormat/>
    <w:uiPriority w:val="0"/>
  </w:style>
  <w:style w:type="paragraph" w:styleId="41">
    <w:name w:val="Subtitle"/>
    <w:basedOn w:val="1"/>
    <w:next w:val="1"/>
    <w:link w:val="94"/>
    <w:qFormat/>
    <w:uiPriority w:val="0"/>
    <w:rPr>
      <w:rFonts w:ascii="Cambria" w:hAnsi="Cambria"/>
      <w:i/>
      <w:color w:val="4F81BD"/>
      <w:spacing w:val="15"/>
      <w:sz w:val="24"/>
      <w:szCs w:val="20"/>
    </w:rPr>
  </w:style>
  <w:style w:type="paragraph" w:styleId="42">
    <w:name w:val="List"/>
    <w:basedOn w:val="1"/>
    <w:qFormat/>
    <w:uiPriority w:val="0"/>
    <w:pPr>
      <w:ind w:left="420" w:hanging="420"/>
    </w:pPr>
    <w:rPr>
      <w:rFonts w:ascii="Times New Roman" w:hAnsi="Times New Roman"/>
      <w:szCs w:val="20"/>
    </w:rPr>
  </w:style>
  <w:style w:type="paragraph" w:styleId="43">
    <w:name w:val="footnote text"/>
    <w:basedOn w:val="1"/>
    <w:link w:val="95"/>
    <w:qFormat/>
    <w:uiPriority w:val="0"/>
    <w:pPr>
      <w:snapToGrid w:val="0"/>
    </w:pPr>
    <w:rPr>
      <w:sz w:val="18"/>
      <w:szCs w:val="20"/>
    </w:rPr>
  </w:style>
  <w:style w:type="paragraph" w:styleId="44">
    <w:name w:val="toc 6"/>
    <w:basedOn w:val="1"/>
    <w:next w:val="1"/>
    <w:qFormat/>
    <w:uiPriority w:val="0"/>
    <w:pPr>
      <w:ind w:left="1050"/>
      <w:jc w:val="left"/>
    </w:pPr>
    <w:rPr>
      <w:rFonts w:ascii="Times New Roman" w:hAnsi="Times New Roman"/>
      <w:sz w:val="18"/>
      <w:szCs w:val="18"/>
    </w:rPr>
  </w:style>
  <w:style w:type="paragraph" w:styleId="45">
    <w:name w:val="Body Text Indent 3"/>
    <w:basedOn w:val="1"/>
    <w:link w:val="96"/>
    <w:qFormat/>
    <w:uiPriority w:val="0"/>
    <w:pPr>
      <w:spacing w:after="120"/>
      <w:ind w:left="420" w:leftChars="200"/>
    </w:pPr>
    <w:rPr>
      <w:rFonts w:ascii="Times New Roman" w:hAnsi="Times New Roman"/>
      <w:kern w:val="0"/>
      <w:sz w:val="16"/>
      <w:szCs w:val="16"/>
    </w:rPr>
  </w:style>
  <w:style w:type="paragraph" w:styleId="46">
    <w:name w:val="toc 2"/>
    <w:basedOn w:val="1"/>
    <w:next w:val="1"/>
    <w:qFormat/>
    <w:uiPriority w:val="39"/>
    <w:pPr>
      <w:ind w:left="210"/>
      <w:jc w:val="left"/>
    </w:pPr>
    <w:rPr>
      <w:rFonts w:ascii="Times New Roman" w:hAnsi="Times New Roman"/>
      <w:smallCaps/>
      <w:sz w:val="20"/>
      <w:szCs w:val="20"/>
    </w:rPr>
  </w:style>
  <w:style w:type="paragraph" w:styleId="47">
    <w:name w:val="toc 9"/>
    <w:basedOn w:val="1"/>
    <w:next w:val="1"/>
    <w:qFormat/>
    <w:uiPriority w:val="0"/>
    <w:pPr>
      <w:ind w:left="1680"/>
      <w:jc w:val="left"/>
    </w:pPr>
    <w:rPr>
      <w:rFonts w:ascii="Times New Roman" w:hAnsi="Times New Roman"/>
      <w:sz w:val="18"/>
      <w:szCs w:val="18"/>
    </w:rPr>
  </w:style>
  <w:style w:type="paragraph" w:styleId="48">
    <w:name w:val="Body Text 2"/>
    <w:basedOn w:val="1"/>
    <w:link w:val="97"/>
    <w:qFormat/>
    <w:uiPriority w:val="0"/>
    <w:pPr>
      <w:spacing w:after="120" w:line="480" w:lineRule="auto"/>
    </w:pPr>
    <w:rPr>
      <w:rFonts w:ascii="Times New Roman" w:hAnsi="Times New Roman"/>
      <w:kern w:val="0"/>
      <w:sz w:val="20"/>
      <w:szCs w:val="24"/>
    </w:rPr>
  </w:style>
  <w:style w:type="paragraph" w:styleId="49">
    <w:name w:val="HTML Preformatted"/>
    <w:basedOn w:val="1"/>
    <w:link w:val="98"/>
    <w:qFormat/>
    <w:uiPriority w:val="0"/>
    <w:rPr>
      <w:rFonts w:ascii="Courier New" w:hAnsi="Courier New"/>
      <w:kern w:val="0"/>
      <w:sz w:val="20"/>
      <w:szCs w:val="20"/>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1">
    <w:name w:val="Title"/>
    <w:basedOn w:val="1"/>
    <w:link w:val="9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2">
    <w:name w:val="annotation subject"/>
    <w:basedOn w:val="18"/>
    <w:next w:val="18"/>
    <w:link w:val="100"/>
    <w:qFormat/>
    <w:uiPriority w:val="0"/>
    <w:pPr>
      <w:jc w:val="both"/>
    </w:pPr>
    <w:rPr>
      <w:b/>
      <w:bCs/>
    </w:rPr>
  </w:style>
  <w:style w:type="paragraph" w:styleId="53">
    <w:name w:val="Body Text First Indent"/>
    <w:basedOn w:val="21"/>
    <w:link w:val="101"/>
    <w:qFormat/>
    <w:uiPriority w:val="0"/>
    <w:pPr>
      <w:spacing w:line="312" w:lineRule="auto"/>
      <w:ind w:firstLine="420"/>
    </w:pPr>
    <w:rPr>
      <w:kern w:val="0"/>
      <w:sz w:val="20"/>
      <w:szCs w:val="24"/>
    </w:rPr>
  </w:style>
  <w:style w:type="paragraph" w:styleId="54">
    <w:name w:val="Body Text First Indent 2"/>
    <w:basedOn w:val="22"/>
    <w:link w:val="103"/>
    <w:qFormat/>
    <w:uiPriority w:val="0"/>
    <w:pPr>
      <w:ind w:firstLine="420" w:firstLineChars="200"/>
    </w:pPr>
    <w:rPr>
      <w:kern w:val="2"/>
      <w:sz w:val="21"/>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endnote reference"/>
    <w:qFormat/>
    <w:uiPriority w:val="0"/>
    <w:rPr>
      <w:vertAlign w:val="superscript"/>
    </w:rPr>
  </w:style>
  <w:style w:type="character" w:styleId="60">
    <w:name w:val="page number"/>
    <w:basedOn w:val="57"/>
    <w:qFormat/>
    <w:uiPriority w:val="0"/>
  </w:style>
  <w:style w:type="character" w:styleId="61">
    <w:name w:val="FollowedHyperlink"/>
    <w:qFormat/>
    <w:uiPriority w:val="99"/>
    <w:rPr>
      <w:color w:val="6D6D6D"/>
      <w:u w:val="single"/>
    </w:rPr>
  </w:style>
  <w:style w:type="character" w:styleId="62">
    <w:name w:val="Emphasis"/>
    <w:qFormat/>
    <w:uiPriority w:val="0"/>
    <w:rPr>
      <w:rFonts w:eastAsia="宋体"/>
      <w:color w:val="CC0000"/>
      <w:kern w:val="2"/>
      <w:sz w:val="24"/>
      <w:szCs w:val="24"/>
      <w:lang w:val="en-US" w:eastAsia="zh-CN" w:bidi="ar-SA"/>
    </w:rPr>
  </w:style>
  <w:style w:type="character" w:styleId="63">
    <w:name w:val="HTML Definition"/>
    <w:unhideWhenUsed/>
    <w:qFormat/>
    <w:uiPriority w:val="99"/>
    <w:rPr>
      <w:i/>
    </w:rPr>
  </w:style>
  <w:style w:type="character" w:styleId="64">
    <w:name w:val="Hyperlink"/>
    <w:qFormat/>
    <w:uiPriority w:val="0"/>
    <w:rPr>
      <w:color w:val="6D6D6D"/>
      <w:u w:val="single"/>
    </w:rPr>
  </w:style>
  <w:style w:type="character" w:styleId="65">
    <w:name w:val="HTML Code"/>
    <w:unhideWhenUsed/>
    <w:qFormat/>
    <w:uiPriority w:val="99"/>
    <w:rPr>
      <w:rFonts w:hint="default" w:ascii="Menlo" w:hAnsi="Menlo" w:eastAsia="Menlo" w:cs="Menlo"/>
      <w:color w:val="C7254E"/>
      <w:sz w:val="21"/>
      <w:szCs w:val="21"/>
      <w:bdr w:val="single" w:color="E1E1E1" w:sz="6" w:space="0"/>
      <w:shd w:val="clear" w:color="auto" w:fill="F9F2F4"/>
    </w:rPr>
  </w:style>
  <w:style w:type="character" w:styleId="66">
    <w:name w:val="annotation reference"/>
    <w:qFormat/>
    <w:uiPriority w:val="0"/>
    <w:rPr>
      <w:sz w:val="21"/>
      <w:szCs w:val="21"/>
    </w:rPr>
  </w:style>
  <w:style w:type="character" w:styleId="67">
    <w:name w:val="footnote reference"/>
    <w:qFormat/>
    <w:uiPriority w:val="0"/>
    <w:rPr>
      <w:vertAlign w:val="superscript"/>
    </w:rPr>
  </w:style>
  <w:style w:type="character" w:styleId="68">
    <w:name w:val="HTML Keyboard"/>
    <w:unhideWhenUsed/>
    <w:qFormat/>
    <w:uiPriority w:val="99"/>
    <w:rPr>
      <w:rFonts w:ascii="Menlo" w:hAnsi="Menlo" w:eastAsia="Menlo" w:cs="Menlo"/>
      <w:color w:val="FFFFFF"/>
      <w:sz w:val="21"/>
      <w:szCs w:val="21"/>
      <w:shd w:val="clear" w:color="auto" w:fill="333333"/>
    </w:rPr>
  </w:style>
  <w:style w:type="character" w:styleId="69">
    <w:name w:val="HTML Sample"/>
    <w:unhideWhenUsed/>
    <w:qFormat/>
    <w:uiPriority w:val="99"/>
    <w:rPr>
      <w:rFonts w:hint="default" w:ascii="Menlo" w:hAnsi="Menlo" w:eastAsia="Menlo" w:cs="Menlo"/>
      <w:sz w:val="21"/>
      <w:szCs w:val="21"/>
    </w:rPr>
  </w:style>
  <w:style w:type="character" w:customStyle="1" w:styleId="70">
    <w:name w:val="标题 1 Char2"/>
    <w:link w:val="4"/>
    <w:qFormat/>
    <w:uiPriority w:val="0"/>
    <w:rPr>
      <w:rFonts w:ascii="Times New Roman" w:hAnsi="Times New Roman"/>
      <w:b/>
      <w:bCs/>
      <w:kern w:val="44"/>
      <w:sz w:val="44"/>
      <w:szCs w:val="44"/>
    </w:rPr>
  </w:style>
  <w:style w:type="character" w:customStyle="1" w:styleId="71">
    <w:name w:val="宏文本 Char"/>
    <w:link w:val="3"/>
    <w:qFormat/>
    <w:uiPriority w:val="0"/>
    <w:rPr>
      <w:rFonts w:ascii="Courier New" w:hAnsi="Courier New"/>
      <w:kern w:val="2"/>
      <w:sz w:val="24"/>
      <w:lang w:val="en-US" w:eastAsia="zh-CN" w:bidi="ar-SA"/>
    </w:rPr>
  </w:style>
  <w:style w:type="character" w:customStyle="1" w:styleId="72">
    <w:name w:val="标题 2 Char2"/>
    <w:link w:val="2"/>
    <w:qFormat/>
    <w:uiPriority w:val="0"/>
    <w:rPr>
      <w:rFonts w:ascii="Arial" w:hAnsi="Arial" w:eastAsia="黑体"/>
      <w:b/>
      <w:bCs/>
      <w:sz w:val="32"/>
      <w:szCs w:val="32"/>
    </w:rPr>
  </w:style>
  <w:style w:type="character" w:customStyle="1" w:styleId="73">
    <w:name w:val="标题 3 Char1"/>
    <w:link w:val="5"/>
    <w:qFormat/>
    <w:uiPriority w:val="0"/>
    <w:rPr>
      <w:rFonts w:ascii="黑体" w:hAnsi="宋体" w:eastAsia="黑体"/>
      <w:bCs/>
      <w:sz w:val="28"/>
      <w:szCs w:val="28"/>
    </w:rPr>
  </w:style>
  <w:style w:type="character" w:customStyle="1" w:styleId="74">
    <w:name w:val="标题 4 Char1"/>
    <w:link w:val="6"/>
    <w:qFormat/>
    <w:uiPriority w:val="0"/>
    <w:rPr>
      <w:rFonts w:ascii="Arial" w:hAnsi="Arial" w:eastAsia="黑体"/>
      <w:b/>
      <w:bCs/>
      <w:sz w:val="28"/>
      <w:szCs w:val="28"/>
    </w:rPr>
  </w:style>
  <w:style w:type="character" w:customStyle="1" w:styleId="75">
    <w:name w:val="标题 5 Char1"/>
    <w:link w:val="7"/>
    <w:qFormat/>
    <w:uiPriority w:val="0"/>
    <w:rPr>
      <w:rFonts w:ascii="Arial" w:hAnsi="Arial"/>
      <w:b/>
      <w:bCs/>
      <w:color w:val="000000"/>
      <w:sz w:val="24"/>
      <w:szCs w:val="24"/>
    </w:rPr>
  </w:style>
  <w:style w:type="character" w:customStyle="1" w:styleId="76">
    <w:name w:val="正文缩进 Char1"/>
    <w:link w:val="8"/>
    <w:qFormat/>
    <w:uiPriority w:val="0"/>
    <w:rPr>
      <w:rFonts w:ascii="Times New Roman" w:hAnsi="Times New Roman"/>
      <w:kern w:val="2"/>
      <w:sz w:val="21"/>
      <w:szCs w:val="24"/>
    </w:rPr>
  </w:style>
  <w:style w:type="character" w:customStyle="1" w:styleId="77">
    <w:name w:val="标题 6 Char1"/>
    <w:link w:val="9"/>
    <w:qFormat/>
    <w:uiPriority w:val="0"/>
    <w:rPr>
      <w:rFonts w:ascii="Arial" w:hAnsi="Arial" w:eastAsia="黑体"/>
      <w:b/>
      <w:bCs/>
      <w:sz w:val="24"/>
      <w:szCs w:val="24"/>
    </w:rPr>
  </w:style>
  <w:style w:type="character" w:customStyle="1" w:styleId="78">
    <w:name w:val="标题 7 Char1"/>
    <w:link w:val="10"/>
    <w:qFormat/>
    <w:uiPriority w:val="0"/>
    <w:rPr>
      <w:rFonts w:ascii="Times New Roman" w:hAnsi="Times New Roman"/>
      <w:b/>
      <w:bCs/>
      <w:sz w:val="24"/>
      <w:szCs w:val="24"/>
    </w:rPr>
  </w:style>
  <w:style w:type="character" w:customStyle="1" w:styleId="79">
    <w:name w:val="标题 8 Char1"/>
    <w:link w:val="11"/>
    <w:qFormat/>
    <w:uiPriority w:val="0"/>
    <w:rPr>
      <w:rFonts w:ascii="Arial" w:hAnsi="Arial" w:eastAsia="黑体"/>
      <w:sz w:val="24"/>
      <w:szCs w:val="24"/>
    </w:rPr>
  </w:style>
  <w:style w:type="character" w:customStyle="1" w:styleId="80">
    <w:name w:val="标题 9 Char1"/>
    <w:link w:val="12"/>
    <w:qFormat/>
    <w:uiPriority w:val="0"/>
    <w:rPr>
      <w:rFonts w:ascii="Arial" w:hAnsi="Arial" w:eastAsia="黑体"/>
      <w:szCs w:val="21"/>
    </w:rPr>
  </w:style>
  <w:style w:type="character" w:customStyle="1" w:styleId="81">
    <w:name w:val="文档结构图 Char3"/>
    <w:link w:val="16"/>
    <w:qFormat/>
    <w:uiPriority w:val="0"/>
    <w:rPr>
      <w:szCs w:val="24"/>
      <w:shd w:val="clear" w:color="auto" w:fill="000080"/>
    </w:rPr>
  </w:style>
  <w:style w:type="character" w:customStyle="1" w:styleId="82">
    <w:name w:val="批注文字 Char2"/>
    <w:link w:val="18"/>
    <w:qFormat/>
    <w:uiPriority w:val="0"/>
    <w:rPr>
      <w:rFonts w:ascii="Times New Roman" w:hAnsi="Times New Roman"/>
      <w:szCs w:val="24"/>
    </w:rPr>
  </w:style>
  <w:style w:type="character" w:customStyle="1" w:styleId="83">
    <w:name w:val="正文文本 3 Char2"/>
    <w:link w:val="19"/>
    <w:qFormat/>
    <w:uiPriority w:val="0"/>
    <w:rPr>
      <w:rFonts w:ascii="宋体" w:hAnsi="Times New Roman"/>
      <w:sz w:val="24"/>
    </w:rPr>
  </w:style>
  <w:style w:type="character" w:customStyle="1" w:styleId="84">
    <w:name w:val="正文文本 Char1"/>
    <w:link w:val="21"/>
    <w:qFormat/>
    <w:uiPriority w:val="99"/>
    <w:rPr>
      <w:kern w:val="2"/>
      <w:sz w:val="21"/>
      <w:szCs w:val="22"/>
    </w:rPr>
  </w:style>
  <w:style w:type="character" w:customStyle="1" w:styleId="85">
    <w:name w:val="正文文本缩进 Char2"/>
    <w:link w:val="22"/>
    <w:qFormat/>
    <w:uiPriority w:val="0"/>
    <w:rPr>
      <w:rFonts w:ascii="Times New Roman" w:hAnsi="Times New Roman"/>
      <w:szCs w:val="24"/>
    </w:rPr>
  </w:style>
  <w:style w:type="character" w:customStyle="1" w:styleId="86">
    <w:name w:val="纯文本 Char3"/>
    <w:link w:val="28"/>
    <w:qFormat/>
    <w:uiPriority w:val="0"/>
    <w:rPr>
      <w:rFonts w:ascii="宋体" w:hAnsi="Courier New"/>
    </w:rPr>
  </w:style>
  <w:style w:type="character" w:customStyle="1" w:styleId="87">
    <w:name w:val="日期 Char2"/>
    <w:link w:val="30"/>
    <w:qFormat/>
    <w:uiPriority w:val="0"/>
    <w:rPr>
      <w:rFonts w:ascii="Times New Roman" w:hAnsi="Times New Roman"/>
      <w:sz w:val="24"/>
    </w:rPr>
  </w:style>
  <w:style w:type="character" w:customStyle="1" w:styleId="88">
    <w:name w:val="正文文本缩进 2 Char2"/>
    <w:link w:val="31"/>
    <w:qFormat/>
    <w:uiPriority w:val="0"/>
    <w:rPr>
      <w:rFonts w:ascii="Times New Roman" w:hAnsi="Times New Roman"/>
      <w:szCs w:val="24"/>
    </w:rPr>
  </w:style>
  <w:style w:type="character" w:customStyle="1" w:styleId="89">
    <w:name w:val="尾注文本 Char2"/>
    <w:link w:val="32"/>
    <w:qFormat/>
    <w:uiPriority w:val="0"/>
    <w:rPr>
      <w:rFonts w:ascii="Times New Roman" w:hAnsi="Times New Roman"/>
    </w:rPr>
  </w:style>
  <w:style w:type="character" w:customStyle="1" w:styleId="90">
    <w:name w:val="批注框文本 Char2"/>
    <w:link w:val="33"/>
    <w:qFormat/>
    <w:uiPriority w:val="0"/>
    <w:rPr>
      <w:rFonts w:ascii="Times New Roman" w:hAnsi="Times New Roman"/>
      <w:sz w:val="18"/>
      <w:szCs w:val="18"/>
    </w:rPr>
  </w:style>
  <w:style w:type="character" w:customStyle="1" w:styleId="91">
    <w:name w:val="页脚 Char2"/>
    <w:link w:val="34"/>
    <w:qFormat/>
    <w:uiPriority w:val="0"/>
    <w:rPr>
      <w:sz w:val="18"/>
      <w:szCs w:val="18"/>
    </w:rPr>
  </w:style>
  <w:style w:type="character" w:customStyle="1" w:styleId="92">
    <w:name w:val="页眉 Char2"/>
    <w:link w:val="35"/>
    <w:qFormat/>
    <w:uiPriority w:val="0"/>
    <w:rPr>
      <w:sz w:val="18"/>
      <w:szCs w:val="18"/>
    </w:rPr>
  </w:style>
  <w:style w:type="character" w:customStyle="1" w:styleId="93">
    <w:name w:val="签名 Char"/>
    <w:link w:val="36"/>
    <w:qFormat/>
    <w:uiPriority w:val="0"/>
    <w:rPr>
      <w:rFonts w:eastAsia="楷体_GB2312"/>
      <w:kern w:val="2"/>
      <w:sz w:val="21"/>
    </w:rPr>
  </w:style>
  <w:style w:type="character" w:customStyle="1" w:styleId="94">
    <w:name w:val="副标题 Char"/>
    <w:link w:val="41"/>
    <w:qFormat/>
    <w:uiPriority w:val="0"/>
    <w:rPr>
      <w:rFonts w:ascii="Cambria" w:hAnsi="Cambria"/>
      <w:i/>
      <w:color w:val="4F81BD"/>
      <w:spacing w:val="15"/>
      <w:kern w:val="2"/>
      <w:sz w:val="24"/>
    </w:rPr>
  </w:style>
  <w:style w:type="character" w:customStyle="1" w:styleId="95">
    <w:name w:val="脚注文本 Char"/>
    <w:link w:val="43"/>
    <w:qFormat/>
    <w:uiPriority w:val="0"/>
    <w:rPr>
      <w:kern w:val="2"/>
      <w:sz w:val="18"/>
    </w:rPr>
  </w:style>
  <w:style w:type="character" w:customStyle="1" w:styleId="96">
    <w:name w:val="正文文本缩进 3 Char2"/>
    <w:link w:val="45"/>
    <w:qFormat/>
    <w:uiPriority w:val="0"/>
    <w:rPr>
      <w:rFonts w:ascii="Times New Roman" w:hAnsi="Times New Roman"/>
      <w:sz w:val="16"/>
      <w:szCs w:val="16"/>
    </w:rPr>
  </w:style>
  <w:style w:type="character" w:customStyle="1" w:styleId="97">
    <w:name w:val="正文文本 2 Char2"/>
    <w:link w:val="48"/>
    <w:qFormat/>
    <w:uiPriority w:val="0"/>
    <w:rPr>
      <w:rFonts w:ascii="Times New Roman" w:hAnsi="Times New Roman"/>
      <w:szCs w:val="24"/>
    </w:rPr>
  </w:style>
  <w:style w:type="character" w:customStyle="1" w:styleId="98">
    <w:name w:val="HTML 预设格式 Char2"/>
    <w:link w:val="49"/>
    <w:qFormat/>
    <w:uiPriority w:val="0"/>
    <w:rPr>
      <w:rFonts w:ascii="Courier New" w:hAnsi="Courier New" w:cs="Courier New"/>
    </w:rPr>
  </w:style>
  <w:style w:type="character" w:customStyle="1" w:styleId="99">
    <w:name w:val="标题 Char2"/>
    <w:link w:val="51"/>
    <w:qFormat/>
    <w:uiPriority w:val="0"/>
    <w:rPr>
      <w:rFonts w:ascii="Arial" w:hAnsi="Arial"/>
      <w:b/>
      <w:sz w:val="32"/>
    </w:rPr>
  </w:style>
  <w:style w:type="character" w:customStyle="1" w:styleId="100">
    <w:name w:val="批注主题 Char3"/>
    <w:link w:val="52"/>
    <w:qFormat/>
    <w:uiPriority w:val="0"/>
    <w:rPr>
      <w:b/>
      <w:bCs/>
      <w:szCs w:val="24"/>
    </w:rPr>
  </w:style>
  <w:style w:type="character" w:customStyle="1" w:styleId="101">
    <w:name w:val="正文首行缩进 Char3"/>
    <w:basedOn w:val="102"/>
    <w:link w:val="53"/>
    <w:qFormat/>
    <w:uiPriority w:val="0"/>
  </w:style>
  <w:style w:type="character" w:customStyle="1" w:styleId="102">
    <w:name w:val="正文文本 Char"/>
    <w:qFormat/>
    <w:uiPriority w:val="0"/>
    <w:rPr>
      <w:rFonts w:eastAsia="宋体"/>
      <w:szCs w:val="24"/>
    </w:rPr>
  </w:style>
  <w:style w:type="character" w:customStyle="1" w:styleId="103">
    <w:name w:val="正文首行缩进 2 Char"/>
    <w:link w:val="54"/>
    <w:qFormat/>
    <w:uiPriority w:val="0"/>
    <w:rPr>
      <w:rFonts w:ascii="Times New Roman" w:hAnsi="Times New Roman"/>
      <w:kern w:val="2"/>
      <w:sz w:val="21"/>
      <w:szCs w:val="24"/>
    </w:rPr>
  </w:style>
  <w:style w:type="character" w:customStyle="1" w:styleId="104">
    <w:name w:val="正文文本 Char4"/>
    <w:semiHidden/>
    <w:qFormat/>
    <w:uiPriority w:val="99"/>
  </w:style>
  <w:style w:type="character" w:customStyle="1" w:styleId="105">
    <w:name w:val="（1） Char"/>
    <w:qFormat/>
    <w:uiPriority w:val="0"/>
    <w:rPr>
      <w:rFonts w:ascii="Cambria" w:hAnsi="Cambria" w:eastAsia="宋体"/>
      <w:i/>
      <w:color w:val="404040"/>
      <w:kern w:val="0"/>
      <w:sz w:val="22"/>
      <w:lang w:eastAsia="en-US"/>
    </w:rPr>
  </w:style>
  <w:style w:type="character" w:customStyle="1" w:styleId="106">
    <w:name w:val="标题 #4 (2)_"/>
    <w:link w:val="107"/>
    <w:qFormat/>
    <w:uiPriority w:val="0"/>
    <w:rPr>
      <w:rFonts w:ascii="宋体" w:hAnsi="宋体"/>
      <w:shd w:val="clear" w:color="auto" w:fill="FFFFFF"/>
    </w:rPr>
  </w:style>
  <w:style w:type="paragraph" w:customStyle="1" w:styleId="107">
    <w:name w:val="标题 #4 (2)"/>
    <w:basedOn w:val="1"/>
    <w:link w:val="106"/>
    <w:qFormat/>
    <w:uiPriority w:val="0"/>
    <w:pPr>
      <w:shd w:val="clear" w:color="auto" w:fill="FFFFFF"/>
      <w:spacing w:line="466" w:lineRule="exact"/>
      <w:ind w:hanging="420"/>
      <w:jc w:val="distribute"/>
      <w:outlineLvl w:val="3"/>
    </w:pPr>
    <w:rPr>
      <w:rFonts w:ascii="宋体" w:hAnsi="宋体"/>
      <w:kern w:val="0"/>
      <w:sz w:val="20"/>
      <w:szCs w:val="20"/>
      <w:shd w:val="clear" w:color="auto" w:fill="FFFFFF"/>
    </w:rPr>
  </w:style>
  <w:style w:type="character" w:customStyle="1" w:styleId="108">
    <w:name w:val="标题 #7 + 粗体"/>
    <w:qFormat/>
    <w:uiPriority w:val="0"/>
    <w:rPr>
      <w:rFonts w:ascii="Arial Unicode MS" w:hAnsi="Arial Unicode MS" w:eastAsia="Arial Unicode MS"/>
      <w:b/>
      <w:bCs/>
      <w:color w:val="000000"/>
      <w:spacing w:val="0"/>
      <w:w w:val="100"/>
      <w:position w:val="0"/>
      <w:lang w:bidi="ar-SA"/>
    </w:rPr>
  </w:style>
  <w:style w:type="character" w:customStyle="1" w:styleId="109">
    <w:name w:val="表格 Char"/>
    <w:link w:val="110"/>
    <w:qFormat/>
    <w:uiPriority w:val="0"/>
    <w:rPr>
      <w:rFonts w:ascii="华文细黑" w:hAnsi="华文细黑"/>
      <w:sz w:val="21"/>
    </w:rPr>
  </w:style>
  <w:style w:type="paragraph" w:customStyle="1" w:styleId="110">
    <w:name w:val="表格"/>
    <w:basedOn w:val="1"/>
    <w:link w:val="109"/>
    <w:qFormat/>
    <w:uiPriority w:val="0"/>
    <w:pPr>
      <w:jc w:val="center"/>
      <w:textAlignment w:val="center"/>
    </w:pPr>
    <w:rPr>
      <w:rFonts w:ascii="华文细黑" w:hAnsi="华文细黑"/>
      <w:kern w:val="0"/>
      <w:szCs w:val="20"/>
    </w:rPr>
  </w:style>
  <w:style w:type="character" w:customStyle="1" w:styleId="111">
    <w:name w:val="新条文 Char Char"/>
    <w:link w:val="112"/>
    <w:qFormat/>
    <w:uiPriority w:val="0"/>
    <w:rPr>
      <w:rFonts w:eastAsia="Times New Roman"/>
      <w:kern w:val="2"/>
      <w:sz w:val="24"/>
      <w:szCs w:val="22"/>
      <w:lang w:val="en-US" w:eastAsia="zh-CN" w:bidi="ar-SA"/>
    </w:rPr>
  </w:style>
  <w:style w:type="paragraph" w:customStyle="1" w:styleId="112">
    <w:name w:val="新条文"/>
    <w:link w:val="111"/>
    <w:qFormat/>
    <w:uiPriority w:val="0"/>
    <w:pPr>
      <w:tabs>
        <w:tab w:val="left" w:pos="432"/>
        <w:tab w:val="left" w:pos="735"/>
      </w:tabs>
      <w:spacing w:line="400" w:lineRule="atLeast"/>
      <w:ind w:left="735" w:hanging="735"/>
    </w:pPr>
    <w:rPr>
      <w:rFonts w:ascii="Calibri" w:hAnsi="Calibri" w:eastAsia="Times New Roman" w:cs="Times New Roman"/>
      <w:kern w:val="2"/>
      <w:sz w:val="24"/>
      <w:szCs w:val="22"/>
      <w:lang w:val="en-US" w:eastAsia="zh-CN" w:bidi="ar-SA"/>
    </w:rPr>
  </w:style>
  <w:style w:type="character" w:customStyle="1" w:styleId="113">
    <w:name w:val="文档结构图 Char5"/>
    <w:semiHidden/>
    <w:qFormat/>
    <w:uiPriority w:val="99"/>
    <w:rPr>
      <w:rFonts w:ascii="宋体" w:eastAsia="宋体"/>
      <w:sz w:val="18"/>
      <w:szCs w:val="18"/>
    </w:rPr>
  </w:style>
  <w:style w:type="character" w:customStyle="1" w:styleId="114">
    <w:name w:val="批注文字 Char Char"/>
    <w:qFormat/>
    <w:uiPriority w:val="0"/>
    <w:rPr>
      <w:rFonts w:eastAsia="宋体"/>
      <w:szCs w:val="24"/>
      <w:lang w:bidi="ar-SA"/>
    </w:rPr>
  </w:style>
  <w:style w:type="character" w:customStyle="1" w:styleId="115">
    <w:name w:val="页脚 Char3"/>
    <w:semiHidden/>
    <w:qFormat/>
    <w:uiPriority w:val="99"/>
    <w:rPr>
      <w:sz w:val="18"/>
      <w:szCs w:val="18"/>
    </w:rPr>
  </w:style>
  <w:style w:type="character" w:customStyle="1" w:styleId="116">
    <w:name w:val="明显强调11"/>
    <w:qFormat/>
    <w:uiPriority w:val="0"/>
    <w:rPr>
      <w:b/>
      <w:i/>
      <w:color w:val="4F81BD"/>
    </w:rPr>
  </w:style>
  <w:style w:type="character" w:customStyle="1" w:styleId="117">
    <w:name w:val="titleblack14px1"/>
    <w:qFormat/>
    <w:uiPriority w:val="0"/>
    <w:rPr>
      <w:b/>
      <w:color w:val="000000"/>
      <w:sz w:val="21"/>
    </w:rPr>
  </w:style>
  <w:style w:type="character" w:customStyle="1" w:styleId="118">
    <w:name w:val="文档结构图 Char4"/>
    <w:semiHidden/>
    <w:qFormat/>
    <w:uiPriority w:val="99"/>
    <w:rPr>
      <w:rFonts w:ascii="宋体" w:eastAsia="宋体"/>
      <w:sz w:val="18"/>
      <w:szCs w:val="18"/>
    </w:rPr>
  </w:style>
  <w:style w:type="character" w:customStyle="1" w:styleId="119">
    <w:name w:val="引用 Char1"/>
    <w:qFormat/>
    <w:uiPriority w:val="29"/>
    <w:rPr>
      <w:i/>
      <w:iCs/>
      <w:color w:val="000000"/>
      <w:kern w:val="2"/>
      <w:sz w:val="21"/>
      <w:szCs w:val="22"/>
    </w:rPr>
  </w:style>
  <w:style w:type="character" w:customStyle="1" w:styleId="120">
    <w:name w:val="样式3 Char Char"/>
    <w:link w:val="121"/>
    <w:qFormat/>
    <w:uiPriority w:val="0"/>
    <w:rPr>
      <w:rFonts w:ascii="宋体" w:hAnsi="宋体"/>
    </w:rPr>
  </w:style>
  <w:style w:type="paragraph" w:customStyle="1" w:styleId="121">
    <w:name w:val="样式3"/>
    <w:basedOn w:val="1"/>
    <w:link w:val="120"/>
    <w:qFormat/>
    <w:uiPriority w:val="0"/>
    <w:pPr>
      <w:ind w:firstLine="420"/>
      <w:jc w:val="left"/>
    </w:pPr>
    <w:rPr>
      <w:rFonts w:ascii="宋体" w:hAnsi="宋体"/>
      <w:kern w:val="0"/>
      <w:sz w:val="20"/>
      <w:szCs w:val="20"/>
    </w:rPr>
  </w:style>
  <w:style w:type="character" w:customStyle="1" w:styleId="122">
    <w:name w:val="style131"/>
    <w:qFormat/>
    <w:uiPriority w:val="0"/>
    <w:rPr>
      <w:rFonts w:hint="eastAsia" w:ascii="宋体" w:hAnsi="宋体" w:eastAsia="宋体"/>
      <w:color w:val="555555"/>
      <w:spacing w:val="360"/>
      <w:sz w:val="18"/>
    </w:rPr>
  </w:style>
  <w:style w:type="character" w:customStyle="1" w:styleId="123">
    <w:name w:val="表正文 Char"/>
    <w:qFormat/>
    <w:locked/>
    <w:uiPriority w:val="0"/>
    <w:rPr>
      <w:rFonts w:eastAsia="宋体"/>
      <w:kern w:val="2"/>
      <w:sz w:val="24"/>
      <w:lang w:val="en-US" w:eastAsia="zh-CN" w:bidi="ar-SA"/>
    </w:rPr>
  </w:style>
  <w:style w:type="character" w:customStyle="1" w:styleId="124">
    <w:name w:val="页眉 Char"/>
    <w:qFormat/>
    <w:uiPriority w:val="99"/>
    <w:rPr>
      <w:kern w:val="2"/>
      <w:sz w:val="18"/>
      <w:szCs w:val="18"/>
    </w:rPr>
  </w:style>
  <w:style w:type="character" w:customStyle="1" w:styleId="125">
    <w:name w:val="批注主题 Char1"/>
    <w:qFormat/>
    <w:uiPriority w:val="0"/>
    <w:rPr>
      <w:rFonts w:ascii="Times New Roman" w:hAnsi="Times New Roman" w:eastAsia="宋体" w:cs="Times New Roman"/>
      <w:b/>
      <w:bCs/>
      <w:szCs w:val="24"/>
    </w:rPr>
  </w:style>
  <w:style w:type="character" w:customStyle="1" w:styleId="126">
    <w:name w:val="分条 Char Char"/>
    <w:link w:val="127"/>
    <w:qFormat/>
    <w:uiPriority w:val="0"/>
    <w:rPr>
      <w:rFonts w:ascii="Times New Roman" w:hAnsi="Times New Roman"/>
      <w:sz w:val="24"/>
    </w:rPr>
  </w:style>
  <w:style w:type="paragraph" w:customStyle="1" w:styleId="127">
    <w:name w:val="分条"/>
    <w:basedOn w:val="1"/>
    <w:link w:val="126"/>
    <w:qFormat/>
    <w:uiPriority w:val="0"/>
    <w:pPr>
      <w:spacing w:line="360" w:lineRule="auto"/>
      <w:ind w:firstLine="200" w:firstLineChars="200"/>
    </w:pPr>
    <w:rPr>
      <w:rFonts w:ascii="Times New Roman" w:hAnsi="Times New Roman"/>
      <w:kern w:val="0"/>
      <w:sz w:val="24"/>
      <w:szCs w:val="20"/>
    </w:rPr>
  </w:style>
  <w:style w:type="character" w:customStyle="1" w:styleId="128">
    <w:name w:val="正文文本_"/>
    <w:link w:val="129"/>
    <w:qFormat/>
    <w:uiPriority w:val="0"/>
    <w:rPr>
      <w:rFonts w:ascii="Arial Unicode MS" w:hAnsi="Arial Unicode MS" w:eastAsia="Arial Unicode MS"/>
      <w:shd w:val="clear" w:color="auto" w:fill="FFFFFF"/>
    </w:rPr>
  </w:style>
  <w:style w:type="paragraph" w:customStyle="1" w:styleId="129">
    <w:name w:val="正文文本9"/>
    <w:basedOn w:val="1"/>
    <w:link w:val="128"/>
    <w:qFormat/>
    <w:uiPriority w:val="0"/>
    <w:pPr>
      <w:shd w:val="clear" w:color="auto" w:fill="FFFFFF"/>
      <w:spacing w:before="120" w:after="360" w:line="389" w:lineRule="exact"/>
      <w:ind w:hanging="780"/>
      <w:jc w:val="right"/>
    </w:pPr>
    <w:rPr>
      <w:rFonts w:ascii="Arial Unicode MS" w:hAnsi="Arial Unicode MS" w:eastAsia="Arial Unicode MS"/>
      <w:kern w:val="0"/>
      <w:sz w:val="20"/>
      <w:szCs w:val="20"/>
      <w:shd w:val="clear" w:color="auto" w:fill="FFFFFF"/>
    </w:rPr>
  </w:style>
  <w:style w:type="character" w:customStyle="1" w:styleId="130">
    <w:name w:val="old"/>
    <w:qFormat/>
    <w:uiPriority w:val="0"/>
    <w:rPr>
      <w:color w:val="999999"/>
    </w:rPr>
  </w:style>
  <w:style w:type="character" w:customStyle="1" w:styleId="131">
    <w:name w:val="font161"/>
    <w:qFormat/>
    <w:uiPriority w:val="0"/>
    <w:rPr>
      <w:b/>
      <w:bCs/>
      <w:sz w:val="32"/>
      <w:szCs w:val="32"/>
    </w:rPr>
  </w:style>
  <w:style w:type="character" w:customStyle="1" w:styleId="132">
    <w:name w:val="H6 Char"/>
    <w:qFormat/>
    <w:uiPriority w:val="0"/>
    <w:rPr>
      <w:rFonts w:ascii="Cambria" w:hAnsi="Cambria" w:eastAsia="宋体"/>
      <w:i/>
      <w:color w:val="243F60"/>
      <w:kern w:val="0"/>
      <w:sz w:val="22"/>
      <w:lang w:eastAsia="en-US"/>
    </w:rPr>
  </w:style>
  <w:style w:type="character" w:customStyle="1" w:styleId="133">
    <w:name w:val="正文文本 2 Char4"/>
    <w:semiHidden/>
    <w:qFormat/>
    <w:uiPriority w:val="99"/>
  </w:style>
  <w:style w:type="character" w:customStyle="1" w:styleId="134">
    <w:name w:val="Char Char12"/>
    <w:qFormat/>
    <w:uiPriority w:val="0"/>
    <w:rPr>
      <w:b/>
      <w:kern w:val="44"/>
      <w:sz w:val="44"/>
    </w:rPr>
  </w:style>
  <w:style w:type="character" w:customStyle="1" w:styleId="135">
    <w:name w:val="正文文本缩进 3 Char3"/>
    <w:semiHidden/>
    <w:qFormat/>
    <w:uiPriority w:val="0"/>
    <w:rPr>
      <w:sz w:val="16"/>
      <w:szCs w:val="16"/>
    </w:rPr>
  </w:style>
  <w:style w:type="character" w:customStyle="1" w:styleId="136">
    <w:name w:val="unnamed21"/>
    <w:qFormat/>
    <w:uiPriority w:val="0"/>
    <w:rPr>
      <w:color w:val="CC6633"/>
      <w:u w:val="none"/>
    </w:rPr>
  </w:style>
  <w:style w:type="character" w:customStyle="1" w:styleId="137">
    <w:name w:val="尾注文本 Char3"/>
    <w:semiHidden/>
    <w:qFormat/>
    <w:uiPriority w:val="99"/>
  </w:style>
  <w:style w:type="character" w:customStyle="1" w:styleId="138">
    <w:name w:val="正文文本1"/>
    <w:qFormat/>
    <w:uiPriority w:val="0"/>
    <w:rPr>
      <w:rFonts w:ascii="Arial Unicode MS" w:hAnsi="Arial Unicode MS" w:eastAsia="Arial Unicode MS" w:cs="Arial Unicode MS"/>
      <w:color w:val="000000"/>
      <w:spacing w:val="0"/>
      <w:w w:val="100"/>
      <w:position w:val="0"/>
      <w:sz w:val="20"/>
      <w:szCs w:val="20"/>
      <w:u w:val="single"/>
      <w:lang w:val="zh-CN" w:bidi="ar-SA"/>
    </w:rPr>
  </w:style>
  <w:style w:type="character" w:customStyle="1" w:styleId="139">
    <w:name w:val="日期 Char"/>
    <w:qFormat/>
    <w:uiPriority w:val="0"/>
    <w:rPr>
      <w:kern w:val="2"/>
      <w:sz w:val="21"/>
      <w:szCs w:val="22"/>
    </w:rPr>
  </w:style>
  <w:style w:type="character" w:customStyle="1" w:styleId="140">
    <w:name w:val="H3 Char"/>
    <w:qFormat/>
    <w:uiPriority w:val="0"/>
    <w:rPr>
      <w:rFonts w:ascii="宋体" w:hAnsi="Arial"/>
      <w:b/>
      <w:kern w:val="2"/>
      <w:sz w:val="28"/>
    </w:rPr>
  </w:style>
  <w:style w:type="character" w:customStyle="1" w:styleId="141">
    <w:name w:val="testimonials-post"/>
    <w:qFormat/>
    <w:uiPriority w:val="0"/>
    <w:rPr>
      <w:color w:val="656565"/>
      <w:sz w:val="18"/>
      <w:szCs w:val="18"/>
    </w:rPr>
  </w:style>
  <w:style w:type="character" w:customStyle="1" w:styleId="142">
    <w:name w:val="apple-style-span"/>
    <w:qFormat/>
    <w:uiPriority w:val="0"/>
    <w:rPr>
      <w:rFonts w:eastAsia="宋体"/>
      <w:kern w:val="2"/>
      <w:sz w:val="24"/>
      <w:szCs w:val="24"/>
      <w:lang w:val="en-US" w:eastAsia="zh-CN" w:bidi="ar-SA"/>
    </w:rPr>
  </w:style>
  <w:style w:type="character" w:customStyle="1" w:styleId="143">
    <w:name w:val="副标题 Char2"/>
    <w:qFormat/>
    <w:uiPriority w:val="11"/>
    <w:rPr>
      <w:rFonts w:ascii="Cambria" w:hAnsi="Cambria" w:eastAsia="宋体" w:cs="Times New Roman"/>
      <w:b/>
      <w:bCs/>
      <w:kern w:val="28"/>
      <w:sz w:val="32"/>
      <w:szCs w:val="32"/>
    </w:rPr>
  </w:style>
  <w:style w:type="character" w:customStyle="1" w:styleId="144">
    <w:name w:val="页脚 Char1"/>
    <w:semiHidden/>
    <w:qFormat/>
    <w:uiPriority w:val="99"/>
    <w:rPr>
      <w:rFonts w:ascii="Times New Roman" w:hAnsi="Times New Roman" w:eastAsia="宋体" w:cs="Times New Roman"/>
      <w:sz w:val="18"/>
      <w:szCs w:val="18"/>
    </w:rPr>
  </w:style>
  <w:style w:type="character" w:customStyle="1" w:styleId="145">
    <w:name w:val="huh Char"/>
    <w:qFormat/>
    <w:uiPriority w:val="0"/>
    <w:rPr>
      <w:rFonts w:ascii="Cambria" w:hAnsi="Cambria" w:eastAsia="宋体"/>
      <w:i/>
      <w:color w:val="404040"/>
      <w:kern w:val="0"/>
      <w:sz w:val="20"/>
      <w:lang w:eastAsia="en-US"/>
    </w:rPr>
  </w:style>
  <w:style w:type="character" w:customStyle="1" w:styleId="146">
    <w:name w:val="批注框文本 Char3"/>
    <w:semiHidden/>
    <w:qFormat/>
    <w:uiPriority w:val="99"/>
    <w:rPr>
      <w:sz w:val="18"/>
      <w:szCs w:val="18"/>
    </w:rPr>
  </w:style>
  <w:style w:type="character" w:customStyle="1" w:styleId="147">
    <w:name w:val="Char Char10"/>
    <w:qFormat/>
    <w:uiPriority w:val="0"/>
    <w:rPr>
      <w:rFonts w:ascii="Arial" w:hAnsi="Arial" w:eastAsia="黑体"/>
      <w:b/>
      <w:bCs/>
      <w:kern w:val="2"/>
      <w:sz w:val="32"/>
      <w:szCs w:val="32"/>
      <w:lang w:val="en-US" w:eastAsia="zh-CN" w:bidi="ar-SA"/>
    </w:rPr>
  </w:style>
  <w:style w:type="character" w:customStyle="1" w:styleId="148">
    <w:name w:val="批注主题 Char"/>
    <w:qFormat/>
    <w:uiPriority w:val="0"/>
    <w:rPr>
      <w:b/>
      <w:bCs/>
      <w:kern w:val="2"/>
      <w:sz w:val="21"/>
      <w:szCs w:val="22"/>
    </w:rPr>
  </w:style>
  <w:style w:type="character" w:customStyle="1" w:styleId="149">
    <w:name w:val="书籍标题1"/>
    <w:qFormat/>
    <w:uiPriority w:val="0"/>
    <w:rPr>
      <w:b/>
      <w:smallCaps/>
      <w:spacing w:val="5"/>
    </w:rPr>
  </w:style>
  <w:style w:type="character" w:customStyle="1" w:styleId="150">
    <w:name w:val="small-text"/>
    <w:basedOn w:val="57"/>
    <w:qFormat/>
    <w:uiPriority w:val="0"/>
  </w:style>
  <w:style w:type="character" w:customStyle="1" w:styleId="151">
    <w:name w:val="testimonials-name1"/>
    <w:qFormat/>
    <w:uiPriority w:val="0"/>
    <w:rPr>
      <w:color w:val="E6400C"/>
      <w:sz w:val="19"/>
      <w:szCs w:val="19"/>
    </w:rPr>
  </w:style>
  <w:style w:type="character" w:customStyle="1" w:styleId="152">
    <w:name w:val="标题 32"/>
    <w:qFormat/>
    <w:uiPriority w:val="0"/>
    <w:rPr>
      <w:rFonts w:eastAsia="宋体"/>
      <w:b/>
      <w:kern w:val="2"/>
      <w:sz w:val="32"/>
      <w:lang w:val="en-US" w:eastAsia="zh-CN"/>
    </w:rPr>
  </w:style>
  <w:style w:type="character" w:customStyle="1" w:styleId="153">
    <w:name w:val="Footer-Even Char Char"/>
    <w:qFormat/>
    <w:uiPriority w:val="0"/>
    <w:rPr>
      <w:kern w:val="0"/>
      <w:sz w:val="18"/>
      <w:lang w:eastAsia="en-US"/>
    </w:rPr>
  </w:style>
  <w:style w:type="character" w:customStyle="1" w:styleId="154">
    <w:name w:val="标题 3 Char"/>
    <w:qFormat/>
    <w:uiPriority w:val="9"/>
    <w:rPr>
      <w:b/>
      <w:bCs/>
      <w:kern w:val="2"/>
      <w:sz w:val="32"/>
      <w:szCs w:val="32"/>
    </w:rPr>
  </w:style>
  <w:style w:type="character" w:customStyle="1" w:styleId="155">
    <w:name w:val="正文首行缩进1 Char Char"/>
    <w:qFormat/>
    <w:uiPriority w:val="0"/>
    <w:rPr>
      <w:kern w:val="0"/>
      <w:sz w:val="22"/>
      <w:lang w:eastAsia="en-US"/>
    </w:rPr>
  </w:style>
  <w:style w:type="character" w:customStyle="1" w:styleId="156">
    <w:name w:val="正文文本 (2) + Arial Unicode MS"/>
    <w:qFormat/>
    <w:uiPriority w:val="0"/>
    <w:rPr>
      <w:rFonts w:ascii="Arial Unicode MS" w:hAnsi="Arial Unicode MS" w:eastAsia="Arial Unicode MS" w:cs="Arial Unicode MS"/>
      <w:color w:val="000000"/>
      <w:spacing w:val="0"/>
      <w:w w:val="100"/>
      <w:position w:val="0"/>
      <w:lang w:val="zh-CN" w:bidi="ar-SA"/>
    </w:rPr>
  </w:style>
  <w:style w:type="character" w:customStyle="1" w:styleId="157">
    <w:name w:val="正文文本缩进 Char1"/>
    <w:semiHidden/>
    <w:qFormat/>
    <w:uiPriority w:val="99"/>
    <w:rPr>
      <w:rFonts w:ascii="Times New Roman" w:hAnsi="Times New Roman" w:eastAsia="宋体" w:cs="Times New Roman"/>
      <w:szCs w:val="24"/>
    </w:rPr>
  </w:style>
  <w:style w:type="character" w:customStyle="1" w:styleId="158">
    <w:name w:val="正文文本 + 间距 -1 pt"/>
    <w:qFormat/>
    <w:uiPriority w:val="0"/>
    <w:rPr>
      <w:rFonts w:ascii="MingLiU" w:hAnsi="MingLiU" w:eastAsia="MingLiU" w:cs="MingLiU"/>
      <w:color w:val="000000"/>
      <w:spacing w:val="-20"/>
      <w:w w:val="100"/>
      <w:position w:val="0"/>
      <w:sz w:val="28"/>
      <w:szCs w:val="28"/>
      <w:u w:val="none"/>
      <w:lang w:val="en-US" w:bidi="ar-SA"/>
    </w:rPr>
  </w:style>
  <w:style w:type="character" w:customStyle="1" w:styleId="159">
    <w:name w:val="日期 Char4"/>
    <w:semiHidden/>
    <w:qFormat/>
    <w:uiPriority w:val="99"/>
  </w:style>
  <w:style w:type="character" w:customStyle="1" w:styleId="160">
    <w:name w:val="testimonials-post1"/>
    <w:qFormat/>
    <w:uiPriority w:val="0"/>
    <w:rPr>
      <w:color w:val="656565"/>
      <w:sz w:val="18"/>
      <w:szCs w:val="18"/>
    </w:rPr>
  </w:style>
  <w:style w:type="character" w:customStyle="1" w:styleId="161">
    <w:name w:val="正文文本缩进 2 Char3"/>
    <w:semiHidden/>
    <w:qFormat/>
    <w:uiPriority w:val="0"/>
  </w:style>
  <w:style w:type="character" w:customStyle="1" w:styleId="162">
    <w:name w:val="明显引用 Char"/>
    <w:link w:val="163"/>
    <w:qFormat/>
    <w:uiPriority w:val="0"/>
    <w:rPr>
      <w:b/>
      <w:i/>
      <w:color w:val="4F81BD"/>
      <w:kern w:val="2"/>
      <w:sz w:val="21"/>
    </w:rPr>
  </w:style>
  <w:style w:type="paragraph" w:styleId="163">
    <w:name w:val="Intense Quote"/>
    <w:basedOn w:val="1"/>
    <w:next w:val="1"/>
    <w:link w:val="162"/>
    <w:qFormat/>
    <w:uiPriority w:val="0"/>
    <w:pPr>
      <w:pBdr>
        <w:bottom w:val="single" w:color="4F81BD" w:sz="4" w:space="4"/>
      </w:pBdr>
      <w:spacing w:before="200" w:after="280"/>
      <w:ind w:left="936" w:right="936"/>
    </w:pPr>
    <w:rPr>
      <w:b/>
      <w:i/>
      <w:color w:val="4F81BD"/>
      <w:szCs w:val="20"/>
    </w:rPr>
  </w:style>
  <w:style w:type="character" w:customStyle="1" w:styleId="164">
    <w:name w:val="注 Char Char"/>
    <w:link w:val="165"/>
    <w:qFormat/>
    <w:uiPriority w:val="0"/>
    <w:rPr>
      <w:rFonts w:ascii="Times New Roman" w:hAnsi="Times New Roman"/>
    </w:rPr>
  </w:style>
  <w:style w:type="paragraph" w:customStyle="1" w:styleId="165">
    <w:name w:val="注"/>
    <w:basedOn w:val="1"/>
    <w:link w:val="164"/>
    <w:qFormat/>
    <w:uiPriority w:val="0"/>
    <w:pPr>
      <w:ind w:left="788" w:leftChars="200" w:hanging="368" w:hangingChars="175"/>
    </w:pPr>
    <w:rPr>
      <w:rFonts w:ascii="Times New Roman" w:hAnsi="Times New Roman"/>
      <w:kern w:val="0"/>
      <w:sz w:val="20"/>
      <w:szCs w:val="20"/>
    </w:rPr>
  </w:style>
  <w:style w:type="character" w:customStyle="1" w:styleId="166">
    <w:name w:val="current"/>
    <w:qFormat/>
    <w:uiPriority w:val="0"/>
    <w:rPr>
      <w:color w:val="FFFFFF"/>
      <w:bdr w:val="single" w:color="2B55AF" w:sz="6" w:space="0"/>
      <w:shd w:val="clear" w:color="auto" w:fill="4F616C"/>
    </w:rPr>
  </w:style>
  <w:style w:type="character" w:customStyle="1" w:styleId="167">
    <w:name w:val="正文首行缩进 2 Char1"/>
    <w:semiHidden/>
    <w:qFormat/>
    <w:uiPriority w:val="99"/>
  </w:style>
  <w:style w:type="character" w:customStyle="1" w:styleId="168">
    <w:name w:val="C C"/>
    <w:qFormat/>
    <w:uiPriority w:val="0"/>
    <w:rPr>
      <w:rFonts w:eastAsia="宋体"/>
      <w:b/>
      <w:kern w:val="2"/>
      <w:sz w:val="32"/>
      <w:lang w:val="en-US" w:eastAsia="zh-CN"/>
    </w:rPr>
  </w:style>
  <w:style w:type="character" w:customStyle="1" w:styleId="169">
    <w:name w:val="标题 #7 + 间距 2 pt"/>
    <w:qFormat/>
    <w:uiPriority w:val="0"/>
    <w:rPr>
      <w:rFonts w:ascii="Arial Unicode MS" w:hAnsi="Arial Unicode MS" w:eastAsia="Arial Unicode MS"/>
      <w:color w:val="000000"/>
      <w:spacing w:val="40"/>
      <w:w w:val="100"/>
      <w:position w:val="0"/>
      <w:lang w:val="zh-CN" w:bidi="ar-SA"/>
    </w:rPr>
  </w:style>
  <w:style w:type="character" w:customStyle="1" w:styleId="170">
    <w:name w:val="Char2 Char1"/>
    <w:qFormat/>
    <w:uiPriority w:val="0"/>
    <w:rPr>
      <w:rFonts w:ascii="Arial" w:hAnsi="Arial" w:eastAsia="黑体"/>
      <w:b/>
      <w:bCs/>
      <w:kern w:val="2"/>
      <w:sz w:val="32"/>
      <w:szCs w:val="32"/>
      <w:lang w:val="en-US" w:eastAsia="zh-CN" w:bidi="ar-SA"/>
    </w:rPr>
  </w:style>
  <w:style w:type="character" w:customStyle="1" w:styleId="171">
    <w:name w:val="批注主题 Char2"/>
    <w:semiHidden/>
    <w:qFormat/>
    <w:uiPriority w:val="99"/>
    <w:rPr>
      <w:rFonts w:ascii="Times New Roman" w:hAnsi="Times New Roman" w:eastAsia="宋体" w:cs="Times New Roman"/>
      <w:b/>
      <w:bCs/>
      <w:szCs w:val="24"/>
    </w:rPr>
  </w:style>
  <w:style w:type="character" w:customStyle="1" w:styleId="172">
    <w:name w:val="标题 #4_"/>
    <w:link w:val="173"/>
    <w:qFormat/>
    <w:uiPriority w:val="0"/>
    <w:rPr>
      <w:rFonts w:ascii="黑体" w:hAnsi="黑体" w:eastAsia="黑体"/>
      <w:spacing w:val="40"/>
      <w:sz w:val="28"/>
      <w:szCs w:val="28"/>
      <w:shd w:val="clear" w:color="auto" w:fill="FFFFFF"/>
    </w:rPr>
  </w:style>
  <w:style w:type="paragraph" w:customStyle="1" w:styleId="173">
    <w:name w:val="标题 #4"/>
    <w:basedOn w:val="1"/>
    <w:link w:val="172"/>
    <w:qFormat/>
    <w:uiPriority w:val="0"/>
    <w:pPr>
      <w:shd w:val="clear" w:color="auto" w:fill="FFFFFF"/>
      <w:spacing w:before="120" w:after="120" w:line="0" w:lineRule="atLeast"/>
      <w:jc w:val="center"/>
      <w:outlineLvl w:val="3"/>
    </w:pPr>
    <w:rPr>
      <w:rFonts w:ascii="黑体" w:hAnsi="黑体" w:eastAsia="黑体"/>
      <w:spacing w:val="40"/>
      <w:kern w:val="0"/>
      <w:sz w:val="28"/>
      <w:szCs w:val="28"/>
      <w:shd w:val="clear" w:color="auto" w:fill="FFFFFF"/>
    </w:rPr>
  </w:style>
  <w:style w:type="character" w:customStyle="1" w:styleId="174">
    <w:name w:val="标题 1 Char1"/>
    <w:qFormat/>
    <w:uiPriority w:val="0"/>
    <w:rPr>
      <w:rFonts w:eastAsia="宋体"/>
      <w:b/>
      <w:bCs/>
      <w:kern w:val="44"/>
      <w:sz w:val="44"/>
      <w:szCs w:val="44"/>
      <w:lang w:val="en-US" w:eastAsia="zh-CN" w:bidi="ar-SA"/>
    </w:rPr>
  </w:style>
  <w:style w:type="character" w:customStyle="1" w:styleId="175">
    <w:name w:val="批注文字 Char1"/>
    <w:semiHidden/>
    <w:qFormat/>
    <w:uiPriority w:val="99"/>
    <w:rPr>
      <w:rFonts w:ascii="Times New Roman" w:hAnsi="Times New Roman" w:eastAsia="宋体" w:cs="Times New Roman"/>
      <w:szCs w:val="24"/>
    </w:rPr>
  </w:style>
  <w:style w:type="character" w:customStyle="1" w:styleId="176">
    <w:name w:val="标题 #2_"/>
    <w:link w:val="177"/>
    <w:qFormat/>
    <w:uiPriority w:val="0"/>
    <w:rPr>
      <w:rFonts w:ascii="MingLiU" w:hAnsi="MingLiU" w:eastAsia="MingLiU"/>
      <w:sz w:val="36"/>
      <w:szCs w:val="36"/>
      <w:shd w:val="clear" w:color="auto" w:fill="FFFFFF"/>
    </w:rPr>
  </w:style>
  <w:style w:type="paragraph" w:customStyle="1" w:styleId="177">
    <w:name w:val="标题 #2"/>
    <w:basedOn w:val="1"/>
    <w:link w:val="176"/>
    <w:qFormat/>
    <w:uiPriority w:val="0"/>
    <w:pPr>
      <w:shd w:val="clear" w:color="auto" w:fill="FFFFFF"/>
      <w:spacing w:after="600" w:line="0" w:lineRule="atLeast"/>
      <w:jc w:val="center"/>
      <w:outlineLvl w:val="1"/>
    </w:pPr>
    <w:rPr>
      <w:rFonts w:ascii="MingLiU" w:hAnsi="MingLiU" w:eastAsia="MingLiU"/>
      <w:kern w:val="0"/>
      <w:sz w:val="36"/>
      <w:szCs w:val="36"/>
      <w:shd w:val="clear" w:color="auto" w:fill="FFFFFF"/>
    </w:rPr>
  </w:style>
  <w:style w:type="character" w:customStyle="1" w:styleId="178">
    <w:name w:val="（A） Char"/>
    <w:qFormat/>
    <w:uiPriority w:val="0"/>
    <w:rPr>
      <w:rFonts w:ascii="Cambria" w:hAnsi="Cambria" w:eastAsia="宋体"/>
      <w:color w:val="4F81BD"/>
      <w:kern w:val="0"/>
      <w:sz w:val="20"/>
      <w:lang w:eastAsia="en-US"/>
    </w:rPr>
  </w:style>
  <w:style w:type="character" w:customStyle="1" w:styleId="179">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eastAsia="宋体"/>
      <w:kern w:val="2"/>
      <w:sz w:val="21"/>
      <w:lang w:val="en-US" w:eastAsia="zh-CN"/>
    </w:rPr>
  </w:style>
  <w:style w:type="character" w:customStyle="1" w:styleId="180">
    <w:name w:val="sep"/>
    <w:qFormat/>
    <w:uiPriority w:val="0"/>
    <w:rPr>
      <w:shd w:val="clear" w:color="auto" w:fill="EAEAEA"/>
    </w:rPr>
  </w:style>
  <w:style w:type="character" w:customStyle="1" w:styleId="181">
    <w:name w:val="页眉或页脚 + Arial Unicode MS"/>
    <w:qFormat/>
    <w:uiPriority w:val="0"/>
    <w:rPr>
      <w:rFonts w:ascii="Arial Unicode MS" w:hAnsi="Arial Unicode MS" w:eastAsia="Arial Unicode MS" w:cs="Arial Unicode MS"/>
      <w:color w:val="000000"/>
      <w:spacing w:val="10"/>
      <w:w w:val="100"/>
      <w:position w:val="0"/>
      <w:sz w:val="10"/>
      <w:szCs w:val="10"/>
      <w:u w:val="none"/>
    </w:rPr>
  </w:style>
  <w:style w:type="character" w:customStyle="1" w:styleId="182">
    <w:name w:val="表格标题 + SimSun"/>
    <w:qFormat/>
    <w:uiPriority w:val="0"/>
    <w:rPr>
      <w:rFonts w:ascii="宋体" w:hAnsi="宋体" w:eastAsia="宋体" w:cs="宋体"/>
      <w:color w:val="000000"/>
      <w:spacing w:val="0"/>
      <w:w w:val="100"/>
      <w:position w:val="0"/>
      <w:sz w:val="20"/>
      <w:szCs w:val="20"/>
      <w:u w:val="single"/>
      <w:lang w:val="en-US" w:bidi="ar-SA"/>
    </w:rPr>
  </w:style>
  <w:style w:type="character" w:customStyle="1" w:styleId="183">
    <w:name w:val="脚注文本 Char2"/>
    <w:semiHidden/>
    <w:qFormat/>
    <w:uiPriority w:val="99"/>
    <w:rPr>
      <w:sz w:val="18"/>
      <w:szCs w:val="18"/>
    </w:rPr>
  </w:style>
  <w:style w:type="character" w:customStyle="1" w:styleId="184">
    <w:name w:val="批注框文本 Char4"/>
    <w:semiHidden/>
    <w:qFormat/>
    <w:uiPriority w:val="99"/>
    <w:rPr>
      <w:sz w:val="18"/>
      <w:szCs w:val="18"/>
    </w:rPr>
  </w:style>
  <w:style w:type="character" w:customStyle="1" w:styleId="185">
    <w:name w:val="标题 2 Char"/>
    <w:qFormat/>
    <w:uiPriority w:val="0"/>
    <w:rPr>
      <w:rFonts w:ascii="Cambria" w:hAnsi="Cambria" w:eastAsia="宋体" w:cs="Times New Roman"/>
      <w:b/>
      <w:bCs/>
      <w:kern w:val="2"/>
      <w:sz w:val="32"/>
      <w:szCs w:val="32"/>
    </w:rPr>
  </w:style>
  <w:style w:type="character" w:customStyle="1" w:styleId="186">
    <w:name w:val="正文文本缩进 3 Char"/>
    <w:qFormat/>
    <w:uiPriority w:val="0"/>
    <w:rPr>
      <w:kern w:val="2"/>
      <w:sz w:val="16"/>
      <w:szCs w:val="16"/>
    </w:rPr>
  </w:style>
  <w:style w:type="character" w:customStyle="1" w:styleId="187">
    <w:name w:val="tw4winMark"/>
    <w:qFormat/>
    <w:uiPriority w:val="0"/>
    <w:rPr>
      <w:rFonts w:ascii="Courier New" w:hAnsi="Courier New"/>
      <w:vanish/>
      <w:color w:val="800080"/>
      <w:vertAlign w:val="subscript"/>
    </w:rPr>
  </w:style>
  <w:style w:type="character" w:customStyle="1" w:styleId="188">
    <w:name w:val="Char Char15"/>
    <w:qFormat/>
    <w:uiPriority w:val="0"/>
    <w:rPr>
      <w:sz w:val="18"/>
      <w:szCs w:val="18"/>
    </w:rPr>
  </w:style>
  <w:style w:type="character" w:customStyle="1" w:styleId="189">
    <w:name w:val="正文文本 (2)_"/>
    <w:link w:val="190"/>
    <w:qFormat/>
    <w:uiPriority w:val="0"/>
    <w:rPr>
      <w:rFonts w:ascii="宋体" w:hAnsi="宋体"/>
      <w:shd w:val="clear" w:color="auto" w:fill="FFFFFF"/>
    </w:rPr>
  </w:style>
  <w:style w:type="paragraph" w:customStyle="1" w:styleId="190">
    <w:name w:val="正文文本 (2)"/>
    <w:basedOn w:val="1"/>
    <w:link w:val="189"/>
    <w:qFormat/>
    <w:uiPriority w:val="0"/>
    <w:pPr>
      <w:shd w:val="clear" w:color="auto" w:fill="FFFFFF"/>
      <w:spacing w:line="0" w:lineRule="atLeast"/>
      <w:ind w:hanging="520"/>
      <w:jc w:val="left"/>
    </w:pPr>
    <w:rPr>
      <w:rFonts w:ascii="宋体" w:hAnsi="宋体"/>
      <w:kern w:val="0"/>
      <w:sz w:val="20"/>
      <w:szCs w:val="20"/>
      <w:shd w:val="clear" w:color="auto" w:fill="FFFFFF"/>
    </w:rPr>
  </w:style>
  <w:style w:type="character" w:customStyle="1" w:styleId="191">
    <w:name w:val="目录 (2) + Arial Unicode MS"/>
    <w:qFormat/>
    <w:uiPriority w:val="0"/>
    <w:rPr>
      <w:rFonts w:ascii="Arial Unicode MS" w:hAnsi="Arial Unicode MS" w:eastAsia="Arial Unicode MS" w:cs="Arial Unicode MS"/>
      <w:color w:val="000000"/>
      <w:spacing w:val="0"/>
      <w:w w:val="100"/>
      <w:position w:val="0"/>
      <w:sz w:val="20"/>
      <w:szCs w:val="20"/>
      <w:u w:val="none"/>
      <w:lang w:val="zh-CN"/>
    </w:rPr>
  </w:style>
  <w:style w:type="character" w:customStyle="1" w:styleId="192">
    <w:name w:val="Level 3 Head Char1"/>
    <w:qFormat/>
    <w:uiPriority w:val="0"/>
    <w:rPr>
      <w:rFonts w:ascii="Cambria" w:hAnsi="Cambria" w:eastAsia="宋体"/>
      <w:b/>
      <w:color w:val="4F81BD"/>
      <w:kern w:val="0"/>
      <w:sz w:val="22"/>
      <w:lang w:eastAsia="en-US"/>
    </w:rPr>
  </w:style>
  <w:style w:type="character" w:customStyle="1" w:styleId="193">
    <w:name w:val="正文文本 3 Char4"/>
    <w:semiHidden/>
    <w:qFormat/>
    <w:uiPriority w:val="99"/>
    <w:rPr>
      <w:sz w:val="16"/>
      <w:szCs w:val="16"/>
    </w:rPr>
  </w:style>
  <w:style w:type="character" w:customStyle="1" w:styleId="194">
    <w:name w:val="Bullet Response Char Char"/>
    <w:qFormat/>
    <w:uiPriority w:val="0"/>
    <w:rPr>
      <w:rFonts w:ascii="Arial" w:hAnsi="Arial"/>
      <w:b/>
      <w:i/>
      <w:kern w:val="0"/>
      <w:sz w:val="24"/>
      <w:lang w:eastAsia="en-US"/>
    </w:rPr>
  </w:style>
  <w:style w:type="character" w:customStyle="1" w:styleId="195">
    <w:name w:val="批注文字 Char4"/>
    <w:semiHidden/>
    <w:qFormat/>
    <w:uiPriority w:val="99"/>
  </w:style>
  <w:style w:type="character" w:customStyle="1" w:styleId="196">
    <w:name w:val="明显强调1"/>
    <w:qFormat/>
    <w:uiPriority w:val="0"/>
    <w:rPr>
      <w:b/>
      <w:i/>
      <w:color w:val="4F81BD"/>
    </w:rPr>
  </w:style>
  <w:style w:type="character" w:customStyle="1" w:styleId="197">
    <w:name w:val="H3 Char2"/>
    <w:qFormat/>
    <w:uiPriority w:val="0"/>
    <w:rPr>
      <w:rFonts w:ascii="宋体" w:hAnsi="Arial" w:eastAsia="宋体"/>
      <w:b/>
      <w:kern w:val="2"/>
      <w:sz w:val="28"/>
      <w:lang w:val="en-US" w:eastAsia="zh-CN" w:bidi="ar-SA"/>
    </w:rPr>
  </w:style>
  <w:style w:type="character" w:customStyle="1" w:styleId="198">
    <w:name w:val="cuti1"/>
    <w:qFormat/>
    <w:uiPriority w:val="0"/>
    <w:rPr>
      <w:b/>
      <w:sz w:val="21"/>
      <w:u w:val="none"/>
    </w:rPr>
  </w:style>
  <w:style w:type="character" w:customStyle="1" w:styleId="199">
    <w:name w:val="HTML 预设格式 Char1"/>
    <w:semiHidden/>
    <w:qFormat/>
    <w:uiPriority w:val="99"/>
    <w:rPr>
      <w:rFonts w:ascii="Courier New" w:hAnsi="Courier New" w:eastAsia="宋体" w:cs="Courier New"/>
      <w:sz w:val="20"/>
      <w:szCs w:val="20"/>
    </w:rPr>
  </w:style>
  <w:style w:type="character" w:customStyle="1" w:styleId="200">
    <w:name w:val="titlered1"/>
    <w:qFormat/>
    <w:uiPriority w:val="0"/>
    <w:rPr>
      <w:rFonts w:hint="default"/>
      <w:color w:val="CE0702"/>
      <w:sz w:val="18"/>
    </w:rPr>
  </w:style>
  <w:style w:type="character" w:customStyle="1" w:styleId="201">
    <w:name w:val="不明显参考111"/>
    <w:qFormat/>
    <w:uiPriority w:val="0"/>
    <w:rPr>
      <w:smallCaps/>
      <w:color w:val="C0504D"/>
      <w:u w:val="single"/>
    </w:rPr>
  </w:style>
  <w:style w:type="character" w:customStyle="1" w:styleId="202">
    <w:name w:val="正文首行缩进 Char5"/>
    <w:semiHidden/>
    <w:qFormat/>
    <w:uiPriority w:val="99"/>
  </w:style>
  <w:style w:type="character" w:customStyle="1" w:styleId="203">
    <w:name w:val="H212 C"/>
    <w:qFormat/>
    <w:uiPriority w:val="0"/>
    <w:rPr>
      <w:rFonts w:ascii="Arial" w:hAnsi="Arial" w:eastAsia="黑体"/>
      <w:b/>
      <w:kern w:val="2"/>
      <w:sz w:val="32"/>
      <w:lang w:val="en-US" w:eastAsia="zh-CN"/>
    </w:rPr>
  </w:style>
  <w:style w:type="character" w:customStyle="1" w:styleId="204">
    <w:name w:val="批注文字 Char"/>
    <w:qFormat/>
    <w:uiPriority w:val="99"/>
    <w:rPr>
      <w:kern w:val="2"/>
      <w:sz w:val="21"/>
      <w:szCs w:val="22"/>
    </w:rPr>
  </w:style>
  <w:style w:type="character" w:customStyle="1" w:styleId="205">
    <w:name w:val="书籍标题111"/>
    <w:qFormat/>
    <w:uiPriority w:val="0"/>
    <w:rPr>
      <w:b/>
      <w:smallCaps/>
      <w:spacing w:val="5"/>
    </w:rPr>
  </w:style>
  <w:style w:type="character" w:customStyle="1" w:styleId="206">
    <w:name w:val="正文文本 Char5"/>
    <w:semiHidden/>
    <w:qFormat/>
    <w:uiPriority w:val="99"/>
  </w:style>
  <w:style w:type="character" w:customStyle="1" w:styleId="207">
    <w:name w:val="正文首行缩进 Char1"/>
    <w:qFormat/>
    <w:uiPriority w:val="0"/>
    <w:rPr>
      <w:rFonts w:ascii="Times New Roman" w:hAnsi="Times New Roman" w:eastAsia="宋体" w:cs="Times New Roman"/>
      <w:kern w:val="2"/>
      <w:sz w:val="21"/>
      <w:szCs w:val="24"/>
    </w:rPr>
  </w:style>
  <w:style w:type="character" w:customStyle="1" w:styleId="208">
    <w:name w:val="testimonials-name"/>
    <w:qFormat/>
    <w:uiPriority w:val="0"/>
    <w:rPr>
      <w:color w:val="64AED9"/>
      <w:sz w:val="24"/>
      <w:szCs w:val="24"/>
    </w:rPr>
  </w:style>
  <w:style w:type="character" w:customStyle="1" w:styleId="209">
    <w:name w:val="页脚 Char"/>
    <w:qFormat/>
    <w:uiPriority w:val="99"/>
    <w:rPr>
      <w:kern w:val="2"/>
      <w:sz w:val="18"/>
      <w:szCs w:val="18"/>
    </w:rPr>
  </w:style>
  <w:style w:type="character" w:customStyle="1" w:styleId="210">
    <w:name w:val="正文文本缩进 Char"/>
    <w:qFormat/>
    <w:uiPriority w:val="0"/>
    <w:rPr>
      <w:kern w:val="2"/>
      <w:sz w:val="21"/>
      <w:szCs w:val="22"/>
    </w:rPr>
  </w:style>
  <w:style w:type="character" w:customStyle="1" w:styleId="211">
    <w:name w:val="HTML 预设格式 Char4"/>
    <w:semiHidden/>
    <w:qFormat/>
    <w:uiPriority w:val="99"/>
    <w:rPr>
      <w:rFonts w:ascii="Courier New" w:hAnsi="Courier New" w:cs="Courier New"/>
      <w:sz w:val="20"/>
      <w:szCs w:val="20"/>
    </w:rPr>
  </w:style>
  <w:style w:type="character" w:customStyle="1" w:styleId="212">
    <w:name w:val="hover27"/>
    <w:qFormat/>
    <w:uiPriority w:val="0"/>
    <w:rPr>
      <w:shd w:val="clear" w:color="auto" w:fill="EEEEEE"/>
    </w:rPr>
  </w:style>
  <w:style w:type="character" w:customStyle="1" w:styleId="213">
    <w:name w:val="文一 Char Char"/>
    <w:link w:val="214"/>
    <w:qFormat/>
    <w:uiPriority w:val="0"/>
    <w:rPr>
      <w:rFonts w:ascii="Times New Roman" w:hAnsi="Times New Roman"/>
      <w:snapToGrid w:val="0"/>
      <w:spacing w:val="4"/>
      <w:sz w:val="24"/>
      <w:szCs w:val="24"/>
    </w:rPr>
  </w:style>
  <w:style w:type="paragraph" w:customStyle="1" w:styleId="214">
    <w:name w:val="文一"/>
    <w:basedOn w:val="1"/>
    <w:link w:val="213"/>
    <w:qFormat/>
    <w:uiPriority w:val="0"/>
    <w:pPr>
      <w:topLinePunct/>
      <w:adjustRightInd w:val="0"/>
      <w:snapToGrid w:val="0"/>
      <w:spacing w:line="360" w:lineRule="auto"/>
      <w:ind w:firstLine="200" w:firstLineChars="200"/>
    </w:pPr>
    <w:rPr>
      <w:rFonts w:ascii="Times New Roman" w:hAnsi="Times New Roman"/>
      <w:snapToGrid w:val="0"/>
      <w:spacing w:val="4"/>
      <w:kern w:val="0"/>
      <w:sz w:val="24"/>
      <w:szCs w:val="24"/>
    </w:rPr>
  </w:style>
  <w:style w:type="character" w:customStyle="1" w:styleId="215">
    <w:name w:val="标题 Char3"/>
    <w:qFormat/>
    <w:uiPriority w:val="10"/>
    <w:rPr>
      <w:rFonts w:ascii="Cambria" w:hAnsi="Cambria" w:eastAsia="宋体" w:cs="Times New Roman"/>
      <w:b/>
      <w:bCs/>
      <w:sz w:val="32"/>
      <w:szCs w:val="32"/>
    </w:rPr>
  </w:style>
  <w:style w:type="character" w:customStyle="1" w:styleId="216">
    <w:name w:val="正文文本 2 Char1"/>
    <w:semiHidden/>
    <w:qFormat/>
    <w:uiPriority w:val="99"/>
    <w:rPr>
      <w:rFonts w:ascii="Times New Roman" w:hAnsi="Times New Roman" w:eastAsia="宋体" w:cs="Times New Roman"/>
      <w:szCs w:val="24"/>
    </w:rPr>
  </w:style>
  <w:style w:type="character" w:customStyle="1" w:styleId="217">
    <w:name w:val="签名 Char2"/>
    <w:semiHidden/>
    <w:qFormat/>
    <w:uiPriority w:val="99"/>
  </w:style>
  <w:style w:type="character" w:customStyle="1" w:styleId="218">
    <w:name w:val="specifications1"/>
    <w:qFormat/>
    <w:uiPriority w:val="0"/>
    <w:rPr>
      <w:rFonts w:hint="default" w:ascii="Arial" w:hAnsi="Arial"/>
      <w:i/>
      <w:color w:val="FF3300"/>
      <w:sz w:val="20"/>
      <w:u w:val="none"/>
    </w:rPr>
  </w:style>
  <w:style w:type="character" w:customStyle="1" w:styleId="219">
    <w:name w:val="批注主题 Char5"/>
    <w:semiHidden/>
    <w:qFormat/>
    <w:uiPriority w:val="99"/>
    <w:rPr>
      <w:b/>
      <w:bCs/>
    </w:rPr>
  </w:style>
  <w:style w:type="character" w:customStyle="1" w:styleId="220">
    <w:name w:val="标题 #3 + MS Mincho"/>
    <w:qFormat/>
    <w:uiPriority w:val="0"/>
    <w:rPr>
      <w:rFonts w:ascii="MS Mincho" w:hAnsi="MS Mincho" w:eastAsia="MS Mincho" w:cs="MS Mincho"/>
      <w:color w:val="000000"/>
      <w:spacing w:val="0"/>
      <w:w w:val="100"/>
      <w:position w:val="0"/>
      <w:sz w:val="31"/>
      <w:szCs w:val="31"/>
      <w:lang w:bidi="ar-SA"/>
    </w:rPr>
  </w:style>
  <w:style w:type="character" w:customStyle="1" w:styleId="221">
    <w:name w:val="明显参考111"/>
    <w:qFormat/>
    <w:uiPriority w:val="0"/>
    <w:rPr>
      <w:b/>
      <w:smallCaps/>
      <w:color w:val="C0504D"/>
      <w:spacing w:val="5"/>
      <w:u w:val="single"/>
    </w:rPr>
  </w:style>
  <w:style w:type="character" w:customStyle="1" w:styleId="222">
    <w:name w:val="明显参考1"/>
    <w:qFormat/>
    <w:uiPriority w:val="0"/>
    <w:rPr>
      <w:b/>
      <w:smallCaps/>
      <w:color w:val="C0504D"/>
      <w:spacing w:val="5"/>
      <w:u w:val="single"/>
    </w:rPr>
  </w:style>
  <w:style w:type="character" w:customStyle="1" w:styleId="223">
    <w:name w:val="公式 Char Char"/>
    <w:link w:val="224"/>
    <w:qFormat/>
    <w:uiPriority w:val="0"/>
    <w:rPr>
      <w:rFonts w:ascii="Times New Roman" w:hAnsi="Times New Roman"/>
      <w:sz w:val="24"/>
    </w:rPr>
  </w:style>
  <w:style w:type="paragraph" w:customStyle="1" w:styleId="224">
    <w:name w:val="公式"/>
    <w:basedOn w:val="1"/>
    <w:link w:val="223"/>
    <w:qFormat/>
    <w:uiPriority w:val="0"/>
    <w:pPr>
      <w:spacing w:line="360" w:lineRule="auto"/>
      <w:jc w:val="right"/>
    </w:pPr>
    <w:rPr>
      <w:rFonts w:ascii="Times New Roman" w:hAnsi="Times New Roman"/>
      <w:kern w:val="0"/>
      <w:sz w:val="24"/>
      <w:szCs w:val="20"/>
    </w:rPr>
  </w:style>
  <w:style w:type="character" w:customStyle="1" w:styleId="225">
    <w:name w:val="段落样式 Char Char"/>
    <w:link w:val="226"/>
    <w:qFormat/>
    <w:uiPriority w:val="0"/>
    <w:rPr>
      <w:rFonts w:ascii="Times New Roman" w:hAnsi="Times New Roman"/>
      <w:sz w:val="24"/>
    </w:rPr>
  </w:style>
  <w:style w:type="paragraph" w:customStyle="1" w:styleId="226">
    <w:name w:val="段落样式"/>
    <w:basedOn w:val="1"/>
    <w:link w:val="225"/>
    <w:qFormat/>
    <w:uiPriority w:val="0"/>
    <w:pPr>
      <w:spacing w:line="400" w:lineRule="exact"/>
      <w:ind w:firstLine="480" w:firstLineChars="200"/>
    </w:pPr>
    <w:rPr>
      <w:rFonts w:ascii="Times New Roman" w:hAnsi="Times New Roman"/>
      <w:kern w:val="0"/>
      <w:sz w:val="24"/>
      <w:szCs w:val="20"/>
    </w:rPr>
  </w:style>
  <w:style w:type="character" w:customStyle="1" w:styleId="227">
    <w:name w:val="标题 9 Char"/>
    <w:qFormat/>
    <w:uiPriority w:val="0"/>
    <w:rPr>
      <w:rFonts w:ascii="Cambria" w:hAnsi="Cambria" w:eastAsia="宋体" w:cs="Times New Roman"/>
      <w:kern w:val="2"/>
      <w:sz w:val="21"/>
      <w:szCs w:val="21"/>
    </w:rPr>
  </w:style>
  <w:style w:type="character" w:customStyle="1" w:styleId="228">
    <w:name w:val="纯文本 Char"/>
    <w:link w:val="229"/>
    <w:qFormat/>
    <w:uiPriority w:val="0"/>
    <w:rPr>
      <w:rFonts w:ascii="宋体" w:hAnsi="Courier New" w:cs="Courier New"/>
      <w:kern w:val="2"/>
      <w:sz w:val="21"/>
      <w:szCs w:val="21"/>
    </w:rPr>
  </w:style>
  <w:style w:type="paragraph" w:customStyle="1" w:styleId="229">
    <w:name w:val="纯文本2"/>
    <w:basedOn w:val="1"/>
    <w:link w:val="228"/>
    <w:qFormat/>
    <w:uiPriority w:val="0"/>
    <w:rPr>
      <w:rFonts w:ascii="宋体" w:hAnsi="Courier New"/>
      <w:szCs w:val="21"/>
    </w:rPr>
  </w:style>
  <w:style w:type="character" w:customStyle="1" w:styleId="230">
    <w:name w:val="正 文 1 Char Char"/>
    <w:qFormat/>
    <w:uiPriority w:val="0"/>
    <w:rPr>
      <w:rFonts w:ascii="宋体" w:hAnsi="Courier New" w:eastAsia="宋体"/>
      <w:kern w:val="2"/>
      <w:sz w:val="21"/>
      <w:szCs w:val="24"/>
      <w:lang w:val="en-US" w:eastAsia="zh-CN" w:bidi="ar-SA"/>
    </w:rPr>
  </w:style>
  <w:style w:type="character" w:customStyle="1" w:styleId="231">
    <w:name w:val="正文文本缩进 2 Char4"/>
    <w:semiHidden/>
    <w:qFormat/>
    <w:uiPriority w:val="99"/>
  </w:style>
  <w:style w:type="character" w:customStyle="1" w:styleId="232">
    <w:name w:val="正文文本缩进 2 Char1"/>
    <w:semiHidden/>
    <w:qFormat/>
    <w:uiPriority w:val="99"/>
    <w:rPr>
      <w:rFonts w:ascii="Times New Roman" w:hAnsi="Times New Roman" w:eastAsia="宋体" w:cs="Times New Roman"/>
      <w:szCs w:val="24"/>
    </w:rPr>
  </w:style>
  <w:style w:type="character" w:customStyle="1" w:styleId="233">
    <w:name w:val="引用 Char3"/>
    <w:qFormat/>
    <w:uiPriority w:val="29"/>
    <w:rPr>
      <w:i/>
      <w:iCs/>
      <w:color w:val="000000"/>
    </w:rPr>
  </w:style>
  <w:style w:type="character" w:customStyle="1" w:styleId="234">
    <w:name w:val="正文文本 3 Char"/>
    <w:qFormat/>
    <w:uiPriority w:val="0"/>
    <w:rPr>
      <w:kern w:val="2"/>
      <w:sz w:val="16"/>
      <w:szCs w:val="16"/>
    </w:rPr>
  </w:style>
  <w:style w:type="character" w:customStyle="1" w:styleId="235">
    <w:name w:val="日期 Char1"/>
    <w:semiHidden/>
    <w:qFormat/>
    <w:uiPriority w:val="99"/>
    <w:rPr>
      <w:rFonts w:ascii="Times New Roman" w:hAnsi="Times New Roman" w:eastAsia="宋体" w:cs="Times New Roman"/>
      <w:szCs w:val="24"/>
    </w:rPr>
  </w:style>
  <w:style w:type="character" w:customStyle="1" w:styleId="236">
    <w:name w:val="new"/>
    <w:qFormat/>
    <w:uiPriority w:val="0"/>
    <w:rPr>
      <w:color w:val="999999"/>
    </w:rPr>
  </w:style>
  <w:style w:type="character" w:customStyle="1" w:styleId="237">
    <w:name w:val="书籍标题2"/>
    <w:qFormat/>
    <w:uiPriority w:val="0"/>
    <w:rPr>
      <w:b/>
      <w:smallCaps/>
      <w:spacing w:val="5"/>
    </w:rPr>
  </w:style>
  <w:style w:type="character" w:customStyle="1" w:styleId="238">
    <w:name w:val="正文文本 3 Char1"/>
    <w:semiHidden/>
    <w:qFormat/>
    <w:uiPriority w:val="99"/>
    <w:rPr>
      <w:rFonts w:ascii="Times New Roman" w:hAnsi="Times New Roman" w:eastAsia="宋体" w:cs="Times New Roman"/>
      <w:sz w:val="16"/>
      <w:szCs w:val="16"/>
    </w:rPr>
  </w:style>
  <w:style w:type="character" w:customStyle="1" w:styleId="239">
    <w:name w:val="HTML 预设格式 Char"/>
    <w:qFormat/>
    <w:uiPriority w:val="0"/>
    <w:rPr>
      <w:rFonts w:ascii="Courier New" w:hAnsi="Courier New" w:cs="Courier New"/>
      <w:kern w:val="2"/>
    </w:rPr>
  </w:style>
  <w:style w:type="character" w:customStyle="1" w:styleId="240">
    <w:name w:val="标题 8 Char"/>
    <w:qFormat/>
    <w:uiPriority w:val="0"/>
    <w:rPr>
      <w:rFonts w:ascii="Cambria" w:hAnsi="Cambria" w:eastAsia="宋体" w:cs="Times New Roman"/>
      <w:kern w:val="2"/>
      <w:sz w:val="24"/>
      <w:szCs w:val="24"/>
    </w:rPr>
  </w:style>
  <w:style w:type="character" w:customStyle="1" w:styleId="241">
    <w:name w:val="style321"/>
    <w:qFormat/>
    <w:uiPriority w:val="0"/>
    <w:rPr>
      <w:color w:val="333333"/>
    </w:rPr>
  </w:style>
  <w:style w:type="character" w:customStyle="1" w:styleId="242">
    <w:name w:val="批注主题 Char4"/>
    <w:semiHidden/>
    <w:qFormat/>
    <w:uiPriority w:val="99"/>
    <w:rPr>
      <w:rFonts w:ascii="Times New Roman" w:hAnsi="Times New Roman" w:eastAsia="宋体" w:cs="Times New Roman"/>
      <w:b/>
      <w:bCs/>
    </w:rPr>
  </w:style>
  <w:style w:type="character" w:customStyle="1" w:styleId="243">
    <w:name w:val="页眉 Char1"/>
    <w:semiHidden/>
    <w:qFormat/>
    <w:uiPriority w:val="99"/>
    <w:rPr>
      <w:rFonts w:ascii="Times New Roman" w:hAnsi="Times New Roman" w:eastAsia="宋体" w:cs="Times New Roman"/>
      <w:sz w:val="18"/>
      <w:szCs w:val="18"/>
    </w:rPr>
  </w:style>
  <w:style w:type="character" w:customStyle="1" w:styleId="244">
    <w:name w:val="HTML 预设格式 Char3"/>
    <w:semiHidden/>
    <w:qFormat/>
    <w:uiPriority w:val="99"/>
    <w:rPr>
      <w:rFonts w:ascii="Courier New" w:hAnsi="Courier New" w:cs="Courier New"/>
      <w:sz w:val="20"/>
      <w:szCs w:val="20"/>
    </w:rPr>
  </w:style>
  <w:style w:type="character" w:customStyle="1" w:styleId="245">
    <w:name w:val="页码1"/>
    <w:qFormat/>
    <w:uiPriority w:val="0"/>
  </w:style>
  <w:style w:type="character" w:customStyle="1" w:styleId="246">
    <w:name w:val="正文缩进 Char"/>
    <w:qFormat/>
    <w:uiPriority w:val="0"/>
    <w:rPr>
      <w:rFonts w:ascii="Times New Roman" w:hAnsi="Times New Roman" w:eastAsia="宋体" w:cs="Times New Roman"/>
      <w:szCs w:val="24"/>
    </w:rPr>
  </w:style>
  <w:style w:type="character" w:customStyle="1" w:styleId="247">
    <w:name w:val="书籍标题11"/>
    <w:qFormat/>
    <w:uiPriority w:val="0"/>
    <w:rPr>
      <w:b/>
      <w:smallCaps/>
      <w:spacing w:val="5"/>
    </w:rPr>
  </w:style>
  <w:style w:type="character" w:customStyle="1" w:styleId="248">
    <w:name w:val="标题 2 Char Char"/>
    <w:qFormat/>
    <w:uiPriority w:val="0"/>
    <w:rPr>
      <w:rFonts w:ascii="Arial" w:hAnsi="Arial" w:eastAsia="黑体"/>
      <w:b/>
      <w:bCs/>
      <w:kern w:val="2"/>
      <w:sz w:val="32"/>
      <w:szCs w:val="32"/>
      <w:lang w:val="en-US" w:eastAsia="zh-CN" w:bidi="ar-SA"/>
    </w:rPr>
  </w:style>
  <w:style w:type="character" w:customStyle="1" w:styleId="249">
    <w:name w:val="正文文本 Char2"/>
    <w:semiHidden/>
    <w:qFormat/>
    <w:uiPriority w:val="99"/>
    <w:rPr>
      <w:rFonts w:ascii="Times New Roman" w:hAnsi="Times New Roman" w:eastAsia="宋体" w:cs="Times New Roman"/>
      <w:szCs w:val="24"/>
    </w:rPr>
  </w:style>
  <w:style w:type="character" w:customStyle="1" w:styleId="250">
    <w:name w:val="副标题 Char1"/>
    <w:qFormat/>
    <w:uiPriority w:val="11"/>
    <w:rPr>
      <w:rFonts w:ascii="Cambria" w:hAnsi="Cambria" w:eastAsia="宋体" w:cs="Times New Roman"/>
      <w:b/>
      <w:bCs/>
      <w:kern w:val="28"/>
      <w:sz w:val="32"/>
      <w:szCs w:val="32"/>
    </w:rPr>
  </w:style>
  <w:style w:type="character" w:customStyle="1" w:styleId="251">
    <w:name w:val="特点标题 Char Char"/>
    <w:qFormat/>
    <w:uiPriority w:val="0"/>
    <w:rPr>
      <w:kern w:val="0"/>
      <w:sz w:val="22"/>
      <w:lang w:eastAsia="en-US"/>
    </w:rPr>
  </w:style>
  <w:style w:type="character" w:customStyle="1" w:styleId="252">
    <w:name w:val="明显强调2"/>
    <w:qFormat/>
    <w:uiPriority w:val="0"/>
    <w:rPr>
      <w:b/>
      <w:i/>
      <w:color w:val="4F81BD"/>
    </w:rPr>
  </w:style>
  <w:style w:type="character" w:customStyle="1" w:styleId="253">
    <w:name w:val="图片标题 Exact"/>
    <w:qFormat/>
    <w:uiPriority w:val="0"/>
    <w:rPr>
      <w:rFonts w:ascii="Arial Unicode MS" w:hAnsi="Arial Unicode MS" w:eastAsia="Arial Unicode MS" w:cs="Arial Unicode MS"/>
      <w:spacing w:val="2"/>
      <w:sz w:val="18"/>
      <w:szCs w:val="18"/>
      <w:u w:val="none"/>
    </w:rPr>
  </w:style>
  <w:style w:type="character" w:customStyle="1" w:styleId="254">
    <w:name w:val="明显引用 Char2"/>
    <w:qFormat/>
    <w:uiPriority w:val="30"/>
    <w:rPr>
      <w:b/>
      <w:bCs/>
      <w:i/>
      <w:iCs/>
      <w:color w:val="4F81BD"/>
    </w:rPr>
  </w:style>
  <w:style w:type="character" w:customStyle="1" w:styleId="255">
    <w:name w:val="页码2"/>
    <w:qFormat/>
    <w:uiPriority w:val="0"/>
  </w:style>
  <w:style w:type="character" w:customStyle="1" w:styleId="256">
    <w:name w:val="尾注文本 Char1"/>
    <w:semiHidden/>
    <w:qFormat/>
    <w:uiPriority w:val="99"/>
    <w:rPr>
      <w:rFonts w:ascii="Times New Roman" w:hAnsi="Times New Roman" w:eastAsia="宋体" w:cs="Times New Roman"/>
      <w:szCs w:val="24"/>
    </w:rPr>
  </w:style>
  <w:style w:type="character" w:customStyle="1" w:styleId="257">
    <w:name w:val="日期 Char3"/>
    <w:semiHidden/>
    <w:qFormat/>
    <w:uiPriority w:val="99"/>
  </w:style>
  <w:style w:type="character" w:customStyle="1" w:styleId="258">
    <w:name w:val="标题 #3 + SimSun"/>
    <w:qFormat/>
    <w:uiPriority w:val="0"/>
    <w:rPr>
      <w:rFonts w:ascii="宋体" w:hAnsi="宋体" w:eastAsia="宋体" w:cs="宋体"/>
      <w:color w:val="000000"/>
      <w:spacing w:val="0"/>
      <w:w w:val="100"/>
      <w:position w:val="0"/>
      <w:sz w:val="32"/>
      <w:szCs w:val="32"/>
      <w:lang w:bidi="ar-SA"/>
    </w:rPr>
  </w:style>
  <w:style w:type="character" w:customStyle="1" w:styleId="259">
    <w:name w:val="style11"/>
    <w:qFormat/>
    <w:uiPriority w:val="0"/>
    <w:rPr>
      <w:color w:val="333333"/>
    </w:rPr>
  </w:style>
  <w:style w:type="character" w:customStyle="1" w:styleId="260">
    <w:name w:val="纯文本 Char1"/>
    <w:qFormat/>
    <w:uiPriority w:val="0"/>
    <w:rPr>
      <w:rFonts w:ascii="宋体" w:hAnsi="Courier New" w:eastAsia="宋体"/>
      <w:kern w:val="2"/>
      <w:sz w:val="21"/>
      <w:lang w:val="en-US" w:eastAsia="zh-CN" w:bidi="ar-SA"/>
    </w:rPr>
  </w:style>
  <w:style w:type="character" w:customStyle="1" w:styleId="261">
    <w:name w:val="正文文本 Char3"/>
    <w:semiHidden/>
    <w:qFormat/>
    <w:uiPriority w:val="99"/>
    <w:rPr>
      <w:rFonts w:ascii="Times New Roman" w:hAnsi="Times New Roman" w:eastAsia="宋体" w:cs="Times New Roman"/>
      <w:szCs w:val="24"/>
    </w:rPr>
  </w:style>
  <w:style w:type="character" w:customStyle="1" w:styleId="262">
    <w:name w:val="引用 Char"/>
    <w:link w:val="263"/>
    <w:qFormat/>
    <w:uiPriority w:val="0"/>
    <w:rPr>
      <w:i/>
      <w:color w:val="000000"/>
      <w:kern w:val="2"/>
      <w:sz w:val="21"/>
    </w:rPr>
  </w:style>
  <w:style w:type="paragraph" w:styleId="263">
    <w:name w:val="Quote"/>
    <w:basedOn w:val="1"/>
    <w:next w:val="1"/>
    <w:link w:val="262"/>
    <w:qFormat/>
    <w:uiPriority w:val="0"/>
    <w:rPr>
      <w:i/>
      <w:color w:val="000000"/>
      <w:szCs w:val="20"/>
    </w:rPr>
  </w:style>
  <w:style w:type="character" w:customStyle="1" w:styleId="264">
    <w:name w:val="不明显强调1"/>
    <w:qFormat/>
    <w:uiPriority w:val="0"/>
    <w:rPr>
      <w:i/>
      <w:iCs/>
      <w:color w:val="808080"/>
    </w:rPr>
  </w:style>
  <w:style w:type="character" w:customStyle="1" w:styleId="265">
    <w:name w:val="页脚 Char4"/>
    <w:semiHidden/>
    <w:qFormat/>
    <w:uiPriority w:val="99"/>
    <w:rPr>
      <w:sz w:val="18"/>
      <w:szCs w:val="18"/>
    </w:rPr>
  </w:style>
  <w:style w:type="character" w:customStyle="1" w:styleId="266">
    <w:name w:val="正文首行缩进 Char4"/>
    <w:semiHidden/>
    <w:qFormat/>
    <w:uiPriority w:val="99"/>
  </w:style>
  <w:style w:type="character" w:customStyle="1" w:styleId="267">
    <w:name w:val="orange1"/>
    <w:qFormat/>
    <w:uiPriority w:val="0"/>
    <w:rPr>
      <w:rFonts w:hint="default" w:ascii="Arial" w:hAnsi="Arial"/>
      <w:b/>
      <w:color w:val="FF6600"/>
      <w:sz w:val="18"/>
    </w:rPr>
  </w:style>
  <w:style w:type="character" w:customStyle="1" w:styleId="268">
    <w:name w:val="正文首行缩进 Char2"/>
    <w:basedOn w:val="261"/>
    <w:semiHidden/>
    <w:qFormat/>
    <w:uiPriority w:val="99"/>
  </w:style>
  <w:style w:type="character" w:customStyle="1" w:styleId="269">
    <w:name w:val="标题 2 Char1"/>
    <w:qFormat/>
    <w:uiPriority w:val="0"/>
    <w:rPr>
      <w:rFonts w:ascii="Arial" w:hAnsi="Arial" w:eastAsia="黑体"/>
      <w:b/>
      <w:bCs/>
      <w:kern w:val="2"/>
      <w:sz w:val="32"/>
      <w:szCs w:val="32"/>
      <w:lang w:val="en-US" w:eastAsia="zh-CN" w:bidi="ar-SA"/>
    </w:rPr>
  </w:style>
  <w:style w:type="character" w:customStyle="1" w:styleId="270">
    <w:name w:val="mmm"/>
    <w:basedOn w:val="57"/>
    <w:qFormat/>
    <w:uiPriority w:val="0"/>
  </w:style>
  <w:style w:type="character" w:customStyle="1" w:styleId="271">
    <w:name w:val="Heading Char"/>
    <w:qFormat/>
    <w:uiPriority w:val="0"/>
    <w:rPr>
      <w:kern w:val="0"/>
      <w:sz w:val="18"/>
      <w:lang w:eastAsia="en-US"/>
    </w:rPr>
  </w:style>
  <w:style w:type="character" w:customStyle="1" w:styleId="272">
    <w:name w:val="key_point"/>
    <w:qFormat/>
    <w:uiPriority w:val="0"/>
    <w:rPr>
      <w:rFonts w:eastAsia="宋体"/>
      <w:kern w:val="2"/>
      <w:sz w:val="24"/>
      <w:szCs w:val="24"/>
      <w:lang w:val="en-US" w:eastAsia="zh-CN" w:bidi="ar-SA"/>
    </w:rPr>
  </w:style>
  <w:style w:type="character" w:customStyle="1" w:styleId="273">
    <w:name w:val="color-mode-label"/>
    <w:basedOn w:val="57"/>
    <w:qFormat/>
    <w:uiPriority w:val="0"/>
  </w:style>
  <w:style w:type="character" w:customStyle="1" w:styleId="274">
    <w:name w:val="表正文 Char1"/>
    <w:qFormat/>
    <w:uiPriority w:val="0"/>
    <w:rPr>
      <w:rFonts w:eastAsia="宋体"/>
      <w:kern w:val="2"/>
      <w:sz w:val="24"/>
      <w:lang w:val="en-US" w:eastAsia="zh-CN" w:bidi="ar-SA"/>
    </w:rPr>
  </w:style>
  <w:style w:type="character" w:customStyle="1" w:styleId="275">
    <w:name w:val="说明 Char1"/>
    <w:link w:val="276"/>
    <w:qFormat/>
    <w:uiPriority w:val="0"/>
    <w:rPr>
      <w:rFonts w:ascii="楷体_GB2312" w:eastAsia="楷体_GB2312"/>
      <w:sz w:val="24"/>
    </w:rPr>
  </w:style>
  <w:style w:type="paragraph" w:customStyle="1" w:styleId="276">
    <w:name w:val="说明"/>
    <w:basedOn w:val="1"/>
    <w:link w:val="275"/>
    <w:qFormat/>
    <w:uiPriority w:val="0"/>
    <w:pPr>
      <w:spacing w:line="400" w:lineRule="atLeast"/>
    </w:pPr>
    <w:rPr>
      <w:rFonts w:ascii="楷体_GB2312" w:eastAsia="楷体_GB2312"/>
      <w:kern w:val="0"/>
      <w:sz w:val="24"/>
      <w:szCs w:val="20"/>
    </w:rPr>
  </w:style>
  <w:style w:type="character" w:customStyle="1" w:styleId="277">
    <w:name w:val="批注框文本 Char"/>
    <w:qFormat/>
    <w:uiPriority w:val="0"/>
    <w:rPr>
      <w:kern w:val="2"/>
      <w:sz w:val="18"/>
      <w:szCs w:val="18"/>
    </w:rPr>
  </w:style>
  <w:style w:type="character" w:customStyle="1" w:styleId="278">
    <w:name w:val="明显引用 Char1"/>
    <w:qFormat/>
    <w:uiPriority w:val="30"/>
    <w:rPr>
      <w:b/>
      <w:bCs/>
      <w:i/>
      <w:iCs/>
      <w:color w:val="4F81BD"/>
      <w:kern w:val="2"/>
      <w:sz w:val="21"/>
      <w:szCs w:val="22"/>
    </w:rPr>
  </w:style>
  <w:style w:type="character" w:customStyle="1" w:styleId="279">
    <w:name w:val="H5 Char"/>
    <w:qFormat/>
    <w:uiPriority w:val="0"/>
    <w:rPr>
      <w:rFonts w:ascii="Cambria" w:hAnsi="Cambria" w:eastAsia="宋体"/>
      <w:color w:val="243F60"/>
      <w:kern w:val="0"/>
      <w:sz w:val="22"/>
      <w:lang w:eastAsia="en-US"/>
    </w:rPr>
  </w:style>
  <w:style w:type="character" w:customStyle="1" w:styleId="280">
    <w:name w:val="正文文本缩进 Char3"/>
    <w:semiHidden/>
    <w:qFormat/>
    <w:uiPriority w:val="0"/>
  </w:style>
  <w:style w:type="character" w:customStyle="1" w:styleId="281">
    <w:name w:val="正文文本缩进 3 Char4"/>
    <w:semiHidden/>
    <w:qFormat/>
    <w:uiPriority w:val="99"/>
    <w:rPr>
      <w:sz w:val="16"/>
      <w:szCs w:val="16"/>
    </w:rPr>
  </w:style>
  <w:style w:type="character" w:customStyle="1" w:styleId="282">
    <w:name w:val="标题 #2 (2) + 间距 -1 pt"/>
    <w:qFormat/>
    <w:uiPriority w:val="0"/>
    <w:rPr>
      <w:rFonts w:ascii="宋体" w:hAnsi="宋体" w:eastAsia="宋体" w:cs="宋体"/>
      <w:color w:val="000000"/>
      <w:spacing w:val="-20"/>
      <w:w w:val="100"/>
      <w:position w:val="0"/>
      <w:sz w:val="33"/>
      <w:szCs w:val="33"/>
      <w:u w:val="none"/>
      <w:lang w:val="zh-CN"/>
    </w:rPr>
  </w:style>
  <w:style w:type="character" w:customStyle="1" w:styleId="283">
    <w:name w:val="Char Char9"/>
    <w:qFormat/>
    <w:uiPriority w:val="0"/>
    <w:rPr>
      <w:rFonts w:ascii="黑体" w:hAnsi="宋体" w:eastAsia="黑体"/>
      <w:bCs/>
      <w:kern w:val="2"/>
      <w:sz w:val="28"/>
      <w:szCs w:val="28"/>
      <w:lang w:val="en-US" w:eastAsia="zh-CN" w:bidi="ar-SA"/>
    </w:rPr>
  </w:style>
  <w:style w:type="character" w:customStyle="1" w:styleId="284">
    <w:name w:val="纯文本 Char4"/>
    <w:semiHidden/>
    <w:qFormat/>
    <w:uiPriority w:val="99"/>
    <w:rPr>
      <w:rFonts w:ascii="宋体" w:hAnsi="Courier New" w:eastAsia="宋体" w:cs="Courier New"/>
      <w:szCs w:val="21"/>
    </w:rPr>
  </w:style>
  <w:style w:type="character" w:customStyle="1" w:styleId="285">
    <w:name w:val="标题 4 Char"/>
    <w:qFormat/>
    <w:uiPriority w:val="0"/>
    <w:rPr>
      <w:rFonts w:ascii="Cambria" w:hAnsi="Cambria" w:eastAsia="宋体" w:cs="Times New Roman"/>
      <w:b/>
      <w:bCs/>
      <w:kern w:val="2"/>
      <w:sz w:val="28"/>
      <w:szCs w:val="28"/>
    </w:rPr>
  </w:style>
  <w:style w:type="character" w:customStyle="1" w:styleId="286">
    <w:name w:val="不明显强调11"/>
    <w:qFormat/>
    <w:uiPriority w:val="0"/>
    <w:rPr>
      <w:i/>
      <w:iCs/>
      <w:color w:val="808080"/>
    </w:rPr>
  </w:style>
  <w:style w:type="character" w:customStyle="1" w:styleId="287">
    <w:name w:val="样式 正文文本 Char"/>
    <w:link w:val="288"/>
    <w:qFormat/>
    <w:uiPriority w:val="0"/>
    <w:rPr>
      <w:rFonts w:ascii="Arial" w:hAnsi="Arial"/>
      <w:color w:val="000000"/>
      <w:sz w:val="21"/>
    </w:rPr>
  </w:style>
  <w:style w:type="paragraph" w:customStyle="1" w:styleId="288">
    <w:name w:val="样式 正文文本"/>
    <w:basedOn w:val="1"/>
    <w:link w:val="287"/>
    <w:qFormat/>
    <w:uiPriority w:val="0"/>
    <w:pPr>
      <w:adjustRightInd w:val="0"/>
      <w:snapToGrid w:val="0"/>
      <w:spacing w:line="400" w:lineRule="exact"/>
      <w:ind w:firstLine="200" w:firstLineChars="200"/>
    </w:pPr>
    <w:rPr>
      <w:rFonts w:ascii="Arial" w:hAnsi="Arial"/>
      <w:color w:val="000000"/>
      <w:kern w:val="0"/>
      <w:szCs w:val="20"/>
    </w:rPr>
  </w:style>
  <w:style w:type="character" w:customStyle="1" w:styleId="289">
    <w:name w:val="标题 Char4"/>
    <w:qFormat/>
    <w:uiPriority w:val="10"/>
    <w:rPr>
      <w:rFonts w:ascii="Cambria" w:hAnsi="Cambria" w:eastAsia="宋体" w:cs="Times New Roman"/>
      <w:b/>
      <w:bCs/>
      <w:sz w:val="32"/>
      <w:szCs w:val="32"/>
    </w:rPr>
  </w:style>
  <w:style w:type="character" w:customStyle="1" w:styleId="290">
    <w:name w:val="签名 Char1"/>
    <w:semiHidden/>
    <w:qFormat/>
    <w:uiPriority w:val="99"/>
  </w:style>
  <w:style w:type="character" w:customStyle="1" w:styleId="291">
    <w:name w:val="纯文本 Char2"/>
    <w:semiHidden/>
    <w:qFormat/>
    <w:uiPriority w:val="99"/>
    <w:rPr>
      <w:rFonts w:ascii="宋体" w:hAnsi="Courier New" w:eastAsia="宋体" w:cs="Courier New"/>
      <w:szCs w:val="21"/>
    </w:rPr>
  </w:style>
  <w:style w:type="character" w:customStyle="1" w:styleId="292">
    <w:name w:val="明显强调111"/>
    <w:qFormat/>
    <w:uiPriority w:val="0"/>
    <w:rPr>
      <w:b/>
      <w:i/>
      <w:color w:val="4F81BD"/>
    </w:rPr>
  </w:style>
  <w:style w:type="character" w:customStyle="1" w:styleId="293">
    <w:name w:val="正文文本 + SimSun"/>
    <w:qFormat/>
    <w:uiPriority w:val="0"/>
    <w:rPr>
      <w:rFonts w:ascii="宋体" w:hAnsi="宋体" w:eastAsia="宋体" w:cs="宋体"/>
      <w:color w:val="000000"/>
      <w:spacing w:val="0"/>
      <w:w w:val="100"/>
      <w:position w:val="0"/>
      <w:sz w:val="20"/>
      <w:szCs w:val="20"/>
      <w:u w:val="none"/>
      <w:lang w:val="en-US" w:bidi="ar-SA"/>
    </w:rPr>
  </w:style>
  <w:style w:type="character" w:customStyle="1" w:styleId="294">
    <w:name w:val="文档结构图 Char1"/>
    <w:qFormat/>
    <w:uiPriority w:val="0"/>
    <w:rPr>
      <w:rFonts w:ascii="宋体" w:hAnsi="Times New Roman" w:eastAsia="宋体" w:cs="Times New Roman"/>
      <w:sz w:val="18"/>
      <w:szCs w:val="18"/>
    </w:rPr>
  </w:style>
  <w:style w:type="character" w:customStyle="1" w:styleId="295">
    <w:name w:val="sort"/>
    <w:qFormat/>
    <w:uiPriority w:val="0"/>
    <w:rPr>
      <w:rFonts w:ascii="微软雅黑" w:hAnsi="微软雅黑" w:eastAsia="微软雅黑" w:cs="微软雅黑"/>
      <w:b/>
      <w:color w:val="6D6D6D"/>
    </w:rPr>
  </w:style>
  <w:style w:type="character" w:customStyle="1" w:styleId="296">
    <w:name w:val="二级条标题 Char"/>
    <w:link w:val="297"/>
    <w:qFormat/>
    <w:uiPriority w:val="0"/>
    <w:rPr>
      <w:rFonts w:eastAsia="黑体"/>
      <w:sz w:val="21"/>
    </w:rPr>
  </w:style>
  <w:style w:type="paragraph" w:customStyle="1" w:styleId="297">
    <w:name w:val="二级条标题"/>
    <w:basedOn w:val="1"/>
    <w:next w:val="1"/>
    <w:link w:val="296"/>
    <w:qFormat/>
    <w:uiPriority w:val="0"/>
    <w:pPr>
      <w:widowControl/>
      <w:outlineLvl w:val="3"/>
    </w:pPr>
    <w:rPr>
      <w:rFonts w:eastAsia="黑体"/>
      <w:kern w:val="0"/>
      <w:szCs w:val="20"/>
    </w:rPr>
  </w:style>
  <w:style w:type="character" w:customStyle="1" w:styleId="298">
    <w:name w:val="纯文本 Char5"/>
    <w:semiHidden/>
    <w:qFormat/>
    <w:uiPriority w:val="99"/>
    <w:rPr>
      <w:rFonts w:ascii="宋体" w:hAnsi="Courier New" w:eastAsia="宋体" w:cs="Courier New"/>
      <w:szCs w:val="21"/>
    </w:rPr>
  </w:style>
  <w:style w:type="character" w:customStyle="1" w:styleId="299">
    <w:name w:val="disabled"/>
    <w:qFormat/>
    <w:uiPriority w:val="0"/>
    <w:rPr>
      <w:vanish/>
    </w:rPr>
  </w:style>
  <w:style w:type="character" w:customStyle="1" w:styleId="300">
    <w:name w:val="不明显强调2"/>
    <w:qFormat/>
    <w:uiPriority w:val="0"/>
    <w:rPr>
      <w:i/>
      <w:iCs/>
      <w:color w:val="808080"/>
    </w:rPr>
  </w:style>
  <w:style w:type="character" w:customStyle="1" w:styleId="301">
    <w:name w:val="不明显强调111"/>
    <w:qFormat/>
    <w:uiPriority w:val="0"/>
    <w:rPr>
      <w:i/>
      <w:iCs/>
      <w:color w:val="808080"/>
    </w:rPr>
  </w:style>
  <w:style w:type="character" w:customStyle="1" w:styleId="302">
    <w:name w:val="more8"/>
    <w:qFormat/>
    <w:uiPriority w:val="0"/>
    <w:rPr>
      <w:color w:val="FFFFFF"/>
    </w:rPr>
  </w:style>
  <w:style w:type="character" w:customStyle="1" w:styleId="303">
    <w:name w:val="不明显参考1"/>
    <w:qFormat/>
    <w:uiPriority w:val="0"/>
    <w:rPr>
      <w:smallCaps/>
      <w:color w:val="C0504D"/>
      <w:u w:val="single"/>
    </w:rPr>
  </w:style>
  <w:style w:type="character" w:customStyle="1" w:styleId="304">
    <w:name w:val="font01"/>
    <w:qFormat/>
    <w:uiPriority w:val="0"/>
    <w:rPr>
      <w:rFonts w:hint="default" w:ascii="Times New Roman" w:hAnsi="Times New Roman" w:cs="Times New Roman"/>
      <w:color w:val="000000"/>
      <w:sz w:val="20"/>
      <w:szCs w:val="20"/>
    </w:rPr>
  </w:style>
  <w:style w:type="character" w:customStyle="1" w:styleId="305">
    <w:name w:val="标题 #3_"/>
    <w:link w:val="306"/>
    <w:qFormat/>
    <w:uiPriority w:val="0"/>
    <w:rPr>
      <w:rFonts w:ascii="MingLiU" w:hAnsi="MingLiU" w:eastAsia="MingLiU"/>
      <w:sz w:val="31"/>
      <w:szCs w:val="31"/>
      <w:shd w:val="clear" w:color="auto" w:fill="FFFFFF"/>
    </w:rPr>
  </w:style>
  <w:style w:type="paragraph" w:customStyle="1" w:styleId="306">
    <w:name w:val="标题 #3"/>
    <w:basedOn w:val="1"/>
    <w:link w:val="305"/>
    <w:qFormat/>
    <w:uiPriority w:val="0"/>
    <w:pPr>
      <w:shd w:val="clear" w:color="auto" w:fill="FFFFFF"/>
      <w:spacing w:before="660" w:after="240" w:line="0" w:lineRule="atLeast"/>
      <w:jc w:val="center"/>
      <w:outlineLvl w:val="2"/>
    </w:pPr>
    <w:rPr>
      <w:rFonts w:ascii="MingLiU" w:hAnsi="MingLiU" w:eastAsia="MingLiU"/>
      <w:kern w:val="0"/>
      <w:sz w:val="31"/>
      <w:szCs w:val="31"/>
      <w:shd w:val="clear" w:color="auto" w:fill="FFFFFF"/>
    </w:rPr>
  </w:style>
  <w:style w:type="character" w:customStyle="1" w:styleId="307">
    <w:name w:val="正文文本 + MS Mincho"/>
    <w:qFormat/>
    <w:uiPriority w:val="0"/>
    <w:rPr>
      <w:rFonts w:ascii="MS Mincho" w:hAnsi="MS Mincho" w:eastAsia="MS Mincho" w:cs="MS Mincho"/>
      <w:color w:val="000000"/>
      <w:spacing w:val="0"/>
      <w:w w:val="100"/>
      <w:position w:val="0"/>
      <w:sz w:val="21"/>
      <w:szCs w:val="21"/>
      <w:lang w:val="en-US" w:bidi="ar-SA"/>
    </w:rPr>
  </w:style>
  <w:style w:type="character" w:customStyle="1" w:styleId="308">
    <w:name w:val="图片标题_"/>
    <w:link w:val="309"/>
    <w:qFormat/>
    <w:uiPriority w:val="0"/>
    <w:rPr>
      <w:rFonts w:ascii="Arial Unicode MS" w:hAnsi="Arial Unicode MS" w:eastAsia="Arial Unicode MS"/>
      <w:shd w:val="clear" w:color="auto" w:fill="FFFFFF"/>
    </w:rPr>
  </w:style>
  <w:style w:type="paragraph" w:customStyle="1" w:styleId="309">
    <w:name w:val="图片标题"/>
    <w:basedOn w:val="1"/>
    <w:link w:val="308"/>
    <w:qFormat/>
    <w:uiPriority w:val="0"/>
    <w:pPr>
      <w:shd w:val="clear" w:color="auto" w:fill="FFFFFF"/>
      <w:spacing w:line="0" w:lineRule="atLeast"/>
      <w:jc w:val="distribute"/>
    </w:pPr>
    <w:rPr>
      <w:rFonts w:ascii="Arial Unicode MS" w:hAnsi="Arial Unicode MS" w:eastAsia="Arial Unicode MS"/>
      <w:kern w:val="0"/>
      <w:sz w:val="20"/>
      <w:szCs w:val="20"/>
      <w:shd w:val="clear" w:color="auto" w:fill="FFFFFF"/>
    </w:rPr>
  </w:style>
  <w:style w:type="character" w:customStyle="1" w:styleId="310">
    <w:name w:val="小节 Cha"/>
    <w:qFormat/>
    <w:uiPriority w:val="0"/>
    <w:rPr>
      <w:rFonts w:eastAsia="宋体"/>
      <w:b/>
      <w:kern w:val="2"/>
      <w:sz w:val="32"/>
      <w:lang w:val="en-US" w:eastAsia="zh-CN"/>
    </w:rPr>
  </w:style>
  <w:style w:type="character" w:customStyle="1" w:styleId="311">
    <w:name w:val="尾注文本 Char4"/>
    <w:semiHidden/>
    <w:qFormat/>
    <w:uiPriority w:val="99"/>
  </w:style>
  <w:style w:type="character" w:customStyle="1" w:styleId="312">
    <w:name w:val="标题 7 Char"/>
    <w:qFormat/>
    <w:uiPriority w:val="0"/>
    <w:rPr>
      <w:b/>
      <w:bCs/>
      <w:kern w:val="2"/>
      <w:sz w:val="24"/>
      <w:szCs w:val="24"/>
    </w:rPr>
  </w:style>
  <w:style w:type="character" w:customStyle="1" w:styleId="313">
    <w:name w:val="页眉 Char3"/>
    <w:semiHidden/>
    <w:qFormat/>
    <w:uiPriority w:val="99"/>
    <w:rPr>
      <w:sz w:val="18"/>
      <w:szCs w:val="18"/>
    </w:rPr>
  </w:style>
  <w:style w:type="character" w:customStyle="1" w:styleId="314">
    <w:name w:val="正文文本 (7)_"/>
    <w:link w:val="315"/>
    <w:qFormat/>
    <w:uiPriority w:val="0"/>
    <w:rPr>
      <w:rFonts w:ascii="宋体" w:hAnsi="宋体"/>
      <w:b/>
      <w:bCs/>
      <w:szCs w:val="21"/>
      <w:shd w:val="clear" w:color="auto" w:fill="FFFFFF"/>
    </w:rPr>
  </w:style>
  <w:style w:type="paragraph" w:customStyle="1" w:styleId="315">
    <w:name w:val="正文文本 (7)"/>
    <w:basedOn w:val="1"/>
    <w:link w:val="314"/>
    <w:qFormat/>
    <w:uiPriority w:val="0"/>
    <w:pPr>
      <w:shd w:val="clear" w:color="auto" w:fill="FFFFFF"/>
      <w:spacing w:before="120" w:line="466" w:lineRule="exact"/>
      <w:jc w:val="center"/>
    </w:pPr>
    <w:rPr>
      <w:rFonts w:ascii="宋体" w:hAnsi="宋体"/>
      <w:b/>
      <w:bCs/>
      <w:kern w:val="0"/>
      <w:sz w:val="20"/>
      <w:szCs w:val="21"/>
      <w:shd w:val="clear" w:color="auto" w:fill="FFFFFF"/>
    </w:rPr>
  </w:style>
  <w:style w:type="character" w:customStyle="1" w:styleId="316">
    <w:name w:val="正文文本 (5) Exact"/>
    <w:link w:val="317"/>
    <w:qFormat/>
    <w:uiPriority w:val="0"/>
    <w:rPr>
      <w:rFonts w:ascii="黑体" w:hAnsi="黑体" w:eastAsia="黑体"/>
      <w:spacing w:val="-40"/>
      <w:shd w:val="clear" w:color="auto" w:fill="FFFFFF"/>
    </w:rPr>
  </w:style>
  <w:style w:type="paragraph" w:customStyle="1" w:styleId="317">
    <w:name w:val="正文文本 (5)"/>
    <w:basedOn w:val="1"/>
    <w:link w:val="316"/>
    <w:qFormat/>
    <w:uiPriority w:val="0"/>
    <w:pPr>
      <w:shd w:val="clear" w:color="auto" w:fill="FFFFFF"/>
      <w:spacing w:line="0" w:lineRule="atLeast"/>
      <w:jc w:val="left"/>
    </w:pPr>
    <w:rPr>
      <w:rFonts w:ascii="黑体" w:hAnsi="黑体" w:eastAsia="黑体"/>
      <w:spacing w:val="-40"/>
      <w:kern w:val="0"/>
      <w:sz w:val="20"/>
      <w:szCs w:val="20"/>
      <w:shd w:val="clear" w:color="auto" w:fill="FFFFFF"/>
    </w:rPr>
  </w:style>
  <w:style w:type="character" w:customStyle="1" w:styleId="318">
    <w:name w:val="标题 #4 (2) + 10.5 pt"/>
    <w:qFormat/>
    <w:uiPriority w:val="0"/>
    <w:rPr>
      <w:rFonts w:ascii="宋体" w:hAnsi="宋体" w:eastAsia="宋体"/>
      <w:b/>
      <w:bCs/>
      <w:color w:val="000000"/>
      <w:spacing w:val="0"/>
      <w:w w:val="100"/>
      <w:position w:val="0"/>
      <w:sz w:val="21"/>
      <w:szCs w:val="21"/>
      <w:u w:val="single"/>
      <w:lang w:val="zh-CN" w:bidi="ar-SA"/>
    </w:rPr>
  </w:style>
  <w:style w:type="character" w:customStyle="1" w:styleId="319">
    <w:name w:val="标题 3 Char Char"/>
    <w:qFormat/>
    <w:uiPriority w:val="0"/>
    <w:rPr>
      <w:rFonts w:ascii="宋体" w:hAnsi="宋体" w:eastAsia="宋体"/>
      <w:b/>
      <w:bCs/>
      <w:color w:val="FF0000"/>
      <w:kern w:val="2"/>
      <w:sz w:val="24"/>
      <w:szCs w:val="24"/>
      <w:lang w:val="zh-CN" w:eastAsia="zh-CN" w:bidi="ar-SA"/>
    </w:rPr>
  </w:style>
  <w:style w:type="character" w:customStyle="1" w:styleId="320">
    <w:name w:val="cnfont1"/>
    <w:basedOn w:val="57"/>
    <w:qFormat/>
    <w:uiPriority w:val="0"/>
  </w:style>
  <w:style w:type="character" w:customStyle="1" w:styleId="321">
    <w:name w:val="目录 + SimSun"/>
    <w:qFormat/>
    <w:uiPriority w:val="0"/>
    <w:rPr>
      <w:rFonts w:ascii="宋体" w:hAnsi="宋体" w:eastAsia="宋体" w:cs="宋体"/>
      <w:color w:val="000000"/>
      <w:spacing w:val="0"/>
      <w:w w:val="100"/>
      <w:position w:val="0"/>
      <w:sz w:val="20"/>
      <w:szCs w:val="20"/>
      <w:u w:val="none"/>
      <w:lang w:val="zh-CN"/>
    </w:rPr>
  </w:style>
  <w:style w:type="character" w:customStyle="1" w:styleId="322">
    <w:name w:val="明显参考2"/>
    <w:qFormat/>
    <w:uiPriority w:val="0"/>
    <w:rPr>
      <w:b/>
      <w:smallCaps/>
      <w:color w:val="C0504D"/>
      <w:spacing w:val="5"/>
      <w:u w:val="single"/>
    </w:rPr>
  </w:style>
  <w:style w:type="character" w:customStyle="1" w:styleId="323">
    <w:name w:val="尾注文本 Char"/>
    <w:qFormat/>
    <w:uiPriority w:val="0"/>
    <w:rPr>
      <w:kern w:val="2"/>
      <w:sz w:val="21"/>
      <w:szCs w:val="22"/>
    </w:rPr>
  </w:style>
  <w:style w:type="character" w:customStyle="1" w:styleId="324">
    <w:name w:val="正文首行缩进 2 Char2"/>
    <w:semiHidden/>
    <w:qFormat/>
    <w:uiPriority w:val="99"/>
  </w:style>
  <w:style w:type="character" w:customStyle="1" w:styleId="325">
    <w:name w:val="页眉 Char4"/>
    <w:semiHidden/>
    <w:qFormat/>
    <w:uiPriority w:val="99"/>
    <w:rPr>
      <w:sz w:val="18"/>
      <w:szCs w:val="18"/>
    </w:rPr>
  </w:style>
  <w:style w:type="character" w:customStyle="1" w:styleId="326">
    <w:name w:val="文档结构图 Char2"/>
    <w:semiHidden/>
    <w:qFormat/>
    <w:uiPriority w:val="99"/>
    <w:rPr>
      <w:rFonts w:ascii="宋体" w:hAnsi="Times New Roman" w:eastAsia="宋体" w:cs="Times New Roman"/>
      <w:sz w:val="18"/>
      <w:szCs w:val="18"/>
    </w:rPr>
  </w:style>
  <w:style w:type="character" w:customStyle="1" w:styleId="327">
    <w:name w:val="正文文本 2 Char3"/>
    <w:semiHidden/>
    <w:qFormat/>
    <w:uiPriority w:val="99"/>
  </w:style>
  <w:style w:type="character" w:customStyle="1" w:styleId="328">
    <w:name w:val="标题 #2 + 15.5 pt"/>
    <w:qFormat/>
    <w:uiPriority w:val="0"/>
    <w:rPr>
      <w:rFonts w:ascii="MingLiU" w:hAnsi="MingLiU" w:eastAsia="MingLiU" w:cs="MingLiU"/>
      <w:color w:val="000000"/>
      <w:spacing w:val="0"/>
      <w:w w:val="100"/>
      <w:position w:val="0"/>
      <w:sz w:val="31"/>
      <w:szCs w:val="31"/>
      <w:u w:val="none"/>
      <w:lang w:val="zh-CN" w:bidi="ar-SA"/>
    </w:rPr>
  </w:style>
  <w:style w:type="character" w:customStyle="1" w:styleId="329">
    <w:name w:val="宏文本 Char1"/>
    <w:semiHidden/>
    <w:qFormat/>
    <w:uiPriority w:val="99"/>
    <w:rPr>
      <w:rFonts w:ascii="Courier New" w:hAnsi="Courier New" w:eastAsia="宋体" w:cs="Courier New"/>
      <w:sz w:val="24"/>
      <w:szCs w:val="24"/>
    </w:rPr>
  </w:style>
  <w:style w:type="character" w:customStyle="1" w:styleId="330">
    <w:name w:val="批注文字 Char3"/>
    <w:qFormat/>
    <w:uiPriority w:val="0"/>
    <w:rPr>
      <w:rFonts w:ascii="Times New Roman" w:hAnsi="Times New Roman" w:eastAsia="宋体" w:cs="Times New Roman"/>
    </w:rPr>
  </w:style>
  <w:style w:type="character" w:customStyle="1" w:styleId="331">
    <w:name w:val="font11"/>
    <w:qFormat/>
    <w:uiPriority w:val="0"/>
    <w:rPr>
      <w:rFonts w:hint="eastAsia" w:ascii="宋体" w:hAnsi="宋体" w:eastAsia="宋体" w:cs="宋体"/>
      <w:color w:val="000000"/>
      <w:sz w:val="20"/>
      <w:szCs w:val="20"/>
    </w:rPr>
  </w:style>
  <w:style w:type="character" w:customStyle="1" w:styleId="332">
    <w:name w:val="line1801"/>
    <w:qFormat/>
    <w:uiPriority w:val="0"/>
    <w:rPr>
      <w:rFonts w:hint="default"/>
      <w:spacing w:val="380"/>
      <w:sz w:val="19"/>
    </w:rPr>
  </w:style>
  <w:style w:type="character" w:customStyle="1" w:styleId="333">
    <w:name w:val="标题 Char"/>
    <w:qFormat/>
    <w:uiPriority w:val="0"/>
    <w:rPr>
      <w:rFonts w:ascii="Cambria" w:hAnsi="Cambria" w:cs="Times New Roman"/>
      <w:b/>
      <w:bCs/>
      <w:kern w:val="2"/>
      <w:sz w:val="32"/>
      <w:szCs w:val="32"/>
    </w:rPr>
  </w:style>
  <w:style w:type="character" w:customStyle="1" w:styleId="334">
    <w:name w:val="正文文本 2 Char"/>
    <w:qFormat/>
    <w:uiPriority w:val="0"/>
    <w:rPr>
      <w:kern w:val="2"/>
      <w:sz w:val="21"/>
      <w:szCs w:val="22"/>
    </w:rPr>
  </w:style>
  <w:style w:type="character" w:customStyle="1" w:styleId="335">
    <w:name w:val="标题 5 Char"/>
    <w:qFormat/>
    <w:uiPriority w:val="0"/>
    <w:rPr>
      <w:b/>
      <w:bCs/>
      <w:kern w:val="2"/>
      <w:sz w:val="28"/>
      <w:szCs w:val="28"/>
    </w:rPr>
  </w:style>
  <w:style w:type="character" w:customStyle="1" w:styleId="336">
    <w:name w:val="正文首行缩进 Char"/>
    <w:basedOn w:val="84"/>
    <w:qFormat/>
    <w:uiPriority w:val="0"/>
  </w:style>
  <w:style w:type="character" w:customStyle="1" w:styleId="337">
    <w:name w:val="明显引用 Char3"/>
    <w:qFormat/>
    <w:uiPriority w:val="30"/>
    <w:rPr>
      <w:b/>
      <w:bCs/>
      <w:i/>
      <w:iCs/>
      <w:color w:val="4F81BD"/>
    </w:rPr>
  </w:style>
  <w:style w:type="character" w:customStyle="1" w:styleId="338">
    <w:name w:val="批注框文本 Char1"/>
    <w:semiHidden/>
    <w:qFormat/>
    <w:uiPriority w:val="99"/>
    <w:rPr>
      <w:rFonts w:ascii="Times New Roman" w:hAnsi="Times New Roman" w:eastAsia="宋体" w:cs="Times New Roman"/>
      <w:sz w:val="18"/>
      <w:szCs w:val="18"/>
    </w:rPr>
  </w:style>
  <w:style w:type="character" w:customStyle="1" w:styleId="339">
    <w:name w:val="标题 #7_"/>
    <w:link w:val="340"/>
    <w:qFormat/>
    <w:uiPriority w:val="0"/>
    <w:rPr>
      <w:rFonts w:ascii="Arial Unicode MS" w:hAnsi="Arial Unicode MS" w:eastAsia="Arial Unicode MS"/>
      <w:shd w:val="clear" w:color="auto" w:fill="FFFFFF"/>
    </w:rPr>
  </w:style>
  <w:style w:type="paragraph" w:customStyle="1" w:styleId="340">
    <w:name w:val="标题 #7"/>
    <w:basedOn w:val="1"/>
    <w:link w:val="339"/>
    <w:qFormat/>
    <w:uiPriority w:val="0"/>
    <w:pPr>
      <w:shd w:val="clear" w:color="auto" w:fill="FFFFFF"/>
      <w:spacing w:before="120" w:after="120" w:line="0" w:lineRule="atLeast"/>
      <w:ind w:hanging="700"/>
      <w:jc w:val="distribute"/>
      <w:outlineLvl w:val="6"/>
    </w:pPr>
    <w:rPr>
      <w:rFonts w:ascii="Arial Unicode MS" w:hAnsi="Arial Unicode MS" w:eastAsia="Arial Unicode MS"/>
      <w:kern w:val="0"/>
      <w:sz w:val="20"/>
      <w:szCs w:val="20"/>
      <w:shd w:val="clear" w:color="auto" w:fill="FFFFFF"/>
    </w:rPr>
  </w:style>
  <w:style w:type="character" w:customStyle="1" w:styleId="341">
    <w:name w:val="正文文本缩进 3 Char1"/>
    <w:semiHidden/>
    <w:qFormat/>
    <w:uiPriority w:val="99"/>
    <w:rPr>
      <w:rFonts w:ascii="Times New Roman" w:hAnsi="Times New Roman" w:eastAsia="宋体" w:cs="Times New Roman"/>
      <w:sz w:val="16"/>
      <w:szCs w:val="16"/>
    </w:rPr>
  </w:style>
  <w:style w:type="character" w:customStyle="1" w:styleId="342">
    <w:name w:val="apple-converted-space"/>
    <w:basedOn w:val="57"/>
    <w:qFormat/>
    <w:uiPriority w:val="0"/>
  </w:style>
  <w:style w:type="character" w:customStyle="1" w:styleId="343">
    <w:name w:val="正文（首行缩进两字）"/>
    <w:qFormat/>
    <w:uiPriority w:val="0"/>
    <w:rPr>
      <w:rFonts w:ascii="宋体" w:eastAsia="宋体"/>
      <w:color w:val="000000"/>
      <w:kern w:val="2"/>
      <w:sz w:val="24"/>
      <w:lang w:val="en-US" w:eastAsia="zh-CN"/>
    </w:rPr>
  </w:style>
  <w:style w:type="character" w:customStyle="1" w:styleId="344">
    <w:name w:val="标题 Char1"/>
    <w:qFormat/>
    <w:uiPriority w:val="10"/>
    <w:rPr>
      <w:rFonts w:ascii="Cambria" w:hAnsi="Cambria" w:eastAsia="宋体" w:cs="Times New Roman"/>
      <w:b/>
      <w:bCs/>
      <w:sz w:val="32"/>
      <w:szCs w:val="32"/>
    </w:rPr>
  </w:style>
  <w:style w:type="character" w:customStyle="1" w:styleId="345">
    <w:name w:val="正文文本缩进 2 Char"/>
    <w:qFormat/>
    <w:uiPriority w:val="0"/>
    <w:rPr>
      <w:kern w:val="2"/>
      <w:sz w:val="21"/>
      <w:szCs w:val="22"/>
    </w:rPr>
  </w:style>
  <w:style w:type="character" w:customStyle="1" w:styleId="346">
    <w:name w:val="Char Char11"/>
    <w:qFormat/>
    <w:uiPriority w:val="0"/>
    <w:rPr>
      <w:rFonts w:eastAsia="宋体"/>
      <w:b/>
      <w:bCs/>
      <w:kern w:val="44"/>
      <w:sz w:val="44"/>
      <w:szCs w:val="44"/>
      <w:lang w:val="en-US" w:eastAsia="zh-CN" w:bidi="ar-SA"/>
    </w:rPr>
  </w:style>
  <w:style w:type="character" w:customStyle="1" w:styleId="347">
    <w:name w:val="页码11"/>
    <w:qFormat/>
    <w:uiPriority w:val="0"/>
  </w:style>
  <w:style w:type="character" w:customStyle="1" w:styleId="348">
    <w:name w:val="正文文本 3 Char3"/>
    <w:semiHidden/>
    <w:qFormat/>
    <w:uiPriority w:val="99"/>
    <w:rPr>
      <w:sz w:val="16"/>
      <w:szCs w:val="16"/>
    </w:rPr>
  </w:style>
  <w:style w:type="character" w:customStyle="1" w:styleId="349">
    <w:name w:val="不明显参考11"/>
    <w:qFormat/>
    <w:uiPriority w:val="0"/>
    <w:rPr>
      <w:smallCaps/>
      <w:color w:val="C0504D"/>
      <w:u w:val="single"/>
    </w:rPr>
  </w:style>
  <w:style w:type="character" w:customStyle="1" w:styleId="350">
    <w:name w:val="标题 1 Char"/>
    <w:qFormat/>
    <w:uiPriority w:val="0"/>
    <w:rPr>
      <w:b/>
      <w:bCs/>
      <w:kern w:val="44"/>
      <w:sz w:val="44"/>
      <w:szCs w:val="44"/>
    </w:rPr>
  </w:style>
  <w:style w:type="character" w:customStyle="1" w:styleId="351">
    <w:name w:val="明显参考11"/>
    <w:qFormat/>
    <w:uiPriority w:val="0"/>
    <w:rPr>
      <w:b/>
      <w:smallCaps/>
      <w:color w:val="C0504D"/>
      <w:spacing w:val="5"/>
      <w:u w:val="single"/>
    </w:rPr>
  </w:style>
  <w:style w:type="character" w:customStyle="1" w:styleId="352">
    <w:name w:val="正文文本 + 粗体"/>
    <w:qFormat/>
    <w:uiPriority w:val="0"/>
    <w:rPr>
      <w:rFonts w:ascii="Arial Unicode MS" w:hAnsi="Arial Unicode MS" w:eastAsia="Arial Unicode MS"/>
      <w:b/>
      <w:bCs/>
      <w:color w:val="000000"/>
      <w:spacing w:val="0"/>
      <w:w w:val="100"/>
      <w:position w:val="0"/>
      <w:lang w:val="en-US" w:bidi="ar-SA"/>
    </w:rPr>
  </w:style>
  <w:style w:type="character" w:customStyle="1" w:styleId="353">
    <w:name w:val="H2 Char1"/>
    <w:qFormat/>
    <w:uiPriority w:val="0"/>
    <w:rPr>
      <w:rFonts w:ascii="Cambria" w:hAnsi="Cambria" w:eastAsia="宋体"/>
      <w:b/>
      <w:color w:val="4F81BD"/>
      <w:kern w:val="0"/>
      <w:sz w:val="26"/>
      <w:lang w:eastAsia="en-US"/>
    </w:rPr>
  </w:style>
  <w:style w:type="character" w:customStyle="1" w:styleId="354">
    <w:name w:val="宏文本 Char2"/>
    <w:semiHidden/>
    <w:qFormat/>
    <w:uiPriority w:val="99"/>
    <w:rPr>
      <w:rFonts w:ascii="Courier New" w:hAnsi="Courier New" w:eastAsia="宋体" w:cs="Courier New"/>
      <w:sz w:val="24"/>
      <w:szCs w:val="24"/>
    </w:rPr>
  </w:style>
  <w:style w:type="character" w:customStyle="1" w:styleId="355">
    <w:name w:val="text_darkgray1"/>
    <w:qFormat/>
    <w:uiPriority w:val="0"/>
    <w:rPr>
      <w:color w:val="000000"/>
      <w:spacing w:val="380"/>
      <w:sz w:val="22"/>
    </w:rPr>
  </w:style>
  <w:style w:type="character" w:customStyle="1" w:styleId="356">
    <w:name w:val="不明显参考2"/>
    <w:qFormat/>
    <w:uiPriority w:val="0"/>
    <w:rPr>
      <w:smallCaps/>
      <w:color w:val="C0504D"/>
      <w:u w:val="single"/>
    </w:rPr>
  </w:style>
  <w:style w:type="character" w:customStyle="1" w:styleId="357">
    <w:name w:val="style261"/>
    <w:qFormat/>
    <w:uiPriority w:val="0"/>
    <w:rPr>
      <w:rFonts w:eastAsia="宋体"/>
      <w:kern w:val="2"/>
      <w:sz w:val="20"/>
      <w:szCs w:val="20"/>
      <w:lang w:val="en-US" w:eastAsia="zh-CN" w:bidi="ar-SA"/>
    </w:rPr>
  </w:style>
  <w:style w:type="character" w:customStyle="1" w:styleId="358">
    <w:name w:val="引用 Char2"/>
    <w:qFormat/>
    <w:uiPriority w:val="29"/>
    <w:rPr>
      <w:i/>
      <w:iCs/>
      <w:color w:val="000000"/>
    </w:rPr>
  </w:style>
  <w:style w:type="character" w:customStyle="1" w:styleId="359">
    <w:name w:val="文档结构图 Char"/>
    <w:qFormat/>
    <w:uiPriority w:val="0"/>
    <w:rPr>
      <w:rFonts w:ascii="宋体"/>
      <w:kern w:val="2"/>
      <w:sz w:val="18"/>
      <w:szCs w:val="18"/>
    </w:rPr>
  </w:style>
  <w:style w:type="character" w:customStyle="1" w:styleId="360">
    <w:name w:val="正文文本缩进 Char4"/>
    <w:semiHidden/>
    <w:qFormat/>
    <w:uiPriority w:val="99"/>
  </w:style>
  <w:style w:type="character" w:customStyle="1" w:styleId="361">
    <w:name w:val="weby1"/>
    <w:basedOn w:val="57"/>
    <w:qFormat/>
    <w:uiPriority w:val="0"/>
  </w:style>
  <w:style w:type="character" w:customStyle="1" w:styleId="362">
    <w:name w:val="FtrF Char Char"/>
    <w:qFormat/>
    <w:uiPriority w:val="0"/>
    <w:rPr>
      <w:rFonts w:eastAsia="宋体"/>
      <w:kern w:val="2"/>
      <w:sz w:val="18"/>
      <w:lang w:val="en-US" w:eastAsia="zh-CN" w:bidi="ar-SA"/>
    </w:rPr>
  </w:style>
  <w:style w:type="character" w:customStyle="1" w:styleId="363">
    <w:name w:val="9ft1"/>
    <w:qFormat/>
    <w:uiPriority w:val="0"/>
    <w:rPr>
      <w:rFonts w:hint="eastAsia" w:ascii="宋体" w:hAnsi="宋体" w:eastAsia="宋体"/>
      <w:color w:val="000000"/>
      <w:sz w:val="18"/>
      <w:u w:val="none"/>
    </w:rPr>
  </w:style>
  <w:style w:type="character" w:customStyle="1" w:styleId="364">
    <w:name w:val="脚注文本 Char1"/>
    <w:semiHidden/>
    <w:qFormat/>
    <w:uiPriority w:val="99"/>
    <w:rPr>
      <w:sz w:val="18"/>
      <w:szCs w:val="18"/>
    </w:rPr>
  </w:style>
  <w:style w:type="character" w:customStyle="1" w:styleId="365">
    <w:name w:val="样式 正文缩进 + 首行缩进:  2 字符 Char Char"/>
    <w:qFormat/>
    <w:uiPriority w:val="0"/>
    <w:rPr>
      <w:rFonts w:eastAsia="宋体"/>
      <w:kern w:val="2"/>
      <w:sz w:val="24"/>
      <w:lang w:val="en-US" w:eastAsia="zh-CN"/>
    </w:rPr>
  </w:style>
  <w:style w:type="character" w:customStyle="1" w:styleId="366">
    <w:name w:val="标题 6 Char"/>
    <w:qFormat/>
    <w:uiPriority w:val="0"/>
    <w:rPr>
      <w:rFonts w:ascii="Cambria" w:hAnsi="Cambria" w:eastAsia="宋体" w:cs="Times New Roman"/>
      <w:b/>
      <w:bCs/>
      <w:kern w:val="2"/>
      <w:sz w:val="24"/>
      <w:szCs w:val="24"/>
    </w:rPr>
  </w:style>
  <w:style w:type="paragraph" w:customStyle="1" w:styleId="367">
    <w:name w:val="素材1"/>
    <w:basedOn w:val="1"/>
    <w:qFormat/>
    <w:uiPriority w:val="0"/>
    <w:pPr>
      <w:snapToGrid w:val="0"/>
      <w:spacing w:before="120" w:line="540" w:lineRule="atLeast"/>
      <w:ind w:firstLine="567"/>
    </w:pPr>
    <w:rPr>
      <w:rFonts w:ascii="宋体" w:hAnsi="Times New Roman"/>
      <w:kern w:val="52"/>
      <w:sz w:val="28"/>
      <w:szCs w:val="20"/>
    </w:rPr>
  </w:style>
  <w:style w:type="paragraph" w:customStyle="1" w:styleId="368">
    <w:name w:val="样式 宋体 行距: 1.5 倍行距"/>
    <w:basedOn w:val="1"/>
    <w:qFormat/>
    <w:uiPriority w:val="0"/>
    <w:pPr>
      <w:jc w:val="center"/>
    </w:pPr>
    <w:rPr>
      <w:rFonts w:ascii="Times New Roman" w:hAnsi="Times New Roman"/>
      <w:b/>
    </w:rPr>
  </w:style>
  <w:style w:type="paragraph" w:customStyle="1" w:styleId="369">
    <w:name w:val="Default Text"/>
    <w:basedOn w:val="1"/>
    <w:qFormat/>
    <w:uiPriority w:val="0"/>
    <w:pPr>
      <w:spacing w:line="360" w:lineRule="auto"/>
    </w:pPr>
    <w:rPr>
      <w:rFonts w:ascii="Times New Roman" w:hAnsi="Times New Roman"/>
      <w:snapToGrid w:val="0"/>
      <w:sz w:val="24"/>
      <w:szCs w:val="20"/>
      <w:lang w:val="en-GB"/>
    </w:rPr>
  </w:style>
  <w:style w:type="paragraph" w:customStyle="1" w:styleId="370">
    <w:name w:val="附图图题"/>
    <w:basedOn w:val="1"/>
    <w:next w:val="8"/>
    <w:qFormat/>
    <w:uiPriority w:val="0"/>
    <w:pPr>
      <w:spacing w:afterLines="50" w:line="360" w:lineRule="auto"/>
      <w:ind w:left="200" w:hanging="200" w:hangingChars="200"/>
      <w:jc w:val="center"/>
    </w:pPr>
    <w:rPr>
      <w:rFonts w:ascii="Arial" w:hAnsi="Arial" w:eastAsia="黑体"/>
      <w:sz w:val="18"/>
      <w:szCs w:val="20"/>
    </w:rPr>
  </w:style>
  <w:style w:type="paragraph" w:customStyle="1" w:styleId="371">
    <w:name w:val="2nd Subhead"/>
    <w:basedOn w:val="1"/>
    <w:qFormat/>
    <w:uiPriority w:val="0"/>
    <w:pPr>
      <w:spacing w:after="29"/>
    </w:pPr>
    <w:rPr>
      <w:rFonts w:ascii="Beijing" w:hAnsi="Times New Roman" w:eastAsia="Times New Roman"/>
      <w:sz w:val="16"/>
      <w:szCs w:val="20"/>
    </w:rPr>
  </w:style>
  <w:style w:type="paragraph" w:customStyle="1" w:styleId="37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373">
    <w:name w:val="Default"/>
    <w:next w:val="35"/>
    <w:qFormat/>
    <w:uiPriority w:val="99"/>
    <w:pPr>
      <w:widowControl w:val="0"/>
      <w:autoSpaceDE w:val="0"/>
      <w:autoSpaceDN w:val="0"/>
      <w:adjustRightInd w:val="0"/>
      <w:spacing w:after="200" w:line="276" w:lineRule="auto"/>
    </w:pPr>
    <w:rPr>
      <w:rFonts w:ascii="宋体" w:hAnsi="Calibri" w:eastAsia="宋体" w:cs="Times New Roman"/>
      <w:color w:val="000000"/>
      <w:sz w:val="24"/>
      <w:lang w:val="en-US" w:eastAsia="zh-CN" w:bidi="ar-SA"/>
    </w:rPr>
  </w:style>
  <w:style w:type="paragraph" w:customStyle="1" w:styleId="37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75">
    <w:name w:val="列出段落41"/>
    <w:basedOn w:val="1"/>
    <w:qFormat/>
    <w:uiPriority w:val="0"/>
    <w:pPr>
      <w:ind w:firstLine="420" w:firstLineChars="200"/>
    </w:pPr>
    <w:rPr>
      <w:rFonts w:ascii="Times New Roman" w:hAnsi="Times New Roman"/>
      <w:szCs w:val="20"/>
    </w:rPr>
  </w:style>
  <w:style w:type="paragraph" w:customStyle="1" w:styleId="376">
    <w:name w:val="条文"/>
    <w:basedOn w:val="1"/>
    <w:qFormat/>
    <w:uiPriority w:val="0"/>
    <w:pPr>
      <w:spacing w:line="240" w:lineRule="atLeast"/>
    </w:pPr>
    <w:rPr>
      <w:rFonts w:ascii="Times New Roman" w:hAnsi="Times New Roman"/>
      <w:sz w:val="24"/>
      <w:szCs w:val="20"/>
    </w:rPr>
  </w:style>
  <w:style w:type="paragraph" w:customStyle="1" w:styleId="377">
    <w:name w:val="正文1"/>
    <w:basedOn w:val="1"/>
    <w:qFormat/>
    <w:uiPriority w:val="0"/>
    <w:pPr>
      <w:tabs>
        <w:tab w:val="left" w:pos="4320"/>
        <w:tab w:val="left" w:pos="4680"/>
        <w:tab w:val="left" w:pos="5040"/>
        <w:tab w:val="left" w:pos="5400"/>
        <w:tab w:val="right" w:pos="10080"/>
      </w:tabs>
      <w:snapToGrid w:val="0"/>
      <w:spacing w:line="360" w:lineRule="auto"/>
    </w:pPr>
    <w:rPr>
      <w:rFonts w:ascii="宋体" w:hAnsi="Times New Roman"/>
      <w:b/>
      <w:sz w:val="24"/>
      <w:szCs w:val="20"/>
    </w:rPr>
  </w:style>
  <w:style w:type="paragraph" w:customStyle="1" w:styleId="378">
    <w:name w:val="È±Ê¡ÎÄ±¾"/>
    <w:basedOn w:val="1"/>
    <w:qFormat/>
    <w:uiPriority w:val="0"/>
    <w:pPr>
      <w:overflowPunct w:val="0"/>
      <w:autoSpaceDE w:val="0"/>
      <w:autoSpaceDN w:val="0"/>
      <w:adjustRightInd w:val="0"/>
      <w:spacing w:before="80" w:after="80" w:line="360" w:lineRule="auto"/>
      <w:ind w:firstLine="493"/>
      <w:textAlignment w:val="baseline"/>
    </w:pPr>
    <w:rPr>
      <w:rFonts w:ascii="宋体" w:hAnsi="Arial"/>
      <w:sz w:val="24"/>
      <w:szCs w:val="20"/>
    </w:rPr>
  </w:style>
  <w:style w:type="paragraph" w:customStyle="1" w:styleId="379">
    <w:name w:val="Default 123  Text1"/>
    <w:basedOn w:val="1"/>
    <w:qFormat/>
    <w:uiPriority w:val="0"/>
    <w:pPr>
      <w:autoSpaceDE w:val="0"/>
      <w:autoSpaceDN w:val="0"/>
      <w:adjustRightInd w:val="0"/>
    </w:pPr>
    <w:rPr>
      <w:rFonts w:ascii="宋体" w:hAnsi="Times New Roman"/>
      <w:sz w:val="26"/>
      <w:szCs w:val="20"/>
    </w:rPr>
  </w:style>
  <w:style w:type="paragraph" w:customStyle="1" w:styleId="380">
    <w:name w:val="样式1"/>
    <w:basedOn w:val="1"/>
    <w:next w:val="6"/>
    <w:qFormat/>
    <w:uiPriority w:val="0"/>
    <w:pPr>
      <w:spacing w:line="360" w:lineRule="auto"/>
      <w:ind w:firstLine="420" w:firstLineChars="200"/>
    </w:pPr>
    <w:rPr>
      <w:rFonts w:ascii="宋体" w:hAnsi="宋体"/>
      <w:szCs w:val="21"/>
    </w:rPr>
  </w:style>
  <w:style w:type="paragraph" w:customStyle="1" w:styleId="381">
    <w:name w:val="公文标题"/>
    <w:basedOn w:val="5"/>
    <w:qFormat/>
    <w:uiPriority w:val="0"/>
    <w:pPr>
      <w:spacing w:line="240" w:lineRule="auto"/>
      <w:ind w:left="1469" w:right="1542" w:firstLine="0" w:firstLineChars="0"/>
      <w:jc w:val="center"/>
    </w:pPr>
    <w:rPr>
      <w:rFonts w:ascii="Times New Roman" w:hAnsi="Times New Roman" w:eastAsia="宋体"/>
      <w:b/>
      <w:bCs w:val="0"/>
      <w:sz w:val="44"/>
      <w:szCs w:val="24"/>
    </w:rPr>
  </w:style>
  <w:style w:type="paragraph" w:customStyle="1" w:styleId="38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2"/>
      <w:szCs w:val="20"/>
    </w:rPr>
  </w:style>
  <w:style w:type="paragraph" w:customStyle="1" w:styleId="383">
    <w:name w:val="xl22"/>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384">
    <w:name w:val="Char"/>
    <w:basedOn w:val="1"/>
    <w:qFormat/>
    <w:uiPriority w:val="0"/>
    <w:pPr>
      <w:tabs>
        <w:tab w:val="left" w:pos="1360"/>
      </w:tabs>
      <w:ind w:left="1360" w:hanging="720"/>
    </w:pPr>
    <w:rPr>
      <w:rFonts w:ascii="Times New Roman" w:hAnsi="Times New Roman"/>
      <w:szCs w:val="20"/>
    </w:rPr>
  </w:style>
  <w:style w:type="paragraph" w:customStyle="1" w:styleId="385">
    <w:name w:val="目录文字"/>
    <w:basedOn w:val="1"/>
    <w:qFormat/>
    <w:uiPriority w:val="0"/>
    <w:pPr>
      <w:widowControl/>
      <w:spacing w:line="480" w:lineRule="auto"/>
      <w:jc w:val="left"/>
    </w:pPr>
    <w:rPr>
      <w:rFonts w:ascii="宋体" w:hAnsi="宋体"/>
      <w:kern w:val="0"/>
      <w:sz w:val="24"/>
      <w:szCs w:val="20"/>
    </w:rPr>
  </w:style>
  <w:style w:type="paragraph" w:customStyle="1" w:styleId="386">
    <w:name w:val="标题5"/>
    <w:basedOn w:val="1"/>
    <w:qFormat/>
    <w:uiPriority w:val="0"/>
    <w:pPr>
      <w:spacing w:before="120" w:after="120"/>
    </w:pPr>
    <w:rPr>
      <w:rFonts w:ascii="宋体" w:hAnsi="Times New Roman"/>
      <w:b/>
      <w:sz w:val="28"/>
      <w:szCs w:val="20"/>
    </w:rPr>
  </w:style>
  <w:style w:type="paragraph" w:customStyle="1" w:styleId="387">
    <w:name w:val="Char1"/>
    <w:basedOn w:val="1"/>
    <w:qFormat/>
    <w:uiPriority w:val="0"/>
    <w:pPr>
      <w:tabs>
        <w:tab w:val="left" w:pos="360"/>
      </w:tabs>
    </w:pPr>
    <w:rPr>
      <w:rFonts w:ascii="Times New Roman" w:hAnsi="Times New Roman"/>
      <w:sz w:val="24"/>
      <w:szCs w:val="24"/>
    </w:rPr>
  </w:style>
  <w:style w:type="paragraph" w:customStyle="1" w:styleId="388">
    <w:name w:val="三级无标题条"/>
    <w:basedOn w:val="1"/>
    <w:qFormat/>
    <w:uiPriority w:val="0"/>
    <w:pPr>
      <w:ind w:left="2100" w:hanging="420"/>
    </w:pPr>
    <w:rPr>
      <w:rFonts w:ascii="Times New Roman" w:hAnsi="Times New Roman"/>
      <w:szCs w:val="24"/>
    </w:rPr>
  </w:style>
  <w:style w:type="paragraph" w:customStyle="1" w:styleId="389">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390">
    <w:name w:val="Response italic"/>
    <w:basedOn w:val="391"/>
    <w:qFormat/>
    <w:uiPriority w:val="0"/>
    <w:rPr>
      <w:rFonts w:eastAsia="Times New Roman"/>
      <w:i/>
    </w:rPr>
  </w:style>
  <w:style w:type="paragraph" w:customStyle="1" w:styleId="391">
    <w:name w:val="Response Char Char Char"/>
    <w:basedOn w:val="8"/>
    <w:qFormat/>
    <w:uiPriority w:val="0"/>
    <w:pPr>
      <w:spacing w:before="60" w:after="120"/>
      <w:ind w:left="567" w:firstLine="0" w:firstLineChars="0"/>
    </w:pPr>
    <w:rPr>
      <w:rFonts w:ascii="Arial" w:hAnsi="Arial" w:eastAsia="MS Mincho"/>
      <w:color w:val="0000FF"/>
      <w:sz w:val="24"/>
      <w:szCs w:val="20"/>
      <w:lang w:val="en-AU" w:eastAsia="en-AU"/>
    </w:rPr>
  </w:style>
  <w:style w:type="paragraph" w:customStyle="1" w:styleId="392">
    <w:name w:val="五级无标题条"/>
    <w:basedOn w:val="1"/>
    <w:qFormat/>
    <w:uiPriority w:val="0"/>
    <w:pPr>
      <w:ind w:left="2940" w:hanging="420"/>
    </w:pPr>
    <w:rPr>
      <w:rFonts w:ascii="Times New Roman" w:hAnsi="Times New Roman"/>
      <w:szCs w:val="24"/>
    </w:rPr>
  </w:style>
  <w:style w:type="paragraph" w:customStyle="1" w:styleId="393">
    <w:name w:val="封三"/>
    <w:basedOn w:val="214"/>
    <w:next w:val="214"/>
    <w:qFormat/>
    <w:uiPriority w:val="0"/>
    <w:pPr>
      <w:ind w:firstLine="0" w:firstLineChars="0"/>
      <w:jc w:val="center"/>
    </w:pPr>
    <w:rPr>
      <w:sz w:val="30"/>
    </w:rPr>
  </w:style>
  <w:style w:type="paragraph" w:customStyle="1" w:styleId="394">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2"/>
      <w:szCs w:val="20"/>
    </w:rPr>
  </w:style>
  <w:style w:type="paragraph" w:customStyle="1" w:styleId="395">
    <w:name w:val="Char Char Char Char Char Char2 Char"/>
    <w:basedOn w:val="1"/>
    <w:qFormat/>
    <w:uiPriority w:val="0"/>
    <w:pPr>
      <w:spacing w:line="360" w:lineRule="auto"/>
      <w:ind w:firstLine="200" w:firstLineChars="200"/>
    </w:pPr>
    <w:rPr>
      <w:rFonts w:ascii="宋体" w:hAnsi="宋体" w:cs="宋体"/>
      <w:sz w:val="24"/>
      <w:szCs w:val="24"/>
    </w:rPr>
  </w:style>
  <w:style w:type="paragraph" w:customStyle="1" w:styleId="396">
    <w:name w:val="正文文本缩进 311"/>
    <w:basedOn w:val="1"/>
    <w:qFormat/>
    <w:uiPriority w:val="0"/>
    <w:pPr>
      <w:snapToGrid w:val="0"/>
      <w:spacing w:line="360" w:lineRule="auto"/>
      <w:ind w:left="20" w:firstLine="529" w:firstLineChars="189"/>
    </w:pPr>
    <w:rPr>
      <w:rFonts w:ascii="仿宋_GB2312" w:hAnsi="Times New Roman" w:eastAsia="仿宋_GB2312"/>
      <w:sz w:val="28"/>
      <w:szCs w:val="24"/>
    </w:rPr>
  </w:style>
  <w:style w:type="paragraph" w:customStyle="1" w:styleId="397">
    <w:name w:val="插图题注"/>
    <w:next w:val="1"/>
    <w:qFormat/>
    <w:uiPriority w:val="0"/>
    <w:pPr>
      <w:spacing w:afterLines="100" w:line="276" w:lineRule="auto"/>
      <w:ind w:left="2880"/>
      <w:jc w:val="center"/>
    </w:pPr>
    <w:rPr>
      <w:rFonts w:ascii="Arial" w:hAnsi="Arial" w:eastAsia="宋体" w:cs="Times New Roman"/>
      <w:sz w:val="18"/>
      <w:lang w:val="en-US" w:eastAsia="zh-CN" w:bidi="ar-SA"/>
    </w:rPr>
  </w:style>
  <w:style w:type="paragraph" w:customStyle="1" w:styleId="398">
    <w:name w:val="编号"/>
    <w:basedOn w:val="1"/>
    <w:qFormat/>
    <w:uiPriority w:val="0"/>
    <w:pPr>
      <w:spacing w:afterLines="50" w:line="300" w:lineRule="auto"/>
      <w:textAlignment w:val="center"/>
    </w:pPr>
    <w:rPr>
      <w:rFonts w:ascii="Times New Roman" w:hAnsi="Times New Roman" w:eastAsia="仿宋_GB2312"/>
      <w:spacing w:val="20"/>
      <w:szCs w:val="20"/>
    </w:rPr>
  </w:style>
  <w:style w:type="paragraph" w:styleId="399">
    <w:name w:val="List Paragraph"/>
    <w:basedOn w:val="1"/>
    <w:qFormat/>
    <w:uiPriority w:val="99"/>
    <w:rPr>
      <w:sz w:val="20"/>
      <w:szCs w:val="20"/>
    </w:rPr>
  </w:style>
  <w:style w:type="paragraph" w:customStyle="1" w:styleId="400">
    <w:name w:val="编号1"/>
    <w:basedOn w:val="1"/>
    <w:qFormat/>
    <w:uiPriority w:val="0"/>
    <w:pPr>
      <w:spacing w:line="360" w:lineRule="auto"/>
    </w:pPr>
    <w:rPr>
      <w:rFonts w:ascii="Arial" w:hAnsi="Arial"/>
      <w:sz w:val="24"/>
      <w:szCs w:val="20"/>
    </w:rPr>
  </w:style>
  <w:style w:type="paragraph" w:customStyle="1" w:styleId="401">
    <w:name w:val="无间隔11"/>
    <w:qFormat/>
    <w:uiPriority w:val="0"/>
    <w:pPr>
      <w:spacing w:after="200" w:line="276" w:lineRule="auto"/>
    </w:pPr>
    <w:rPr>
      <w:rFonts w:ascii="Calibri" w:hAnsi="Calibri" w:eastAsia="宋体" w:cs="Times New Roman"/>
      <w:sz w:val="22"/>
      <w:lang w:val="en-US" w:eastAsia="en-US" w:bidi="ar-SA"/>
    </w:rPr>
  </w:style>
  <w:style w:type="paragraph" w:customStyle="1" w:styleId="402">
    <w:name w:val="样式 标题 1标书1H1h11st levelSection Headl1标题一Heading 0PIM 1..."/>
    <w:basedOn w:val="1"/>
    <w:qFormat/>
    <w:uiPriority w:val="0"/>
    <w:rPr>
      <w:rFonts w:ascii="Times New Roman" w:hAnsi="Times New Roman"/>
      <w:szCs w:val="20"/>
    </w:rPr>
  </w:style>
  <w:style w:type="paragraph" w:customStyle="1" w:styleId="403">
    <w:name w:val="Plain Text1"/>
    <w:basedOn w:val="1"/>
    <w:qFormat/>
    <w:uiPriority w:val="99"/>
    <w:rPr>
      <w:rFonts w:ascii="宋体" w:hAnsi="Courier New"/>
      <w:kern w:val="0"/>
      <w:sz w:val="20"/>
      <w:szCs w:val="20"/>
    </w:rPr>
  </w:style>
  <w:style w:type="paragraph" w:customStyle="1" w:styleId="40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kern w:val="0"/>
      <w:sz w:val="22"/>
      <w:szCs w:val="20"/>
    </w:rPr>
  </w:style>
  <w:style w:type="paragraph" w:customStyle="1" w:styleId="405">
    <w:name w:val="fout"/>
    <w:basedOn w:val="1"/>
    <w:qFormat/>
    <w:uiPriority w:val="0"/>
    <w:pPr>
      <w:spacing w:before="100" w:beforeAutospacing="1" w:after="100" w:afterAutospacing="1" w:line="270" w:lineRule="atLeast"/>
    </w:pPr>
    <w:rPr>
      <w:rFonts w:ascii="ˎ̥" w:hAnsi="ˎ̥"/>
      <w:spacing w:val="30"/>
      <w:sz w:val="18"/>
      <w:szCs w:val="20"/>
    </w:rPr>
  </w:style>
  <w:style w:type="paragraph" w:customStyle="1" w:styleId="406">
    <w:name w:val="正文文本 21"/>
    <w:basedOn w:val="1"/>
    <w:qFormat/>
    <w:uiPriority w:val="0"/>
    <w:pPr>
      <w:autoSpaceDE w:val="0"/>
      <w:autoSpaceDN w:val="0"/>
      <w:adjustRightInd w:val="0"/>
      <w:jc w:val="left"/>
    </w:pPr>
    <w:rPr>
      <w:rFonts w:ascii="宋体" w:hAnsi="Times New Roman"/>
      <w:kern w:val="0"/>
      <w:sz w:val="22"/>
      <w:szCs w:val="20"/>
    </w:rPr>
  </w:style>
  <w:style w:type="paragraph" w:customStyle="1" w:styleId="407">
    <w:name w:val="彩色列表 - 强调文字颜色 11"/>
    <w:basedOn w:val="1"/>
    <w:qFormat/>
    <w:uiPriority w:val="0"/>
    <w:pPr>
      <w:ind w:firstLine="420" w:firstLineChars="200"/>
    </w:pPr>
    <w:rPr>
      <w:rFonts w:ascii="Times New Roman" w:hAnsi="Times New Roman"/>
      <w:szCs w:val="24"/>
    </w:rPr>
  </w:style>
  <w:style w:type="paragraph" w:customStyle="1" w:styleId="408">
    <w:name w:val="封二"/>
    <w:basedOn w:val="214"/>
    <w:next w:val="214"/>
    <w:qFormat/>
    <w:uiPriority w:val="0"/>
    <w:pPr>
      <w:ind w:firstLine="0" w:firstLineChars="0"/>
      <w:jc w:val="center"/>
    </w:pPr>
    <w:rPr>
      <w:rFonts w:eastAsia="黑体"/>
      <w:b/>
      <w:sz w:val="36"/>
      <w:szCs w:val="36"/>
    </w:rPr>
  </w:style>
  <w:style w:type="paragraph" w:customStyle="1" w:styleId="409">
    <w:name w:val="表"/>
    <w:basedOn w:val="1"/>
    <w:qFormat/>
    <w:uiPriority w:val="0"/>
    <w:pPr>
      <w:spacing w:line="300" w:lineRule="auto"/>
      <w:jc w:val="center"/>
    </w:pPr>
    <w:rPr>
      <w:rFonts w:ascii="Times New Roman" w:hAnsi="Times New Roman"/>
      <w:szCs w:val="20"/>
    </w:rPr>
  </w:style>
  <w:style w:type="paragraph" w:customStyle="1" w:styleId="410">
    <w:name w:val="Char Char Char Char Char Char"/>
    <w:basedOn w:val="1"/>
    <w:qFormat/>
    <w:uiPriority w:val="0"/>
    <w:pPr>
      <w:adjustRightInd w:val="0"/>
      <w:spacing w:line="360" w:lineRule="auto"/>
    </w:pPr>
    <w:rPr>
      <w:rFonts w:ascii="Times New Roman" w:hAnsi="Times New Roman"/>
      <w:sz w:val="24"/>
      <w:szCs w:val="20"/>
    </w:rPr>
  </w:style>
  <w:style w:type="paragraph" w:customStyle="1" w:styleId="411">
    <w:name w:val="font7"/>
    <w:basedOn w:val="1"/>
    <w:qFormat/>
    <w:uiPriority w:val="0"/>
    <w:pPr>
      <w:widowControl/>
      <w:spacing w:before="100" w:beforeAutospacing="1" w:after="100" w:afterAutospacing="1"/>
      <w:jc w:val="left"/>
    </w:pPr>
    <w:rPr>
      <w:rFonts w:ascii="Times New Roman" w:hAnsi="Times New Roman"/>
      <w:kern w:val="0"/>
      <w:sz w:val="22"/>
      <w:szCs w:val="20"/>
    </w:rPr>
  </w:style>
  <w:style w:type="paragraph" w:customStyle="1" w:styleId="412">
    <w:name w:val="7"/>
    <w:basedOn w:val="1"/>
    <w:next w:val="48"/>
    <w:qFormat/>
    <w:uiPriority w:val="0"/>
    <w:pPr>
      <w:spacing w:before="120" w:after="120" w:line="480" w:lineRule="auto"/>
      <w:ind w:firstLine="454"/>
    </w:pPr>
    <w:rPr>
      <w:rFonts w:ascii="Times New Roman" w:hAnsi="Times New Roman"/>
      <w:szCs w:val="20"/>
    </w:rPr>
  </w:style>
  <w:style w:type="paragraph" w:customStyle="1" w:styleId="413">
    <w:name w:val="1"/>
    <w:basedOn w:val="1"/>
    <w:qFormat/>
    <w:uiPriority w:val="0"/>
    <w:rPr>
      <w:rFonts w:ascii="Times New Roman" w:hAnsi="Times New Roman"/>
      <w:szCs w:val="24"/>
    </w:rPr>
  </w:style>
  <w:style w:type="paragraph" w:customStyle="1" w:styleId="414">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415">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416">
    <w:name w:val="Paragraph Text"/>
    <w:basedOn w:val="1"/>
    <w:qFormat/>
    <w:uiPriority w:val="0"/>
    <w:pPr>
      <w:spacing w:line="320" w:lineRule="exact"/>
    </w:pPr>
    <w:rPr>
      <w:rFonts w:ascii="Beijing" w:hAnsi="Times New Roman" w:eastAsia="Times New Roman"/>
      <w:sz w:val="18"/>
      <w:szCs w:val="20"/>
    </w:rPr>
  </w:style>
  <w:style w:type="paragraph" w:customStyle="1" w:styleId="417">
    <w:name w:val="Char Char Char1 Char"/>
    <w:basedOn w:val="16"/>
    <w:qFormat/>
    <w:uiPriority w:val="0"/>
    <w:rPr>
      <w:rFonts w:ascii="Tahoma" w:hAnsi="Tahoma"/>
      <w:sz w:val="24"/>
    </w:rPr>
  </w:style>
  <w:style w:type="paragraph" w:customStyle="1" w:styleId="418">
    <w:name w:val="正文文本 211"/>
    <w:basedOn w:val="1"/>
    <w:qFormat/>
    <w:uiPriority w:val="0"/>
    <w:pPr>
      <w:autoSpaceDE w:val="0"/>
      <w:autoSpaceDN w:val="0"/>
      <w:adjustRightInd w:val="0"/>
      <w:jc w:val="left"/>
    </w:pPr>
    <w:rPr>
      <w:rFonts w:ascii="宋体" w:hAnsi="Times New Roman"/>
      <w:kern w:val="0"/>
      <w:sz w:val="22"/>
      <w:szCs w:val="20"/>
    </w:rPr>
  </w:style>
  <w:style w:type="paragraph" w:customStyle="1" w:styleId="41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420">
    <w:name w:val="Char Char Char Char Char Char Char Char1 Char"/>
    <w:basedOn w:val="1"/>
    <w:qFormat/>
    <w:uiPriority w:val="0"/>
    <w:rPr>
      <w:rFonts w:ascii="Times New Roman" w:hAnsi="Times New Roman"/>
      <w:szCs w:val="20"/>
    </w:rPr>
  </w:style>
  <w:style w:type="paragraph" w:customStyle="1" w:styleId="421">
    <w:name w:val="图中文字"/>
    <w:basedOn w:val="1"/>
    <w:qFormat/>
    <w:uiPriority w:val="0"/>
    <w:pPr>
      <w:jc w:val="center"/>
    </w:pPr>
    <w:rPr>
      <w:rFonts w:ascii="Arial" w:hAnsi="Arial"/>
      <w:szCs w:val="20"/>
    </w:rPr>
  </w:style>
  <w:style w:type="paragraph" w:customStyle="1" w:styleId="422">
    <w:name w:val="列出段落4"/>
    <w:basedOn w:val="1"/>
    <w:qFormat/>
    <w:uiPriority w:val="0"/>
    <w:pPr>
      <w:ind w:firstLine="420" w:firstLineChars="200"/>
    </w:pPr>
    <w:rPr>
      <w:rFonts w:ascii="Times New Roman" w:hAnsi="Times New Roman"/>
      <w:szCs w:val="20"/>
    </w:rPr>
  </w:style>
  <w:style w:type="paragraph" w:customStyle="1" w:styleId="423">
    <w:name w:val="正文 New New New"/>
    <w:qFormat/>
    <w:uiPriority w:val="0"/>
    <w:pPr>
      <w:widowControl w:val="0"/>
      <w:jc w:val="both"/>
    </w:pPr>
    <w:rPr>
      <w:rFonts w:ascii="Calibri" w:hAnsi="Calibri" w:eastAsia="宋体" w:cs="Times New Roman"/>
      <w:kern w:val="2"/>
      <w:sz w:val="21"/>
      <w:lang w:val="en-US" w:eastAsia="zh-CN" w:bidi="ar-SA"/>
    </w:rPr>
  </w:style>
  <w:style w:type="paragraph" w:customStyle="1" w:styleId="424">
    <w:name w:val="修订1"/>
    <w:qFormat/>
    <w:uiPriority w:val="99"/>
    <w:rPr>
      <w:rFonts w:ascii="Calibri" w:hAnsi="Calibri" w:eastAsia="宋体" w:cs="Times New Roman"/>
      <w:kern w:val="2"/>
      <w:sz w:val="21"/>
      <w:szCs w:val="24"/>
      <w:lang w:val="en-US" w:eastAsia="zh-CN" w:bidi="ar-SA"/>
    </w:rPr>
  </w:style>
  <w:style w:type="paragraph" w:customStyle="1" w:styleId="425">
    <w:name w:val="l2"/>
    <w:basedOn w:val="1"/>
    <w:qFormat/>
    <w:uiPriority w:val="0"/>
    <w:pPr>
      <w:keepLines/>
      <w:widowControl/>
      <w:spacing w:beforeLines="50" w:afterLines="50" w:line="300" w:lineRule="auto"/>
    </w:pPr>
    <w:rPr>
      <w:rFonts w:ascii="Arial" w:hAnsi="Arial"/>
      <w:szCs w:val="20"/>
    </w:rPr>
  </w:style>
  <w:style w:type="paragraph" w:customStyle="1" w:styleId="426">
    <w:name w:val="正文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7">
    <w:name w:val="样式13"/>
    <w:basedOn w:val="6"/>
    <w:qFormat/>
    <w:uiPriority w:val="0"/>
    <w:pPr>
      <w:spacing w:before="200" w:after="0" w:line="240" w:lineRule="auto"/>
    </w:pPr>
    <w:rPr>
      <w:rFonts w:ascii="Cambria" w:hAnsi="Cambria" w:eastAsia="宋体"/>
      <w:bCs w:val="0"/>
      <w:i/>
      <w:color w:val="4F81BD"/>
      <w:sz w:val="21"/>
      <w:szCs w:val="20"/>
    </w:rPr>
  </w:style>
  <w:style w:type="paragraph" w:customStyle="1" w:styleId="428">
    <w:name w:val="标题 1 New"/>
    <w:basedOn w:val="429"/>
    <w:next w:val="429"/>
    <w:qFormat/>
    <w:uiPriority w:val="0"/>
    <w:pPr>
      <w:keepNext/>
      <w:keepLines/>
      <w:spacing w:before="340" w:after="330" w:line="576" w:lineRule="auto"/>
      <w:outlineLvl w:val="0"/>
    </w:pPr>
    <w:rPr>
      <w:b/>
      <w:bCs/>
      <w:kern w:val="44"/>
      <w:sz w:val="44"/>
      <w:szCs w:val="44"/>
    </w:rPr>
  </w:style>
  <w:style w:type="paragraph" w:customStyle="1" w:styleId="429">
    <w:name w:val="正文 New"/>
    <w:qFormat/>
    <w:uiPriority w:val="0"/>
    <w:pPr>
      <w:widowControl w:val="0"/>
      <w:jc w:val="both"/>
    </w:pPr>
    <w:rPr>
      <w:rFonts w:ascii="Calibri" w:hAnsi="Calibri" w:eastAsia="宋体" w:cs="Times New Roman"/>
      <w:kern w:val="2"/>
      <w:sz w:val="30"/>
      <w:szCs w:val="24"/>
      <w:lang w:val="en-US" w:eastAsia="zh-CN" w:bidi="ar-SA"/>
    </w:rPr>
  </w:style>
  <w:style w:type="paragraph" w:customStyle="1" w:styleId="430">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1">
    <w:name w:val="默认段落字体 Para Char Char Char Char Char Char Char Char Char1 Char Char Char Char Char Char Char Char Char Char Char Char Char Char Char Char Char Char"/>
    <w:basedOn w:val="16"/>
    <w:qFormat/>
    <w:uiPriority w:val="0"/>
    <w:pPr>
      <w:ind w:firstLine="540" w:firstLineChars="225"/>
    </w:pPr>
    <w:rPr>
      <w:rFonts w:ascii="Tahoma" w:hAnsi="Tahoma"/>
      <w:kern w:val="2"/>
      <w:sz w:val="24"/>
      <w:szCs w:val="20"/>
    </w:rPr>
  </w:style>
  <w:style w:type="paragraph" w:customStyle="1" w:styleId="432">
    <w:name w:val="附图居中"/>
    <w:basedOn w:val="1"/>
    <w:next w:val="370"/>
    <w:qFormat/>
    <w:uiPriority w:val="0"/>
    <w:pPr>
      <w:spacing w:afterLines="50" w:line="360" w:lineRule="auto"/>
      <w:jc w:val="center"/>
    </w:pPr>
    <w:rPr>
      <w:rFonts w:ascii="宋体" w:hAnsi="宋体"/>
      <w:szCs w:val="20"/>
    </w:rPr>
  </w:style>
  <w:style w:type="paragraph" w:customStyle="1" w:styleId="433">
    <w:name w:val="正文缩进1"/>
    <w:basedOn w:val="1"/>
    <w:qFormat/>
    <w:uiPriority w:val="0"/>
    <w:pPr>
      <w:ind w:firstLine="567"/>
    </w:pPr>
    <w:rPr>
      <w:rFonts w:ascii="Times New Roman" w:hAnsi="Times New Roman"/>
      <w:spacing w:val="20"/>
      <w:sz w:val="24"/>
      <w:szCs w:val="20"/>
    </w:rPr>
  </w:style>
  <w:style w:type="paragraph" w:customStyle="1" w:styleId="434">
    <w:name w:val="正文文字3"/>
    <w:basedOn w:val="1"/>
    <w:next w:val="22"/>
    <w:qFormat/>
    <w:uiPriority w:val="0"/>
    <w:pPr>
      <w:spacing w:after="120"/>
      <w:ind w:left="420"/>
    </w:pPr>
    <w:rPr>
      <w:rFonts w:ascii="Times New Roman" w:hAnsi="Times New Roman"/>
      <w:szCs w:val="20"/>
    </w:rPr>
  </w:style>
  <w:style w:type="paragraph" w:customStyle="1" w:styleId="435">
    <w:name w:val="Style2"/>
    <w:basedOn w:val="2"/>
    <w:qFormat/>
    <w:uiPriority w:val="0"/>
    <w:pPr>
      <w:tabs>
        <w:tab w:val="left" w:pos="540"/>
      </w:tabs>
      <w:autoSpaceDE w:val="0"/>
      <w:autoSpaceDN w:val="0"/>
      <w:adjustRightInd w:val="0"/>
      <w:spacing w:before="200" w:after="0" w:line="360" w:lineRule="auto"/>
    </w:pPr>
    <w:rPr>
      <w:rFonts w:ascii="宋体" w:hAnsi="宋体" w:eastAsia="宋体"/>
      <w:bCs w:val="0"/>
      <w:color w:val="4F81BD"/>
      <w:sz w:val="21"/>
      <w:szCs w:val="20"/>
    </w:rPr>
  </w:style>
  <w:style w:type="paragraph" w:customStyle="1" w:styleId="436">
    <w:name w:val="素材2"/>
    <w:basedOn w:val="1"/>
    <w:qFormat/>
    <w:uiPriority w:val="0"/>
    <w:pPr>
      <w:snapToGrid w:val="0"/>
      <w:spacing w:line="500" w:lineRule="atLeast"/>
      <w:ind w:firstLine="567"/>
    </w:pPr>
    <w:rPr>
      <w:rFonts w:ascii="宋体" w:hAnsi="Times New Roman"/>
      <w:sz w:val="27"/>
      <w:szCs w:val="20"/>
    </w:rPr>
  </w:style>
  <w:style w:type="paragraph" w:customStyle="1" w:styleId="437">
    <w:name w:val="列出段落21"/>
    <w:basedOn w:val="1"/>
    <w:qFormat/>
    <w:uiPriority w:val="0"/>
    <w:pPr>
      <w:ind w:firstLine="420" w:firstLineChars="200"/>
    </w:pPr>
  </w:style>
  <w:style w:type="paragraph" w:customStyle="1" w:styleId="43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Times New Roman" w:hAnsi="Times New Roman"/>
      <w:kern w:val="0"/>
      <w:sz w:val="22"/>
      <w:szCs w:val="20"/>
    </w:rPr>
  </w:style>
  <w:style w:type="paragraph" w:customStyle="1" w:styleId="439">
    <w:name w:val="Char1 Char Char Char"/>
    <w:basedOn w:val="1"/>
    <w:qFormat/>
    <w:uiPriority w:val="0"/>
    <w:pPr>
      <w:widowControl/>
      <w:spacing w:after="160" w:line="240" w:lineRule="exact"/>
      <w:ind w:firstLine="200" w:firstLineChars="200"/>
      <w:jc w:val="left"/>
    </w:pPr>
    <w:rPr>
      <w:rFonts w:ascii="Times New Roman" w:hAnsi="Times New Roman"/>
      <w:szCs w:val="20"/>
    </w:rPr>
  </w:style>
  <w:style w:type="paragraph" w:customStyle="1" w:styleId="440">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41">
    <w:name w:val="列出段落5"/>
    <w:basedOn w:val="1"/>
    <w:qFormat/>
    <w:uiPriority w:val="34"/>
    <w:rPr>
      <w:sz w:val="20"/>
      <w:szCs w:val="20"/>
    </w:rPr>
  </w:style>
  <w:style w:type="paragraph" w:customStyle="1" w:styleId="442">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443">
    <w:name w:val="样式 正文缩进 + 首行缩进:  2 字符"/>
    <w:basedOn w:val="8"/>
    <w:qFormat/>
    <w:uiPriority w:val="0"/>
    <w:pPr>
      <w:spacing w:line="360" w:lineRule="auto"/>
      <w:ind w:firstLine="480"/>
    </w:pPr>
    <w:rPr>
      <w:sz w:val="24"/>
      <w:szCs w:val="20"/>
    </w:rPr>
  </w:style>
  <w:style w:type="paragraph" w:customStyle="1" w:styleId="444">
    <w:name w:val="正文缩进2"/>
    <w:basedOn w:val="1"/>
    <w:qFormat/>
    <w:uiPriority w:val="0"/>
    <w:pPr>
      <w:ind w:firstLine="420" w:firstLineChars="200"/>
    </w:pPr>
    <w:rPr>
      <w:sz w:val="30"/>
      <w:szCs w:val="24"/>
    </w:rPr>
  </w:style>
  <w:style w:type="paragraph" w:customStyle="1" w:styleId="445">
    <w:name w:val="标题 2 New"/>
    <w:basedOn w:val="446"/>
    <w:next w:val="446"/>
    <w:qFormat/>
    <w:uiPriority w:val="0"/>
    <w:pPr>
      <w:keepNext/>
      <w:keepLines/>
      <w:spacing w:before="260" w:after="260" w:line="416" w:lineRule="auto"/>
      <w:outlineLvl w:val="1"/>
    </w:pPr>
    <w:rPr>
      <w:rFonts w:ascii="Arial" w:hAnsi="Arial" w:eastAsia="仿宋_GB2312"/>
      <w:b/>
      <w:bCs/>
      <w:sz w:val="32"/>
    </w:rPr>
  </w:style>
  <w:style w:type="paragraph" w:customStyle="1" w:styleId="446">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47">
    <w:name w:val="正文列表"/>
    <w:basedOn w:val="1"/>
    <w:qFormat/>
    <w:uiPriority w:val="0"/>
    <w:pPr>
      <w:spacing w:after="120"/>
    </w:pPr>
    <w:rPr>
      <w:rFonts w:ascii="Times New Roman" w:hAnsi="Times New Roman"/>
      <w:sz w:val="24"/>
      <w:szCs w:val="20"/>
      <w:lang w:eastAsia="zh-TW"/>
    </w:rPr>
  </w:style>
  <w:style w:type="paragraph" w:customStyle="1" w:styleId="448">
    <w:name w:val="一般文字"/>
    <w:basedOn w:val="1"/>
    <w:next w:val="1"/>
    <w:qFormat/>
    <w:uiPriority w:val="0"/>
    <w:pPr>
      <w:autoSpaceDE w:val="0"/>
      <w:autoSpaceDN w:val="0"/>
      <w:adjustRightInd w:val="0"/>
    </w:pPr>
    <w:rPr>
      <w:rFonts w:ascii="Arial" w:hAnsi="Arial"/>
      <w:sz w:val="20"/>
      <w:szCs w:val="20"/>
    </w:rPr>
  </w:style>
  <w:style w:type="paragraph" w:customStyle="1" w:styleId="449">
    <w:name w:val="样式6"/>
    <w:basedOn w:val="4"/>
    <w:qFormat/>
    <w:uiPriority w:val="0"/>
    <w:pPr>
      <w:spacing w:before="260" w:after="200" w:line="360" w:lineRule="auto"/>
    </w:pPr>
    <w:rPr>
      <w:bCs w:val="0"/>
      <w:color w:val="000000"/>
      <w:kern w:val="2"/>
      <w:sz w:val="24"/>
      <w:szCs w:val="20"/>
    </w:rPr>
  </w:style>
  <w:style w:type="paragraph" w:customStyle="1" w:styleId="450">
    <w:name w:val="样式9"/>
    <w:basedOn w:val="121"/>
    <w:qFormat/>
    <w:uiPriority w:val="0"/>
    <w:pPr>
      <w:suppressAutoHyphens/>
      <w:spacing w:before="100" w:beforeAutospacing="1" w:after="100" w:afterAutospacing="1" w:line="360" w:lineRule="auto"/>
      <w:ind w:firstLine="454"/>
      <w:jc w:val="both"/>
    </w:pPr>
    <w:rPr>
      <w:kern w:val="2"/>
      <w:sz w:val="21"/>
    </w:rPr>
  </w:style>
  <w:style w:type="paragraph" w:customStyle="1" w:styleId="451">
    <w:name w:val="样式 附图标题 + 段后: 1 行"/>
    <w:basedOn w:val="1"/>
    <w:qFormat/>
    <w:uiPriority w:val="0"/>
    <w:pPr>
      <w:keepNext/>
      <w:tabs>
        <w:tab w:val="left" w:pos="720"/>
      </w:tabs>
      <w:spacing w:after="240"/>
      <w:jc w:val="center"/>
    </w:pPr>
    <w:rPr>
      <w:rFonts w:ascii="Arial" w:hAnsi="Arial" w:eastAsia="黑体"/>
      <w:b/>
      <w:sz w:val="18"/>
      <w:szCs w:val="20"/>
    </w:rPr>
  </w:style>
  <w:style w:type="paragraph" w:customStyle="1" w:styleId="452">
    <w:name w:val="正文 New New New New New New New New New New New New New New New New New New New New New New New New New New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453">
    <w:name w:val="Table Heading"/>
    <w:basedOn w:val="1"/>
    <w:qFormat/>
    <w:uiPriority w:val="0"/>
    <w:pPr>
      <w:widowControl/>
      <w:jc w:val="center"/>
    </w:pPr>
    <w:rPr>
      <w:rFonts w:ascii="Arial" w:hAnsi="Arial"/>
      <w:b/>
      <w:kern w:val="0"/>
      <w:sz w:val="18"/>
      <w:szCs w:val="20"/>
    </w:rPr>
  </w:style>
  <w:style w:type="paragraph" w:customStyle="1" w:styleId="454">
    <w:name w:val="样式12"/>
    <w:basedOn w:val="1"/>
    <w:qFormat/>
    <w:uiPriority w:val="0"/>
    <w:rPr>
      <w:rFonts w:ascii="Times New Roman" w:hAnsi="Times New Roman"/>
      <w:szCs w:val="20"/>
    </w:rPr>
  </w:style>
  <w:style w:type="paragraph" w:customStyle="1" w:styleId="45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2"/>
      <w:szCs w:val="20"/>
    </w:rPr>
  </w:style>
  <w:style w:type="paragraph" w:customStyle="1" w:styleId="456">
    <w:name w:val="签名 - 公司"/>
    <w:basedOn w:val="36"/>
    <w:next w:val="457"/>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57">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458">
    <w:name w:val="文档结构图2"/>
    <w:basedOn w:val="1"/>
    <w:qFormat/>
    <w:uiPriority w:val="0"/>
    <w:pPr>
      <w:shd w:val="clear" w:color="auto" w:fill="000080"/>
    </w:pPr>
    <w:rPr>
      <w:rFonts w:ascii="Times New Roman" w:hAnsi="Times New Roman"/>
      <w:sz w:val="30"/>
      <w:szCs w:val="24"/>
    </w:rPr>
  </w:style>
  <w:style w:type="paragraph" w:customStyle="1" w:styleId="459">
    <w:name w:val="样式 标题 2 + 宋体"/>
    <w:basedOn w:val="2"/>
    <w:qFormat/>
    <w:uiPriority w:val="0"/>
    <w:pPr>
      <w:keepNext w:val="0"/>
      <w:keepLines w:val="0"/>
      <w:spacing w:before="100" w:beforeAutospacing="1" w:after="100" w:afterAutospacing="1" w:line="360" w:lineRule="auto"/>
    </w:pPr>
    <w:rPr>
      <w:rFonts w:ascii="宋体" w:hAnsi="宋体" w:eastAsia="宋体"/>
      <w:color w:val="000000"/>
      <w:sz w:val="30"/>
      <w:szCs w:val="24"/>
    </w:rPr>
  </w:style>
  <w:style w:type="paragraph" w:customStyle="1" w:styleId="460">
    <w:name w:val="纯文本 New"/>
    <w:basedOn w:val="461"/>
    <w:qFormat/>
    <w:uiPriority w:val="0"/>
    <w:rPr>
      <w:rFonts w:ascii="宋体" w:hAnsi="Courier New"/>
      <w:sz w:val="24"/>
      <w:szCs w:val="20"/>
    </w:rPr>
  </w:style>
  <w:style w:type="paragraph" w:customStyle="1" w:styleId="461">
    <w:name w:val="正文 New New"/>
    <w:qFormat/>
    <w:uiPriority w:val="0"/>
    <w:pPr>
      <w:widowControl w:val="0"/>
      <w:jc w:val="both"/>
    </w:pPr>
    <w:rPr>
      <w:rFonts w:ascii="Calibri" w:hAnsi="Calibri" w:eastAsia="宋体" w:cs="Times New Roman"/>
      <w:kern w:val="2"/>
      <w:sz w:val="30"/>
      <w:szCs w:val="24"/>
      <w:lang w:val="en-US" w:eastAsia="zh-CN" w:bidi="ar-SA"/>
    </w:rPr>
  </w:style>
  <w:style w:type="paragraph" w:customStyle="1" w:styleId="462">
    <w:name w:val="Char Char Char Char Char Char2 Char3"/>
    <w:basedOn w:val="1"/>
    <w:qFormat/>
    <w:uiPriority w:val="0"/>
    <w:pPr>
      <w:spacing w:line="360" w:lineRule="auto"/>
      <w:ind w:firstLine="200" w:firstLineChars="200"/>
    </w:pPr>
    <w:rPr>
      <w:rFonts w:ascii="宋体" w:hAnsi="宋体" w:cs="宋体"/>
      <w:sz w:val="24"/>
      <w:szCs w:val="24"/>
    </w:rPr>
  </w:style>
  <w:style w:type="paragraph" w:customStyle="1" w:styleId="463">
    <w:name w:val="列出段落211"/>
    <w:basedOn w:val="1"/>
    <w:qFormat/>
    <w:uiPriority w:val="0"/>
    <w:pPr>
      <w:ind w:firstLine="420" w:firstLineChars="200"/>
    </w:pPr>
  </w:style>
  <w:style w:type="paragraph" w:customStyle="1" w:styleId="464">
    <w:name w:val="条文1"/>
    <w:basedOn w:val="1"/>
    <w:qFormat/>
    <w:uiPriority w:val="0"/>
    <w:pPr>
      <w:tabs>
        <w:tab w:val="left" w:pos="2565"/>
      </w:tabs>
      <w:spacing w:line="360" w:lineRule="auto"/>
      <w:ind w:left="1845"/>
    </w:pPr>
    <w:rPr>
      <w:rFonts w:ascii="MS UI Gothic" w:hAnsi="MS UI Gothic"/>
      <w:bCs/>
      <w:kern w:val="44"/>
      <w:sz w:val="24"/>
      <w:szCs w:val="44"/>
    </w:rPr>
  </w:style>
  <w:style w:type="paragraph" w:customStyle="1" w:styleId="465">
    <w:name w:val="修订2"/>
    <w:qFormat/>
    <w:uiPriority w:val="0"/>
    <w:rPr>
      <w:rFonts w:ascii="Calibri" w:hAnsi="Calibri" w:eastAsia="宋体" w:cs="Times New Roman"/>
      <w:kern w:val="2"/>
      <w:sz w:val="21"/>
      <w:szCs w:val="24"/>
      <w:lang w:val="en-US" w:eastAsia="zh-CN" w:bidi="ar-SA"/>
    </w:rPr>
  </w:style>
  <w:style w:type="paragraph" w:customStyle="1" w:styleId="466">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4"/>
      <w:szCs w:val="24"/>
      <w:lang w:eastAsia="en-US"/>
    </w:rPr>
  </w:style>
  <w:style w:type="paragraph" w:customStyle="1" w:styleId="467">
    <w:name w:val="页脚 New New New New"/>
    <w:basedOn w:val="468"/>
    <w:qFormat/>
    <w:uiPriority w:val="0"/>
    <w:pPr>
      <w:tabs>
        <w:tab w:val="center" w:pos="4153"/>
        <w:tab w:val="right" w:pos="8306"/>
      </w:tabs>
      <w:snapToGrid w:val="0"/>
      <w:jc w:val="left"/>
    </w:pPr>
    <w:rPr>
      <w:sz w:val="18"/>
      <w:szCs w:val="18"/>
    </w:rPr>
  </w:style>
  <w:style w:type="paragraph" w:customStyle="1" w:styleId="468">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9">
    <w:name w:val="正文文本缩进1"/>
    <w:basedOn w:val="1"/>
    <w:qFormat/>
    <w:uiPriority w:val="0"/>
    <w:pPr>
      <w:ind w:firstLine="480"/>
    </w:pPr>
    <w:rPr>
      <w:sz w:val="24"/>
      <w:szCs w:val="20"/>
    </w:rPr>
  </w:style>
  <w:style w:type="paragraph" w:customStyle="1" w:styleId="470">
    <w:name w:val="WW-普通文字 Char Char"/>
    <w:basedOn w:val="1"/>
    <w:qFormat/>
    <w:uiPriority w:val="0"/>
    <w:pPr>
      <w:suppressAutoHyphens/>
    </w:pPr>
    <w:rPr>
      <w:rFonts w:ascii="宋体" w:hAnsi="宋体"/>
      <w:kern w:val="1"/>
      <w:szCs w:val="20"/>
      <w:lang w:eastAsia="ar-SA"/>
    </w:rPr>
  </w:style>
  <w:style w:type="paragraph" w:customStyle="1" w:styleId="471">
    <w:name w:val="明显引用1"/>
    <w:basedOn w:val="1"/>
    <w:next w:val="1"/>
    <w:qFormat/>
    <w:uiPriority w:val="0"/>
    <w:pPr>
      <w:pBdr>
        <w:bottom w:val="single" w:color="4F81BD" w:sz="4" w:space="4"/>
      </w:pBdr>
      <w:spacing w:before="200" w:after="280"/>
      <w:ind w:left="936" w:right="936"/>
    </w:pPr>
    <w:rPr>
      <w:rFonts w:ascii="Times New Roman" w:hAnsi="Times New Roman"/>
      <w:b/>
      <w:i/>
      <w:color w:val="4F81BD"/>
      <w:kern w:val="0"/>
      <w:sz w:val="20"/>
      <w:szCs w:val="20"/>
    </w:rPr>
  </w:style>
  <w:style w:type="paragraph" w:customStyle="1" w:styleId="472">
    <w:name w:val="itemlist"/>
    <w:basedOn w:val="1"/>
    <w:qFormat/>
    <w:uiPriority w:val="0"/>
    <w:pPr>
      <w:spacing w:before="100" w:beforeAutospacing="1" w:after="100" w:afterAutospacing="1" w:line="240" w:lineRule="atLeast"/>
    </w:pPr>
    <w:rPr>
      <w:rFonts w:ascii="宋体" w:hAnsi="宋体"/>
      <w:sz w:val="18"/>
      <w:szCs w:val="20"/>
    </w:rPr>
  </w:style>
  <w:style w:type="paragraph" w:customStyle="1" w:styleId="473">
    <w:name w:val="四级无标题条"/>
    <w:basedOn w:val="1"/>
    <w:qFormat/>
    <w:uiPriority w:val="0"/>
    <w:pPr>
      <w:ind w:left="2520" w:hanging="420"/>
    </w:pPr>
    <w:rPr>
      <w:rFonts w:ascii="Times New Roman" w:hAnsi="Times New Roman"/>
      <w:szCs w:val="24"/>
    </w:rPr>
  </w:style>
  <w:style w:type="paragraph" w:customStyle="1" w:styleId="474">
    <w:name w:val="正文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75">
    <w:name w:val="0"/>
    <w:basedOn w:val="1"/>
    <w:unhideWhenUsed/>
    <w:qFormat/>
    <w:uiPriority w:val="99"/>
    <w:pPr>
      <w:widowControl/>
      <w:snapToGrid w:val="0"/>
    </w:pPr>
    <w:rPr>
      <w:rFonts w:hint="eastAsia" w:ascii="Times New Roman" w:hAnsi="Times New Roman"/>
      <w:szCs w:val="20"/>
    </w:rPr>
  </w:style>
  <w:style w:type="paragraph" w:customStyle="1" w:styleId="476">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477">
    <w:name w:val="黑"/>
    <w:basedOn w:val="1"/>
    <w:qFormat/>
    <w:uiPriority w:val="0"/>
    <w:pPr>
      <w:spacing w:line="360" w:lineRule="auto"/>
    </w:pPr>
    <w:rPr>
      <w:rFonts w:ascii="Times New Roman" w:hAnsi="Times New Roman"/>
      <w:b/>
      <w:sz w:val="24"/>
      <w:szCs w:val="20"/>
    </w:rPr>
  </w:style>
  <w:style w:type="paragraph" w:customStyle="1" w:styleId="478">
    <w:name w:val="Table Bold"/>
    <w:basedOn w:val="479"/>
    <w:qFormat/>
    <w:uiPriority w:val="0"/>
    <w:pPr>
      <w:widowControl w:val="0"/>
      <w:spacing w:before="40" w:after="40" w:line="240" w:lineRule="exact"/>
      <w:ind w:right="113"/>
      <w:jc w:val="both"/>
    </w:pPr>
    <w:rPr>
      <w:b/>
      <w:snapToGrid/>
      <w:kern w:val="2"/>
    </w:rPr>
  </w:style>
  <w:style w:type="paragraph" w:customStyle="1" w:styleId="479">
    <w:name w:val="Table Body"/>
    <w:basedOn w:val="1"/>
    <w:qFormat/>
    <w:uiPriority w:val="0"/>
    <w:pPr>
      <w:widowControl/>
      <w:jc w:val="center"/>
    </w:pPr>
    <w:rPr>
      <w:rFonts w:ascii="Arial" w:hAnsi="Arial"/>
      <w:snapToGrid w:val="0"/>
      <w:kern w:val="0"/>
      <w:sz w:val="18"/>
      <w:szCs w:val="20"/>
    </w:rPr>
  </w:style>
  <w:style w:type="paragraph" w:customStyle="1" w:styleId="480">
    <w:name w:val="标句6"/>
    <w:basedOn w:val="1"/>
    <w:qFormat/>
    <w:uiPriority w:val="0"/>
    <w:pPr>
      <w:snapToGrid w:val="0"/>
      <w:spacing w:line="500" w:lineRule="atLeast"/>
      <w:ind w:left="1418" w:hanging="284"/>
      <w:jc w:val="center"/>
    </w:pPr>
    <w:rPr>
      <w:rFonts w:ascii="宋体" w:hAnsi="Times New Roman"/>
      <w:kern w:val="52"/>
      <w:sz w:val="27"/>
      <w:szCs w:val="20"/>
    </w:rPr>
  </w:style>
  <w:style w:type="paragraph" w:customStyle="1" w:styleId="481">
    <w:name w:val="封一"/>
    <w:basedOn w:val="214"/>
    <w:next w:val="214"/>
    <w:qFormat/>
    <w:uiPriority w:val="0"/>
    <w:pPr>
      <w:ind w:firstLine="0" w:firstLineChars="0"/>
      <w:jc w:val="center"/>
    </w:pPr>
    <w:rPr>
      <w:rFonts w:eastAsia="黑体"/>
      <w:b/>
      <w:sz w:val="84"/>
      <w:szCs w:val="84"/>
    </w:rPr>
  </w:style>
  <w:style w:type="paragraph" w:customStyle="1" w:styleId="482">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3">
    <w:name w:val="正文样式 首行缩进:  0.74 厘米"/>
    <w:basedOn w:val="1"/>
    <w:qFormat/>
    <w:uiPriority w:val="0"/>
    <w:pPr>
      <w:spacing w:line="360" w:lineRule="auto"/>
      <w:ind w:left="-108" w:leftChars="-60" w:right="72" w:firstLine="200" w:firstLineChars="200"/>
    </w:pPr>
    <w:rPr>
      <w:rFonts w:ascii="Times New Roman" w:hAnsi="Times New Roman"/>
      <w:color w:val="000000"/>
      <w:sz w:val="24"/>
      <w:szCs w:val="20"/>
    </w:rPr>
  </w:style>
  <w:style w:type="paragraph" w:customStyle="1" w:styleId="484">
    <w:name w:val="纯文本1"/>
    <w:basedOn w:val="1"/>
    <w:qFormat/>
    <w:uiPriority w:val="0"/>
    <w:rPr>
      <w:rFonts w:ascii="宋体" w:hAnsi="Courier New"/>
      <w:sz w:val="24"/>
      <w:szCs w:val="20"/>
    </w:rPr>
  </w:style>
  <w:style w:type="paragraph" w:customStyle="1" w:styleId="485">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486">
    <w:name w:val="正文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87">
    <w:name w:val="明显引用11"/>
    <w:basedOn w:val="1"/>
    <w:next w:val="1"/>
    <w:qFormat/>
    <w:uiPriority w:val="0"/>
    <w:pPr>
      <w:pBdr>
        <w:bottom w:val="single" w:color="4F81BD" w:sz="4" w:space="4"/>
      </w:pBdr>
      <w:spacing w:before="200" w:after="280"/>
      <w:ind w:left="936" w:right="936"/>
    </w:pPr>
    <w:rPr>
      <w:rFonts w:cs="黑体"/>
      <w:b/>
      <w:i/>
      <w:color w:val="4F81BD"/>
    </w:rPr>
  </w:style>
  <w:style w:type="paragraph" w:customStyle="1" w:styleId="488">
    <w:name w:val="Xie图文中"/>
    <w:qFormat/>
    <w:uiPriority w:val="0"/>
    <w:pPr>
      <w:widowControl w:val="0"/>
      <w:adjustRightInd w:val="0"/>
      <w:snapToGrid w:val="0"/>
      <w:spacing w:after="200" w:line="276" w:lineRule="auto"/>
      <w:jc w:val="center"/>
    </w:pPr>
    <w:rPr>
      <w:rFonts w:ascii="Calibri" w:hAnsi="Calibri" w:eastAsia="仿宋_GB2312" w:cs="Times New Roman"/>
      <w:sz w:val="24"/>
      <w:lang w:val="en-US" w:eastAsia="zh-CN" w:bidi="ar-SA"/>
    </w:rPr>
  </w:style>
  <w:style w:type="paragraph" w:customStyle="1" w:styleId="48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kern w:val="0"/>
      <w:szCs w:val="20"/>
    </w:rPr>
  </w:style>
  <w:style w:type="paragraph" w:customStyle="1" w:styleId="490">
    <w:name w:val="素材6"/>
    <w:basedOn w:val="1"/>
    <w:qFormat/>
    <w:uiPriority w:val="0"/>
    <w:pPr>
      <w:snapToGrid w:val="0"/>
      <w:spacing w:line="500" w:lineRule="atLeast"/>
      <w:ind w:left="1418"/>
    </w:pPr>
    <w:rPr>
      <w:rFonts w:ascii="宋体" w:hAnsi="Times New Roman"/>
      <w:kern w:val="52"/>
      <w:sz w:val="27"/>
      <w:szCs w:val="20"/>
    </w:rPr>
  </w:style>
  <w:style w:type="paragraph" w:customStyle="1" w:styleId="491">
    <w:name w:val="素材5"/>
    <w:basedOn w:val="1"/>
    <w:qFormat/>
    <w:uiPriority w:val="0"/>
    <w:pPr>
      <w:snapToGrid w:val="0"/>
      <w:spacing w:line="500" w:lineRule="atLeast"/>
      <w:ind w:left="1111"/>
    </w:pPr>
    <w:rPr>
      <w:rFonts w:ascii="宋体" w:hAnsi="Times New Roman"/>
      <w:kern w:val="28"/>
      <w:sz w:val="27"/>
      <w:szCs w:val="20"/>
    </w:rPr>
  </w:style>
  <w:style w:type="paragraph" w:customStyle="1" w:styleId="492">
    <w:name w:val="章节三"/>
    <w:basedOn w:val="214"/>
    <w:next w:val="214"/>
    <w:qFormat/>
    <w:uiPriority w:val="0"/>
    <w:pPr>
      <w:spacing w:beforeLines="50" w:afterLines="50" w:line="240" w:lineRule="auto"/>
      <w:ind w:firstLine="0" w:firstLineChars="0"/>
      <w:jc w:val="left"/>
      <w:outlineLvl w:val="2"/>
    </w:pPr>
    <w:rPr>
      <w:rFonts w:ascii="黑体" w:hAnsi="宋体" w:eastAsia="黑体"/>
      <w:b/>
    </w:rPr>
  </w:style>
  <w:style w:type="paragraph" w:customStyle="1" w:styleId="493">
    <w:name w:val="无间隔111"/>
    <w:qFormat/>
    <w:uiPriority w:val="0"/>
    <w:pPr>
      <w:spacing w:after="200" w:line="276" w:lineRule="auto"/>
    </w:pPr>
    <w:rPr>
      <w:rFonts w:ascii="Calibri" w:hAnsi="Calibri" w:eastAsia="宋体" w:cs="Times New Roman"/>
      <w:sz w:val="22"/>
      <w:lang w:val="en-US" w:eastAsia="en-US" w:bidi="ar-SA"/>
    </w:rPr>
  </w:style>
  <w:style w:type="paragraph" w:customStyle="1" w:styleId="494">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495">
    <w:name w:val="正文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6">
    <w:name w:val="正文首行缩进1"/>
    <w:basedOn w:val="21"/>
    <w:qFormat/>
    <w:uiPriority w:val="0"/>
    <w:pPr>
      <w:ind w:firstLine="420" w:firstLineChars="100"/>
    </w:pPr>
    <w:rPr>
      <w:sz w:val="30"/>
      <w:szCs w:val="24"/>
    </w:rPr>
  </w:style>
  <w:style w:type="paragraph" w:customStyle="1" w:styleId="497">
    <w:name w:val="引用11"/>
    <w:basedOn w:val="1"/>
    <w:next w:val="1"/>
    <w:qFormat/>
    <w:uiPriority w:val="0"/>
    <w:rPr>
      <w:rFonts w:cs="黑体"/>
      <w:i/>
      <w:color w:val="000000"/>
    </w:rPr>
  </w:style>
  <w:style w:type="paragraph" w:customStyle="1" w:styleId="498">
    <w:name w:val="样式 标题 3 + (西文) Arial (中文) 黑体 四号 非加粗"/>
    <w:basedOn w:val="5"/>
    <w:qFormat/>
    <w:uiPriority w:val="0"/>
    <w:pPr>
      <w:spacing w:before="0" w:after="0" w:line="360" w:lineRule="auto"/>
      <w:ind w:firstLine="0" w:firstLineChars="0"/>
    </w:pPr>
    <w:rPr>
      <w:bCs w:val="0"/>
      <w:color w:val="4F81BD"/>
      <w:sz w:val="21"/>
      <w:szCs w:val="20"/>
    </w:rPr>
  </w:style>
  <w:style w:type="paragraph" w:customStyle="1" w:styleId="499">
    <w:name w:val="样式2"/>
    <w:basedOn w:val="5"/>
    <w:qFormat/>
    <w:uiPriority w:val="0"/>
    <w:rPr>
      <w:i/>
    </w:rPr>
  </w:style>
  <w:style w:type="paragraph" w:customStyle="1" w:styleId="500">
    <w:name w:val="列出段落3"/>
    <w:basedOn w:val="1"/>
    <w:qFormat/>
    <w:uiPriority w:val="0"/>
    <w:pPr>
      <w:widowControl/>
      <w:spacing w:after="200" w:line="276" w:lineRule="auto"/>
      <w:ind w:left="720"/>
      <w:jc w:val="left"/>
    </w:pPr>
    <w:rPr>
      <w:kern w:val="0"/>
      <w:sz w:val="22"/>
      <w:lang w:eastAsia="en-US"/>
    </w:rPr>
  </w:style>
  <w:style w:type="paragraph" w:customStyle="1" w:styleId="501">
    <w:name w:val="正文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2">
    <w:name w:val="正文文本缩进 211"/>
    <w:basedOn w:val="1"/>
    <w:qFormat/>
    <w:uiPriority w:val="0"/>
    <w:pPr>
      <w:spacing w:line="420" w:lineRule="exact"/>
      <w:ind w:firstLine="480"/>
    </w:pPr>
    <w:rPr>
      <w:rFonts w:ascii="Times New Roman" w:hAnsi="Times New Roman"/>
      <w:b/>
      <w:sz w:val="24"/>
      <w:szCs w:val="20"/>
    </w:rPr>
  </w:style>
  <w:style w:type="paragraph" w:customStyle="1" w:styleId="503">
    <w:name w:val="正文首行缩进2"/>
    <w:basedOn w:val="21"/>
    <w:qFormat/>
    <w:uiPriority w:val="0"/>
    <w:pPr>
      <w:ind w:firstLine="420" w:firstLineChars="100"/>
    </w:pPr>
    <w:rPr>
      <w:sz w:val="30"/>
      <w:szCs w:val="24"/>
    </w:rPr>
  </w:style>
  <w:style w:type="paragraph" w:customStyle="1" w:styleId="504">
    <w:name w:val="Char5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5">
    <w:name w:val="正文（2）"/>
    <w:qFormat/>
    <w:uiPriority w:val="0"/>
    <w:pPr>
      <w:spacing w:line="560" w:lineRule="exact"/>
      <w:ind w:firstLine="200" w:firstLineChars="200"/>
    </w:pPr>
    <w:rPr>
      <w:rFonts w:ascii="宋体" w:hAnsi="Calibri" w:eastAsia="宋体" w:cs="Times New Roman"/>
      <w:snapToGrid w:val="0"/>
      <w:spacing w:val="10"/>
      <w:sz w:val="24"/>
      <w:lang w:val="en-US" w:eastAsia="zh-CN" w:bidi="ar-SA"/>
    </w:rPr>
  </w:style>
  <w:style w:type="paragraph" w:customStyle="1" w:styleId="506">
    <w:name w:val="正文 New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507">
    <w:name w:val="正文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08">
    <w:name w:val="正文文本缩进2"/>
    <w:basedOn w:val="1"/>
    <w:qFormat/>
    <w:uiPriority w:val="0"/>
    <w:pPr>
      <w:ind w:firstLine="480"/>
    </w:pPr>
    <w:rPr>
      <w:sz w:val="24"/>
      <w:szCs w:val="20"/>
    </w:rPr>
  </w:style>
  <w:style w:type="paragraph" w:customStyle="1" w:styleId="509">
    <w:name w:val="正文缩进 New"/>
    <w:basedOn w:val="446"/>
    <w:qFormat/>
    <w:uiPriority w:val="0"/>
    <w:pPr>
      <w:ind w:firstLine="420"/>
    </w:pPr>
    <w:rPr>
      <w:rFonts w:ascii="Times New Roman" w:hAnsi="Times New Roman" w:cs="Times New Roman"/>
      <w:snapToGrid/>
      <w:kern w:val="2"/>
      <w:szCs w:val="20"/>
    </w:rPr>
  </w:style>
  <w:style w:type="paragraph" w:customStyle="1" w:styleId="510">
    <w:name w:val="Char Char Char Char Char Char Char Char1 Char1"/>
    <w:basedOn w:val="1"/>
    <w:qFormat/>
    <w:uiPriority w:val="0"/>
    <w:rPr>
      <w:rFonts w:ascii="Times New Roman" w:hAnsi="Times New Roman"/>
      <w:szCs w:val="20"/>
    </w:rPr>
  </w:style>
  <w:style w:type="paragraph" w:customStyle="1" w:styleId="511">
    <w:name w:val="缺省文本"/>
    <w:basedOn w:val="1"/>
    <w:qFormat/>
    <w:uiPriority w:val="0"/>
    <w:pPr>
      <w:overflowPunct w:val="0"/>
      <w:autoSpaceDE w:val="0"/>
      <w:autoSpaceDN w:val="0"/>
      <w:adjustRightInd w:val="0"/>
      <w:textAlignment w:val="baseline"/>
    </w:pPr>
    <w:rPr>
      <w:rFonts w:ascii="Times New Roman" w:hAnsi="Times New Roman"/>
      <w:sz w:val="24"/>
      <w:szCs w:val="20"/>
    </w:rPr>
  </w:style>
  <w:style w:type="paragraph" w:customStyle="1" w:styleId="512">
    <w:name w:val="Char1 Char Char Char Char Char Char1"/>
    <w:basedOn w:val="1"/>
    <w:qFormat/>
    <w:uiPriority w:val="0"/>
    <w:rPr>
      <w:rFonts w:ascii="Times New Roman" w:hAnsi="Times New Roman"/>
      <w:sz w:val="24"/>
      <w:szCs w:val="24"/>
    </w:rPr>
  </w:style>
  <w:style w:type="paragraph" w:customStyle="1" w:styleId="513">
    <w:name w:val="Table Text"/>
    <w:qFormat/>
    <w:uiPriority w:val="0"/>
    <w:pPr>
      <w:snapToGrid w:val="0"/>
      <w:spacing w:before="80" w:after="80" w:line="276" w:lineRule="auto"/>
    </w:pPr>
    <w:rPr>
      <w:rFonts w:ascii="Arial" w:hAnsi="Arial" w:eastAsia="宋体" w:cs="Times New Roman"/>
      <w:sz w:val="18"/>
      <w:lang w:val="en-US" w:eastAsia="zh-CN" w:bidi="ar-SA"/>
    </w:rPr>
  </w:style>
  <w:style w:type="paragraph" w:customStyle="1" w:styleId="514">
    <w:name w:val="样式4"/>
    <w:basedOn w:val="1"/>
    <w:qFormat/>
    <w:uiPriority w:val="0"/>
    <w:pPr>
      <w:tabs>
        <w:tab w:val="left" w:pos="1984"/>
      </w:tabs>
      <w:ind w:left="1984" w:hanging="708"/>
    </w:pPr>
    <w:rPr>
      <w:rFonts w:ascii="Times New Roman" w:hAnsi="Times New Roman"/>
      <w:szCs w:val="24"/>
    </w:rPr>
  </w:style>
  <w:style w:type="paragraph" w:customStyle="1" w:styleId="51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51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517">
    <w:name w:val="修订21"/>
    <w:semiHidden/>
    <w:qFormat/>
    <w:uiPriority w:val="99"/>
    <w:rPr>
      <w:rFonts w:ascii="Calibri" w:hAnsi="Calibri" w:eastAsia="宋体" w:cs="Times New Roman"/>
      <w:szCs w:val="24"/>
      <w:lang w:val="en-US" w:eastAsia="zh-CN" w:bidi="ar-SA"/>
    </w:rPr>
  </w:style>
  <w:style w:type="paragraph" w:customStyle="1" w:styleId="518">
    <w:name w:val="表身"/>
    <w:qFormat/>
    <w:uiPriority w:val="0"/>
    <w:pPr>
      <w:keepNext/>
      <w:spacing w:before="60" w:after="60" w:line="300" w:lineRule="auto"/>
      <w:jc w:val="both"/>
      <w:textAlignment w:val="center"/>
    </w:pPr>
    <w:rPr>
      <w:rFonts w:ascii="Calibri" w:hAnsi="Calibri" w:eastAsia="宋体" w:cs="Times New Roman"/>
      <w:sz w:val="18"/>
      <w:lang w:val="en-US" w:eastAsia="zh-CN" w:bidi="ar-SA"/>
    </w:rPr>
  </w:style>
  <w:style w:type="paragraph" w:customStyle="1" w:styleId="519">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0">
    <w:name w:val="发文落款"/>
    <w:basedOn w:val="374"/>
    <w:qFormat/>
    <w:uiPriority w:val="0"/>
    <w:pPr>
      <w:ind w:left="4094" w:right="607" w:firstLine="0"/>
      <w:jc w:val="center"/>
    </w:pPr>
  </w:style>
  <w:style w:type="paragraph" w:customStyle="1" w:styleId="521">
    <w:name w:val="明显引用111"/>
    <w:basedOn w:val="1"/>
    <w:next w:val="1"/>
    <w:qFormat/>
    <w:uiPriority w:val="0"/>
    <w:pPr>
      <w:pBdr>
        <w:bottom w:val="single" w:color="4F81BD" w:sz="4" w:space="4"/>
      </w:pBdr>
      <w:spacing w:before="200" w:after="280"/>
      <w:ind w:left="936" w:right="936"/>
    </w:pPr>
    <w:rPr>
      <w:rFonts w:cs="黑体"/>
      <w:b/>
      <w:i/>
      <w:color w:val="4F81BD"/>
    </w:rPr>
  </w:style>
  <w:style w:type="paragraph" w:customStyle="1" w:styleId="522">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523">
    <w:name w:val="默认段落字体 Para Char Char Char Char"/>
    <w:basedOn w:val="524"/>
    <w:qFormat/>
    <w:uiPriority w:val="0"/>
    <w:rPr>
      <w:rFonts w:eastAsia="宋体"/>
    </w:rPr>
  </w:style>
  <w:style w:type="paragraph" w:customStyle="1" w:styleId="524">
    <w:name w:val="正文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525">
    <w:name w:val="文字框居中"/>
    <w:basedOn w:val="1"/>
    <w:qFormat/>
    <w:uiPriority w:val="0"/>
    <w:pPr>
      <w:overflowPunct w:val="0"/>
      <w:topLinePunct/>
      <w:adjustRightInd w:val="0"/>
      <w:snapToGrid w:val="0"/>
      <w:spacing w:line="360" w:lineRule="auto"/>
      <w:jc w:val="center"/>
    </w:pPr>
    <w:rPr>
      <w:rFonts w:ascii="幼圆" w:hAnsi="宋体" w:eastAsia="幼圆"/>
      <w:snapToGrid w:val="0"/>
      <w:kern w:val="21"/>
      <w:sz w:val="24"/>
      <w:szCs w:val="20"/>
    </w:rPr>
  </w:style>
  <w:style w:type="paragraph" w:customStyle="1" w:styleId="526">
    <w:name w:val="页眉 New New New"/>
    <w:basedOn w:val="430"/>
    <w:qFormat/>
    <w:uiPriority w:val="0"/>
    <w:pPr>
      <w:pBdr>
        <w:bottom w:val="single" w:color="auto" w:sz="6" w:space="1"/>
      </w:pBdr>
      <w:tabs>
        <w:tab w:val="center" w:pos="4153"/>
        <w:tab w:val="right" w:pos="8306"/>
      </w:tabs>
      <w:snapToGrid w:val="0"/>
      <w:jc w:val="center"/>
    </w:pPr>
    <w:rPr>
      <w:sz w:val="18"/>
      <w:szCs w:val="18"/>
    </w:rPr>
  </w:style>
  <w:style w:type="paragraph" w:customStyle="1" w:styleId="52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2"/>
      <w:szCs w:val="20"/>
    </w:rPr>
  </w:style>
  <w:style w:type="paragraph" w:customStyle="1" w:styleId="528">
    <w:name w:val="af0"/>
    <w:basedOn w:val="1"/>
    <w:qFormat/>
    <w:uiPriority w:val="0"/>
    <w:pPr>
      <w:spacing w:before="100" w:beforeAutospacing="1" w:after="100" w:afterAutospacing="1" w:line="256" w:lineRule="atLeast"/>
    </w:pPr>
    <w:rPr>
      <w:rFonts w:ascii="宋体" w:hAnsi="宋体"/>
      <w:sz w:val="19"/>
      <w:szCs w:val="20"/>
    </w:rPr>
  </w:style>
  <w:style w:type="paragraph" w:customStyle="1" w:styleId="529">
    <w:name w:val="样式 小四 首行缩进:  0.85 厘米 行距: 固定值 20 磅"/>
    <w:basedOn w:val="1"/>
    <w:qFormat/>
    <w:uiPriority w:val="0"/>
    <w:pPr>
      <w:adjustRightInd w:val="0"/>
      <w:spacing w:line="360" w:lineRule="auto"/>
      <w:ind w:firstLine="482"/>
    </w:pPr>
    <w:rPr>
      <w:rFonts w:ascii="Times New Roman" w:hAnsi="Times New Roman"/>
      <w:sz w:val="24"/>
      <w:szCs w:val="20"/>
    </w:rPr>
  </w:style>
  <w:style w:type="paragraph" w:customStyle="1" w:styleId="530">
    <w:name w:val="Char Char Char Char Char Char Char Char Char Char Char Char Char"/>
    <w:basedOn w:val="1"/>
    <w:qFormat/>
    <w:uiPriority w:val="0"/>
    <w:rPr>
      <w:rFonts w:ascii="Tahoma" w:hAnsi="Tahoma"/>
      <w:sz w:val="24"/>
      <w:szCs w:val="20"/>
    </w:rPr>
  </w:style>
  <w:style w:type="paragraph" w:customStyle="1" w:styleId="531">
    <w:name w:val="样式5"/>
    <w:basedOn w:val="514"/>
    <w:next w:val="514"/>
    <w:qFormat/>
    <w:uiPriority w:val="0"/>
    <w:pPr>
      <w:tabs>
        <w:tab w:val="right" w:leader="dot" w:pos="9458"/>
        <w:tab w:val="clear" w:pos="1984"/>
      </w:tabs>
      <w:spacing w:before="120" w:after="120"/>
      <w:ind w:left="0" w:firstLine="0"/>
      <w:jc w:val="left"/>
    </w:pPr>
    <w:rPr>
      <w:caps/>
      <w:szCs w:val="20"/>
    </w:rPr>
  </w:style>
  <w:style w:type="paragraph" w:customStyle="1" w:styleId="532">
    <w:name w:val="页脚 New New New"/>
    <w:basedOn w:val="430"/>
    <w:qFormat/>
    <w:uiPriority w:val="0"/>
    <w:pPr>
      <w:tabs>
        <w:tab w:val="center" w:pos="4153"/>
        <w:tab w:val="right" w:pos="8306"/>
      </w:tabs>
      <w:snapToGrid w:val="0"/>
      <w:jc w:val="left"/>
    </w:pPr>
    <w:rPr>
      <w:sz w:val="18"/>
      <w:szCs w:val="18"/>
    </w:rPr>
  </w:style>
  <w:style w:type="paragraph" w:customStyle="1" w:styleId="533">
    <w:name w:val="页眉 New New"/>
    <w:basedOn w:val="486"/>
    <w:qFormat/>
    <w:uiPriority w:val="0"/>
    <w:pPr>
      <w:pBdr>
        <w:bottom w:val="single" w:color="auto" w:sz="6" w:space="1"/>
      </w:pBdr>
      <w:tabs>
        <w:tab w:val="center" w:pos="4153"/>
        <w:tab w:val="right" w:pos="8306"/>
      </w:tabs>
      <w:snapToGrid w:val="0"/>
      <w:jc w:val="center"/>
    </w:pPr>
    <w:rPr>
      <w:sz w:val="18"/>
    </w:rPr>
  </w:style>
  <w:style w:type="paragraph" w:customStyle="1" w:styleId="534">
    <w:name w:val="正文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35">
    <w:name w:val="项目正文"/>
    <w:basedOn w:val="1"/>
    <w:qFormat/>
    <w:uiPriority w:val="0"/>
    <w:pPr>
      <w:tabs>
        <w:tab w:val="left" w:pos="907"/>
      </w:tabs>
      <w:spacing w:line="360" w:lineRule="auto"/>
      <w:ind w:left="907" w:hanging="397"/>
    </w:pPr>
    <w:rPr>
      <w:rFonts w:ascii="Times New Roman" w:hAnsi="Times New Roman"/>
      <w:color w:val="000000"/>
      <w:szCs w:val="20"/>
    </w:rPr>
  </w:style>
  <w:style w:type="paragraph" w:customStyle="1" w:styleId="536">
    <w:name w:val="Char3"/>
    <w:basedOn w:val="1"/>
    <w:qFormat/>
    <w:uiPriority w:val="0"/>
    <w:pPr>
      <w:tabs>
        <w:tab w:val="left" w:pos="425"/>
      </w:tabs>
      <w:ind w:left="425" w:hanging="425"/>
    </w:pPr>
    <w:rPr>
      <w:rFonts w:ascii="Times New Roman" w:hAnsi="Times New Roman"/>
      <w:sz w:val="24"/>
      <w:szCs w:val="20"/>
    </w:rPr>
  </w:style>
  <w:style w:type="paragraph" w:customStyle="1" w:styleId="53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38">
    <w:name w:val="节"/>
    <w:basedOn w:val="1"/>
    <w:qFormat/>
    <w:uiPriority w:val="0"/>
    <w:pPr>
      <w:spacing w:beforeLines="100" w:afterLines="100" w:line="300" w:lineRule="auto"/>
      <w:jc w:val="center"/>
      <w:outlineLvl w:val="1"/>
    </w:pPr>
    <w:rPr>
      <w:rFonts w:ascii="Times New Roman" w:hAnsi="Times New Roman"/>
      <w:b/>
      <w:sz w:val="24"/>
      <w:szCs w:val="20"/>
    </w:rPr>
  </w:style>
  <w:style w:type="paragraph" w:customStyle="1" w:styleId="539">
    <w:name w:val="标句5"/>
    <w:basedOn w:val="1"/>
    <w:qFormat/>
    <w:uiPriority w:val="0"/>
    <w:pPr>
      <w:snapToGrid w:val="0"/>
      <w:spacing w:line="500" w:lineRule="atLeast"/>
      <w:ind w:left="1135" w:hanging="284"/>
    </w:pPr>
    <w:rPr>
      <w:rFonts w:ascii="宋体" w:hAnsi="Times New Roman"/>
      <w:kern w:val="28"/>
      <w:sz w:val="27"/>
      <w:szCs w:val="20"/>
    </w:rPr>
  </w:style>
  <w:style w:type="paragraph" w:customStyle="1" w:styleId="540">
    <w:name w:val="文档结构图1"/>
    <w:basedOn w:val="1"/>
    <w:qFormat/>
    <w:uiPriority w:val="0"/>
    <w:pPr>
      <w:shd w:val="clear" w:color="auto" w:fill="000080"/>
    </w:pPr>
    <w:rPr>
      <w:sz w:val="30"/>
      <w:szCs w:val="24"/>
    </w:rPr>
  </w:style>
  <w:style w:type="paragraph" w:customStyle="1" w:styleId="541">
    <w:name w:val="样式 正文缩进 + 首行缩进:  2 字符 Char Char Char Char Char"/>
    <w:basedOn w:val="8"/>
    <w:qFormat/>
    <w:uiPriority w:val="0"/>
    <w:pPr>
      <w:spacing w:line="360" w:lineRule="auto"/>
      <w:ind w:firstLine="480"/>
    </w:pPr>
    <w:rPr>
      <w:sz w:val="24"/>
      <w:szCs w:val="20"/>
    </w:rPr>
  </w:style>
  <w:style w:type="paragraph" w:customStyle="1" w:styleId="54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54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544">
    <w:name w:val="页脚 New New"/>
    <w:basedOn w:val="486"/>
    <w:qFormat/>
    <w:uiPriority w:val="0"/>
    <w:pPr>
      <w:tabs>
        <w:tab w:val="center" w:pos="4153"/>
        <w:tab w:val="right" w:pos="8306"/>
      </w:tabs>
      <w:snapToGrid w:val="0"/>
      <w:jc w:val="left"/>
    </w:pPr>
    <w:rPr>
      <w:sz w:val="18"/>
    </w:rPr>
  </w:style>
  <w:style w:type="paragraph" w:customStyle="1" w:styleId="545">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546">
    <w:name w:val="Figure"/>
    <w:basedOn w:val="1"/>
    <w:next w:val="547"/>
    <w:qFormat/>
    <w:uiPriority w:val="0"/>
    <w:pPr>
      <w:keepNext/>
      <w:snapToGrid w:val="0"/>
      <w:spacing w:before="80" w:after="80" w:line="300" w:lineRule="auto"/>
      <w:ind w:left="1701"/>
      <w:jc w:val="center"/>
    </w:pPr>
    <w:rPr>
      <w:rFonts w:ascii="Arial" w:hAnsi="Arial"/>
      <w:szCs w:val="20"/>
    </w:rPr>
  </w:style>
  <w:style w:type="paragraph" w:customStyle="1" w:styleId="547">
    <w:name w:val="Figure Description"/>
    <w:next w:val="1"/>
    <w:qFormat/>
    <w:uiPriority w:val="0"/>
    <w:pPr>
      <w:snapToGrid w:val="0"/>
      <w:spacing w:before="80" w:after="320" w:line="276" w:lineRule="auto"/>
      <w:ind w:firstLine="1701"/>
      <w:jc w:val="center"/>
    </w:pPr>
    <w:rPr>
      <w:rFonts w:ascii="Arial" w:hAnsi="Arial" w:eastAsia="黑体" w:cs="Times New Roman"/>
      <w:sz w:val="18"/>
      <w:lang w:val="en-US" w:eastAsia="zh-CN" w:bidi="ar-SA"/>
    </w:rPr>
  </w:style>
  <w:style w:type="paragraph" w:customStyle="1" w:styleId="548">
    <w:name w:val="样式 标题 1TITRE1H1Header1h1合同标题章-标题Title1标书11st levelSect..."/>
    <w:basedOn w:val="4"/>
    <w:qFormat/>
    <w:uiPriority w:val="0"/>
    <w:pPr>
      <w:keepNext w:val="0"/>
      <w:keepLines w:val="0"/>
      <w:spacing w:before="200" w:after="200" w:line="240" w:lineRule="auto"/>
      <w:jc w:val="center"/>
    </w:pPr>
    <w:rPr>
      <w:rFonts w:ascii="宋体" w:hAnsi="Cambria"/>
      <w:bCs w:val="0"/>
      <w:color w:val="365F91"/>
      <w:kern w:val="2"/>
      <w:sz w:val="28"/>
      <w:szCs w:val="20"/>
    </w:rPr>
  </w:style>
  <w:style w:type="paragraph" w:customStyle="1" w:styleId="549">
    <w:name w:val="样式15"/>
    <w:basedOn w:val="9"/>
    <w:qFormat/>
    <w:uiPriority w:val="0"/>
    <w:pPr>
      <w:widowControl w:val="0"/>
      <w:tabs>
        <w:tab w:val="clear" w:pos="1440"/>
      </w:tabs>
      <w:spacing w:before="200" w:after="0" w:line="240" w:lineRule="auto"/>
      <w:jc w:val="both"/>
    </w:pPr>
    <w:rPr>
      <w:rFonts w:ascii="Cambria" w:hAnsi="Cambria" w:eastAsia="宋体"/>
      <w:b w:val="0"/>
      <w:bCs w:val="0"/>
      <w:i/>
      <w:color w:val="243F60"/>
      <w:kern w:val="2"/>
      <w:sz w:val="21"/>
      <w:szCs w:val="20"/>
    </w:rPr>
  </w:style>
  <w:style w:type="paragraph" w:customStyle="1" w:styleId="550">
    <w:name w:val="表正文左"/>
    <w:qFormat/>
    <w:uiPriority w:val="0"/>
    <w:pPr>
      <w:spacing w:after="200" w:line="276" w:lineRule="auto"/>
    </w:pPr>
    <w:rPr>
      <w:rFonts w:ascii="Arial" w:hAnsi="Arial" w:eastAsia="宋体" w:cs="Times New Roman"/>
      <w:kern w:val="2"/>
      <w:sz w:val="18"/>
      <w:lang w:val="en-US" w:eastAsia="zh-CN" w:bidi="ar-SA"/>
    </w:rPr>
  </w:style>
  <w:style w:type="paragraph" w:customStyle="1" w:styleId="551">
    <w:name w:val="Sub Paragraph Type"/>
    <w:basedOn w:val="1"/>
    <w:qFormat/>
    <w:uiPriority w:val="0"/>
    <w:pPr>
      <w:tabs>
        <w:tab w:val="left" w:pos="360"/>
      </w:tabs>
      <w:spacing w:line="240" w:lineRule="exact"/>
    </w:pPr>
    <w:rPr>
      <w:rFonts w:ascii="Beijing" w:hAnsi="Times New Roman" w:eastAsia="Times New Roman"/>
      <w:sz w:val="18"/>
      <w:szCs w:val="20"/>
    </w:rPr>
  </w:style>
  <w:style w:type="paragraph" w:customStyle="1" w:styleId="552">
    <w:name w:val="样式10"/>
    <w:basedOn w:val="4"/>
    <w:qFormat/>
    <w:uiPriority w:val="0"/>
    <w:pPr>
      <w:spacing w:before="480" w:after="0" w:line="240" w:lineRule="auto"/>
    </w:pPr>
    <w:rPr>
      <w:rFonts w:ascii="Cambria" w:hAnsi="Cambria"/>
      <w:bCs w:val="0"/>
      <w:color w:val="365F91"/>
      <w:kern w:val="2"/>
      <w:sz w:val="28"/>
      <w:szCs w:val="20"/>
    </w:rPr>
  </w:style>
  <w:style w:type="paragraph" w:customStyle="1" w:styleId="553">
    <w:name w:val="contents"/>
    <w:basedOn w:val="1"/>
    <w:next w:val="8"/>
    <w:qFormat/>
    <w:uiPriority w:val="0"/>
    <w:pPr>
      <w:ind w:firstLine="420" w:firstLineChars="200"/>
    </w:pPr>
    <w:rPr>
      <w:rFonts w:ascii="Times New Roman" w:hAnsi="Times New Roman"/>
      <w:szCs w:val="20"/>
    </w:rPr>
  </w:style>
  <w:style w:type="paragraph" w:customStyle="1" w:styleId="554">
    <w:name w:val="文提"/>
    <w:basedOn w:val="214"/>
    <w:qFormat/>
    <w:uiPriority w:val="0"/>
    <w:pPr>
      <w:ind w:firstLine="0" w:firstLineChars="0"/>
    </w:pPr>
    <w:rPr>
      <w:rFonts w:eastAsia="黑体" w:cs="宋体"/>
      <w:b/>
    </w:rPr>
  </w:style>
  <w:style w:type="paragraph" w:customStyle="1" w:styleId="555">
    <w:name w:val="yehuda"/>
    <w:basedOn w:val="1"/>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sz w:val="24"/>
      <w:szCs w:val="20"/>
      <w:lang w:val="en-GB"/>
    </w:rPr>
  </w:style>
  <w:style w:type="paragraph" w:customStyle="1" w:styleId="556">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0"/>
    </w:rPr>
  </w:style>
  <w:style w:type="paragraph" w:customStyle="1" w:styleId="557">
    <w:name w:val="页脚 New"/>
    <w:basedOn w:val="507"/>
    <w:qFormat/>
    <w:uiPriority w:val="0"/>
    <w:pPr>
      <w:tabs>
        <w:tab w:val="center" w:pos="4153"/>
        <w:tab w:val="right" w:pos="8306"/>
      </w:tabs>
      <w:snapToGrid w:val="0"/>
      <w:jc w:val="left"/>
    </w:pPr>
    <w:rPr>
      <w:sz w:val="18"/>
    </w:rPr>
  </w:style>
  <w:style w:type="paragraph" w:customStyle="1" w:styleId="558">
    <w:name w:val="需求书2"/>
    <w:basedOn w:val="1"/>
    <w:qFormat/>
    <w:uiPriority w:val="0"/>
    <w:pPr>
      <w:jc w:val="center"/>
    </w:pPr>
    <w:rPr>
      <w:rFonts w:ascii="宋体" w:hAnsi="宋体"/>
      <w:color w:val="FF0000"/>
      <w:sz w:val="20"/>
      <w:szCs w:val="20"/>
    </w:rPr>
  </w:style>
  <w:style w:type="paragraph" w:customStyle="1" w:styleId="559">
    <w:name w:val="正文文本2"/>
    <w:basedOn w:val="1"/>
    <w:qFormat/>
    <w:uiPriority w:val="0"/>
    <w:pPr>
      <w:shd w:val="clear" w:color="auto" w:fill="FFFFFF"/>
      <w:spacing w:before="600" w:line="466" w:lineRule="exact"/>
      <w:ind w:hanging="480"/>
      <w:jc w:val="distribute"/>
    </w:pPr>
    <w:rPr>
      <w:rFonts w:ascii="MingLiU" w:hAnsi="MingLiU" w:eastAsia="MingLiU"/>
      <w:kern w:val="0"/>
      <w:sz w:val="23"/>
      <w:szCs w:val="23"/>
    </w:rPr>
  </w:style>
  <w:style w:type="paragraph" w:customStyle="1" w:styleId="560">
    <w:name w:val="标句4"/>
    <w:basedOn w:val="1"/>
    <w:qFormat/>
    <w:uiPriority w:val="0"/>
    <w:pPr>
      <w:snapToGrid w:val="0"/>
      <w:spacing w:before="120" w:line="500" w:lineRule="atLeast"/>
      <w:ind w:left="851" w:hanging="284"/>
    </w:pPr>
    <w:rPr>
      <w:rFonts w:ascii="宋体" w:hAnsi="Times New Roman"/>
      <w:b/>
      <w:kern w:val="52"/>
      <w:sz w:val="27"/>
      <w:szCs w:val="20"/>
    </w:rPr>
  </w:style>
  <w:style w:type="paragraph" w:customStyle="1" w:styleId="561">
    <w:name w:val="插圖"/>
    <w:basedOn w:val="373"/>
    <w:next w:val="373"/>
    <w:qFormat/>
    <w:uiPriority w:val="0"/>
    <w:rPr>
      <w:rFonts w:ascii="Arial" w:hAnsi="Arial"/>
      <w:color w:val="auto"/>
      <w:sz w:val="20"/>
    </w:rPr>
  </w:style>
  <w:style w:type="paragraph" w:customStyle="1" w:styleId="562">
    <w:name w:val="样式14"/>
    <w:basedOn w:val="7"/>
    <w:qFormat/>
    <w:uiPriority w:val="0"/>
    <w:pPr>
      <w:spacing w:beforeLines="0" w:afterLines="0" w:line="240" w:lineRule="auto"/>
      <w:jc w:val="both"/>
    </w:pPr>
    <w:rPr>
      <w:rFonts w:ascii="Cambria" w:hAnsi="Cambria"/>
      <w:b w:val="0"/>
      <w:bCs w:val="0"/>
      <w:color w:val="243F60"/>
      <w:sz w:val="21"/>
      <w:szCs w:val="20"/>
    </w:rPr>
  </w:style>
  <w:style w:type="paragraph" w:customStyle="1" w:styleId="563">
    <w:name w:val="正文内容"/>
    <w:basedOn w:val="1"/>
    <w:qFormat/>
    <w:uiPriority w:val="0"/>
    <w:rPr>
      <w:rFonts w:ascii="Arial" w:hAnsi="Arial"/>
      <w:spacing w:val="-12"/>
      <w:szCs w:val="20"/>
    </w:rPr>
  </w:style>
  <w:style w:type="paragraph" w:customStyle="1" w:styleId="564">
    <w:name w:val="日期1"/>
    <w:basedOn w:val="1"/>
    <w:next w:val="1"/>
    <w:qFormat/>
    <w:uiPriority w:val="0"/>
    <w:pPr>
      <w:adjustRightInd w:val="0"/>
      <w:spacing w:before="100" w:after="100" w:line="360" w:lineRule="auto"/>
      <w:ind w:firstLine="425"/>
      <w:textAlignment w:val="baseline"/>
    </w:pPr>
    <w:rPr>
      <w:rFonts w:ascii="宋体" w:hAnsi="Times New Roman"/>
      <w:spacing w:val="2"/>
      <w:sz w:val="24"/>
      <w:szCs w:val="20"/>
    </w:rPr>
  </w:style>
  <w:style w:type="paragraph" w:customStyle="1" w:styleId="565">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6">
    <w:name w:val="Table"/>
    <w:qFormat/>
    <w:uiPriority w:val="0"/>
    <w:pPr>
      <w:spacing w:after="200" w:line="276" w:lineRule="auto"/>
    </w:pPr>
    <w:rPr>
      <w:rFonts w:ascii="Calibri" w:hAnsi="Calibri" w:eastAsia="宋体" w:cs="Times New Roman"/>
      <w:sz w:val="22"/>
      <w:lang w:val="en-US" w:eastAsia="en-US" w:bidi="ar-SA"/>
    </w:rPr>
  </w:style>
  <w:style w:type="paragraph" w:customStyle="1" w:styleId="5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2"/>
      <w:szCs w:val="20"/>
    </w:rPr>
  </w:style>
  <w:style w:type="paragraph" w:customStyle="1" w:styleId="568">
    <w:name w:val="文二"/>
    <w:basedOn w:val="1"/>
    <w:qFormat/>
    <w:uiPriority w:val="0"/>
    <w:pPr>
      <w:jc w:val="left"/>
    </w:pPr>
    <w:rPr>
      <w:rFonts w:ascii="宋体" w:hAnsi="宋体"/>
      <w:szCs w:val="21"/>
    </w:rPr>
  </w:style>
  <w:style w:type="paragraph" w:customStyle="1" w:styleId="569">
    <w:name w:val="正文缩进21"/>
    <w:basedOn w:val="1"/>
    <w:qFormat/>
    <w:uiPriority w:val="0"/>
    <w:pPr>
      <w:ind w:firstLine="420" w:firstLineChars="200"/>
    </w:pPr>
    <w:rPr>
      <w:sz w:val="30"/>
      <w:szCs w:val="24"/>
    </w:rPr>
  </w:style>
  <w:style w:type="paragraph" w:customStyle="1" w:styleId="570">
    <w:name w:val="Char21"/>
    <w:basedOn w:val="1"/>
    <w:qFormat/>
    <w:uiPriority w:val="0"/>
    <w:pPr>
      <w:tabs>
        <w:tab w:val="left" w:pos="425"/>
      </w:tabs>
      <w:ind w:left="425" w:hanging="425"/>
    </w:pPr>
    <w:rPr>
      <w:rFonts w:ascii="Times New Roman" w:hAnsi="Times New Roman"/>
      <w:sz w:val="24"/>
      <w:szCs w:val="20"/>
    </w:rPr>
  </w:style>
  <w:style w:type="paragraph" w:customStyle="1" w:styleId="571">
    <w:name w:val="正文31"/>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paragraph" w:customStyle="1" w:styleId="572">
    <w:name w:val="样式11"/>
    <w:basedOn w:val="1"/>
    <w:qFormat/>
    <w:uiPriority w:val="0"/>
    <w:rPr>
      <w:rFonts w:ascii="Times New Roman" w:hAnsi="Times New Roman"/>
      <w:szCs w:val="20"/>
    </w:rPr>
  </w:style>
  <w:style w:type="paragraph" w:customStyle="1" w:styleId="573">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4">
    <w:name w:val="font6"/>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575">
    <w:name w:val="Normal Bold Char1"/>
    <w:basedOn w:val="1"/>
    <w:qFormat/>
    <w:uiPriority w:val="0"/>
    <w:pPr>
      <w:tabs>
        <w:tab w:val="left" w:pos="624"/>
        <w:tab w:val="left" w:pos="2340"/>
        <w:tab w:val="left" w:pos="4320"/>
      </w:tabs>
    </w:pPr>
    <w:rPr>
      <w:rFonts w:ascii="Arial" w:hAnsi="Arial"/>
      <w:b/>
      <w:sz w:val="18"/>
      <w:szCs w:val="20"/>
      <w:lang w:val="en-GB"/>
    </w:rPr>
  </w:style>
  <w:style w:type="paragraph" w:customStyle="1" w:styleId="576">
    <w:name w:val="Char5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7">
    <w:name w:val="4"/>
    <w:basedOn w:val="1"/>
    <w:next w:val="1"/>
    <w:qFormat/>
    <w:uiPriority w:val="0"/>
    <w:rPr>
      <w:rFonts w:ascii="Times New Roman" w:hAnsi="Times New Roman"/>
      <w:szCs w:val="20"/>
    </w:rPr>
  </w:style>
  <w:style w:type="paragraph" w:customStyle="1" w:styleId="578">
    <w:name w:val="contentnoteheader"/>
    <w:basedOn w:val="1"/>
    <w:qFormat/>
    <w:uiPriority w:val="0"/>
    <w:pPr>
      <w:spacing w:before="100" w:beforeAutospacing="1" w:after="100" w:afterAutospacing="1"/>
    </w:pPr>
    <w:rPr>
      <w:rFonts w:ascii="宋体" w:hAnsi="宋体"/>
      <w:color w:val="000000"/>
      <w:sz w:val="24"/>
      <w:szCs w:val="20"/>
    </w:rPr>
  </w:style>
  <w:style w:type="paragraph" w:customStyle="1" w:styleId="579">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580">
    <w:name w:val="正文 New New New New New New New New New New New New New New New New New New New New New New"/>
    <w:qFormat/>
    <w:uiPriority w:val="0"/>
    <w:pPr>
      <w:widowControl w:val="0"/>
      <w:jc w:val="both"/>
    </w:pPr>
    <w:rPr>
      <w:rFonts w:ascii="Calibri" w:hAnsi="Calibri" w:eastAsia="宋体" w:cs="Times New Roman"/>
      <w:kern w:val="2"/>
      <w:sz w:val="30"/>
      <w:szCs w:val="24"/>
      <w:lang w:val="en-US" w:eastAsia="zh-CN" w:bidi="ar-SA"/>
    </w:rPr>
  </w:style>
  <w:style w:type="paragraph" w:customStyle="1" w:styleId="581">
    <w:name w:val="普通(网站)11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582">
    <w:name w:val="默认段落字体 Para Char Char Char Char Char Char Char Char Char1 Char Char Char Char Char Char Char Char Char"/>
    <w:basedOn w:val="16"/>
    <w:qFormat/>
    <w:uiPriority w:val="0"/>
    <w:pPr>
      <w:ind w:firstLine="540" w:firstLineChars="225"/>
    </w:pPr>
    <w:rPr>
      <w:rFonts w:ascii="Tahoma" w:hAnsi="Tahoma"/>
      <w:kern w:val="2"/>
      <w:sz w:val="24"/>
      <w:szCs w:val="20"/>
    </w:rPr>
  </w:style>
  <w:style w:type="paragraph" w:customStyle="1" w:styleId="583">
    <w:name w:val="cnfont"/>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584">
    <w:name w:val="Option"/>
    <w:basedOn w:val="1"/>
    <w:qFormat/>
    <w:uiPriority w:val="0"/>
    <w:rPr>
      <w:rFonts w:ascii="Arial" w:hAnsi="Arial"/>
      <w:color w:val="000000"/>
      <w:szCs w:val="20"/>
    </w:rPr>
  </w:style>
  <w:style w:type="paragraph" w:customStyle="1" w:styleId="585">
    <w:name w:val="CM106"/>
    <w:qFormat/>
    <w:uiPriority w:val="0"/>
    <w:rPr>
      <w:rFonts w:ascii="Calibri" w:hAnsi="Calibri" w:eastAsia="宋体" w:cs="Times New Roman"/>
      <w:lang w:val="en-US" w:eastAsia="zh-CN" w:bidi="ar-SA"/>
    </w:rPr>
  </w:style>
  <w:style w:type="paragraph" w:customStyle="1" w:styleId="586">
    <w:name w:val="正文 New New New New New New New New New New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587">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8">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9">
    <w:name w:val="xl33"/>
    <w:basedOn w:val="1"/>
    <w:qFormat/>
    <w:uiPriority w:val="0"/>
    <w:pPr>
      <w:widowControl/>
      <w:spacing w:before="100" w:beforeAutospacing="1" w:after="100" w:afterAutospacing="1"/>
      <w:jc w:val="left"/>
      <w:textAlignment w:val="center"/>
    </w:pPr>
    <w:rPr>
      <w:rFonts w:ascii="宋体" w:hAnsi="宋体"/>
      <w:b/>
      <w:kern w:val="0"/>
      <w:sz w:val="28"/>
      <w:szCs w:val="20"/>
    </w:rPr>
  </w:style>
  <w:style w:type="paragraph" w:styleId="590">
    <w:name w:val="No Spacing"/>
    <w:qFormat/>
    <w:uiPriority w:val="0"/>
    <w:pPr>
      <w:spacing w:after="200" w:line="276" w:lineRule="auto"/>
    </w:pPr>
    <w:rPr>
      <w:rFonts w:ascii="Calibri" w:hAnsi="Calibri" w:eastAsia="宋体" w:cs="Times New Roman"/>
      <w:sz w:val="22"/>
      <w:lang w:val="en-US" w:eastAsia="en-US" w:bidi="ar-SA"/>
    </w:rPr>
  </w:style>
  <w:style w:type="paragraph" w:customStyle="1" w:styleId="591">
    <w:name w:val="正文（首行不缩进）"/>
    <w:basedOn w:val="1"/>
    <w:qFormat/>
    <w:uiPriority w:val="0"/>
    <w:pPr>
      <w:autoSpaceDE w:val="0"/>
      <w:autoSpaceDN w:val="0"/>
      <w:adjustRightInd w:val="0"/>
      <w:spacing w:line="360" w:lineRule="auto"/>
    </w:pPr>
    <w:rPr>
      <w:rFonts w:ascii="Times New Roman" w:hAnsi="Times New Roman"/>
      <w:szCs w:val="20"/>
    </w:rPr>
  </w:style>
  <w:style w:type="paragraph" w:customStyle="1" w:styleId="592">
    <w:name w:val="Char1 Char Char Char Char Char Char11"/>
    <w:basedOn w:val="1"/>
    <w:qFormat/>
    <w:uiPriority w:val="0"/>
    <w:rPr>
      <w:rFonts w:ascii="Times New Roman" w:hAnsi="Times New Roman"/>
      <w:sz w:val="30"/>
      <w:szCs w:val="24"/>
    </w:rPr>
  </w:style>
  <w:style w:type="paragraph" w:customStyle="1" w:styleId="593">
    <w:name w:val="正文文本 New"/>
    <w:basedOn w:val="461"/>
    <w:qFormat/>
    <w:uiPriority w:val="0"/>
    <w:pPr>
      <w:spacing w:after="120"/>
    </w:pPr>
  </w:style>
  <w:style w:type="paragraph" w:customStyle="1" w:styleId="594">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595">
    <w:name w:val="列出段落2"/>
    <w:basedOn w:val="1"/>
    <w:qFormat/>
    <w:uiPriority w:val="0"/>
    <w:pPr>
      <w:ind w:firstLine="420" w:firstLineChars="200"/>
    </w:pPr>
  </w:style>
  <w:style w:type="paragraph" w:customStyle="1" w:styleId="59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597">
    <w:name w:val="¶ÎÂä2"/>
    <w:basedOn w:val="1"/>
    <w:qFormat/>
    <w:uiPriority w:val="0"/>
    <w:pPr>
      <w:overflowPunct w:val="0"/>
      <w:autoSpaceDE w:val="0"/>
      <w:autoSpaceDN w:val="0"/>
      <w:adjustRightInd w:val="0"/>
      <w:spacing w:line="360" w:lineRule="auto"/>
      <w:ind w:left="360"/>
      <w:textAlignment w:val="baseline"/>
    </w:pPr>
    <w:rPr>
      <w:rFonts w:ascii="宋体" w:hAnsi="Times New Roman"/>
      <w:szCs w:val="20"/>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599">
    <w:name w:val="正文文本缩进 21"/>
    <w:basedOn w:val="1"/>
    <w:qFormat/>
    <w:uiPriority w:val="0"/>
    <w:pPr>
      <w:spacing w:line="420" w:lineRule="exact"/>
      <w:ind w:firstLine="480"/>
    </w:pPr>
    <w:rPr>
      <w:b/>
      <w:sz w:val="24"/>
      <w:szCs w:val="20"/>
    </w:rPr>
  </w:style>
  <w:style w:type="paragraph" w:customStyle="1" w:styleId="600">
    <w:name w:val="五号正文（标准）"/>
    <w:basedOn w:val="1"/>
    <w:qFormat/>
    <w:uiPriority w:val="0"/>
    <w:pPr>
      <w:spacing w:line="560" w:lineRule="exact"/>
      <w:ind w:firstLine="560" w:firstLineChars="200"/>
    </w:pPr>
    <w:rPr>
      <w:rFonts w:ascii="宋体" w:hAnsi="宋体"/>
      <w:sz w:val="28"/>
      <w:szCs w:val="20"/>
    </w:rPr>
  </w:style>
  <w:style w:type="paragraph" w:customStyle="1" w:styleId="601">
    <w:name w:val="正文文本缩进 31"/>
    <w:basedOn w:val="1"/>
    <w:qFormat/>
    <w:uiPriority w:val="0"/>
    <w:pPr>
      <w:snapToGrid w:val="0"/>
      <w:spacing w:line="360" w:lineRule="auto"/>
      <w:ind w:left="20" w:firstLine="529" w:firstLineChars="189"/>
    </w:pPr>
    <w:rPr>
      <w:rFonts w:ascii="仿宋_GB2312" w:eastAsia="仿宋_GB2312"/>
      <w:sz w:val="28"/>
      <w:szCs w:val="24"/>
    </w:rPr>
  </w:style>
  <w:style w:type="paragraph" w:customStyle="1" w:styleId="602">
    <w:name w:val="普通(网站)1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603">
    <w:name w:val="默认段落字体 Para Char"/>
    <w:basedOn w:val="1"/>
    <w:qFormat/>
    <w:uiPriority w:val="0"/>
    <w:pPr>
      <w:spacing w:line="360" w:lineRule="auto"/>
      <w:jc w:val="left"/>
    </w:pPr>
    <w:rPr>
      <w:rFonts w:ascii="Times New Roman" w:hAnsi="Times New Roman"/>
      <w:szCs w:val="24"/>
    </w:rPr>
  </w:style>
  <w:style w:type="paragraph" w:customStyle="1" w:styleId="604">
    <w:name w:val="页脚 New New New New New"/>
    <w:basedOn w:val="452"/>
    <w:qFormat/>
    <w:uiPriority w:val="0"/>
    <w:pPr>
      <w:tabs>
        <w:tab w:val="center" w:pos="4153"/>
        <w:tab w:val="right" w:pos="8306"/>
      </w:tabs>
      <w:snapToGrid w:val="0"/>
      <w:jc w:val="left"/>
    </w:pPr>
    <w:rPr>
      <w:sz w:val="18"/>
      <w:szCs w:val="18"/>
    </w:rPr>
  </w:style>
  <w:style w:type="paragraph" w:customStyle="1" w:styleId="605">
    <w:name w:val="正文 New New New New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606">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7">
    <w:name w:val="IBM bullets 1"/>
    <w:basedOn w:val="1"/>
    <w:qFormat/>
    <w:uiPriority w:val="0"/>
    <w:pPr>
      <w:tabs>
        <w:tab w:val="left" w:pos="1080"/>
        <w:tab w:val="left" w:pos="1134"/>
      </w:tabs>
      <w:spacing w:before="120"/>
      <w:ind w:left="1135" w:hanging="360"/>
    </w:pPr>
    <w:rPr>
      <w:rFonts w:ascii="IBM Helvetica Light" w:hAnsi="IBM Helvetica Light" w:eastAsia="Times New Roman"/>
      <w:sz w:val="20"/>
      <w:szCs w:val="20"/>
      <w:lang w:val="en-AU"/>
    </w:rPr>
  </w:style>
  <w:style w:type="paragraph" w:customStyle="1" w:styleId="608">
    <w:name w:val="正文加点"/>
    <w:basedOn w:val="1"/>
    <w:next w:val="1"/>
    <w:qFormat/>
    <w:uiPriority w:val="0"/>
    <w:pPr>
      <w:tabs>
        <w:tab w:val="left" w:pos="780"/>
      </w:tabs>
      <w:spacing w:line="360" w:lineRule="auto"/>
      <w:ind w:firstLine="420"/>
    </w:pPr>
    <w:rPr>
      <w:rFonts w:ascii="Arial" w:hAnsi="Arial"/>
      <w:sz w:val="24"/>
      <w:szCs w:val="20"/>
    </w:rPr>
  </w:style>
  <w:style w:type="paragraph" w:customStyle="1" w:styleId="609">
    <w:name w:val="普通(网站) New"/>
    <w:basedOn w:val="430"/>
    <w:qFormat/>
    <w:uiPriority w:val="0"/>
    <w:pPr>
      <w:widowControl/>
      <w:spacing w:before="100" w:beforeAutospacing="1" w:after="100" w:afterAutospacing="1"/>
      <w:jc w:val="left"/>
    </w:pPr>
    <w:rPr>
      <w:rFonts w:ascii="宋体" w:hAnsi="宋体"/>
      <w:kern w:val="0"/>
      <w:sz w:val="24"/>
    </w:rPr>
  </w:style>
  <w:style w:type="paragraph" w:customStyle="1" w:styleId="61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kern w:val="0"/>
      <w:sz w:val="22"/>
      <w:szCs w:val="20"/>
    </w:rPr>
  </w:style>
  <w:style w:type="paragraph" w:customStyle="1" w:styleId="611">
    <w:name w:val="正文缩进11"/>
    <w:basedOn w:val="1"/>
    <w:qFormat/>
    <w:uiPriority w:val="0"/>
    <w:pPr>
      <w:ind w:firstLine="567"/>
    </w:pPr>
    <w:rPr>
      <w:rFonts w:ascii="Times New Roman" w:hAnsi="Times New Roman"/>
      <w:spacing w:val="20"/>
      <w:sz w:val="24"/>
      <w:szCs w:val="20"/>
    </w:rPr>
  </w:style>
  <w:style w:type="paragraph" w:customStyle="1" w:styleId="612">
    <w:name w:val="正文样式"/>
    <w:basedOn w:val="1"/>
    <w:qFormat/>
    <w:uiPriority w:val="0"/>
    <w:pPr>
      <w:tabs>
        <w:tab w:val="left" w:pos="1560"/>
      </w:tabs>
      <w:spacing w:before="163" w:after="163" w:line="300" w:lineRule="auto"/>
      <w:ind w:left="1560" w:hanging="360"/>
    </w:pPr>
    <w:rPr>
      <w:rFonts w:ascii="宋体" w:hAnsi="Times New Roman"/>
      <w:sz w:val="24"/>
      <w:szCs w:val="20"/>
    </w:rPr>
  </w:style>
  <w:style w:type="paragraph" w:customStyle="1" w:styleId="613">
    <w:name w:val="素材4"/>
    <w:basedOn w:val="1"/>
    <w:qFormat/>
    <w:uiPriority w:val="0"/>
    <w:pPr>
      <w:snapToGrid w:val="0"/>
      <w:spacing w:line="500" w:lineRule="atLeast"/>
      <w:ind w:left="1135" w:hanging="284"/>
    </w:pPr>
    <w:rPr>
      <w:rFonts w:ascii="宋体" w:hAnsi="Times New Roman"/>
      <w:kern w:val="28"/>
      <w:sz w:val="27"/>
      <w:szCs w:val="20"/>
    </w:rPr>
  </w:style>
  <w:style w:type="paragraph" w:customStyle="1" w:styleId="614">
    <w:name w:val="正文文本缩进 312"/>
    <w:basedOn w:val="1"/>
    <w:qFormat/>
    <w:uiPriority w:val="0"/>
    <w:pPr>
      <w:snapToGrid w:val="0"/>
      <w:spacing w:line="360" w:lineRule="auto"/>
      <w:ind w:left="20" w:firstLine="529" w:firstLineChars="189"/>
    </w:pPr>
    <w:rPr>
      <w:rFonts w:ascii="仿宋_GB2312" w:eastAsia="仿宋_GB2312"/>
      <w:sz w:val="28"/>
      <w:szCs w:val="24"/>
    </w:rPr>
  </w:style>
  <w:style w:type="paragraph" w:customStyle="1" w:styleId="615">
    <w:name w:val="彩色列表 - 强调文字颜色 12"/>
    <w:basedOn w:val="1"/>
    <w:qFormat/>
    <w:uiPriority w:val="0"/>
    <w:pPr>
      <w:ind w:firstLine="420" w:firstLineChars="200"/>
    </w:pPr>
    <w:rPr>
      <w:rFonts w:ascii="Times New Roman" w:hAnsi="Times New Roman"/>
      <w:szCs w:val="24"/>
    </w:rPr>
  </w:style>
  <w:style w:type="paragraph" w:customStyle="1" w:styleId="616">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7">
    <w:name w:val="正文文本缩进 212"/>
    <w:basedOn w:val="1"/>
    <w:qFormat/>
    <w:uiPriority w:val="0"/>
    <w:pPr>
      <w:spacing w:line="420" w:lineRule="exact"/>
      <w:ind w:firstLine="480"/>
    </w:pPr>
    <w:rPr>
      <w:b/>
      <w:sz w:val="24"/>
      <w:szCs w:val="20"/>
    </w:rPr>
  </w:style>
  <w:style w:type="paragraph" w:customStyle="1" w:styleId="618">
    <w:name w:val="正文首行缩进11"/>
    <w:basedOn w:val="21"/>
    <w:qFormat/>
    <w:uiPriority w:val="0"/>
    <w:pPr>
      <w:ind w:firstLine="420" w:firstLineChars="100"/>
    </w:pPr>
    <w:rPr>
      <w:sz w:val="30"/>
      <w:szCs w:val="24"/>
    </w:rPr>
  </w:style>
  <w:style w:type="paragraph" w:customStyle="1" w:styleId="619">
    <w:name w:val="Char4"/>
    <w:basedOn w:val="1"/>
    <w:qFormat/>
    <w:uiPriority w:val="0"/>
    <w:pPr>
      <w:widowControl/>
      <w:spacing w:after="160" w:line="240" w:lineRule="exact"/>
      <w:jc w:val="left"/>
    </w:pPr>
    <w:rPr>
      <w:rFonts w:ascii="Times New Roman" w:hAnsi="Times New Roman"/>
      <w:sz w:val="30"/>
      <w:szCs w:val="24"/>
    </w:rPr>
  </w:style>
  <w:style w:type="paragraph" w:customStyle="1" w:styleId="620">
    <w:name w:val="公文抬头"/>
    <w:basedOn w:val="8"/>
    <w:qFormat/>
    <w:uiPriority w:val="0"/>
    <w:pPr>
      <w:ind w:firstLine="0" w:firstLineChars="0"/>
    </w:pPr>
    <w:rPr>
      <w:rFonts w:ascii="仿宋_GB2312" w:eastAsia="仿宋_GB2312"/>
      <w:sz w:val="30"/>
    </w:rPr>
  </w:style>
  <w:style w:type="paragraph" w:customStyle="1" w:styleId="621">
    <w:name w:val="标题 5 New"/>
    <w:basedOn w:val="430"/>
    <w:next w:val="430"/>
    <w:qFormat/>
    <w:uiPriority w:val="0"/>
    <w:pPr>
      <w:keepNext/>
      <w:keepLines/>
      <w:spacing w:before="280" w:after="290" w:line="376" w:lineRule="auto"/>
      <w:outlineLvl w:val="4"/>
    </w:pPr>
    <w:rPr>
      <w:rFonts w:eastAsia="仿宋_GB2312"/>
      <w:b/>
      <w:bCs/>
      <w:sz w:val="28"/>
      <w:szCs w:val="28"/>
    </w:rPr>
  </w:style>
  <w:style w:type="paragraph" w:customStyle="1" w:styleId="622">
    <w:name w:val="表项"/>
    <w:next w:val="1"/>
    <w:qFormat/>
    <w:uiPriority w:val="0"/>
    <w:pPr>
      <w:keepNext/>
      <w:spacing w:after="200" w:line="300" w:lineRule="auto"/>
      <w:jc w:val="center"/>
      <w:textAlignment w:val="baseline"/>
    </w:pPr>
    <w:rPr>
      <w:rFonts w:ascii="Arial" w:hAnsi="Arial" w:eastAsia="黑体" w:cs="Times New Roman"/>
      <w:sz w:val="22"/>
      <w:lang w:val="en-US" w:eastAsia="zh-CN" w:bidi="ar-SA"/>
    </w:rPr>
  </w:style>
  <w:style w:type="paragraph" w:customStyle="1" w:styleId="623">
    <w:name w:val="正文首行缩进 New"/>
    <w:basedOn w:val="593"/>
    <w:qFormat/>
    <w:uiPriority w:val="0"/>
    <w:pPr>
      <w:ind w:firstLine="420" w:firstLineChars="100"/>
    </w:pPr>
  </w:style>
  <w:style w:type="paragraph" w:customStyle="1" w:styleId="624">
    <w:name w:val="正文2"/>
    <w:qFormat/>
    <w:uiPriority w:val="0"/>
    <w:pPr>
      <w:widowControl w:val="0"/>
      <w:adjustRightInd w:val="0"/>
      <w:spacing w:after="200" w:line="360" w:lineRule="atLeast"/>
      <w:textAlignment w:val="baseline"/>
    </w:pPr>
    <w:rPr>
      <w:rFonts w:ascii="宋体" w:hAnsi="Calibri" w:eastAsia="宋体" w:cs="Times New Roman"/>
      <w:sz w:val="24"/>
      <w:lang w:val="en-US" w:eastAsia="zh-CN" w:bidi="ar-SA"/>
    </w:rPr>
  </w:style>
  <w:style w:type="paragraph" w:customStyle="1" w:styleId="625">
    <w:name w:val="qc"/>
    <w:basedOn w:val="1"/>
    <w:qFormat/>
    <w:uiPriority w:val="0"/>
    <w:pPr>
      <w:spacing w:before="100" w:beforeAutospacing="1" w:after="100" w:afterAutospacing="1"/>
    </w:pPr>
    <w:rPr>
      <w:rFonts w:ascii="宋体" w:hAnsi="宋体"/>
      <w:color w:val="999999"/>
      <w:sz w:val="18"/>
      <w:szCs w:val="20"/>
    </w:rPr>
  </w:style>
  <w:style w:type="paragraph" w:customStyle="1" w:styleId="626">
    <w:name w:val="Char2"/>
    <w:basedOn w:val="1"/>
    <w:qFormat/>
    <w:uiPriority w:val="0"/>
    <w:pPr>
      <w:tabs>
        <w:tab w:val="left" w:pos="425"/>
      </w:tabs>
      <w:ind w:left="425" w:hanging="425"/>
    </w:pPr>
    <w:rPr>
      <w:rFonts w:ascii="Times New Roman" w:hAnsi="Times New Roman"/>
      <w:sz w:val="24"/>
      <w:szCs w:val="20"/>
    </w:rPr>
  </w:style>
  <w:style w:type="paragraph" w:customStyle="1" w:styleId="627">
    <w:name w:val="默认段落字体 Para Char Char Char Char Char Char Char"/>
    <w:basedOn w:val="16"/>
    <w:qFormat/>
    <w:uiPriority w:val="0"/>
    <w:pPr>
      <w:adjustRightInd w:val="0"/>
      <w:spacing w:line="436" w:lineRule="exact"/>
      <w:ind w:left="357"/>
      <w:jc w:val="left"/>
      <w:outlineLvl w:val="3"/>
    </w:pPr>
    <w:rPr>
      <w:rFonts w:ascii="Tahoma" w:hAnsi="Tahoma"/>
      <w:b/>
      <w:sz w:val="24"/>
    </w:rPr>
  </w:style>
  <w:style w:type="paragraph" w:customStyle="1" w:styleId="628">
    <w:name w:val="1正文 Char1"/>
    <w:basedOn w:val="1"/>
    <w:qFormat/>
    <w:uiPriority w:val="0"/>
    <w:pPr>
      <w:widowControl/>
      <w:adjustRightInd w:val="0"/>
      <w:snapToGrid w:val="0"/>
      <w:spacing w:line="440" w:lineRule="exact"/>
    </w:pPr>
    <w:rPr>
      <w:rFonts w:ascii="宋体" w:hAnsi="宋体"/>
      <w:sz w:val="24"/>
      <w:szCs w:val="20"/>
    </w:rPr>
  </w:style>
  <w:style w:type="paragraph" w:customStyle="1" w:styleId="629">
    <w:name w:val="正文文本缩进21"/>
    <w:basedOn w:val="1"/>
    <w:qFormat/>
    <w:uiPriority w:val="0"/>
    <w:pPr>
      <w:ind w:firstLine="480"/>
    </w:pPr>
    <w:rPr>
      <w:rFonts w:ascii="Times New Roman" w:hAnsi="Times New Roman"/>
      <w:sz w:val="24"/>
      <w:szCs w:val="20"/>
    </w:rPr>
  </w:style>
  <w:style w:type="paragraph" w:customStyle="1" w:styleId="630">
    <w:name w:val="Char Char1"/>
    <w:basedOn w:val="1"/>
    <w:qFormat/>
    <w:uiPriority w:val="0"/>
    <w:pPr>
      <w:widowControl/>
      <w:tabs>
        <w:tab w:val="left" w:pos="0"/>
      </w:tabs>
      <w:spacing w:line="300" w:lineRule="auto"/>
      <w:jc w:val="center"/>
    </w:pPr>
    <w:rPr>
      <w:rFonts w:ascii="Verdana" w:hAnsi="Verdana"/>
      <w:iCs/>
      <w:color w:val="000000"/>
      <w:kern w:val="0"/>
      <w:sz w:val="24"/>
      <w:szCs w:val="28"/>
      <w:lang w:eastAsia="en-US"/>
    </w:rPr>
  </w:style>
  <w:style w:type="paragraph" w:customStyle="1" w:styleId="631">
    <w:name w:val="标句3"/>
    <w:basedOn w:val="1"/>
    <w:qFormat/>
    <w:uiPriority w:val="0"/>
    <w:pPr>
      <w:snapToGrid w:val="0"/>
      <w:spacing w:before="120" w:line="500" w:lineRule="atLeast"/>
      <w:ind w:left="568" w:hanging="284"/>
    </w:pPr>
    <w:rPr>
      <w:rFonts w:ascii="宋体" w:hAnsi="Times New Roman"/>
      <w:b/>
      <w:kern w:val="52"/>
      <w:sz w:val="28"/>
      <w:szCs w:val="20"/>
    </w:rPr>
  </w:style>
  <w:style w:type="paragraph" w:customStyle="1" w:styleId="632">
    <w:name w:val="引用111"/>
    <w:basedOn w:val="1"/>
    <w:next w:val="1"/>
    <w:qFormat/>
    <w:uiPriority w:val="0"/>
    <w:rPr>
      <w:rFonts w:cs="黑体"/>
      <w:i/>
      <w:color w:val="000000"/>
    </w:rPr>
  </w:style>
  <w:style w:type="paragraph" w:customStyle="1" w:styleId="633">
    <w:name w:val="font9"/>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634">
    <w:name w:val="一级无标题条"/>
    <w:basedOn w:val="1"/>
    <w:qFormat/>
    <w:uiPriority w:val="0"/>
    <w:pPr>
      <w:ind w:left="1260" w:hanging="420"/>
    </w:pPr>
    <w:rPr>
      <w:rFonts w:ascii="Times New Roman" w:hAnsi="Times New Roman"/>
      <w:szCs w:val="24"/>
    </w:rPr>
  </w:style>
  <w:style w:type="paragraph" w:customStyle="1" w:styleId="635">
    <w:name w:val="纯文本11"/>
    <w:basedOn w:val="1"/>
    <w:qFormat/>
    <w:uiPriority w:val="0"/>
    <w:pPr>
      <w:suppressAutoHyphens/>
    </w:pPr>
    <w:rPr>
      <w:rFonts w:ascii="宋体" w:hAnsi="宋体"/>
      <w:szCs w:val="20"/>
      <w:lang w:eastAsia="ar-SA"/>
    </w:rPr>
  </w:style>
  <w:style w:type="paragraph" w:customStyle="1" w:styleId="636">
    <w:name w:val="修订111"/>
    <w:qFormat/>
    <w:uiPriority w:val="0"/>
    <w:rPr>
      <w:rFonts w:ascii="Calibri" w:hAnsi="Calibri" w:eastAsia="宋体" w:cs="Times New Roman"/>
      <w:kern w:val="2"/>
      <w:sz w:val="21"/>
      <w:szCs w:val="24"/>
      <w:lang w:val="en-US" w:eastAsia="zh-CN" w:bidi="ar-SA"/>
    </w:rPr>
  </w:style>
  <w:style w:type="paragraph" w:customStyle="1" w:styleId="637">
    <w:name w:val="Char Char Char Char Char Char Char Char1 Char11"/>
    <w:basedOn w:val="1"/>
    <w:qFormat/>
    <w:uiPriority w:val="0"/>
    <w:rPr>
      <w:rFonts w:ascii="Times New Roman" w:hAnsi="Times New Roman"/>
      <w:szCs w:val="20"/>
    </w:rPr>
  </w:style>
  <w:style w:type="paragraph" w:customStyle="1" w:styleId="63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639">
    <w:name w:val="我的正文"/>
    <w:basedOn w:val="1"/>
    <w:qFormat/>
    <w:uiPriority w:val="0"/>
    <w:pPr>
      <w:spacing w:line="288" w:lineRule="auto"/>
      <w:ind w:firstLine="567"/>
    </w:pPr>
    <w:rPr>
      <w:rFonts w:ascii="Times New Roman" w:hAnsi="Times New Roman"/>
      <w:spacing w:val="6"/>
      <w:sz w:val="24"/>
      <w:szCs w:val="20"/>
    </w:rPr>
  </w:style>
  <w:style w:type="paragraph" w:customStyle="1" w:styleId="640">
    <w:name w:val="样式 标题 2H2Heading 2 HiddenHeading 2 CCBSheading 2第一章 标题 2IS..."/>
    <w:basedOn w:val="2"/>
    <w:qFormat/>
    <w:uiPriority w:val="0"/>
    <w:pPr>
      <w:keepLines w:val="0"/>
      <w:adjustRightInd w:val="0"/>
      <w:spacing w:before="312" w:after="312" w:line="480" w:lineRule="auto"/>
      <w:textAlignment w:val="baseline"/>
    </w:pPr>
    <w:rPr>
      <w:rFonts w:ascii="Times New Roman" w:hAnsi="Times New Roman" w:eastAsia="宋体"/>
      <w:bCs w:val="0"/>
      <w:color w:val="4F81BD"/>
      <w:sz w:val="28"/>
      <w:szCs w:val="20"/>
    </w:rPr>
  </w:style>
  <w:style w:type="paragraph" w:customStyle="1" w:styleId="641">
    <w:name w:val="Char5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2">
    <w:name w:val="样式16"/>
    <w:basedOn w:val="37"/>
    <w:next w:val="37"/>
    <w:qFormat/>
    <w:uiPriority w:val="0"/>
    <w:pPr>
      <w:spacing w:before="0" w:after="0"/>
      <w:jc w:val="both"/>
    </w:pPr>
    <w:rPr>
      <w:b w:val="0"/>
      <w:bCs w:val="0"/>
      <w:caps w:val="0"/>
      <w:sz w:val="21"/>
    </w:rPr>
  </w:style>
  <w:style w:type="paragraph" w:customStyle="1" w:styleId="643">
    <w:name w:val="列出段落1"/>
    <w:basedOn w:val="1"/>
    <w:qFormat/>
    <w:uiPriority w:val="0"/>
    <w:pPr>
      <w:ind w:firstLine="420" w:firstLineChars="200"/>
    </w:pPr>
  </w:style>
  <w:style w:type="paragraph" w:customStyle="1" w:styleId="644">
    <w:name w:val="修订11"/>
    <w:qFormat/>
    <w:uiPriority w:val="0"/>
    <w:rPr>
      <w:rFonts w:ascii="Calibri" w:hAnsi="Calibri" w:eastAsia="宋体" w:cs="Times New Roman"/>
      <w:kern w:val="2"/>
      <w:sz w:val="21"/>
      <w:szCs w:val="24"/>
      <w:lang w:val="en-US" w:eastAsia="zh-CN" w:bidi="ar-SA"/>
    </w:rPr>
  </w:style>
  <w:style w:type="paragraph" w:customStyle="1" w:styleId="645">
    <w:name w:val="样式 标题 2H2标题 2 CharUnderrubrik1prop2sect 1.2DO NOT USE_h2c..."/>
    <w:basedOn w:val="2"/>
    <w:qFormat/>
    <w:uiPriority w:val="0"/>
    <w:pPr>
      <w:keepNext w:val="0"/>
      <w:keepLines w:val="0"/>
      <w:tabs>
        <w:tab w:val="left" w:pos="525"/>
      </w:tabs>
      <w:spacing w:before="200" w:after="100" w:line="360" w:lineRule="auto"/>
    </w:pPr>
    <w:rPr>
      <w:rFonts w:ascii="宋体" w:hAnsi="Cambria" w:eastAsia="宋体"/>
      <w:bCs w:val="0"/>
      <w:color w:val="000000"/>
      <w:sz w:val="28"/>
      <w:szCs w:val="20"/>
    </w:rPr>
  </w:style>
  <w:style w:type="paragraph" w:customStyle="1" w:styleId="646">
    <w:name w:val="样式 标题 3H3l3CTh33rd levelLevel 3 HeadHeading 3 - oldISO2..."/>
    <w:basedOn w:val="5"/>
    <w:qFormat/>
    <w:uiPriority w:val="0"/>
    <w:pPr>
      <w:keepNext w:val="0"/>
      <w:keepLines w:val="0"/>
      <w:spacing w:before="0" w:after="0" w:line="360" w:lineRule="auto"/>
      <w:ind w:left="737" w:hanging="539" w:firstLineChars="0"/>
    </w:pPr>
    <w:rPr>
      <w:rFonts w:ascii="宋体" w:eastAsia="宋体"/>
      <w:b/>
      <w:bCs w:val="0"/>
      <w:sz w:val="24"/>
      <w:szCs w:val="20"/>
    </w:rPr>
  </w:style>
  <w:style w:type="paragraph" w:customStyle="1" w:styleId="647">
    <w:name w:val="封四"/>
    <w:basedOn w:val="214"/>
    <w:next w:val="214"/>
    <w:qFormat/>
    <w:uiPriority w:val="0"/>
    <w:pPr>
      <w:jc w:val="left"/>
    </w:pPr>
    <w:rPr>
      <w:sz w:val="30"/>
      <w:szCs w:val="30"/>
    </w:rPr>
  </w:style>
  <w:style w:type="paragraph" w:customStyle="1" w:styleId="648">
    <w:name w:val="标题二样式"/>
    <w:basedOn w:val="2"/>
    <w:qFormat/>
    <w:uiPriority w:val="0"/>
    <w:pPr>
      <w:tabs>
        <w:tab w:val="left" w:pos="525"/>
      </w:tabs>
      <w:spacing w:before="0" w:after="0" w:line="240" w:lineRule="auto"/>
    </w:pPr>
    <w:rPr>
      <w:rFonts w:ascii="Cambria" w:hAnsi="Cambria" w:eastAsia="宋体"/>
      <w:bCs w:val="0"/>
      <w:color w:val="4F81BD"/>
      <w:sz w:val="26"/>
      <w:szCs w:val="20"/>
    </w:rPr>
  </w:style>
  <w:style w:type="paragraph" w:customStyle="1" w:styleId="649">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650">
    <w:name w:val="Char5"/>
    <w:basedOn w:val="1"/>
    <w:qFormat/>
    <w:uiPriority w:val="0"/>
    <w:pPr>
      <w:widowControl/>
      <w:spacing w:after="160" w:line="240" w:lineRule="exact"/>
      <w:jc w:val="left"/>
    </w:pPr>
    <w:rPr>
      <w:sz w:val="30"/>
      <w:szCs w:val="24"/>
    </w:rPr>
  </w:style>
  <w:style w:type="paragraph" w:customStyle="1" w:styleId="651">
    <w:name w:val="报告正文"/>
    <w:basedOn w:val="1"/>
    <w:qFormat/>
    <w:uiPriority w:val="0"/>
    <w:pPr>
      <w:snapToGrid w:val="0"/>
      <w:spacing w:line="400" w:lineRule="exact"/>
      <w:ind w:firstLine="482"/>
    </w:pPr>
    <w:rPr>
      <w:rFonts w:ascii="Times New Roman" w:hAnsi="Times New Roman"/>
      <w:sz w:val="24"/>
      <w:szCs w:val="20"/>
    </w:rPr>
  </w:style>
  <w:style w:type="paragraph" w:customStyle="1" w:styleId="652">
    <w:name w:val="Char Char Char Char"/>
    <w:basedOn w:val="1"/>
    <w:qFormat/>
    <w:uiPriority w:val="0"/>
    <w:rPr>
      <w:rFonts w:ascii="Times New Roman" w:hAnsi="Times New Roman"/>
      <w:szCs w:val="24"/>
    </w:rPr>
  </w:style>
  <w:style w:type="paragraph" w:customStyle="1" w:styleId="653">
    <w:name w:val="3 Char Char Char Char Char Char Char"/>
    <w:basedOn w:val="1"/>
    <w:qFormat/>
    <w:uiPriority w:val="0"/>
    <w:pPr>
      <w:adjustRightInd w:val="0"/>
      <w:snapToGrid w:val="0"/>
      <w:spacing w:line="400" w:lineRule="exact"/>
      <w:ind w:firstLine="200" w:firstLineChars="200"/>
    </w:pPr>
    <w:rPr>
      <w:rFonts w:ascii="Times New Roman" w:hAnsi="Times New Roman"/>
      <w:sz w:val="24"/>
      <w:szCs w:val="20"/>
    </w:rPr>
  </w:style>
  <w:style w:type="paragraph" w:customStyle="1" w:styleId="654">
    <w:name w:val="正文段"/>
    <w:basedOn w:val="1"/>
    <w:qFormat/>
    <w:uiPriority w:val="0"/>
    <w:pPr>
      <w:adjustRightInd w:val="0"/>
      <w:spacing w:after="240" w:line="360" w:lineRule="atLeast"/>
      <w:ind w:firstLine="454"/>
      <w:textAlignment w:val="bottom"/>
    </w:pPr>
    <w:rPr>
      <w:rFonts w:ascii="宋体" w:hAnsi="Times New Roman"/>
      <w:sz w:val="24"/>
      <w:szCs w:val="20"/>
    </w:rPr>
  </w:style>
  <w:style w:type="paragraph" w:customStyle="1" w:styleId="655">
    <w:name w:val="Item List"/>
    <w:qFormat/>
    <w:uiPriority w:val="0"/>
    <w:pPr>
      <w:tabs>
        <w:tab w:val="left" w:pos="2211"/>
      </w:tabs>
      <w:spacing w:after="200" w:line="300" w:lineRule="auto"/>
      <w:ind w:left="2211" w:hanging="510"/>
      <w:jc w:val="both"/>
    </w:pPr>
    <w:rPr>
      <w:rFonts w:ascii="Arial" w:hAnsi="Arial" w:eastAsia="宋体" w:cs="Times New Roman"/>
      <w:sz w:val="22"/>
      <w:lang w:val="en-US" w:eastAsia="zh-CN" w:bidi="ar-SA"/>
    </w:rPr>
  </w:style>
  <w:style w:type="paragraph" w:customStyle="1" w:styleId="656">
    <w:name w:val="无间隔1"/>
    <w:qFormat/>
    <w:uiPriority w:val="0"/>
    <w:pPr>
      <w:spacing w:after="200" w:line="276" w:lineRule="auto"/>
    </w:pPr>
    <w:rPr>
      <w:rFonts w:ascii="Calibri" w:hAnsi="Calibri" w:eastAsia="宋体" w:cs="Times New Roman"/>
      <w:sz w:val="22"/>
      <w:lang w:val="en-US" w:eastAsia="en-US" w:bidi="ar-SA"/>
    </w:rPr>
  </w:style>
  <w:style w:type="paragraph" w:customStyle="1" w:styleId="65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658">
    <w:name w:val="二级无标题条"/>
    <w:basedOn w:val="1"/>
    <w:qFormat/>
    <w:uiPriority w:val="0"/>
    <w:pPr>
      <w:ind w:left="1680" w:hanging="420"/>
    </w:pPr>
    <w:rPr>
      <w:rFonts w:ascii="Times New Roman" w:hAnsi="Times New Roman"/>
      <w:szCs w:val="24"/>
    </w:rPr>
  </w:style>
  <w:style w:type="paragraph" w:customStyle="1" w:styleId="659">
    <w:name w:val="引用1"/>
    <w:basedOn w:val="1"/>
    <w:next w:val="1"/>
    <w:qFormat/>
    <w:uiPriority w:val="0"/>
    <w:rPr>
      <w:rFonts w:ascii="Times New Roman" w:hAnsi="Times New Roman"/>
      <w:i/>
      <w:color w:val="000000"/>
      <w:kern w:val="0"/>
      <w:sz w:val="20"/>
      <w:szCs w:val="20"/>
    </w:rPr>
  </w:style>
  <w:style w:type="paragraph" w:customStyle="1" w:styleId="660">
    <w:name w:val="font8"/>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661">
    <w:name w:val="正文3"/>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paragraph" w:customStyle="1" w:styleId="662">
    <w:name w:val="二级项目符号"/>
    <w:basedOn w:val="1"/>
    <w:qFormat/>
    <w:uiPriority w:val="0"/>
    <w:pPr>
      <w:spacing w:line="360" w:lineRule="auto"/>
    </w:pPr>
    <w:rPr>
      <w:rFonts w:ascii="Times New Roman" w:hAnsi="Times New Roman"/>
      <w:sz w:val="24"/>
      <w:szCs w:val="20"/>
    </w:rPr>
  </w:style>
  <w:style w:type="paragraph" w:customStyle="1" w:styleId="663">
    <w:name w:val="正题"/>
    <w:basedOn w:val="214"/>
    <w:next w:val="214"/>
    <w:qFormat/>
    <w:uiPriority w:val="0"/>
    <w:pPr>
      <w:ind w:firstLine="0" w:firstLineChars="0"/>
      <w:jc w:val="center"/>
    </w:pPr>
    <w:rPr>
      <w:rFonts w:eastAsia="黑体"/>
      <w:b/>
      <w:sz w:val="36"/>
      <w:szCs w:val="36"/>
    </w:rPr>
  </w:style>
  <w:style w:type="paragraph" w:customStyle="1" w:styleId="664">
    <w:name w:val="小标题 1"/>
    <w:basedOn w:val="1"/>
    <w:qFormat/>
    <w:uiPriority w:val="0"/>
    <w:pPr>
      <w:autoSpaceDE w:val="0"/>
      <w:autoSpaceDN w:val="0"/>
      <w:adjustRightInd w:val="0"/>
      <w:spacing w:line="360" w:lineRule="atLeast"/>
    </w:pPr>
    <w:rPr>
      <w:rFonts w:ascii="文鼎粗黑" w:hAnsi="Times New Roman" w:eastAsia="文鼎粗黑"/>
      <w:szCs w:val="20"/>
    </w:rPr>
  </w:style>
  <w:style w:type="paragraph" w:customStyle="1" w:styleId="665">
    <w:name w:val="图表标题"/>
    <w:basedOn w:val="1"/>
    <w:next w:val="1"/>
    <w:qFormat/>
    <w:uiPriority w:val="0"/>
    <w:pPr>
      <w:spacing w:before="120"/>
      <w:jc w:val="center"/>
      <w:textAlignment w:val="baseline"/>
    </w:pPr>
    <w:rPr>
      <w:rFonts w:ascii="Arial" w:hAnsi="Arial" w:eastAsia="黑体"/>
      <w:szCs w:val="20"/>
    </w:rPr>
  </w:style>
  <w:style w:type="paragraph" w:customStyle="1" w:styleId="666">
    <w:name w:val="页眉 New"/>
    <w:basedOn w:val="507"/>
    <w:qFormat/>
    <w:uiPriority w:val="0"/>
    <w:pPr>
      <w:pBdr>
        <w:bottom w:val="single" w:color="auto" w:sz="6" w:space="1"/>
      </w:pBdr>
      <w:tabs>
        <w:tab w:val="center" w:pos="4153"/>
        <w:tab w:val="right" w:pos="8306"/>
      </w:tabs>
      <w:snapToGrid w:val="0"/>
      <w:jc w:val="center"/>
    </w:pPr>
    <w:rPr>
      <w:sz w:val="18"/>
    </w:rPr>
  </w:style>
  <w:style w:type="paragraph" w:customStyle="1" w:styleId="667">
    <w:name w:val="Char5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8">
    <w:name w:val="样式7"/>
    <w:basedOn w:val="1"/>
    <w:qFormat/>
    <w:uiPriority w:val="0"/>
    <w:pPr>
      <w:ind w:firstLine="420"/>
    </w:pPr>
    <w:rPr>
      <w:rFonts w:ascii="Times New Roman" w:hAnsi="Times New Roman"/>
      <w:szCs w:val="20"/>
    </w:rPr>
  </w:style>
  <w:style w:type="paragraph" w:customStyle="1" w:styleId="669">
    <w:name w:val="IBM bullets 2"/>
    <w:basedOn w:val="607"/>
    <w:qFormat/>
    <w:uiPriority w:val="0"/>
    <w:pPr>
      <w:ind w:left="1080"/>
    </w:pPr>
  </w:style>
  <w:style w:type="paragraph" w:customStyle="1" w:styleId="670">
    <w:name w:val="纯文本3"/>
    <w:basedOn w:val="1"/>
    <w:qFormat/>
    <w:uiPriority w:val="0"/>
    <w:rPr>
      <w:rFonts w:ascii="宋体" w:hAnsi="Courier New"/>
      <w:sz w:val="24"/>
      <w:szCs w:val="20"/>
    </w:rPr>
  </w:style>
  <w:style w:type="paragraph" w:customStyle="1" w:styleId="671">
    <w:name w:val="CM11"/>
    <w:basedOn w:val="373"/>
    <w:next w:val="373"/>
    <w:qFormat/>
    <w:uiPriority w:val="0"/>
    <w:pPr>
      <w:spacing w:after="295"/>
    </w:pPr>
    <w:rPr>
      <w:rFonts w:ascii="Yenti EG" w:eastAsia="Yenti EG"/>
      <w:color w:val="auto"/>
      <w:sz w:val="20"/>
    </w:rPr>
  </w:style>
  <w:style w:type="paragraph" w:customStyle="1" w:styleId="672">
    <w:name w:val="Table Description"/>
    <w:next w:val="1"/>
    <w:qFormat/>
    <w:uiPriority w:val="0"/>
    <w:pPr>
      <w:keepNext/>
      <w:snapToGrid w:val="0"/>
      <w:spacing w:before="160" w:after="80" w:line="276" w:lineRule="auto"/>
      <w:ind w:firstLine="1701"/>
      <w:jc w:val="center"/>
    </w:pPr>
    <w:rPr>
      <w:rFonts w:ascii="Arial" w:hAnsi="Arial" w:eastAsia="黑体" w:cs="Times New Roman"/>
      <w:sz w:val="18"/>
      <w:lang w:val="en-US" w:eastAsia="zh-CN" w:bidi="ar-SA"/>
    </w:rPr>
  </w:style>
  <w:style w:type="paragraph" w:customStyle="1" w:styleId="673">
    <w:name w:val="p0"/>
    <w:basedOn w:val="1"/>
    <w:qFormat/>
    <w:uiPriority w:val="0"/>
    <w:pPr>
      <w:widowControl/>
    </w:pPr>
    <w:rPr>
      <w:rFonts w:ascii="Times New Roman" w:hAnsi="Times New Roman"/>
      <w:kern w:val="0"/>
      <w:szCs w:val="21"/>
    </w:rPr>
  </w:style>
  <w:style w:type="paragraph" w:customStyle="1" w:styleId="674">
    <w:name w:val="Char1 Char Char Char Char Char Char12"/>
    <w:basedOn w:val="1"/>
    <w:qFormat/>
    <w:uiPriority w:val="0"/>
    <w:rPr>
      <w:sz w:val="30"/>
      <w:szCs w:val="24"/>
    </w:rPr>
  </w:style>
  <w:style w:type="paragraph" w:customStyle="1" w:styleId="675">
    <w:name w:val="list1"/>
    <w:basedOn w:val="1"/>
    <w:qFormat/>
    <w:uiPriority w:val="0"/>
    <w:pPr>
      <w:tabs>
        <w:tab w:val="left" w:pos="1265"/>
      </w:tabs>
      <w:adjustRightInd w:val="0"/>
      <w:spacing w:line="360" w:lineRule="auto"/>
      <w:ind w:left="1265" w:hanging="420"/>
      <w:textAlignment w:val="baseline"/>
    </w:pPr>
    <w:rPr>
      <w:rFonts w:ascii="宋体" w:hAnsi="Times New Roman"/>
      <w:color w:val="000000"/>
      <w:sz w:val="24"/>
      <w:szCs w:val="20"/>
    </w:rPr>
  </w:style>
  <w:style w:type="paragraph" w:customStyle="1" w:styleId="676">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7">
    <w:name w:val="xl2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6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szCs w:val="20"/>
    </w:rPr>
  </w:style>
  <w:style w:type="paragraph" w:customStyle="1" w:styleId="679">
    <w:name w:val="标题3"/>
    <w:basedOn w:val="1"/>
    <w:qFormat/>
    <w:uiPriority w:val="0"/>
    <w:pPr>
      <w:adjustRightInd w:val="0"/>
      <w:spacing w:before="120" w:after="120"/>
      <w:jc w:val="center"/>
      <w:textAlignment w:val="baseline"/>
    </w:pPr>
    <w:rPr>
      <w:rFonts w:ascii="Times New Roman" w:hAnsi="Times New Roman"/>
      <w:b/>
      <w:kern w:val="0"/>
      <w:sz w:val="18"/>
      <w:szCs w:val="20"/>
    </w:rPr>
  </w:style>
  <w:style w:type="paragraph" w:customStyle="1" w:styleId="680">
    <w:name w:val="p15"/>
    <w:basedOn w:val="1"/>
    <w:qFormat/>
    <w:uiPriority w:val="0"/>
    <w:pPr>
      <w:widowControl/>
    </w:pPr>
    <w:rPr>
      <w:rFonts w:ascii="宋体" w:hAnsi="宋体" w:cs="宋体"/>
      <w:kern w:val="0"/>
      <w:szCs w:val="21"/>
    </w:rPr>
  </w:style>
  <w:style w:type="paragraph" w:customStyle="1" w:styleId="681">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2">
    <w:name w:val="Char1 Char Char Char Char Char Char1 Char Char Char"/>
    <w:basedOn w:val="1"/>
    <w:qFormat/>
    <w:uiPriority w:val="0"/>
    <w:rPr>
      <w:sz w:val="30"/>
      <w:szCs w:val="24"/>
    </w:rPr>
  </w:style>
  <w:style w:type="paragraph" w:customStyle="1" w:styleId="683">
    <w:name w:val="表格题注"/>
    <w:next w:val="1"/>
    <w:qFormat/>
    <w:uiPriority w:val="0"/>
    <w:pPr>
      <w:keepLines/>
      <w:spacing w:beforeLines="100" w:after="200" w:line="276" w:lineRule="auto"/>
      <w:jc w:val="center"/>
    </w:pPr>
    <w:rPr>
      <w:rFonts w:ascii="Arial" w:hAnsi="Arial" w:eastAsia="宋体" w:cs="Times New Roman"/>
      <w:sz w:val="18"/>
      <w:lang w:val="en-US" w:eastAsia="zh-CN" w:bidi="ar-SA"/>
    </w:rPr>
  </w:style>
  <w:style w:type="paragraph" w:customStyle="1" w:styleId="684">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685">
    <w:name w:val="xl46"/>
    <w:basedOn w:val="1"/>
    <w:qFormat/>
    <w:uiPriority w:val="0"/>
    <w:pPr>
      <w:widowControl/>
      <w:spacing w:before="100" w:beforeAutospacing="1" w:after="100" w:afterAutospacing="1"/>
      <w:jc w:val="left"/>
      <w:textAlignment w:val="center"/>
    </w:pPr>
    <w:rPr>
      <w:rFonts w:ascii="宋体" w:hAnsi="宋体"/>
      <w:kern w:val="0"/>
      <w:sz w:val="22"/>
      <w:szCs w:val="20"/>
    </w:rPr>
  </w:style>
  <w:style w:type="paragraph" w:customStyle="1" w:styleId="686">
    <w:name w:val="Char Char Char Char Char Char Char Char1 Char2"/>
    <w:basedOn w:val="1"/>
    <w:qFormat/>
    <w:uiPriority w:val="0"/>
    <w:rPr>
      <w:rFonts w:ascii="Times New Roman" w:hAnsi="Times New Roman"/>
      <w:szCs w:val="20"/>
    </w:rPr>
  </w:style>
  <w:style w:type="paragraph" w:customStyle="1" w:styleId="687">
    <w:name w:val="Char Char1 Char Char Char Char Char Char Char Char"/>
    <w:basedOn w:val="1"/>
    <w:qFormat/>
    <w:uiPriority w:val="0"/>
    <w:pPr>
      <w:spacing w:after="160" w:line="240" w:lineRule="exact"/>
    </w:pPr>
    <w:rPr>
      <w:rFonts w:ascii="Verdana" w:hAnsi="Verdana"/>
      <w:sz w:val="20"/>
      <w:szCs w:val="20"/>
    </w:rPr>
  </w:style>
  <w:style w:type="paragraph" w:customStyle="1" w:styleId="68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89">
    <w:name w:val="文档正文"/>
    <w:basedOn w:val="1"/>
    <w:qFormat/>
    <w:uiPriority w:val="0"/>
    <w:rPr>
      <w:rFonts w:ascii="Arial" w:hAnsi="Arial"/>
      <w:sz w:val="24"/>
      <w:szCs w:val="20"/>
    </w:rPr>
  </w:style>
  <w:style w:type="paragraph" w:customStyle="1" w:styleId="690">
    <w:name w:val="文档结构图3"/>
    <w:basedOn w:val="1"/>
    <w:qFormat/>
    <w:uiPriority w:val="0"/>
    <w:pPr>
      <w:shd w:val="clear" w:color="auto" w:fill="000080"/>
    </w:pPr>
    <w:rPr>
      <w:sz w:val="30"/>
      <w:szCs w:val="24"/>
    </w:rPr>
  </w:style>
  <w:style w:type="paragraph" w:customStyle="1" w:styleId="691">
    <w:name w:val="正文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2">
    <w:name w:val="正文文本4"/>
    <w:basedOn w:val="1"/>
    <w:qFormat/>
    <w:uiPriority w:val="0"/>
    <w:pPr>
      <w:shd w:val="clear" w:color="auto" w:fill="FFFFFF"/>
      <w:spacing w:line="466" w:lineRule="exact"/>
      <w:ind w:hanging="720"/>
      <w:jc w:val="distribute"/>
    </w:pPr>
    <w:rPr>
      <w:rFonts w:ascii="Arial Unicode MS" w:hAnsi="Arial Unicode MS" w:eastAsia="Arial Unicode MS" w:cs="Arial Unicode MS"/>
      <w:color w:val="000000"/>
      <w:kern w:val="0"/>
      <w:sz w:val="20"/>
      <w:szCs w:val="20"/>
      <w:lang w:val="zh-CN"/>
    </w:rPr>
  </w:style>
  <w:style w:type="paragraph" w:customStyle="1" w:styleId="693">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694">
    <w:name w:val="样式8"/>
    <w:basedOn w:val="499"/>
    <w:qFormat/>
    <w:uiPriority w:val="0"/>
    <w:pPr>
      <w:keepNext w:val="0"/>
      <w:keepLines w:val="0"/>
      <w:tabs>
        <w:tab w:val="right" w:leader="dot" w:pos="9458"/>
      </w:tabs>
      <w:spacing w:before="0" w:after="0" w:line="240" w:lineRule="auto"/>
      <w:ind w:left="420" w:firstLine="0" w:firstLineChars="0"/>
      <w:outlineLvl w:val="9"/>
    </w:pPr>
    <w:rPr>
      <w:rFonts w:ascii="Arial" w:hAnsi="Times New Roman" w:eastAsia="宋体"/>
      <w:bCs w:val="0"/>
      <w:i w:val="0"/>
      <w:sz w:val="21"/>
      <w:szCs w:val="20"/>
    </w:rPr>
  </w:style>
  <w:style w:type="paragraph" w:customStyle="1" w:styleId="695">
    <w:name w:val="表头"/>
    <w:basedOn w:val="1"/>
    <w:qFormat/>
    <w:uiPriority w:val="0"/>
    <w:pPr>
      <w:spacing w:line="360" w:lineRule="auto"/>
      <w:jc w:val="center"/>
    </w:pPr>
    <w:rPr>
      <w:rFonts w:ascii="黑体" w:hAnsi="Times New Roman" w:eastAsia="黑体"/>
      <w:kern w:val="0"/>
      <w:sz w:val="24"/>
      <w:szCs w:val="20"/>
    </w:rPr>
  </w:style>
  <w:style w:type="paragraph" w:customStyle="1" w:styleId="696">
    <w:name w:val="_Style 41"/>
    <w:basedOn w:val="1"/>
    <w:qFormat/>
    <w:uiPriority w:val="0"/>
    <w:rPr>
      <w:rFonts w:ascii="宋体" w:hAnsi="CG Times (W1)"/>
      <w:kern w:val="0"/>
      <w:szCs w:val="20"/>
    </w:rPr>
  </w:style>
  <w:style w:type="table" w:customStyle="1" w:styleId="697">
    <w:name w:val="网格型2"/>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8">
    <w:name w:val="网格型11"/>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9">
    <w:name w:val="网格型1"/>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0">
    <w:name w:val="_Style 3"/>
    <w:basedOn w:val="1"/>
    <w:qFormat/>
    <w:uiPriority w:val="34"/>
    <w:pPr>
      <w:adjustRightInd w:val="0"/>
      <w:snapToGrid w:val="0"/>
      <w:spacing w:line="312" w:lineRule="auto"/>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5626</Words>
  <Characters>32074</Characters>
  <Lines>267</Lines>
  <Paragraphs>75</Paragraphs>
  <TotalTime>16</TotalTime>
  <ScaleCrop>false</ScaleCrop>
  <LinksUpToDate>false</LinksUpToDate>
  <CharactersWithSpaces>37625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2021-12-07T01:30:00Z</dcterms:created>
  <cp:lastPrinted>2021-12-16T05:40:00Z</cp:lastPrinted>
  <dcterms:modified xsi:type="dcterms:W3CDTF">2022-01-21T03:20:12Z</dcterms:modified>
  <dc:title>丰乐北路（广园路-南云五路）拓宽工程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212E359E883F41C4BF5882747AF2EEE6</vt:lpwstr>
  </property>
</Properties>
</file>