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宋体"/>
          <w:color w:val="auto"/>
          <w:sz w:val="30"/>
          <w:u w:val="single"/>
          <w:lang w:eastAsia="zh-CN"/>
        </w:rPr>
      </w:pPr>
      <w:bookmarkStart w:id="533" w:name="_GoBack"/>
      <w:bookmarkEnd w:id="533"/>
      <w:r>
        <w:rPr>
          <w:rFonts w:hint="eastAsia" w:eastAsia="宋体"/>
          <w:color w:val="auto"/>
          <w:sz w:val="30"/>
          <w:u w:val="single"/>
          <w:lang w:eastAsia="zh-CN"/>
        </w:rPr>
        <w:drawing>
          <wp:inline distT="0" distB="0" distL="114300" distR="114300">
            <wp:extent cx="6187440" cy="8752205"/>
            <wp:effectExtent l="0" t="0" r="3810" b="10795"/>
            <wp:docPr id="3" name="图片 3" descr="备案文件封面（勘察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备案文件封面（勘察设计）"/>
                    <pic:cNvPicPr>
                      <a:picLocks noChangeAspect="1"/>
                    </pic:cNvPicPr>
                  </pic:nvPicPr>
                  <pic:blipFill>
                    <a:blip r:embed="rId9"/>
                    <a:stretch>
                      <a:fillRect/>
                    </a:stretch>
                  </pic:blipFill>
                  <pic:spPr>
                    <a:xfrm>
                      <a:off x="0" y="0"/>
                      <a:ext cx="6187440" cy="8752205"/>
                    </a:xfrm>
                    <a:prstGeom prst="rect">
                      <a:avLst/>
                    </a:prstGeom>
                  </pic:spPr>
                </pic:pic>
              </a:graphicData>
            </a:graphic>
          </wp:inline>
        </w:drawing>
      </w:r>
      <w:r>
        <w:rPr>
          <w:rFonts w:hint="eastAsia" w:eastAsia="宋体"/>
          <w:color w:val="auto"/>
          <w:sz w:val="30"/>
          <w:u w:val="single"/>
          <w:lang w:eastAsia="zh-CN"/>
        </w:rPr>
        <w:drawing>
          <wp:inline distT="0" distB="0" distL="114300" distR="114300">
            <wp:extent cx="6187440" cy="8752205"/>
            <wp:effectExtent l="0" t="0" r="3810" b="10795"/>
            <wp:docPr id="2" name="图片 2" descr="招标文件（勘察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勘察设计）"/>
                    <pic:cNvPicPr>
                      <a:picLocks noChangeAspect="1"/>
                    </pic:cNvPicPr>
                  </pic:nvPicPr>
                  <pic:blipFill>
                    <a:blip r:embed="rId10"/>
                    <a:stretch>
                      <a:fillRect/>
                    </a:stretch>
                  </pic:blipFill>
                  <pic:spPr>
                    <a:xfrm>
                      <a:off x="0" y="0"/>
                      <a:ext cx="6187440" cy="8752205"/>
                    </a:xfrm>
                    <a:prstGeom prst="rect">
                      <a:avLst/>
                    </a:prstGeom>
                  </pic:spPr>
                </pic:pic>
              </a:graphicData>
            </a:graphic>
          </wp:inline>
        </w:drawing>
      </w:r>
    </w:p>
    <w:p>
      <w:pPr>
        <w:pStyle w:val="2"/>
        <w:rPr>
          <w:rFonts w:hint="eastAsia"/>
          <w:color w:val="auto"/>
          <w:lang w:eastAsia="zh-CN"/>
        </w:rPr>
      </w:pPr>
    </w:p>
    <w:p>
      <w:pPr>
        <w:pStyle w:val="6"/>
        <w:tabs>
          <w:tab w:val="left" w:pos="6107"/>
        </w:tabs>
        <w:jc w:val="center"/>
        <w:rPr>
          <w:rFonts w:ascii="宋体" w:hAnsi="宋体" w:cs="宋体"/>
          <w:b/>
          <w:color w:val="auto"/>
          <w:sz w:val="44"/>
          <w:szCs w:val="44"/>
          <w:highlight w:val="none"/>
        </w:rPr>
      </w:pPr>
      <w:bookmarkStart w:id="0" w:name="_Toc20607"/>
      <w:r>
        <w:rPr>
          <w:rFonts w:hint="eastAsia" w:ascii="宋体" w:hAnsi="宋体" w:cs="宋体"/>
          <w:b/>
          <w:color w:val="auto"/>
          <w:sz w:val="44"/>
          <w:szCs w:val="44"/>
          <w:highlight w:val="none"/>
        </w:rPr>
        <w:t>目  录</w:t>
      </w:r>
      <w:bookmarkEnd w:id="0"/>
    </w:p>
    <w:p>
      <w:pPr>
        <w:spacing w:line="360" w:lineRule="auto"/>
        <w:jc w:val="center"/>
        <w:rPr>
          <w:rFonts w:ascii="宋体" w:hAnsi="宋体" w:cs="宋体"/>
          <w:b/>
          <w:color w:val="auto"/>
          <w:sz w:val="24"/>
          <w:szCs w:val="24"/>
          <w:highlight w:val="none"/>
        </w:rPr>
      </w:pPr>
    </w:p>
    <w:p>
      <w:pPr>
        <w:pStyle w:val="25"/>
        <w:tabs>
          <w:tab w:val="right" w:leader="dot" w:pos="9746"/>
          <w:tab w:val="clear" w:pos="900"/>
          <w:tab w:val="clear" w:pos="8296"/>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"1-4"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_Toc15047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rPr>
        <w:t xml:space="preserve">第一章 </w:t>
      </w:r>
      <w:r>
        <w:rPr>
          <w:rFonts w:hint="eastAsia" w:ascii="宋体" w:hAnsi="宋体" w:eastAsia="宋体" w:cs="宋体"/>
          <w:color w:val="auto"/>
          <w:sz w:val="28"/>
          <w:szCs w:val="28"/>
          <w:highlight w:val="none"/>
        </w:rPr>
        <w:t>招标公告</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2</w:t>
      </w:r>
      <w:r>
        <w:rPr>
          <w:rFonts w:hint="eastAsia" w:ascii="宋体" w:hAnsi="宋体" w:eastAsia="宋体" w:cs="宋体"/>
          <w:color w:val="auto"/>
          <w:sz w:val="28"/>
          <w:szCs w:val="28"/>
          <w:highlight w:val="none"/>
        </w:rPr>
        <w:fldChar w:fldCharType="end"/>
      </w:r>
    </w:p>
    <w:p>
      <w:pPr>
        <w:pStyle w:val="25"/>
        <w:tabs>
          <w:tab w:val="right" w:leader="dot" w:pos="9746"/>
          <w:tab w:val="clear" w:pos="900"/>
          <w:tab w:val="clear" w:pos="8296"/>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_Toc3407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第二章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投标须知前附表及投标人须知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6</w:t>
      </w:r>
      <w:r>
        <w:rPr>
          <w:rFonts w:hint="eastAsia" w:ascii="宋体" w:hAnsi="宋体" w:eastAsia="宋体" w:cs="宋体"/>
          <w:color w:val="auto"/>
          <w:sz w:val="28"/>
          <w:szCs w:val="28"/>
          <w:highlight w:val="none"/>
        </w:rPr>
        <w:fldChar w:fldCharType="end"/>
      </w:r>
    </w:p>
    <w:p>
      <w:pPr>
        <w:pStyle w:val="25"/>
        <w:tabs>
          <w:tab w:val="right" w:leader="dot" w:pos="9746"/>
          <w:tab w:val="clear" w:pos="900"/>
          <w:tab w:val="clear" w:pos="8296"/>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_Toc12546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评标办法和标准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_Toc12546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pPr>
        <w:pStyle w:val="25"/>
        <w:tabs>
          <w:tab w:val="right" w:leader="dot" w:pos="9746"/>
          <w:tab w:val="clear" w:pos="900"/>
          <w:tab w:val="clear" w:pos="8296"/>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_Toc21240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_Toc21240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pPr>
        <w:pStyle w:val="25"/>
        <w:tabs>
          <w:tab w:val="right" w:leader="dot" w:pos="9746"/>
          <w:tab w:val="clear" w:pos="900"/>
          <w:tab w:val="clear" w:pos="8296"/>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_Toc26905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技术标准和设计任务书</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_Toc26905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p>
    <w:p>
      <w:pPr>
        <w:pStyle w:val="25"/>
        <w:tabs>
          <w:tab w:val="right" w:leader="dot" w:pos="9746"/>
          <w:tab w:val="clear" w:pos="900"/>
          <w:tab w:val="clear" w:pos="8296"/>
        </w:tabs>
        <w:spacing w:line="60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设计有关资料（另附）</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_Toc2334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8</w:t>
      </w:r>
    </w:p>
    <w:p>
      <w:pPr>
        <w:pStyle w:val="25"/>
        <w:tabs>
          <w:tab w:val="right" w:leader="dot" w:pos="9746"/>
          <w:tab w:val="clear" w:pos="900"/>
          <w:tab w:val="clear" w:pos="8296"/>
        </w:tabs>
        <w:spacing w:line="60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_Toc16008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投标文件格式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_Toc16008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pPr>
        <w:pStyle w:val="17"/>
        <w:tabs>
          <w:tab w:val="right" w:leader="dot" w:pos="9746"/>
        </w:tabs>
        <w:spacing w:line="600" w:lineRule="auto"/>
        <w:rPr>
          <w:rFonts w:hint="eastAsia" w:ascii="宋体" w:hAnsi="宋体" w:eastAsia="宋体" w:cs="宋体"/>
          <w:color w:val="auto"/>
          <w:sz w:val="28"/>
          <w:szCs w:val="28"/>
        </w:rPr>
        <w:sectPr>
          <w:headerReference r:id="rId5" w:type="default"/>
          <w:footerReference r:id="rId6" w:type="default"/>
          <w:pgSz w:w="11906" w:h="16838"/>
          <w:pgMar w:top="1440" w:right="1080" w:bottom="1440" w:left="1080" w:header="851" w:footer="992" w:gutter="0"/>
          <w:pgNumType w:fmt="decimal" w:start="1"/>
          <w:cols w:space="720" w:num="1"/>
          <w:docGrid w:linePitch="312" w:charSpace="0"/>
        </w:sectPr>
      </w:pPr>
    </w:p>
    <w:p>
      <w:pPr>
        <w:spacing w:line="240" w:lineRule="auto"/>
        <w:rPr>
          <w:color w:val="auto"/>
        </w:rPr>
      </w:pPr>
      <w:r>
        <w:rPr>
          <w:rFonts w:hint="eastAsia" w:ascii="宋体" w:hAnsi="宋体" w:eastAsia="宋体" w:cs="宋体"/>
          <w:color w:val="auto"/>
          <w:sz w:val="28"/>
          <w:szCs w:val="28"/>
          <w:highlight w:val="none"/>
        </w:rPr>
        <w:fldChar w:fldCharType="end"/>
      </w:r>
      <w:bookmarkStart w:id="1" w:name="_Toc142138202"/>
    </w:p>
    <w:p>
      <w:pPr>
        <w:pStyle w:val="3"/>
        <w:numPr>
          <w:ilvl w:val="0"/>
          <w:numId w:val="2"/>
        </w:numPr>
        <w:spacing w:before="0" w:after="0"/>
        <w:jc w:val="center"/>
        <w:rPr>
          <w:color w:val="auto"/>
          <w:highlight w:val="none"/>
        </w:rPr>
      </w:pPr>
      <w:r>
        <w:rPr>
          <w:rFonts w:hint="eastAsia"/>
          <w:color w:val="auto"/>
          <w:highlight w:val="none"/>
          <w:lang w:val="en-US" w:eastAsia="zh-CN"/>
        </w:rPr>
        <w:t xml:space="preserve"> </w:t>
      </w:r>
      <w:bookmarkStart w:id="2" w:name="_Toc15047"/>
      <w:r>
        <w:rPr>
          <w:rFonts w:hint="eastAsia"/>
          <w:color w:val="auto"/>
          <w:highlight w:val="none"/>
        </w:rPr>
        <w:t>招标公告</w:t>
      </w:r>
      <w:bookmarkEnd w:id="1"/>
      <w:bookmarkEnd w:id="2"/>
    </w:p>
    <w:p>
      <w:pPr>
        <w:spacing w:after="200" w:line="400" w:lineRule="exact"/>
        <w:jc w:val="center"/>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eastAsia="zh-CN"/>
        </w:rPr>
        <w:t>大埔县白云大桥停车场及周边道路附属设施建设工程</w:t>
      </w:r>
    </w:p>
    <w:p>
      <w:pPr>
        <w:spacing w:after="200" w:line="4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(勘察、设计)</w:t>
      </w:r>
      <w:r>
        <w:rPr>
          <w:rFonts w:hint="eastAsia" w:ascii="宋体" w:hAnsi="宋体" w:cs="宋体"/>
          <w:b/>
          <w:color w:val="auto"/>
          <w:sz w:val="36"/>
          <w:szCs w:val="36"/>
          <w:highlight w:val="none"/>
        </w:rPr>
        <w:t>招标公告</w:t>
      </w:r>
    </w:p>
    <w:p>
      <w:pPr>
        <w:keepNext w:val="0"/>
        <w:keepLines w:val="0"/>
        <w:pageBreakBefore w:val="0"/>
        <w:kinsoku/>
        <w:wordWrap/>
        <w:overflowPunct/>
        <w:topLinePunct w:val="0"/>
        <w:autoSpaceDE/>
        <w:autoSpaceDN/>
        <w:bidi w:val="0"/>
        <w:spacing w:line="288" w:lineRule="auto"/>
        <w:rPr>
          <w:rFonts w:ascii="宋体" w:hAnsi="宋体" w:cs="宋体"/>
          <w:color w:val="auto"/>
          <w:sz w:val="24"/>
          <w:szCs w:val="24"/>
          <w:highlight w:val="none"/>
        </w:rPr>
      </w:pPr>
      <w:r>
        <w:rPr>
          <w:rFonts w:hint="eastAsia" w:ascii="宋体" w:hAnsi="宋体" w:cs="宋体"/>
          <w:b/>
          <w:color w:val="auto"/>
          <w:sz w:val="24"/>
          <w:szCs w:val="24"/>
          <w:highlight w:val="none"/>
        </w:rPr>
        <w:t>1.招标条件</w:t>
      </w:r>
    </w:p>
    <w:p>
      <w:pPr>
        <w:keepNext w:val="0"/>
        <w:keepLines w:val="0"/>
        <w:pageBreakBefore w:val="0"/>
        <w:widowControl/>
        <w:suppressLineNumbers w:val="0"/>
        <w:kinsoku/>
        <w:wordWrap/>
        <w:overflowPunct/>
        <w:topLinePunct w:val="0"/>
        <w:autoSpaceDE/>
        <w:autoSpaceDN/>
        <w:bidi w:val="0"/>
        <w:spacing w:line="288" w:lineRule="auto"/>
        <w:ind w:firstLine="480" w:firstLineChars="200"/>
        <w:jc w:val="left"/>
        <w:rPr>
          <w:rFonts w:ascii="宋体" w:hAnsi="宋体" w:cs="宋体"/>
          <w:b w:val="0"/>
          <w:bCs w:val="0"/>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b w:val="0"/>
          <w:bCs w:val="0"/>
          <w:color w:val="auto"/>
          <w:sz w:val="24"/>
          <w:szCs w:val="24"/>
          <w:highlight w:val="none"/>
        </w:rPr>
        <w:t>招标项目</w:t>
      </w:r>
      <w:r>
        <w:rPr>
          <w:rFonts w:hint="eastAsia" w:ascii="宋体" w:hAnsi="宋体" w:cs="宋体"/>
          <w:b w:val="0"/>
          <w:bCs w:val="0"/>
          <w:color w:val="auto"/>
          <w:sz w:val="24"/>
          <w:szCs w:val="24"/>
          <w:highlight w:val="none"/>
          <w:u w:val="single"/>
          <w:lang w:eastAsia="zh-CN"/>
        </w:rPr>
        <w:t>大埔县白云大桥停车场及周边道路附属设施建设工程(勘察、设计)</w:t>
      </w:r>
      <w:r>
        <w:rPr>
          <w:rFonts w:hint="eastAsia" w:ascii="宋体" w:hAnsi="宋体" w:cs="宋体"/>
          <w:b w:val="0"/>
          <w:bCs w:val="0"/>
          <w:color w:val="auto"/>
          <w:sz w:val="24"/>
          <w:szCs w:val="24"/>
          <w:highlight w:val="none"/>
        </w:rPr>
        <w:t>已由</w:t>
      </w:r>
      <w:r>
        <w:rPr>
          <w:rFonts w:hint="eastAsia" w:ascii="宋体" w:hAnsi="宋体" w:cs="宋体"/>
          <w:b w:val="0"/>
          <w:bCs w:val="0"/>
          <w:color w:val="auto"/>
          <w:sz w:val="24"/>
          <w:szCs w:val="24"/>
          <w:highlight w:val="none"/>
          <w:u w:val="single"/>
          <w:lang w:eastAsia="zh-CN"/>
        </w:rPr>
        <w:t>大埔县</w:t>
      </w:r>
      <w:r>
        <w:rPr>
          <w:rFonts w:hint="eastAsia" w:ascii="宋体" w:hAnsi="宋体" w:cs="宋体"/>
          <w:b w:val="0"/>
          <w:bCs w:val="0"/>
          <w:color w:val="auto"/>
          <w:sz w:val="24"/>
          <w:szCs w:val="24"/>
          <w:highlight w:val="none"/>
          <w:u w:val="single"/>
        </w:rPr>
        <w:t>发展和改革局</w:t>
      </w:r>
      <w:r>
        <w:rPr>
          <w:rFonts w:hint="eastAsia" w:ascii="宋体" w:hAnsi="宋体" w:cs="宋体"/>
          <w:b w:val="0"/>
          <w:bCs w:val="0"/>
          <w:color w:val="auto"/>
          <w:sz w:val="24"/>
          <w:szCs w:val="24"/>
          <w:highlight w:val="none"/>
        </w:rPr>
        <w:t>以</w:t>
      </w:r>
      <w:r>
        <w:rPr>
          <w:rFonts w:hint="eastAsia" w:ascii="宋体" w:hAnsi="宋体" w:cs="宋体"/>
          <w:b w:val="0"/>
          <w:bCs w:val="0"/>
          <w:color w:val="auto"/>
          <w:sz w:val="24"/>
          <w:szCs w:val="24"/>
          <w:highlight w:val="none"/>
          <w:u w:val="single"/>
          <w:lang w:eastAsia="zh-CN"/>
        </w:rPr>
        <w:t>埔</w:t>
      </w:r>
      <w:r>
        <w:rPr>
          <w:rFonts w:hint="eastAsia" w:ascii="宋体" w:hAnsi="宋体" w:eastAsia="宋体" w:cs="宋体"/>
          <w:b w:val="0"/>
          <w:bCs w:val="0"/>
          <w:color w:val="auto"/>
          <w:kern w:val="0"/>
          <w:sz w:val="24"/>
          <w:szCs w:val="24"/>
          <w:u w:val="single"/>
          <w:lang w:val="en-US" w:eastAsia="zh-CN" w:bidi="ar"/>
        </w:rPr>
        <w:t>发改【2021】</w:t>
      </w:r>
      <w:r>
        <w:rPr>
          <w:rFonts w:hint="eastAsia" w:ascii="宋体" w:hAnsi="宋体" w:cs="宋体"/>
          <w:b w:val="0"/>
          <w:bCs w:val="0"/>
          <w:color w:val="auto"/>
          <w:kern w:val="0"/>
          <w:sz w:val="24"/>
          <w:szCs w:val="24"/>
          <w:u w:val="single"/>
          <w:lang w:val="en-US" w:eastAsia="zh-CN" w:bidi="ar"/>
        </w:rPr>
        <w:t>182</w:t>
      </w:r>
      <w:r>
        <w:rPr>
          <w:rFonts w:hint="eastAsia" w:ascii="宋体" w:hAnsi="宋体" w:eastAsia="宋体" w:cs="宋体"/>
          <w:b w:val="0"/>
          <w:bCs w:val="0"/>
          <w:color w:val="auto"/>
          <w:kern w:val="0"/>
          <w:sz w:val="24"/>
          <w:szCs w:val="24"/>
          <w:u w:val="single"/>
          <w:lang w:val="en-US" w:eastAsia="zh-CN" w:bidi="ar"/>
        </w:rPr>
        <w:t>号文（投资项目统一代码：2020-441422-78-01-016361）</w:t>
      </w:r>
      <w:r>
        <w:rPr>
          <w:rFonts w:hint="eastAsia" w:ascii="宋体" w:hAnsi="宋体" w:cs="宋体"/>
          <w:b w:val="0"/>
          <w:bCs w:val="0"/>
          <w:color w:val="auto"/>
          <w:sz w:val="24"/>
          <w:szCs w:val="24"/>
          <w:highlight w:val="none"/>
        </w:rPr>
        <w:t>批准建设，招标人为</w:t>
      </w:r>
      <w:r>
        <w:rPr>
          <w:rFonts w:hint="eastAsia" w:ascii="宋体" w:hAnsi="宋体" w:cs="宋体"/>
          <w:b w:val="0"/>
          <w:bCs w:val="0"/>
          <w:color w:val="auto"/>
          <w:sz w:val="24"/>
          <w:szCs w:val="24"/>
          <w:highlight w:val="none"/>
          <w:u w:val="single"/>
          <w:lang w:val="en-US" w:eastAsia="zh-CN"/>
        </w:rPr>
        <w:t>大埔县城市管理和综合执法局</w:t>
      </w:r>
      <w:r>
        <w:rPr>
          <w:rFonts w:hint="eastAsia" w:ascii="宋体" w:hAnsi="宋体" w:cs="宋体"/>
          <w:b w:val="0"/>
          <w:bCs w:val="0"/>
          <w:color w:val="auto"/>
          <w:sz w:val="24"/>
          <w:szCs w:val="24"/>
          <w:highlight w:val="none"/>
        </w:rPr>
        <w:t>，建设资金来源</w:t>
      </w:r>
      <w:r>
        <w:rPr>
          <w:rFonts w:hint="eastAsia" w:ascii="宋体" w:hAnsi="宋体" w:cs="宋体"/>
          <w:b w:val="0"/>
          <w:bCs w:val="0"/>
          <w:color w:val="auto"/>
          <w:sz w:val="24"/>
          <w:szCs w:val="24"/>
          <w:highlight w:val="none"/>
          <w:u w:val="single"/>
          <w:lang w:val="en-US" w:eastAsia="zh-CN"/>
        </w:rPr>
        <w:t>除积极争取上级资金外，其余不足部分地方财政统筹解决</w:t>
      </w:r>
      <w:r>
        <w:rPr>
          <w:rFonts w:hint="eastAsia" w:ascii="宋体" w:hAnsi="宋体" w:cs="宋体"/>
          <w:b w:val="0"/>
          <w:bCs w:val="0"/>
          <w:color w:val="auto"/>
          <w:sz w:val="24"/>
          <w:szCs w:val="24"/>
          <w:highlight w:val="none"/>
        </w:rPr>
        <w:t>。项目已具备招标条件，现对该项目</w:t>
      </w:r>
      <w:r>
        <w:rPr>
          <w:rFonts w:hint="eastAsia" w:ascii="宋体" w:hAnsi="宋体" w:cs="宋体"/>
          <w:b w:val="0"/>
          <w:bCs w:val="0"/>
          <w:color w:val="auto"/>
          <w:sz w:val="24"/>
          <w:szCs w:val="24"/>
          <w:highlight w:val="none"/>
          <w:lang w:eastAsia="zh-CN"/>
        </w:rPr>
        <w:t>的</w:t>
      </w:r>
      <w:r>
        <w:rPr>
          <w:rFonts w:hint="eastAsia" w:ascii="宋体" w:hAnsi="宋体" w:cs="宋体"/>
          <w:b w:val="0"/>
          <w:bCs w:val="0"/>
          <w:color w:val="auto"/>
          <w:sz w:val="24"/>
          <w:szCs w:val="24"/>
          <w:highlight w:val="none"/>
          <w:u w:val="single"/>
          <w:lang w:eastAsia="zh-CN"/>
        </w:rPr>
        <w:t>勘察设计</w:t>
      </w:r>
      <w:r>
        <w:rPr>
          <w:rFonts w:hint="eastAsia" w:ascii="宋体" w:hAnsi="宋体" w:cs="宋体"/>
          <w:b w:val="0"/>
          <w:bCs w:val="0"/>
          <w:color w:val="auto"/>
          <w:sz w:val="24"/>
          <w:szCs w:val="24"/>
          <w:highlight w:val="none"/>
        </w:rPr>
        <w:t>进行公开招标。</w:t>
      </w:r>
    </w:p>
    <w:p>
      <w:pPr>
        <w:keepNext w:val="0"/>
        <w:keepLines w:val="0"/>
        <w:pageBreakBefore w:val="0"/>
        <w:kinsoku/>
        <w:wordWrap/>
        <w:overflowPunct/>
        <w:topLinePunct w:val="0"/>
        <w:autoSpaceDE/>
        <w:autoSpaceDN/>
        <w:bidi w:val="0"/>
        <w:spacing w:line="288" w:lineRule="auto"/>
        <w:rPr>
          <w:rFonts w:ascii="宋体" w:hAnsi="宋体" w:cs="宋体"/>
          <w:color w:val="auto"/>
          <w:sz w:val="24"/>
          <w:szCs w:val="24"/>
          <w:highlight w:val="none"/>
        </w:rPr>
      </w:pPr>
      <w:bookmarkStart w:id="3" w:name="_Toc287866157"/>
      <w:bookmarkStart w:id="4" w:name="_Toc287968823"/>
      <w:bookmarkStart w:id="5" w:name="_Toc287963416"/>
      <w:r>
        <w:rPr>
          <w:rFonts w:hint="eastAsia" w:ascii="宋体" w:hAnsi="宋体" w:cs="宋体"/>
          <w:b/>
          <w:color w:val="auto"/>
          <w:sz w:val="24"/>
          <w:szCs w:val="24"/>
          <w:highlight w:val="none"/>
        </w:rPr>
        <w:t>2.项目概况及招标范围</w:t>
      </w:r>
      <w:bookmarkEnd w:id="3"/>
      <w:bookmarkEnd w:id="4"/>
      <w:bookmarkEnd w:id="5"/>
    </w:p>
    <w:p>
      <w:pPr>
        <w:keepNext w:val="0"/>
        <w:keepLines w:val="0"/>
        <w:pageBreakBefore w:val="0"/>
        <w:widowControl/>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2.1工程名称：</w:t>
      </w:r>
      <w:r>
        <w:rPr>
          <w:rFonts w:hint="eastAsia" w:ascii="宋体" w:hAnsi="宋体" w:cs="宋体"/>
          <w:color w:val="auto"/>
          <w:sz w:val="24"/>
          <w:szCs w:val="24"/>
          <w:highlight w:val="none"/>
          <w:u w:val="single"/>
          <w:lang w:eastAsia="zh-CN"/>
        </w:rPr>
        <w:t>大埔县白云大桥停车场及周边道路附属设施建设工程(勘察、设计)</w:t>
      </w:r>
    </w:p>
    <w:p>
      <w:pPr>
        <w:keepNext w:val="0"/>
        <w:keepLines w:val="0"/>
        <w:pageBreakBefore w:val="0"/>
        <w:widowControl/>
        <w:suppressLineNumbers w:val="0"/>
        <w:kinsoku/>
        <w:wordWrap/>
        <w:overflowPunct/>
        <w:topLinePunct w:val="0"/>
        <w:autoSpaceDE/>
        <w:autoSpaceDN/>
        <w:bidi w:val="0"/>
        <w:spacing w:line="288"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2.2建设地点：</w:t>
      </w:r>
      <w:r>
        <w:rPr>
          <w:rFonts w:hint="eastAsia" w:ascii="宋体" w:hAnsi="宋体" w:cs="宋体"/>
          <w:color w:val="auto"/>
          <w:sz w:val="24"/>
          <w:szCs w:val="24"/>
          <w:highlight w:val="none"/>
          <w:lang w:eastAsia="zh-CN"/>
        </w:rPr>
        <w:t>大埔县湖寮镇。</w:t>
      </w:r>
    </w:p>
    <w:p>
      <w:pPr>
        <w:keepNext w:val="0"/>
        <w:keepLines w:val="0"/>
        <w:pageBreakBefore w:val="0"/>
        <w:kinsoku/>
        <w:wordWrap/>
        <w:overflowPunct/>
        <w:topLinePunct w:val="0"/>
        <w:autoSpaceDE/>
        <w:autoSpaceDN/>
        <w:bidi w:val="0"/>
        <w:spacing w:line="288"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szCs w:val="24"/>
          <w:highlight w:val="none"/>
        </w:rPr>
        <w:t>2.3 工程建设规模：</w:t>
      </w:r>
      <w:r>
        <w:rPr>
          <w:rFonts w:hint="eastAsia" w:ascii="宋体" w:hAnsi="宋体" w:cs="宋体"/>
          <w:color w:val="auto"/>
          <w:kern w:val="0"/>
          <w:sz w:val="24"/>
          <w:szCs w:val="24"/>
          <w:highlight w:val="none"/>
          <w:lang w:val="en-US" w:eastAsia="zh-CN" w:bidi="ar-SA"/>
        </w:rPr>
        <w:t>新建停车场、升级改造周边道路及新建人行天桥，具体如下：新建停车场、建筑面积约为19150平方米，其中地下室建筑面积约9035平方米、地上建筑面积约为10115平方米。地下部分规划平时为停车库，战时为核六级、常六级人防工程；地上部分包括生活垃圾中转站、架空停车场、公共卫生间、休闲茶室、农贸市场等；改造道路总长33000米，其中县城主路长约15000米，巷道约18000米，包含道路工程、供排水工程、绿化工程及停车位设置；新建大埔大道及环城大道各设1座人行天桥。</w:t>
      </w:r>
    </w:p>
    <w:p>
      <w:pPr>
        <w:keepNext w:val="0"/>
        <w:keepLines w:val="0"/>
        <w:pageBreakBefore w:val="0"/>
        <w:tabs>
          <w:tab w:val="left" w:pos="1800"/>
        </w:tabs>
        <w:kinsoku/>
        <w:wordWrap/>
        <w:overflowPunct/>
        <w:topLinePunct w:val="0"/>
        <w:autoSpaceDE/>
        <w:autoSpaceDN/>
        <w:bidi w:val="0"/>
        <w:spacing w:line="288"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招标范围：</w:t>
      </w:r>
      <w:r>
        <w:rPr>
          <w:rFonts w:hint="eastAsia" w:ascii="宋体" w:hAnsi="宋体" w:cs="宋体"/>
          <w:color w:val="auto"/>
          <w:sz w:val="24"/>
          <w:szCs w:val="24"/>
          <w:highlight w:val="none"/>
          <w:lang w:eastAsia="zh-CN"/>
        </w:rPr>
        <w:t>大埔县城区</w:t>
      </w:r>
      <w:r>
        <w:rPr>
          <w:rFonts w:hint="eastAsia" w:ascii="宋体" w:hAnsi="宋体" w:cs="宋体"/>
          <w:bCs/>
          <w:color w:val="auto"/>
          <w:sz w:val="24"/>
          <w:szCs w:val="24"/>
          <w:highlight w:val="none"/>
          <w:lang w:val="en-US" w:eastAsia="zh-CN"/>
        </w:rPr>
        <w:t>。</w:t>
      </w:r>
    </w:p>
    <w:p>
      <w:pPr>
        <w:keepNext w:val="0"/>
        <w:keepLines w:val="0"/>
        <w:pageBreakBefore w:val="0"/>
        <w:tabs>
          <w:tab w:val="left" w:pos="1800"/>
        </w:tabs>
        <w:kinsoku/>
        <w:wordWrap/>
        <w:overflowPunct/>
        <w:topLinePunct w:val="0"/>
        <w:autoSpaceDE/>
        <w:autoSpaceDN/>
        <w:bidi w:val="0"/>
        <w:spacing w:line="288"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完成</w:t>
      </w:r>
      <w:r>
        <w:rPr>
          <w:rFonts w:hint="eastAsia" w:ascii="宋体" w:hAnsi="宋体" w:cs="宋体"/>
          <w:color w:val="auto"/>
          <w:sz w:val="24"/>
          <w:szCs w:val="24"/>
          <w:highlight w:val="none"/>
          <w:lang w:eastAsia="zh-CN"/>
        </w:rPr>
        <w:t>大埔县城区范围内</w:t>
      </w:r>
      <w:r>
        <w:rPr>
          <w:rFonts w:hint="eastAsia" w:ascii="宋体" w:hAnsi="宋体" w:cs="宋体"/>
          <w:bCs/>
          <w:color w:val="auto"/>
          <w:sz w:val="24"/>
          <w:szCs w:val="24"/>
          <w:highlight w:val="none"/>
        </w:rPr>
        <w:t>的</w:t>
      </w:r>
      <w:r>
        <w:rPr>
          <w:rFonts w:hint="eastAsia" w:ascii="宋体" w:hAnsi="宋体" w:cs="宋体"/>
          <w:color w:val="auto"/>
          <w:sz w:val="24"/>
          <w:szCs w:val="24"/>
          <w:highlight w:val="none"/>
          <w:lang w:val="en-US" w:eastAsia="zh-CN"/>
        </w:rPr>
        <w:t>勘察工作（含详细勘察、</w:t>
      </w:r>
      <w:r>
        <w:rPr>
          <w:rFonts w:hint="eastAsia" w:ascii="宋体" w:hAnsi="宋体" w:cs="宋体"/>
          <w:bCs/>
          <w:color w:val="auto"/>
          <w:sz w:val="24"/>
          <w:szCs w:val="24"/>
          <w:highlight w:val="none"/>
          <w:lang w:val="en-US" w:eastAsia="zh-CN"/>
        </w:rPr>
        <w:t>测量、物探、</w:t>
      </w:r>
      <w:r>
        <w:rPr>
          <w:rFonts w:hint="eastAsia" w:ascii="宋体" w:hAnsi="宋体" w:cs="宋体"/>
          <w:color w:val="auto"/>
          <w:sz w:val="24"/>
          <w:szCs w:val="24"/>
          <w:highlight w:val="none"/>
          <w:lang w:val="en-US" w:eastAsia="zh-CN"/>
        </w:rPr>
        <w:t>技术资料、后期服务等）、设计工作（含方案设计、初步设计、施工图设计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施工图预算编制，施工过程中的设计变更，提供与本合同工作勘察、设计至工程竣工各阶段的相关服务），最终的勘察、设计成果必须达到满足正常审图、施工和验收的要求。</w:t>
      </w:r>
    </w:p>
    <w:p>
      <w:pPr>
        <w:keepNext w:val="0"/>
        <w:keepLines w:val="0"/>
        <w:pageBreakBefore w:val="0"/>
        <w:tabs>
          <w:tab w:val="left" w:pos="1800"/>
        </w:tabs>
        <w:kinsoku/>
        <w:wordWrap/>
        <w:overflowPunct/>
        <w:topLinePunct w:val="0"/>
        <w:autoSpaceDE/>
        <w:autoSpaceDN/>
        <w:bidi w:val="0"/>
        <w:spacing w:line="288"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5勘察（测量、物探）、</w:t>
      </w:r>
      <w:r>
        <w:rPr>
          <w:rFonts w:hint="eastAsia" w:ascii="宋体" w:hAnsi="宋体" w:cs="宋体"/>
          <w:bCs/>
          <w:color w:val="auto"/>
          <w:sz w:val="24"/>
          <w:szCs w:val="24"/>
          <w:highlight w:val="none"/>
        </w:rPr>
        <w:t>施工图预算编制、设计招标控制价：</w:t>
      </w:r>
      <w:r>
        <w:rPr>
          <w:rFonts w:hint="eastAsia" w:ascii="宋体" w:hAnsi="宋体" w:cs="宋体"/>
          <w:bCs/>
          <w:color w:val="auto"/>
          <w:sz w:val="24"/>
          <w:szCs w:val="24"/>
          <w:highlight w:val="none"/>
          <w:lang w:val="en-US" w:eastAsia="zh-CN"/>
        </w:rPr>
        <w:t>1320.27</w:t>
      </w:r>
      <w:r>
        <w:rPr>
          <w:rFonts w:hint="eastAsia" w:ascii="宋体" w:hAnsi="宋体" w:cs="宋体"/>
          <w:bCs/>
          <w:color w:val="auto"/>
          <w:sz w:val="24"/>
          <w:szCs w:val="24"/>
          <w:highlight w:val="none"/>
        </w:rPr>
        <w:t>万元，其中勘察费</w:t>
      </w:r>
      <w:r>
        <w:rPr>
          <w:rFonts w:hint="eastAsia" w:ascii="宋体" w:hAnsi="宋体" w:cs="宋体"/>
          <w:bCs/>
          <w:color w:val="auto"/>
          <w:sz w:val="24"/>
          <w:szCs w:val="24"/>
          <w:highlight w:val="none"/>
          <w:lang w:val="en-US" w:eastAsia="zh-CN"/>
        </w:rPr>
        <w:t>200.48</w:t>
      </w:r>
      <w:r>
        <w:rPr>
          <w:rFonts w:hint="eastAsia" w:ascii="宋体" w:hAnsi="宋体" w:cs="宋体"/>
          <w:bCs/>
          <w:color w:val="auto"/>
          <w:sz w:val="24"/>
          <w:szCs w:val="24"/>
          <w:highlight w:val="none"/>
        </w:rPr>
        <w:t>万元、施工图预算编制费87.48万元、</w:t>
      </w:r>
      <w:r>
        <w:rPr>
          <w:rFonts w:hint="eastAsia" w:ascii="宋体" w:hAnsi="宋体" w:cs="宋体"/>
          <w:color w:val="auto"/>
          <w:kern w:val="0"/>
          <w:sz w:val="24"/>
          <w:szCs w:val="24"/>
          <w:highlight w:val="none"/>
          <w:lang w:val="en-US" w:eastAsia="zh-CN" w:bidi="ar-SA"/>
        </w:rPr>
        <w:t xml:space="preserve">设计费1032.31万元 </w:t>
      </w:r>
      <w:r>
        <w:rPr>
          <w:rFonts w:hint="eastAsia" w:ascii="宋体" w:hAnsi="宋体" w:cs="宋体"/>
          <w:bCs/>
          <w:color w:val="auto"/>
          <w:sz w:val="24"/>
          <w:szCs w:val="24"/>
          <w:highlight w:val="none"/>
          <w:lang w:eastAsia="zh-CN"/>
        </w:rPr>
        <w:t>。</w:t>
      </w:r>
    </w:p>
    <w:p>
      <w:pPr>
        <w:pStyle w:val="6"/>
        <w:keepNext w:val="0"/>
        <w:keepLines w:val="0"/>
        <w:pageBreakBefore w:val="0"/>
        <w:kinsoku/>
        <w:wordWrap/>
        <w:overflowPunct/>
        <w:topLinePunct w:val="0"/>
        <w:autoSpaceDE/>
        <w:autoSpaceDN/>
        <w:bidi w:val="0"/>
        <w:snapToGrid w:val="0"/>
        <w:spacing w:line="288" w:lineRule="auto"/>
        <w:ind w:left="0" w:leftChars="0" w:firstLine="480" w:firstLineChars="200"/>
        <w:rPr>
          <w:rFonts w:ascii="宋体" w:hAnsi="宋体" w:cs="宋体"/>
          <w:bCs/>
          <w:color w:val="auto"/>
          <w:kern w:val="0"/>
          <w:sz w:val="24"/>
          <w:szCs w:val="24"/>
          <w:highlight w:val="none"/>
        </w:rPr>
      </w:pPr>
      <w:r>
        <w:rPr>
          <w:rFonts w:hint="eastAsia" w:ascii="宋体" w:hAnsi="宋体" w:cs="宋体"/>
          <w:color w:val="auto"/>
          <w:sz w:val="24"/>
          <w:szCs w:val="24"/>
          <w:highlight w:val="none"/>
        </w:rPr>
        <w:t>2.6</w:t>
      </w:r>
      <w:r>
        <w:rPr>
          <w:rFonts w:hint="eastAsia" w:ascii="宋体" w:hAnsi="宋体" w:cs="宋体"/>
          <w:color w:val="auto"/>
          <w:sz w:val="24"/>
          <w:szCs w:val="24"/>
          <w:highlight w:val="none"/>
          <w:lang w:eastAsia="zh-CN"/>
        </w:rPr>
        <w:t>勘察、</w:t>
      </w:r>
      <w:r>
        <w:rPr>
          <w:rFonts w:hint="eastAsia" w:ascii="宋体" w:hAnsi="宋体" w:cs="宋体"/>
          <w:color w:val="auto"/>
          <w:sz w:val="24"/>
          <w:szCs w:val="24"/>
          <w:highlight w:val="none"/>
        </w:rPr>
        <w:t>设计周期：</w:t>
      </w:r>
      <w:r>
        <w:rPr>
          <w:rFonts w:hint="eastAsia" w:ascii="宋体" w:hAnsi="宋体" w:cs="宋体"/>
          <w:color w:val="auto"/>
          <w:sz w:val="24"/>
          <w:szCs w:val="24"/>
          <w:highlight w:val="none"/>
          <w:lang w:eastAsia="zh-CN"/>
        </w:rPr>
        <w:t>总工期</w:t>
      </w:r>
      <w:r>
        <w:rPr>
          <w:rFonts w:hint="eastAsia" w:ascii="宋体" w:hAnsi="宋体" w:cs="宋体"/>
          <w:color w:val="auto"/>
          <w:sz w:val="24"/>
          <w:szCs w:val="24"/>
          <w:highlight w:val="none"/>
          <w:lang w:val="en-US" w:eastAsia="zh-CN"/>
        </w:rPr>
        <w:t>30天，其中，</w:t>
      </w:r>
      <w:r>
        <w:rPr>
          <w:rFonts w:hint="eastAsia" w:ascii="宋体" w:hAnsi="宋体" w:cs="宋体"/>
          <w:color w:val="auto"/>
          <w:sz w:val="24"/>
          <w:szCs w:val="24"/>
          <w:highlight w:val="none"/>
        </w:rPr>
        <w:t>勘察：合同签订后</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个日历天内完成。设计：（1）方案设计：合同签订后10个日历天内；（2）施工图设计：建设工程规划许可证核发后</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个日历天内</w:t>
      </w:r>
      <w:r>
        <w:rPr>
          <w:rFonts w:hint="eastAsia" w:ascii="宋体" w:hAnsi="宋体" w:cs="宋体"/>
          <w:bCs/>
          <w:color w:val="auto"/>
          <w:kern w:val="0"/>
          <w:sz w:val="24"/>
          <w:szCs w:val="24"/>
          <w:highlight w:val="none"/>
        </w:rPr>
        <w:t>。</w:t>
      </w:r>
    </w:p>
    <w:p>
      <w:pPr>
        <w:pStyle w:val="6"/>
        <w:keepNext w:val="0"/>
        <w:keepLines w:val="0"/>
        <w:pageBreakBefore w:val="0"/>
        <w:numPr>
          <w:ilvl w:val="0"/>
          <w:numId w:val="3"/>
        </w:numPr>
        <w:kinsoku/>
        <w:wordWrap/>
        <w:overflowPunct/>
        <w:topLinePunct w:val="0"/>
        <w:autoSpaceDE/>
        <w:autoSpaceDN/>
        <w:bidi w:val="0"/>
        <w:snapToGrid w:val="0"/>
        <w:spacing w:line="288" w:lineRule="auto"/>
        <w:ind w:firstLine="0"/>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投标人资格要求</w:t>
      </w:r>
    </w:p>
    <w:p>
      <w:pPr>
        <w:pStyle w:val="6"/>
        <w:keepNext w:val="0"/>
        <w:keepLines w:val="0"/>
        <w:pageBreakBefore w:val="0"/>
        <w:numPr>
          <w:ilvl w:val="1"/>
          <w:numId w:val="3"/>
        </w:numPr>
        <w:kinsoku/>
        <w:wordWrap/>
        <w:overflowPunct/>
        <w:topLinePunct w:val="0"/>
        <w:autoSpaceDE/>
        <w:autoSpaceDN/>
        <w:bidi w:val="0"/>
        <w:snapToGrid w:val="0"/>
        <w:spacing w:line="288" w:lineRule="auto"/>
        <w:ind w:firstLine="352" w:firstLineChars="147"/>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投标人（独立体或联合体各方）应当具备独立法人资格。</w:t>
      </w:r>
    </w:p>
    <w:p>
      <w:pPr>
        <w:pStyle w:val="6"/>
        <w:keepNext w:val="0"/>
        <w:keepLines w:val="0"/>
        <w:pageBreakBefore w:val="0"/>
        <w:numPr>
          <w:ilvl w:val="1"/>
          <w:numId w:val="3"/>
        </w:numPr>
        <w:kinsoku/>
        <w:wordWrap/>
        <w:overflowPunct/>
        <w:topLinePunct w:val="0"/>
        <w:autoSpaceDE/>
        <w:autoSpaceDN/>
        <w:bidi w:val="0"/>
        <w:snapToGrid w:val="0"/>
        <w:spacing w:line="288" w:lineRule="auto"/>
        <w:ind w:firstLine="352" w:firstLineChars="147"/>
        <w:rPr>
          <w:rFonts w:ascii="宋体" w:hAnsi="宋体" w:cs="宋体"/>
          <w:color w:val="auto"/>
          <w:sz w:val="24"/>
          <w:szCs w:val="24"/>
          <w:highlight w:val="none"/>
        </w:rPr>
      </w:pPr>
      <w:r>
        <w:rPr>
          <w:rFonts w:hint="eastAsia" w:ascii="宋体" w:hAnsi="宋体"/>
          <w:color w:val="auto"/>
          <w:sz w:val="24"/>
          <w:highlight w:val="none"/>
        </w:rPr>
        <w:t>投标人须</w:t>
      </w:r>
      <w:r>
        <w:rPr>
          <w:rFonts w:hint="eastAsia" w:ascii="宋体" w:hAnsi="宋体"/>
          <w:color w:val="auto"/>
          <w:sz w:val="24"/>
          <w:highlight w:val="none"/>
          <w:lang w:eastAsia="zh-CN"/>
        </w:rPr>
        <w:t>同时</w:t>
      </w:r>
      <w:r>
        <w:rPr>
          <w:rFonts w:hint="eastAsia" w:ascii="宋体" w:hAnsi="宋体"/>
          <w:color w:val="auto"/>
          <w:sz w:val="24"/>
          <w:highlight w:val="none"/>
        </w:rPr>
        <w:t>具备建设行政主管部门颁发的以下资质证书，</w:t>
      </w:r>
      <w:r>
        <w:rPr>
          <w:rFonts w:hint="eastAsia" w:ascii="宋体" w:hAnsi="宋体"/>
          <w:color w:val="auto"/>
          <w:sz w:val="24"/>
          <w:highlight w:val="none"/>
          <w:lang w:eastAsia="zh-CN"/>
        </w:rPr>
        <w:t>否则</w:t>
      </w:r>
      <w:r>
        <w:rPr>
          <w:rFonts w:hint="eastAsia" w:ascii="宋体" w:hAnsi="宋体"/>
          <w:color w:val="auto"/>
          <w:sz w:val="24"/>
          <w:highlight w:val="none"/>
        </w:rPr>
        <w:t>投标人可以组成联合体投标，联合体的家数最多不能超过两家，应以具备相应设计资质且承担设计任务的单位为</w:t>
      </w:r>
      <w:r>
        <w:rPr>
          <w:rFonts w:hint="eastAsia" w:ascii="宋体" w:hAnsi="宋体"/>
          <w:b/>
          <w:bCs/>
          <w:color w:val="auto"/>
          <w:sz w:val="24"/>
          <w:highlight w:val="none"/>
        </w:rPr>
        <w:t>牵头方</w:t>
      </w:r>
      <w:r>
        <w:rPr>
          <w:rFonts w:hint="eastAsia" w:ascii="宋体" w:hAnsi="宋体"/>
          <w:color w:val="auto"/>
          <w:sz w:val="24"/>
          <w:highlight w:val="none"/>
        </w:rPr>
        <w:t>，并签</w:t>
      </w:r>
      <w:r>
        <w:rPr>
          <w:rFonts w:hint="eastAsia" w:ascii="宋体" w:hAnsi="宋体"/>
          <w:color w:val="auto"/>
          <w:sz w:val="24"/>
          <w:highlight w:val="none"/>
          <w:lang w:eastAsia="zh-CN"/>
        </w:rPr>
        <w:t>订</w:t>
      </w:r>
      <w:r>
        <w:rPr>
          <w:rFonts w:hint="eastAsia" w:ascii="宋体" w:hAnsi="宋体"/>
          <w:color w:val="auto"/>
          <w:sz w:val="24"/>
          <w:highlight w:val="none"/>
        </w:rPr>
        <w:t>联合体协议</w:t>
      </w:r>
      <w:r>
        <w:rPr>
          <w:rFonts w:hint="eastAsia" w:ascii="宋体" w:hAnsi="宋体"/>
          <w:color w:val="auto"/>
          <w:sz w:val="24"/>
          <w:highlight w:val="none"/>
          <w:lang w:eastAsia="zh-CN"/>
        </w:rPr>
        <w:t>书</w:t>
      </w:r>
      <w:r>
        <w:rPr>
          <w:rFonts w:hint="eastAsia" w:ascii="宋体" w:hAnsi="宋体"/>
          <w:color w:val="auto"/>
          <w:sz w:val="24"/>
          <w:highlight w:val="none"/>
        </w:rPr>
        <w:t>。</w:t>
      </w:r>
    </w:p>
    <w:p>
      <w:pPr>
        <w:keepNext w:val="0"/>
        <w:keepLines w:val="0"/>
        <w:pageBreakBefore w:val="0"/>
        <w:widowControl/>
        <w:tabs>
          <w:tab w:val="left" w:pos="900"/>
          <w:tab w:val="left" w:pos="1100"/>
        </w:tabs>
        <w:kinsoku/>
        <w:wordWrap/>
        <w:overflowPunct/>
        <w:topLinePunct w:val="0"/>
        <w:autoSpaceDE/>
        <w:autoSpaceDN/>
        <w:bidi w:val="0"/>
        <w:spacing w:line="288" w:lineRule="auto"/>
        <w:ind w:left="-14" w:leftChars="-7"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（1）投标人须具备建设行政主管部门颁发的</w:t>
      </w:r>
      <w:r>
        <w:rPr>
          <w:rFonts w:hint="eastAsia" w:ascii="宋体" w:hAnsi="宋体" w:cs="宋体"/>
          <w:b/>
          <w:bCs w:val="0"/>
          <w:color w:val="auto"/>
          <w:sz w:val="24"/>
          <w:szCs w:val="24"/>
          <w:highlight w:val="none"/>
        </w:rPr>
        <w:t>工程设计综合资质甲级</w:t>
      </w:r>
      <w:r>
        <w:rPr>
          <w:rFonts w:hint="eastAsia" w:ascii="宋体" w:hAnsi="宋体" w:cs="宋体"/>
          <w:bCs/>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spacing w:line="288" w:lineRule="auto"/>
        <w:ind w:left="-14" w:leftChars="-7" w:firstLine="241" w:firstLineChars="100"/>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rPr>
        <w:t>或同时具备建筑行业工程设计乙级或以上资质和市政行业工程设计乙级或以上</w:t>
      </w:r>
      <w:r>
        <w:rPr>
          <w:rFonts w:hint="eastAsia" w:ascii="宋体" w:hAnsi="宋体" w:cs="宋体"/>
          <w:b/>
          <w:bCs w:val="0"/>
          <w:color w:val="auto"/>
          <w:sz w:val="24"/>
          <w:szCs w:val="24"/>
          <w:highlight w:val="none"/>
          <w:lang w:eastAsia="zh-CN"/>
        </w:rPr>
        <w:t>资质</w:t>
      </w:r>
      <w:r>
        <w:rPr>
          <w:rFonts w:hint="eastAsia" w:ascii="宋体" w:hAnsi="宋体" w:cs="宋体"/>
          <w:b/>
          <w:bCs w:val="0"/>
          <w:color w:val="auto"/>
          <w:sz w:val="24"/>
          <w:szCs w:val="24"/>
          <w:highlight w:val="none"/>
        </w:rPr>
        <w:t>；</w:t>
      </w:r>
    </w:p>
    <w:p>
      <w:pPr>
        <w:keepNext w:val="0"/>
        <w:keepLines w:val="0"/>
        <w:pageBreakBefore w:val="0"/>
        <w:widowControl/>
        <w:tabs>
          <w:tab w:val="left" w:pos="900"/>
          <w:tab w:val="left" w:pos="1100"/>
        </w:tabs>
        <w:kinsoku/>
        <w:wordWrap/>
        <w:overflowPunct/>
        <w:topLinePunct w:val="0"/>
        <w:autoSpaceDE/>
        <w:autoSpaceDN/>
        <w:bidi w:val="0"/>
        <w:spacing w:line="288" w:lineRule="auto"/>
        <w:ind w:left="-14" w:leftChars="-7" w:firstLine="241" w:firstLineChars="1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rPr>
        <w:t>或同时具备建筑行业（建筑工程）专业设计乙级或以上资质和市政行业（道路工程、给水工程、排水工程）专业设计乙级或以上资质</w:t>
      </w:r>
      <w:r>
        <w:rPr>
          <w:rFonts w:hint="eastAsia" w:ascii="宋体" w:hAnsi="宋体" w:cs="宋体"/>
          <w:b/>
          <w:bCs w:val="0"/>
          <w:color w:val="auto"/>
          <w:sz w:val="24"/>
          <w:szCs w:val="24"/>
          <w:highlight w:val="none"/>
          <w:lang w:val="en-US" w:eastAsia="zh-CN"/>
        </w:rPr>
        <w:t>;</w:t>
      </w:r>
    </w:p>
    <w:p>
      <w:pPr>
        <w:keepNext w:val="0"/>
        <w:keepLines w:val="0"/>
        <w:pageBreakBefore w:val="0"/>
        <w:widowControl/>
        <w:tabs>
          <w:tab w:val="left" w:pos="900"/>
          <w:tab w:val="left" w:pos="1100"/>
        </w:tabs>
        <w:kinsoku/>
        <w:wordWrap/>
        <w:overflowPunct/>
        <w:topLinePunct w:val="0"/>
        <w:autoSpaceDE/>
        <w:autoSpaceDN/>
        <w:bidi w:val="0"/>
        <w:spacing w:line="288" w:lineRule="auto"/>
        <w:ind w:left="-14" w:leftChars="-7" w:firstLine="241" w:firstLineChars="100"/>
        <w:rPr>
          <w:rFonts w:hint="eastAsia" w:ascii="宋体" w:hAnsi="宋体" w:cs="宋体"/>
          <w:b/>
          <w:bCs w:val="0"/>
          <w:color w:val="auto"/>
          <w:sz w:val="24"/>
          <w:szCs w:val="24"/>
          <w:highlight w:val="none"/>
          <w:lang w:eastAsia="zh-CN"/>
        </w:rPr>
      </w:pPr>
      <w:r>
        <w:rPr>
          <w:rFonts w:hint="eastAsia" w:ascii="宋体" w:hAnsi="宋体" w:cs="宋体"/>
          <w:b/>
          <w:bCs w:val="0"/>
          <w:color w:val="auto"/>
          <w:sz w:val="24"/>
          <w:szCs w:val="24"/>
          <w:highlight w:val="none"/>
          <w:u w:val="none"/>
          <w:lang w:eastAsia="zh-CN"/>
        </w:rPr>
        <w:t>或同时具备</w:t>
      </w:r>
      <w:r>
        <w:rPr>
          <w:rFonts w:hint="eastAsia" w:ascii="宋体" w:hAnsi="宋体" w:cs="宋体"/>
          <w:b/>
          <w:bCs w:val="0"/>
          <w:color w:val="auto"/>
          <w:sz w:val="24"/>
          <w:szCs w:val="24"/>
          <w:highlight w:val="none"/>
        </w:rPr>
        <w:t>建筑行业工程设计乙级或以上资质</w:t>
      </w:r>
      <w:r>
        <w:rPr>
          <w:rFonts w:hint="eastAsia" w:ascii="宋体" w:hAnsi="宋体" w:cs="宋体"/>
          <w:b/>
          <w:bCs w:val="0"/>
          <w:color w:val="auto"/>
          <w:sz w:val="24"/>
          <w:szCs w:val="24"/>
          <w:highlight w:val="none"/>
          <w:u w:val="none"/>
          <w:lang w:eastAsia="zh-CN"/>
        </w:rPr>
        <w:t>和</w:t>
      </w:r>
      <w:r>
        <w:rPr>
          <w:rFonts w:hint="eastAsia" w:ascii="宋体" w:hAnsi="宋体" w:cs="宋体"/>
          <w:b/>
          <w:bCs w:val="0"/>
          <w:color w:val="auto"/>
          <w:sz w:val="24"/>
          <w:szCs w:val="24"/>
          <w:highlight w:val="none"/>
        </w:rPr>
        <w:t>市政行业（道路工程、给水工程、排水工程）专业设计乙级或以上资质</w:t>
      </w:r>
      <w:r>
        <w:rPr>
          <w:rFonts w:hint="eastAsia" w:ascii="宋体" w:hAnsi="宋体" w:cs="宋体"/>
          <w:b/>
          <w:bCs w:val="0"/>
          <w:color w:val="auto"/>
          <w:sz w:val="24"/>
          <w:szCs w:val="24"/>
          <w:highlight w:val="none"/>
          <w:lang w:eastAsia="zh-CN"/>
        </w:rPr>
        <w:t>；</w:t>
      </w:r>
    </w:p>
    <w:p>
      <w:pPr>
        <w:keepNext w:val="0"/>
        <w:keepLines w:val="0"/>
        <w:pageBreakBefore w:val="0"/>
        <w:widowControl/>
        <w:tabs>
          <w:tab w:val="left" w:pos="900"/>
          <w:tab w:val="left" w:pos="1100"/>
        </w:tabs>
        <w:kinsoku/>
        <w:wordWrap/>
        <w:overflowPunct/>
        <w:topLinePunct w:val="0"/>
        <w:autoSpaceDE/>
        <w:autoSpaceDN/>
        <w:bidi w:val="0"/>
        <w:spacing w:line="288" w:lineRule="auto"/>
        <w:ind w:left="-14" w:leftChars="-7" w:firstLine="241" w:firstLineChars="1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u w:val="none"/>
          <w:lang w:eastAsia="zh-CN"/>
        </w:rPr>
        <w:t>或同时具备市政行业工程设计乙级或以上资质和</w:t>
      </w:r>
      <w:r>
        <w:rPr>
          <w:rFonts w:hint="eastAsia" w:ascii="宋体" w:hAnsi="宋体" w:cs="宋体"/>
          <w:b/>
          <w:bCs w:val="0"/>
          <w:color w:val="auto"/>
          <w:sz w:val="24"/>
          <w:szCs w:val="24"/>
          <w:highlight w:val="none"/>
        </w:rPr>
        <w:t>建筑行业（建筑工程）专业设计乙级或以上资质</w:t>
      </w:r>
      <w:r>
        <w:rPr>
          <w:rFonts w:hint="eastAsia" w:ascii="宋体" w:hAnsi="宋体" w:cs="宋体"/>
          <w:b/>
          <w:bCs w:val="0"/>
          <w:color w:val="auto"/>
          <w:sz w:val="24"/>
          <w:szCs w:val="24"/>
          <w:highlight w:val="none"/>
          <w:u w:val="none"/>
        </w:rPr>
        <w:t>。</w:t>
      </w:r>
    </w:p>
    <w:p>
      <w:pPr>
        <w:pStyle w:val="6"/>
        <w:keepNext w:val="0"/>
        <w:keepLines w:val="0"/>
        <w:pageBreakBefore w:val="0"/>
        <w:numPr>
          <w:ilvl w:val="0"/>
          <w:numId w:val="4"/>
        </w:numPr>
        <w:kinsoku/>
        <w:wordWrap/>
        <w:overflowPunct/>
        <w:topLinePunct w:val="0"/>
        <w:autoSpaceDE/>
        <w:autoSpaceDN/>
        <w:bidi w:val="0"/>
        <w:snapToGrid w:val="0"/>
        <w:spacing w:line="288" w:lineRule="auto"/>
        <w:ind w:firstLine="352" w:firstLineChars="147"/>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投标人须具备建设行政主管部门颁发的</w:t>
      </w:r>
      <w:r>
        <w:rPr>
          <w:rFonts w:hint="eastAsia" w:ascii="宋体" w:hAnsi="宋体" w:cs="宋体"/>
          <w:b/>
          <w:bCs w:val="0"/>
          <w:color w:val="auto"/>
          <w:sz w:val="24"/>
          <w:szCs w:val="24"/>
          <w:highlight w:val="none"/>
        </w:rPr>
        <w:t>工程勘察综合甲级</w:t>
      </w:r>
      <w:r>
        <w:rPr>
          <w:rFonts w:hint="eastAsia" w:ascii="宋体" w:hAnsi="宋体" w:cs="宋体"/>
          <w:bCs/>
          <w:color w:val="auto"/>
          <w:sz w:val="24"/>
          <w:szCs w:val="24"/>
          <w:highlight w:val="none"/>
        </w:rPr>
        <w:t>；</w:t>
      </w:r>
      <w:r>
        <w:rPr>
          <w:rFonts w:hint="eastAsia" w:ascii="宋体" w:hAnsi="宋体" w:cs="宋体"/>
          <w:b/>
          <w:bCs w:val="0"/>
          <w:color w:val="auto"/>
          <w:sz w:val="24"/>
          <w:szCs w:val="24"/>
          <w:highlight w:val="none"/>
        </w:rPr>
        <w:t>或具备工程勘察专业类(岩土工程和工程测量)乙级或以上的工程勘察资质</w:t>
      </w:r>
      <w:r>
        <w:rPr>
          <w:rFonts w:hint="eastAsia" w:ascii="宋体" w:hAnsi="宋体" w:cs="宋体"/>
          <w:bCs/>
          <w:color w:val="auto"/>
          <w:sz w:val="24"/>
          <w:szCs w:val="24"/>
          <w:highlight w:val="none"/>
        </w:rPr>
        <w:t>证书。</w:t>
      </w:r>
    </w:p>
    <w:p>
      <w:pPr>
        <w:pStyle w:val="6"/>
        <w:keepNext w:val="0"/>
        <w:keepLines w:val="0"/>
        <w:pageBreakBefore w:val="0"/>
        <w:numPr>
          <w:ilvl w:val="0"/>
          <w:numId w:val="0"/>
        </w:numPr>
        <w:kinsoku/>
        <w:wordWrap/>
        <w:overflowPunct/>
        <w:topLinePunct w:val="0"/>
        <w:autoSpaceDE/>
        <w:autoSpaceDN/>
        <w:bidi w:val="0"/>
        <w:snapToGrid w:val="0"/>
        <w:spacing w:line="288" w:lineRule="auto"/>
        <w:rPr>
          <w:rFonts w:hint="default" w:ascii="宋体" w:hAnsi="宋体" w:eastAsia="宋体" w:cs="宋体"/>
          <w:b/>
          <w:bCs w:val="0"/>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 xml:space="preserve">注：关于资质有效期均按照《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要求。 </w:t>
      </w:r>
    </w:p>
    <w:p>
      <w:pPr>
        <w:keepNext w:val="0"/>
        <w:keepLines w:val="0"/>
        <w:pageBreakBefore w:val="0"/>
        <w:widowControl/>
        <w:tabs>
          <w:tab w:val="left" w:pos="900"/>
          <w:tab w:val="left" w:pos="1100"/>
        </w:tabs>
        <w:kinsoku/>
        <w:wordWrap/>
        <w:overflowPunct/>
        <w:topLinePunct w:val="0"/>
        <w:autoSpaceDE/>
        <w:autoSpaceDN/>
        <w:bidi w:val="0"/>
        <w:spacing w:line="288" w:lineRule="auto"/>
        <w:ind w:left="0" w:leftChars="0" w:firstLine="398" w:firstLineChars="166"/>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投标人委派的项目负责人必须是本单位在册人员，并满足以下资格条件：</w:t>
      </w:r>
    </w:p>
    <w:p>
      <w:pPr>
        <w:keepNext w:val="0"/>
        <w:keepLines w:val="0"/>
        <w:pageBreakBefore w:val="0"/>
        <w:widowControl/>
        <w:tabs>
          <w:tab w:val="left" w:pos="900"/>
          <w:tab w:val="left" w:pos="1100"/>
        </w:tabs>
        <w:kinsoku/>
        <w:wordWrap/>
        <w:overflowPunct/>
        <w:topLinePunct w:val="0"/>
        <w:autoSpaceDE/>
        <w:autoSpaceDN/>
        <w:bidi w:val="0"/>
        <w:spacing w:line="288" w:lineRule="auto"/>
        <w:ind w:firstLine="360" w:firstLineChars="150"/>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拟担任本项目的勘察项目负责人</w:t>
      </w:r>
      <w:r>
        <w:rPr>
          <w:rFonts w:hint="eastAsia" w:ascii="宋体" w:hAnsi="宋体" w:cs="宋体"/>
          <w:b w:val="0"/>
          <w:bCs w:val="0"/>
          <w:color w:val="auto"/>
          <w:sz w:val="24"/>
          <w:szCs w:val="24"/>
          <w:highlight w:val="none"/>
          <w:lang w:val="en-US" w:eastAsia="zh-CN"/>
        </w:rPr>
        <w:t>:</w:t>
      </w:r>
      <w:r>
        <w:rPr>
          <w:rFonts w:hint="eastAsia" w:ascii="宋体" w:hAnsi="宋体" w:cs="宋体"/>
          <w:b/>
          <w:bCs/>
          <w:color w:val="auto"/>
          <w:sz w:val="24"/>
          <w:szCs w:val="24"/>
          <w:highlight w:val="none"/>
          <w:u w:val="single"/>
          <w:lang w:val="en-US" w:eastAsia="zh-CN"/>
        </w:rPr>
        <w:t>应具备注册土木（岩土）工程师执业资格或勘察类相关专业高级工程师或以上资格。（勘察类相关专业是指：岩土工程、水文地质与工程地质等勘察类相关专业)</w:t>
      </w:r>
      <w:r>
        <w:rPr>
          <w:rFonts w:hint="eastAsia" w:ascii="宋体" w:hAnsi="宋体" w:cs="宋体"/>
          <w:b w:val="0"/>
          <w:bCs w:val="0"/>
          <w:color w:val="auto"/>
          <w:sz w:val="24"/>
          <w:szCs w:val="24"/>
          <w:highlight w:val="none"/>
          <w:lang w:val="en-US" w:eastAsia="zh-CN"/>
        </w:rPr>
        <w:t>；</w:t>
      </w:r>
    </w:p>
    <w:p>
      <w:pPr>
        <w:keepNext w:val="0"/>
        <w:keepLines w:val="0"/>
        <w:pageBreakBefore w:val="0"/>
        <w:widowControl/>
        <w:tabs>
          <w:tab w:val="left" w:pos="900"/>
          <w:tab w:val="left" w:pos="1100"/>
        </w:tabs>
        <w:kinsoku/>
        <w:wordWrap/>
        <w:overflowPunct/>
        <w:topLinePunct w:val="0"/>
        <w:autoSpaceDE/>
        <w:autoSpaceDN/>
        <w:bidi w:val="0"/>
        <w:spacing w:line="288" w:lineRule="auto"/>
        <w:ind w:firstLine="360" w:firstLineChars="150"/>
        <w:rPr>
          <w:rFonts w:ascii="宋体" w:hAnsi="宋体" w:cs="宋体"/>
          <w:color w:val="auto"/>
          <w:sz w:val="24"/>
          <w:szCs w:val="24"/>
          <w:highlight w:val="none"/>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）拟担任本项目</w:t>
      </w:r>
      <w:r>
        <w:rPr>
          <w:rFonts w:hint="eastAsia" w:ascii="宋体" w:hAnsi="宋体" w:cs="宋体"/>
          <w:b w:val="0"/>
          <w:bCs w:val="0"/>
          <w:color w:val="auto"/>
          <w:sz w:val="24"/>
          <w:szCs w:val="24"/>
          <w:highlight w:val="none"/>
          <w:lang w:val="en-US" w:eastAsia="zh-CN"/>
        </w:rPr>
        <w:t>的设计项目</w:t>
      </w:r>
      <w:r>
        <w:rPr>
          <w:rFonts w:hint="eastAsia" w:ascii="宋体" w:hAnsi="宋体" w:cs="宋体"/>
          <w:b w:val="0"/>
          <w:bCs w:val="0"/>
          <w:color w:val="auto"/>
          <w:sz w:val="24"/>
          <w:szCs w:val="24"/>
          <w:highlight w:val="none"/>
        </w:rPr>
        <w:t>负责人</w:t>
      </w:r>
      <w:r>
        <w:rPr>
          <w:rFonts w:hint="eastAsia" w:ascii="宋体" w:hAnsi="宋体" w:cs="宋体"/>
          <w:b w:val="0"/>
          <w:bCs w:val="0"/>
          <w:color w:val="auto"/>
          <w:sz w:val="24"/>
          <w:szCs w:val="24"/>
          <w:highlight w:val="none"/>
          <w:lang w:val="en-US" w:eastAsia="zh-CN"/>
        </w:rPr>
        <w:t>:</w:t>
      </w:r>
      <w:r>
        <w:rPr>
          <w:rFonts w:hint="eastAsia" w:ascii="宋体" w:hAnsi="宋体" w:cs="宋体"/>
          <w:b/>
          <w:bCs/>
          <w:color w:val="auto"/>
          <w:sz w:val="24"/>
          <w:highlight w:val="none"/>
          <w:u w:val="single"/>
        </w:rPr>
        <w:t>应具备一级注册建筑师或市政相关专业类高级工程师资格。（市政相关专业指：市政、道路、桥梁、路桥、市政道路、市政桥梁、市政路桥、道路与桥梁、道路桥隧、给排水、风景园林等）</w:t>
      </w:r>
      <w:r>
        <w:rPr>
          <w:rFonts w:hint="eastAsia" w:ascii="宋体" w:hAnsi="宋体" w:cs="宋体"/>
          <w:color w:val="auto"/>
          <w:sz w:val="24"/>
          <w:szCs w:val="24"/>
          <w:highlight w:val="none"/>
        </w:rPr>
        <w:t xml:space="preserve">。 </w:t>
      </w:r>
    </w:p>
    <w:p>
      <w:pPr>
        <w:pStyle w:val="6"/>
        <w:keepNext w:val="0"/>
        <w:keepLines w:val="0"/>
        <w:pageBreakBefore w:val="0"/>
        <w:kinsoku/>
        <w:wordWrap/>
        <w:overflowPunct/>
        <w:topLinePunct w:val="0"/>
        <w:autoSpaceDE/>
        <w:autoSpaceDN/>
        <w:bidi w:val="0"/>
        <w:snapToGrid w:val="0"/>
        <w:spacing w:line="288" w:lineRule="auto"/>
        <w:ind w:firstLine="352" w:firstLineChars="147"/>
        <w:rPr>
          <w:rFonts w:ascii="宋体" w:hAnsi="宋体" w:cs="宋体"/>
          <w:b w:val="0"/>
          <w:bCs w:val="0"/>
          <w:color w:val="auto"/>
          <w:kern w:val="0"/>
          <w:sz w:val="24"/>
          <w:szCs w:val="24"/>
          <w:highlight w:val="none"/>
          <w:u w:val="single"/>
        </w:rPr>
      </w:pPr>
      <w:r>
        <w:rPr>
          <w:rFonts w:hint="eastAsia" w:ascii="宋体" w:hAnsi="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highlight w:val="none"/>
        </w:rPr>
        <w:t>投标人（联合体所有成员）开标前须按照《梅州市建筑市场诚信管理办法（修订）》的要求和《梅州市住房和城乡建设局关于建设工程企业诚信信息登记有关问题的通知》（梅市建函〔2016〕365号）、《关于暂停招标文件对人员信息登记要求的通知》（梅市建函〔2021〕220号）的要求到梅州市住房和城乡建设局办理企业登记并已在该平台公开发布。</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如</w:t>
      </w:r>
      <w:r>
        <w:rPr>
          <w:rFonts w:hint="eastAsia" w:ascii="宋体" w:hAnsi="宋体" w:cs="宋体"/>
          <w:b w:val="0"/>
          <w:bCs w:val="0"/>
          <w:color w:val="auto"/>
          <w:sz w:val="24"/>
          <w:szCs w:val="24"/>
          <w:highlight w:val="none"/>
        </w:rPr>
        <w:t>联合体</w:t>
      </w:r>
      <w:r>
        <w:rPr>
          <w:rFonts w:hint="eastAsia" w:ascii="宋体" w:hAnsi="宋体" w:cs="宋体"/>
          <w:b w:val="0"/>
          <w:bCs w:val="0"/>
          <w:color w:val="auto"/>
          <w:sz w:val="24"/>
          <w:szCs w:val="24"/>
          <w:highlight w:val="none"/>
          <w:lang w:eastAsia="zh-CN"/>
        </w:rPr>
        <w:t>投标，</w:t>
      </w:r>
      <w:r>
        <w:rPr>
          <w:rFonts w:hint="eastAsia" w:ascii="宋体" w:hAnsi="宋体" w:cs="宋体"/>
          <w:b w:val="0"/>
          <w:bCs w:val="0"/>
          <w:color w:val="auto"/>
          <w:sz w:val="24"/>
          <w:szCs w:val="24"/>
          <w:highlight w:val="none"/>
        </w:rPr>
        <w:t>由</w:t>
      </w:r>
      <w:r>
        <w:rPr>
          <w:rFonts w:hint="eastAsia" w:ascii="宋体" w:hAnsi="宋体" w:cs="宋体"/>
          <w:b w:val="0"/>
          <w:bCs w:val="0"/>
          <w:color w:val="auto"/>
          <w:sz w:val="24"/>
          <w:szCs w:val="24"/>
          <w:highlight w:val="none"/>
          <w:lang w:eastAsia="zh-CN"/>
        </w:rPr>
        <w:t>联合体各</w:t>
      </w:r>
      <w:r>
        <w:rPr>
          <w:rFonts w:hint="eastAsia" w:ascii="宋体" w:hAnsi="宋体" w:cs="宋体"/>
          <w:b w:val="0"/>
          <w:bCs w:val="0"/>
          <w:color w:val="auto"/>
          <w:sz w:val="24"/>
          <w:szCs w:val="24"/>
          <w:highlight w:val="none"/>
        </w:rPr>
        <w:t>方提供</w:t>
      </w:r>
      <w:r>
        <w:rPr>
          <w:rFonts w:hint="eastAsia" w:ascii="宋体" w:hAnsi="宋体"/>
          <w:b w:val="0"/>
          <w:bCs w:val="0"/>
          <w:color w:val="auto"/>
          <w:sz w:val="24"/>
          <w:highlight w:val="none"/>
        </w:rPr>
        <w:t>）</w:t>
      </w:r>
    </w:p>
    <w:p>
      <w:pPr>
        <w:keepNext w:val="0"/>
        <w:keepLines w:val="0"/>
        <w:pageBreakBefore w:val="0"/>
        <w:widowControl/>
        <w:kinsoku/>
        <w:wordWrap/>
        <w:overflowPunct/>
        <w:topLinePunct w:val="0"/>
        <w:autoSpaceDE/>
        <w:autoSpaceDN/>
        <w:bidi w:val="0"/>
        <w:spacing w:line="288" w:lineRule="auto"/>
        <w:ind w:firstLine="480"/>
        <w:rPr>
          <w:rFonts w:ascii="宋体" w:hAnsi="宋体" w:cs="宋体"/>
          <w:b w:val="0"/>
          <w:bCs w:val="0"/>
          <w:color w:val="auto"/>
          <w:sz w:val="18"/>
          <w:szCs w:val="18"/>
          <w:highlight w:val="none"/>
        </w:rPr>
      </w:pPr>
      <w:r>
        <w:rPr>
          <w:rFonts w:hint="eastAsia" w:ascii="宋体" w:hAnsi="宋体" w:cs="宋体"/>
          <w:b w:val="0"/>
          <w:bCs w:val="0"/>
          <w:color w:val="auto"/>
          <w:sz w:val="24"/>
          <w:highlight w:val="none"/>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pPr>
        <w:keepNext w:val="0"/>
        <w:keepLines w:val="0"/>
        <w:pageBreakBefore w:val="0"/>
        <w:widowControl/>
        <w:kinsoku/>
        <w:wordWrap/>
        <w:overflowPunct/>
        <w:topLinePunct w:val="0"/>
        <w:autoSpaceDE/>
        <w:autoSpaceDN/>
        <w:bidi w:val="0"/>
        <w:spacing w:line="288" w:lineRule="auto"/>
        <w:ind w:firstLine="480"/>
        <w:rPr>
          <w:rFonts w:ascii="宋体" w:hAnsi="宋体" w:cs="宋体"/>
          <w:color w:val="auto"/>
          <w:sz w:val="18"/>
          <w:szCs w:val="18"/>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投标人信誉要求：</w:t>
      </w:r>
    </w:p>
    <w:p>
      <w:pPr>
        <w:keepNext w:val="0"/>
        <w:keepLines w:val="0"/>
        <w:pageBreakBefore w:val="0"/>
        <w:kinsoku/>
        <w:wordWrap/>
        <w:overflowPunct/>
        <w:topLinePunct w:val="0"/>
        <w:autoSpaceDE/>
        <w:autoSpaceDN/>
        <w:bidi w:val="0"/>
        <w:snapToGrid w:val="0"/>
        <w:spacing w:line="288" w:lineRule="auto"/>
        <w:ind w:firstLine="480" w:firstLineChars="200"/>
        <w:rPr>
          <w:rFonts w:hint="eastAsia" w:ascii="宋体" w:hAnsi="宋体" w:eastAsia="宋体"/>
          <w:color w:val="auto"/>
          <w:sz w:val="24"/>
          <w:highlight w:val="yellow"/>
          <w:lang w:eastAsia="zh-CN"/>
        </w:rPr>
      </w:pPr>
      <w:r>
        <w:rPr>
          <w:rFonts w:hint="eastAsia" w:ascii="宋体" w:hAnsi="宋体"/>
          <w:color w:val="auto"/>
          <w:sz w:val="24"/>
          <w:highlight w:val="none"/>
        </w:rPr>
        <w:t>自20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1日至本项目投标登记截止时间止（以处罚或通报日期为准），企业和项目负责人在国家住房和城乡建设部“全国建筑市场监管公共服务平台”、“广东省建筑市场监管公共服务平台”、“梅州市住建局建筑市场诚信管理平台”上未有被限制参与投标的信息。</w:t>
      </w:r>
    </w:p>
    <w:p>
      <w:pPr>
        <w:keepNext w:val="0"/>
        <w:keepLines w:val="0"/>
        <w:pageBreakBefore w:val="0"/>
        <w:kinsoku/>
        <w:wordWrap/>
        <w:overflowPunct/>
        <w:topLinePunct w:val="0"/>
        <w:autoSpaceDE/>
        <w:autoSpaceDN/>
        <w:bidi w:val="0"/>
        <w:snapToGrid w:val="0"/>
        <w:spacing w:line="288"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b/>
          <w:bCs/>
          <w:color w:val="auto"/>
          <w:sz w:val="24"/>
          <w:highlight w:val="none"/>
        </w:rPr>
        <w:t>投标人</w:t>
      </w:r>
      <w:r>
        <w:rPr>
          <w:rFonts w:hint="eastAsia" w:ascii="宋体" w:hAnsi="宋体"/>
          <w:b/>
          <w:bCs/>
          <w:color w:val="auto"/>
          <w:sz w:val="24"/>
          <w:highlight w:val="none"/>
          <w:lang w:val="en-US" w:eastAsia="zh-CN"/>
        </w:rPr>
        <w:t>(联合体所有成员）</w:t>
      </w:r>
      <w:r>
        <w:rPr>
          <w:rFonts w:hint="eastAsia" w:ascii="宋体" w:hAnsi="宋体"/>
          <w:b/>
          <w:bCs/>
          <w:color w:val="auto"/>
          <w:sz w:val="24"/>
          <w:highlight w:val="none"/>
        </w:rPr>
        <w:t>、</w:t>
      </w:r>
      <w:r>
        <w:rPr>
          <w:rFonts w:hint="eastAsia" w:ascii="宋体" w:hAnsi="宋体"/>
          <w:b/>
          <w:bCs/>
          <w:color w:val="auto"/>
          <w:sz w:val="24"/>
          <w:highlight w:val="none"/>
          <w:lang w:eastAsia="zh-CN"/>
        </w:rPr>
        <w:t>建筑</w:t>
      </w:r>
      <w:r>
        <w:rPr>
          <w:rFonts w:hint="eastAsia" w:ascii="宋体" w:hAnsi="宋体"/>
          <w:b/>
          <w:bCs/>
          <w:color w:val="auto"/>
          <w:sz w:val="24"/>
          <w:highlight w:val="none"/>
        </w:rPr>
        <w:t>设计项目负责人</w:t>
      </w:r>
      <w:r>
        <w:rPr>
          <w:rFonts w:hint="eastAsia" w:ascii="宋体" w:hAnsi="宋体"/>
          <w:color w:val="auto"/>
          <w:sz w:val="24"/>
          <w:highlight w:val="none"/>
        </w:rPr>
        <w:t>还应在广州公共资源交易中心办理投标企业信息及人员信息登记，无企业信息登记及人员信息登记的资格申请将不予受理。企业信息登记的办理详情参见广州公共资源交易中心网站服务指南栏目。</w:t>
      </w:r>
    </w:p>
    <w:p>
      <w:pPr>
        <w:keepNext w:val="0"/>
        <w:keepLines w:val="0"/>
        <w:pageBreakBefore w:val="0"/>
        <w:kinsoku/>
        <w:wordWrap/>
        <w:overflowPunct/>
        <w:topLinePunct w:val="0"/>
        <w:autoSpaceDE/>
        <w:autoSpaceDN/>
        <w:bidi w:val="0"/>
        <w:snapToGrid w:val="0"/>
        <w:spacing w:line="288" w:lineRule="auto"/>
        <w:rPr>
          <w:rFonts w:ascii="宋体" w:hAnsi="宋体"/>
          <w:b/>
          <w:color w:val="auto"/>
          <w:sz w:val="24"/>
          <w:highlight w:val="none"/>
        </w:rPr>
      </w:pPr>
      <w:r>
        <w:rPr>
          <w:rFonts w:hint="eastAsia" w:ascii="宋体" w:hAnsi="宋体"/>
          <w:b/>
          <w:color w:val="auto"/>
          <w:sz w:val="24"/>
          <w:highlight w:val="none"/>
        </w:rPr>
        <w:t>4、资格审查要求和评标办法：</w:t>
      </w:r>
    </w:p>
    <w:p>
      <w:pPr>
        <w:keepNext w:val="0"/>
        <w:keepLines w:val="0"/>
        <w:pageBreakBefore w:val="0"/>
        <w:kinsoku/>
        <w:wordWrap/>
        <w:overflowPunct/>
        <w:topLinePunct w:val="0"/>
        <w:autoSpaceDE/>
        <w:autoSpaceDN/>
        <w:bidi w:val="0"/>
        <w:snapToGrid w:val="0"/>
        <w:spacing w:line="288" w:lineRule="auto"/>
        <w:ind w:firstLine="480" w:firstLineChars="200"/>
        <w:rPr>
          <w:rFonts w:ascii="宋体" w:hAnsi="宋体"/>
          <w:color w:val="auto"/>
          <w:sz w:val="24"/>
          <w:highlight w:val="none"/>
        </w:rPr>
      </w:pPr>
      <w:r>
        <w:rPr>
          <w:rFonts w:hint="eastAsia" w:ascii="宋体" w:hAnsi="宋体"/>
          <w:color w:val="auto"/>
          <w:sz w:val="24"/>
          <w:highlight w:val="none"/>
        </w:rPr>
        <w:t>4.1本次招标采用资格后审方式；资格审查的具体要求见招标文件；资格审查不合格的投标人投标文件将被否决。</w:t>
      </w:r>
    </w:p>
    <w:p>
      <w:pPr>
        <w:keepNext w:val="0"/>
        <w:keepLines w:val="0"/>
        <w:pageBreakBefore w:val="0"/>
        <w:kinsoku/>
        <w:wordWrap/>
        <w:overflowPunct/>
        <w:topLinePunct w:val="0"/>
        <w:autoSpaceDE/>
        <w:autoSpaceDN/>
        <w:bidi w:val="0"/>
        <w:snapToGrid w:val="0"/>
        <w:spacing w:line="288" w:lineRule="auto"/>
        <w:ind w:firstLine="480" w:firstLineChars="200"/>
        <w:rPr>
          <w:rFonts w:ascii="宋体" w:hAnsi="宋体"/>
          <w:color w:val="auto"/>
          <w:sz w:val="24"/>
          <w:highlight w:val="none"/>
        </w:rPr>
      </w:pPr>
      <w:r>
        <w:rPr>
          <w:rFonts w:hint="eastAsia" w:ascii="宋体" w:hAnsi="宋体"/>
          <w:color w:val="auto"/>
          <w:sz w:val="24"/>
          <w:highlight w:val="none"/>
        </w:rPr>
        <w:t>4.2评定标办法：综合评估法。</w:t>
      </w:r>
    </w:p>
    <w:p>
      <w:pPr>
        <w:keepNext w:val="0"/>
        <w:keepLines w:val="0"/>
        <w:pageBreakBefore w:val="0"/>
        <w:kinsoku/>
        <w:wordWrap/>
        <w:overflowPunct/>
        <w:topLinePunct w:val="0"/>
        <w:autoSpaceDE/>
        <w:autoSpaceDN/>
        <w:bidi w:val="0"/>
        <w:snapToGrid w:val="0"/>
        <w:spacing w:line="288" w:lineRule="auto"/>
        <w:rPr>
          <w:rFonts w:ascii="宋体" w:hAnsi="宋体"/>
          <w:color w:val="auto"/>
          <w:sz w:val="24"/>
          <w:highlight w:val="none"/>
        </w:rPr>
      </w:pPr>
      <w:r>
        <w:rPr>
          <w:rFonts w:hint="eastAsia" w:ascii="宋体" w:hAnsi="宋体"/>
          <w:b/>
          <w:color w:val="auto"/>
          <w:sz w:val="24"/>
          <w:highlight w:val="none"/>
        </w:rPr>
        <w:t>5、其他要求：</w:t>
      </w:r>
      <w:r>
        <w:rPr>
          <w:rFonts w:hint="eastAsia" w:ascii="宋体" w:hAnsi="宋体"/>
          <w:color w:val="auto"/>
          <w:sz w:val="24"/>
          <w:highlight w:val="none"/>
        </w:rPr>
        <w:t>与招标人存在利害关系可能影响招标公正性的法人及其他组织，不得参加投标。单位负责人为同一人或者存在控股、管理关系的不同单位，不得同时参加投标。</w:t>
      </w:r>
    </w:p>
    <w:p>
      <w:pPr>
        <w:keepNext w:val="0"/>
        <w:keepLines w:val="0"/>
        <w:pageBreakBefore w:val="0"/>
        <w:kinsoku/>
        <w:wordWrap/>
        <w:overflowPunct/>
        <w:topLinePunct w:val="0"/>
        <w:autoSpaceDE/>
        <w:autoSpaceDN/>
        <w:bidi w:val="0"/>
        <w:snapToGrid w:val="0"/>
        <w:spacing w:line="288" w:lineRule="auto"/>
        <w:rPr>
          <w:rFonts w:ascii="宋体" w:hAnsi="宋体"/>
          <w:b/>
          <w:color w:val="auto"/>
          <w:sz w:val="24"/>
          <w:highlight w:val="none"/>
        </w:rPr>
      </w:pPr>
      <w:r>
        <w:rPr>
          <w:rFonts w:hint="eastAsia" w:ascii="宋体" w:hAnsi="宋体"/>
          <w:b/>
          <w:color w:val="auto"/>
          <w:sz w:val="24"/>
          <w:highlight w:val="none"/>
        </w:rPr>
        <w:t>6、投标登记与招标文件获取</w:t>
      </w:r>
    </w:p>
    <w:p>
      <w:pPr>
        <w:keepNext w:val="0"/>
        <w:keepLines w:val="0"/>
        <w:pageBreakBefore w:val="0"/>
        <w:kinsoku/>
        <w:wordWrap/>
        <w:overflowPunct/>
        <w:topLinePunct w:val="0"/>
        <w:autoSpaceDE/>
        <w:autoSpaceDN/>
        <w:bidi w:val="0"/>
        <w:adjustRightInd/>
        <w:spacing w:line="288" w:lineRule="auto"/>
        <w:ind w:left="720" w:leftChars="240" w:hanging="240" w:hangingChars="100"/>
        <w:textAlignment w:val="auto"/>
        <w:rPr>
          <w:rFonts w:hint="eastAsia" w:ascii="宋体" w:hAnsi="宋体"/>
          <w:color w:val="auto"/>
          <w:kern w:val="2"/>
          <w:sz w:val="24"/>
          <w:szCs w:val="24"/>
          <w:highlight w:val="none"/>
          <w:lang w:val="en-US" w:eastAsia="zh-CN"/>
        </w:rPr>
      </w:pPr>
      <w:r>
        <w:rPr>
          <w:rFonts w:hint="eastAsia" w:ascii="宋体" w:hAnsi="宋体"/>
          <w:color w:val="auto"/>
          <w:kern w:val="2"/>
          <w:sz w:val="24"/>
          <w:szCs w:val="24"/>
          <w:highlight w:val="none"/>
        </w:rPr>
        <w:t>6.1本项目采用网上投标登记，纸质投标。凡有意参加投标者，于</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年  月  日 时  分至</w:t>
      </w:r>
      <w:r>
        <w:rPr>
          <w:rFonts w:hint="eastAsia" w:ascii="宋体" w:hAnsi="宋体"/>
          <w:color w:val="auto"/>
          <w:kern w:val="2"/>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pacing w:line="288" w:lineRule="auto"/>
        <w:ind w:left="720" w:leftChars="240" w:hanging="240" w:hangingChars="100"/>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年  月  日  时  分，登录广州公共资源交易中心交易平台网站办理网上投标登记手续。详见</w:t>
      </w:r>
    </w:p>
    <w:p>
      <w:pPr>
        <w:keepNext w:val="0"/>
        <w:keepLines w:val="0"/>
        <w:pageBreakBefore w:val="0"/>
        <w:kinsoku/>
        <w:wordWrap/>
        <w:overflowPunct/>
        <w:topLinePunct w:val="0"/>
        <w:autoSpaceDE/>
        <w:autoSpaceDN/>
        <w:bidi w:val="0"/>
        <w:adjustRightInd/>
        <w:spacing w:line="288" w:lineRule="auto"/>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广州公共资源交易中心网站发布的最新版操作指引。。</w:t>
      </w:r>
    </w:p>
    <w:p>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6.2广州公共资源交易中心交易平台网站发布。招标文件一经在广州公共资源交易中心交易平台发布，视为发售给投标人，招标文件（及相关资料）由投标人自行在广州公共资源交易中心交易平台网站或在本招标公告附件免费下载。</w:t>
      </w:r>
    </w:p>
    <w:p>
      <w:pPr>
        <w:keepNext w:val="0"/>
        <w:keepLines w:val="0"/>
        <w:pageBreakBefore w:val="0"/>
        <w:numPr>
          <w:ilvl w:val="0"/>
          <w:numId w:val="5"/>
        </w:numPr>
        <w:kinsoku/>
        <w:wordWrap/>
        <w:overflowPunct/>
        <w:topLinePunct w:val="0"/>
        <w:autoSpaceDE/>
        <w:autoSpaceDN/>
        <w:bidi w:val="0"/>
        <w:snapToGrid w:val="0"/>
        <w:spacing w:line="288" w:lineRule="auto"/>
        <w:rPr>
          <w:rFonts w:hint="eastAsia" w:ascii="宋体" w:hAnsi="宋体"/>
          <w:b/>
          <w:color w:val="auto"/>
          <w:sz w:val="24"/>
          <w:highlight w:val="none"/>
        </w:rPr>
      </w:pPr>
      <w:r>
        <w:rPr>
          <w:rFonts w:hint="eastAsia" w:ascii="宋体" w:hAnsi="宋体"/>
          <w:b/>
          <w:color w:val="auto"/>
          <w:sz w:val="24"/>
          <w:highlight w:val="none"/>
        </w:rPr>
        <w:t>投标文件的递交和开标</w:t>
      </w:r>
    </w:p>
    <w:p>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default" w:ascii="宋体" w:hAnsi="宋体"/>
          <w:color w:val="auto"/>
          <w:kern w:val="2"/>
          <w:sz w:val="24"/>
          <w:szCs w:val="24"/>
          <w:highlight w:val="none"/>
          <w:lang w:val="en-US" w:eastAsia="zh-CN"/>
        </w:rPr>
      </w:pPr>
      <w:r>
        <w:rPr>
          <w:rFonts w:hint="eastAsia" w:ascii="宋体" w:hAnsi="宋体"/>
          <w:color w:val="auto"/>
          <w:kern w:val="2"/>
          <w:sz w:val="24"/>
          <w:szCs w:val="24"/>
          <w:highlight w:val="none"/>
          <w:lang w:val="en-US" w:eastAsia="zh-CN"/>
        </w:rPr>
        <w:t>7.1本项目采用资格后审方式。采用纸质标流程，投标人需要在投标截止时间前递交纸质投标文件。</w:t>
      </w:r>
    </w:p>
    <w:p>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lang w:val="en-US" w:eastAsia="zh-CN"/>
        </w:rPr>
        <w:t>7.2</w:t>
      </w:r>
      <w:r>
        <w:rPr>
          <w:rFonts w:hint="eastAsia" w:ascii="宋体" w:hAnsi="宋体"/>
          <w:color w:val="auto"/>
          <w:kern w:val="2"/>
          <w:sz w:val="24"/>
          <w:szCs w:val="24"/>
          <w:highlight w:val="none"/>
        </w:rPr>
        <w:t>投标文件递交的截止时间为</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年</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月</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日</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时</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分，投标人应于当日</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时</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分至</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时</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分将投标文件递交至广州公共资源交易中心（广州市天河区天润路333号）开标室（具体详见广州公共资源交易中心网站关于本项目招投标活动日程安排）。</w:t>
      </w:r>
    </w:p>
    <w:p>
      <w:pPr>
        <w:keepNext w:val="0"/>
        <w:keepLines w:val="0"/>
        <w:pageBreakBefore w:val="0"/>
        <w:kinsoku/>
        <w:wordWrap/>
        <w:overflowPunct/>
        <w:topLinePunct w:val="0"/>
        <w:autoSpaceDE/>
        <w:autoSpaceDN/>
        <w:bidi w:val="0"/>
        <w:adjustRightInd/>
        <w:spacing w:line="288" w:lineRule="auto"/>
        <w:textAlignment w:val="auto"/>
        <w:rPr>
          <w:rFonts w:ascii="宋体" w:hAnsi="宋体" w:cs="宋体"/>
          <w:color w:val="auto"/>
          <w:kern w:val="2"/>
          <w:sz w:val="24"/>
          <w:szCs w:val="24"/>
          <w:highlight w:val="none"/>
        </w:rPr>
      </w:pPr>
      <w:r>
        <w:rPr>
          <w:rFonts w:hint="eastAsia" w:ascii="宋体" w:hAnsi="宋体" w:cs="宋体"/>
          <w:b/>
          <w:color w:val="auto"/>
          <w:kern w:val="2"/>
          <w:sz w:val="24"/>
          <w:szCs w:val="24"/>
          <w:highlight w:val="none"/>
        </w:rPr>
        <w:t>8、技术成果经济补偿:</w:t>
      </w:r>
      <w:r>
        <w:rPr>
          <w:rFonts w:hint="eastAsia" w:ascii="宋体" w:hAnsi="宋体" w:cs="宋体"/>
          <w:color w:val="auto"/>
          <w:kern w:val="2"/>
          <w:sz w:val="24"/>
          <w:szCs w:val="24"/>
          <w:highlight w:val="none"/>
        </w:rPr>
        <w:t>本次招标对未中标人投标文件中的技术成果不给予经济补偿。</w:t>
      </w:r>
    </w:p>
    <w:p>
      <w:pPr>
        <w:keepNext w:val="0"/>
        <w:keepLines w:val="0"/>
        <w:pageBreakBefore w:val="0"/>
        <w:kinsoku/>
        <w:wordWrap/>
        <w:overflowPunct/>
        <w:topLinePunct w:val="0"/>
        <w:autoSpaceDE/>
        <w:autoSpaceDN/>
        <w:bidi w:val="0"/>
        <w:snapToGrid w:val="0"/>
        <w:spacing w:line="288" w:lineRule="auto"/>
        <w:rPr>
          <w:rFonts w:ascii="宋体" w:hAnsi="宋体"/>
          <w:b/>
          <w:color w:val="auto"/>
          <w:sz w:val="24"/>
          <w:highlight w:val="none"/>
        </w:rPr>
      </w:pPr>
      <w:r>
        <w:rPr>
          <w:rFonts w:hint="eastAsia" w:ascii="宋体" w:hAnsi="宋体"/>
          <w:b/>
          <w:color w:val="auto"/>
          <w:sz w:val="24"/>
          <w:highlight w:val="none"/>
        </w:rPr>
        <w:t xml:space="preserve">9、投标保证金              </w:t>
      </w:r>
    </w:p>
    <w:p>
      <w:pPr>
        <w:keepNext w:val="0"/>
        <w:keepLines w:val="0"/>
        <w:pageBreakBefore w:val="0"/>
        <w:kinsoku/>
        <w:wordWrap/>
        <w:overflowPunct/>
        <w:topLinePunct w:val="0"/>
        <w:autoSpaceDE/>
        <w:autoSpaceDN/>
        <w:bidi w:val="0"/>
        <w:snapToGrid w:val="0"/>
        <w:spacing w:line="288" w:lineRule="auto"/>
        <w:ind w:firstLine="480" w:firstLineChars="200"/>
        <w:rPr>
          <w:rFonts w:ascii="宋体" w:hAnsi="宋体"/>
          <w:color w:val="auto"/>
          <w:sz w:val="24"/>
          <w:highlight w:val="none"/>
        </w:rPr>
      </w:pPr>
      <w:r>
        <w:rPr>
          <w:rFonts w:hint="eastAsia" w:ascii="宋体" w:hAnsi="宋体"/>
          <w:color w:val="auto"/>
          <w:sz w:val="24"/>
          <w:highlight w:val="none"/>
        </w:rPr>
        <w:t>投标人应按招标文件规定提交投标保证金。</w:t>
      </w:r>
    </w:p>
    <w:p>
      <w:pPr>
        <w:keepNext w:val="0"/>
        <w:keepLines w:val="0"/>
        <w:pageBreakBefore w:val="0"/>
        <w:kinsoku/>
        <w:wordWrap/>
        <w:overflowPunct/>
        <w:topLinePunct w:val="0"/>
        <w:autoSpaceDE/>
        <w:autoSpaceDN/>
        <w:bidi w:val="0"/>
        <w:snapToGrid w:val="0"/>
        <w:spacing w:line="288" w:lineRule="auto"/>
        <w:rPr>
          <w:rFonts w:ascii="宋体" w:hAnsi="宋体"/>
          <w:b/>
          <w:color w:val="auto"/>
          <w:sz w:val="24"/>
          <w:highlight w:val="none"/>
        </w:rPr>
      </w:pPr>
      <w:r>
        <w:rPr>
          <w:rFonts w:hint="eastAsia" w:ascii="宋体" w:hAnsi="宋体"/>
          <w:b/>
          <w:color w:val="auto"/>
          <w:sz w:val="24"/>
          <w:highlight w:val="none"/>
        </w:rPr>
        <w:t>10、发布公告的媒介</w:t>
      </w:r>
    </w:p>
    <w:p>
      <w:pPr>
        <w:keepNext w:val="0"/>
        <w:keepLines w:val="0"/>
        <w:pageBreakBefore w:val="0"/>
        <w:kinsoku/>
        <w:wordWrap/>
        <w:overflowPunct/>
        <w:topLinePunct w:val="0"/>
        <w:autoSpaceDE/>
        <w:autoSpaceDN/>
        <w:bidi w:val="0"/>
        <w:snapToGrid w:val="0"/>
        <w:spacing w:line="288" w:lineRule="auto"/>
        <w:ind w:firstLine="480" w:firstLineChars="200"/>
        <w:rPr>
          <w:rFonts w:hint="eastAsia" w:ascii="宋体" w:hAnsi="宋体"/>
          <w:color w:val="auto"/>
          <w:sz w:val="24"/>
          <w:highlight w:val="none"/>
        </w:rPr>
      </w:pPr>
      <w:r>
        <w:rPr>
          <w:rFonts w:hint="eastAsia" w:ascii="宋体" w:hAnsi="宋体"/>
          <w:color w:val="auto"/>
          <w:sz w:val="24"/>
          <w:highlight w:val="none"/>
        </w:rPr>
        <w:t>本次招标公告同时在</w:t>
      </w:r>
      <w:r>
        <w:rPr>
          <w:rFonts w:hint="eastAsia" w:ascii="宋体" w:hAnsi="宋体"/>
          <w:color w:val="auto"/>
          <w:sz w:val="24"/>
          <w:highlight w:val="none"/>
          <w:u w:val="single"/>
        </w:rPr>
        <w:t>广州公共资源交易中心网站</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广东省招标投标监管网</w:t>
      </w:r>
      <w:r>
        <w:rPr>
          <w:rFonts w:hint="eastAsia" w:ascii="宋体" w:hAnsi="宋体" w:eastAsia="宋体" w:cs="Times New Roman"/>
          <w:color w:val="auto"/>
          <w:sz w:val="24"/>
          <w:szCs w:val="22"/>
          <w:highlight w:val="none"/>
          <w:lang w:val="en-US" w:eastAsia="zh-CN" w:bidi="ar-SA"/>
        </w:rPr>
        <w:t>上</w:t>
      </w:r>
      <w:r>
        <w:rPr>
          <w:rFonts w:hint="eastAsia" w:ascii="宋体" w:hAnsi="宋体"/>
          <w:color w:val="auto"/>
          <w:sz w:val="24"/>
          <w:highlight w:val="none"/>
        </w:rPr>
        <w:t>发布。本公告的修改、补充在广州公共资源交易中心网站发布。本公告在各媒体发布的文本如有不同之处，以在广州公共资源交易中心网站发布的文本为准。</w:t>
      </w:r>
    </w:p>
    <w:p>
      <w:pPr>
        <w:pStyle w:val="32"/>
        <w:keepNext w:val="0"/>
        <w:keepLines w:val="0"/>
        <w:pageBreakBefore w:val="0"/>
        <w:kinsoku/>
        <w:wordWrap/>
        <w:overflowPunct/>
        <w:topLinePunct w:val="0"/>
        <w:autoSpaceDE/>
        <w:autoSpaceDN/>
        <w:bidi w:val="0"/>
        <w:spacing w:before="0" w:beforeAutospacing="0" w:after="120" w:afterAutospacing="0" w:line="540" w:lineRule="exact"/>
        <w:jc w:val="both"/>
        <w:rPr>
          <w:rFonts w:ascii="Calibri" w:hAnsi="Calibri" w:eastAsia="微软雅黑" w:cs="Calibri"/>
          <w:color w:val="auto"/>
          <w:sz w:val="21"/>
          <w:szCs w:val="21"/>
          <w:highlight w:val="none"/>
        </w:rPr>
      </w:pPr>
      <w:r>
        <w:rPr>
          <w:rFonts w:hint="eastAsia" w:ascii="宋体" w:hAnsi="宋体" w:cs="Times New Roman"/>
          <w:color w:val="auto"/>
          <w:sz w:val="24"/>
          <w:szCs w:val="22"/>
          <w:highlight w:val="none"/>
          <w:lang w:val="en-US" w:eastAsia="zh-CN" w:bidi="ar-SA"/>
        </w:rPr>
        <w:t xml:space="preserve"> </w:t>
      </w:r>
      <w:r>
        <w:rPr>
          <w:rFonts w:hint="eastAsia" w:cs="Calibri"/>
          <w:b/>
          <w:bCs/>
          <w:color w:val="auto"/>
          <w:highlight w:val="none"/>
        </w:rPr>
        <w:t>11、联系方式</w:t>
      </w:r>
    </w:p>
    <w:p>
      <w:pPr>
        <w:pStyle w:val="32"/>
        <w:keepNext w:val="0"/>
        <w:keepLines w:val="0"/>
        <w:pageBreakBefore w:val="0"/>
        <w:kinsoku/>
        <w:wordWrap/>
        <w:overflowPunct/>
        <w:topLinePunct w:val="0"/>
        <w:autoSpaceDE/>
        <w:autoSpaceDN/>
        <w:bidi w:val="0"/>
        <w:spacing w:before="0" w:beforeAutospacing="0" w:after="120" w:afterAutospacing="0" w:line="360" w:lineRule="auto"/>
        <w:ind w:firstLine="480" w:firstLineChars="200"/>
        <w:jc w:val="both"/>
        <w:rPr>
          <w:rFonts w:ascii="Calibri" w:hAnsi="Calibri" w:eastAsia="微软雅黑" w:cs="Calibri"/>
          <w:color w:val="auto"/>
          <w:sz w:val="21"/>
          <w:szCs w:val="21"/>
          <w:highlight w:val="none"/>
        </w:rPr>
      </w:pPr>
      <w:r>
        <w:rPr>
          <w:rFonts w:hint="eastAsia" w:cs="Calibri"/>
          <w:color w:val="auto"/>
          <w:highlight w:val="none"/>
        </w:rPr>
        <w:t>招标人：</w:t>
      </w:r>
      <w:r>
        <w:rPr>
          <w:rFonts w:hint="eastAsia" w:cs="Calibri"/>
          <w:color w:val="auto"/>
          <w:highlight w:val="none"/>
          <w:u w:val="single"/>
          <w:lang w:eastAsia="zh-CN"/>
        </w:rPr>
        <w:t>大埔县城市管理和综合执法局</w:t>
      </w:r>
      <w:r>
        <w:rPr>
          <w:rFonts w:hint="eastAsia" w:cs="Calibri"/>
          <w:color w:val="auto"/>
          <w:highlight w:val="none"/>
          <w:u w:val="single"/>
        </w:rPr>
        <w:t>（盖章）</w:t>
      </w:r>
    </w:p>
    <w:p>
      <w:pPr>
        <w:pStyle w:val="32"/>
        <w:keepNext w:val="0"/>
        <w:keepLines w:val="0"/>
        <w:pageBreakBefore w:val="0"/>
        <w:kinsoku/>
        <w:wordWrap/>
        <w:overflowPunct/>
        <w:topLinePunct w:val="0"/>
        <w:autoSpaceDE/>
        <w:autoSpaceDN/>
        <w:bidi w:val="0"/>
        <w:spacing w:before="0" w:beforeAutospacing="0" w:after="120" w:afterAutospacing="0" w:line="360" w:lineRule="auto"/>
        <w:ind w:firstLine="480" w:firstLineChars="200"/>
        <w:jc w:val="both"/>
        <w:rPr>
          <w:rFonts w:ascii="Calibri" w:hAnsi="Calibri" w:eastAsia="微软雅黑" w:cs="Calibri"/>
          <w:color w:val="auto"/>
          <w:sz w:val="21"/>
          <w:szCs w:val="21"/>
          <w:highlight w:val="none"/>
        </w:rPr>
      </w:pPr>
      <w:r>
        <w:rPr>
          <w:rFonts w:hint="eastAsia" w:cs="Calibri"/>
          <w:color w:val="auto"/>
          <w:highlight w:val="none"/>
        </w:rPr>
        <w:t>地   址：</w:t>
      </w:r>
      <w:r>
        <w:rPr>
          <w:rFonts w:hint="eastAsia" w:cs="Calibri"/>
          <w:color w:val="auto"/>
          <w:highlight w:val="none"/>
          <w:u w:val="single"/>
          <w:lang w:val="en-US" w:eastAsia="zh-CN"/>
        </w:rPr>
        <w:t>梅州市大埔县内环西路与畹香路交汇处西</w:t>
      </w:r>
    </w:p>
    <w:p>
      <w:pPr>
        <w:pStyle w:val="32"/>
        <w:keepNext w:val="0"/>
        <w:keepLines w:val="0"/>
        <w:pageBreakBefore w:val="0"/>
        <w:kinsoku/>
        <w:wordWrap/>
        <w:overflowPunct/>
        <w:topLinePunct w:val="0"/>
        <w:autoSpaceDE/>
        <w:autoSpaceDN/>
        <w:bidi w:val="0"/>
        <w:spacing w:before="0" w:beforeAutospacing="0" w:after="120" w:afterAutospacing="0" w:line="360" w:lineRule="auto"/>
        <w:ind w:firstLine="480" w:firstLineChars="200"/>
        <w:jc w:val="both"/>
        <w:rPr>
          <w:rFonts w:hint="eastAsia" w:cs="Calibri"/>
          <w:color w:val="auto"/>
          <w:highlight w:val="none"/>
          <w:u w:val="single"/>
        </w:rPr>
      </w:pPr>
      <w:r>
        <w:rPr>
          <w:rFonts w:hint="eastAsia" w:cs="Calibri"/>
          <w:color w:val="auto"/>
          <w:highlight w:val="none"/>
        </w:rPr>
        <w:t>联系人：</w:t>
      </w:r>
      <w:r>
        <w:rPr>
          <w:rFonts w:hint="eastAsia" w:cs="Calibri"/>
          <w:color w:val="auto"/>
          <w:highlight w:val="none"/>
          <w:u w:val="single"/>
          <w:lang w:eastAsia="zh-CN"/>
        </w:rPr>
        <w:t>吴小姐</w:t>
      </w:r>
      <w:r>
        <w:rPr>
          <w:rFonts w:hint="eastAsia" w:cs="Calibri"/>
          <w:color w:val="auto"/>
          <w:highlight w:val="none"/>
          <w:u w:val="none"/>
        </w:rPr>
        <w:t xml:space="preserve"> </w:t>
      </w:r>
      <w:r>
        <w:rPr>
          <w:rFonts w:hint="eastAsia" w:cs="Calibri"/>
          <w:color w:val="auto"/>
          <w:highlight w:val="none"/>
          <w:u w:val="none"/>
          <w:lang w:val="en-US" w:eastAsia="zh-CN"/>
        </w:rPr>
        <w:t xml:space="preserve">  </w:t>
      </w:r>
      <w:r>
        <w:rPr>
          <w:rFonts w:hint="eastAsia" w:cs="Calibri"/>
          <w:color w:val="auto"/>
          <w:highlight w:val="none"/>
        </w:rPr>
        <w:t>电   话：</w:t>
      </w:r>
      <w:r>
        <w:rPr>
          <w:rFonts w:hint="eastAsia" w:cs="Calibri"/>
          <w:color w:val="auto"/>
          <w:highlight w:val="none"/>
          <w:u w:val="single"/>
          <w:lang w:val="en-US" w:eastAsia="zh-CN"/>
        </w:rPr>
        <w:t xml:space="preserve">0753-5531336      </w:t>
      </w:r>
    </w:p>
    <w:p>
      <w:pPr>
        <w:pStyle w:val="32"/>
        <w:keepNext w:val="0"/>
        <w:keepLines w:val="0"/>
        <w:pageBreakBefore w:val="0"/>
        <w:kinsoku/>
        <w:wordWrap/>
        <w:overflowPunct/>
        <w:topLinePunct w:val="0"/>
        <w:autoSpaceDE/>
        <w:autoSpaceDN/>
        <w:bidi w:val="0"/>
        <w:spacing w:before="0" w:beforeAutospacing="0" w:after="120" w:afterAutospacing="0" w:line="360" w:lineRule="auto"/>
        <w:ind w:firstLine="420" w:firstLineChars="200"/>
        <w:jc w:val="both"/>
        <w:rPr>
          <w:rFonts w:ascii="Calibri" w:hAnsi="Calibri" w:eastAsia="微软雅黑" w:cs="Calibri"/>
          <w:color w:val="auto"/>
          <w:sz w:val="21"/>
          <w:szCs w:val="21"/>
          <w:highlight w:val="none"/>
        </w:rPr>
      </w:pPr>
      <w:r>
        <w:rPr>
          <w:rFonts w:ascii="Calibri" w:hAnsi="Calibri" w:eastAsia="微软雅黑" w:cs="Calibri"/>
          <w:color w:val="auto"/>
          <w:sz w:val="21"/>
          <w:szCs w:val="21"/>
          <w:highlight w:val="none"/>
        </w:rPr>
        <w:t> </w:t>
      </w:r>
      <w:r>
        <w:rPr>
          <w:rFonts w:hint="eastAsia" w:cs="Calibri"/>
          <w:color w:val="auto"/>
          <w:highlight w:val="none"/>
        </w:rPr>
        <w:t>招标代理：</w:t>
      </w:r>
      <w:r>
        <w:rPr>
          <w:rFonts w:hint="eastAsia" w:ascii="宋体" w:hAnsi="宋体"/>
          <w:color w:val="auto"/>
          <w:u w:val="single"/>
          <w:lang w:eastAsia="zh-CN"/>
        </w:rPr>
        <w:t>梅州市众汇工程管理有限公司</w:t>
      </w:r>
      <w:r>
        <w:rPr>
          <w:rFonts w:hint="eastAsia" w:cs="Calibri"/>
          <w:color w:val="auto"/>
          <w:highlight w:val="none"/>
          <w:u w:val="single"/>
        </w:rPr>
        <w:t>（盖章）</w:t>
      </w:r>
    </w:p>
    <w:p>
      <w:pPr>
        <w:adjustRightInd w:val="0"/>
        <w:snapToGrid w:val="0"/>
        <w:spacing w:line="360" w:lineRule="auto"/>
        <w:ind w:firstLine="480" w:firstLineChars="200"/>
        <w:rPr>
          <w:rFonts w:ascii="Calibri" w:hAnsi="Calibri" w:eastAsia="微软雅黑" w:cs="Calibri"/>
          <w:color w:val="auto"/>
          <w:sz w:val="21"/>
          <w:szCs w:val="21"/>
          <w:highlight w:val="none"/>
        </w:rPr>
      </w:pPr>
      <w:r>
        <w:rPr>
          <w:rFonts w:hint="eastAsia" w:ascii="Times New Roman" w:hAnsi="Times New Roman" w:eastAsia="宋体" w:cs="Calibri"/>
          <w:color w:val="auto"/>
          <w:sz w:val="24"/>
          <w:szCs w:val="24"/>
          <w:highlight w:val="none"/>
          <w:lang w:val="en-US" w:eastAsia="zh-CN" w:bidi="ar-SA"/>
        </w:rPr>
        <w:t>地   址</w:t>
      </w:r>
      <w:r>
        <w:rPr>
          <w:rFonts w:hint="eastAsia" w:ascii="宋体" w:hAnsi="宋体" w:eastAsia="宋体" w:cs="Times New Roman"/>
          <w:color w:val="auto"/>
          <w:sz w:val="24"/>
          <w:szCs w:val="24"/>
          <w:u w:val="none"/>
          <w:lang w:val="en-US" w:eastAsia="zh-CN" w:bidi="ar-SA"/>
        </w:rPr>
        <w:t>：</w:t>
      </w:r>
      <w:r>
        <w:rPr>
          <w:rFonts w:hint="eastAsia" w:ascii="宋体" w:hAnsi="宋体" w:cs="Times New Roman"/>
          <w:color w:val="auto"/>
          <w:sz w:val="24"/>
          <w:szCs w:val="24"/>
          <w:u w:val="single"/>
          <w:lang w:val="en-US" w:eastAsia="zh-CN" w:bidi="ar-SA"/>
        </w:rPr>
        <w:t>梅州市梅江区华南大道47-5号二楼</w:t>
      </w:r>
    </w:p>
    <w:p>
      <w:pPr>
        <w:pStyle w:val="32"/>
        <w:keepNext w:val="0"/>
        <w:keepLines w:val="0"/>
        <w:pageBreakBefore w:val="0"/>
        <w:kinsoku/>
        <w:wordWrap/>
        <w:overflowPunct/>
        <w:topLinePunct w:val="0"/>
        <w:autoSpaceDE/>
        <w:autoSpaceDN/>
        <w:bidi w:val="0"/>
        <w:spacing w:before="0" w:beforeAutospacing="0" w:after="120" w:afterAutospacing="0" w:line="360" w:lineRule="auto"/>
        <w:ind w:firstLine="480" w:firstLineChars="200"/>
        <w:jc w:val="both"/>
        <w:rPr>
          <w:rFonts w:hint="eastAsia" w:cs="Calibri"/>
          <w:color w:val="auto"/>
          <w:highlight w:val="none"/>
        </w:rPr>
      </w:pPr>
      <w:r>
        <w:rPr>
          <w:rFonts w:hint="eastAsia" w:cs="Calibri"/>
          <w:color w:val="auto"/>
          <w:highlight w:val="none"/>
        </w:rPr>
        <w:t>联系人：</w:t>
      </w:r>
      <w:r>
        <w:rPr>
          <w:rFonts w:hint="eastAsia" w:cs="Calibri"/>
          <w:color w:val="auto"/>
          <w:highlight w:val="none"/>
          <w:u w:val="single"/>
          <w:lang w:val="en-US" w:eastAsia="zh-CN"/>
        </w:rPr>
        <w:t>古工</w:t>
      </w:r>
      <w:r>
        <w:rPr>
          <w:rFonts w:hint="eastAsia" w:cs="Calibri"/>
          <w:color w:val="auto"/>
          <w:highlight w:val="none"/>
          <w:u w:val="none"/>
          <w:lang w:val="en-US" w:eastAsia="zh-CN"/>
        </w:rPr>
        <w:t xml:space="preserve">  </w:t>
      </w:r>
      <w:r>
        <w:rPr>
          <w:rFonts w:hint="eastAsia" w:cs="Calibri"/>
          <w:color w:val="auto"/>
          <w:highlight w:val="none"/>
        </w:rPr>
        <w:t>电   话：</w:t>
      </w:r>
      <w:r>
        <w:rPr>
          <w:rFonts w:hint="eastAsia" w:ascii="宋体" w:hAnsi="宋体"/>
          <w:color w:val="auto"/>
          <w:u w:val="single"/>
          <w:lang w:eastAsia="zh-CN"/>
        </w:rPr>
        <w:t>0753-2114888</w:t>
      </w:r>
      <w:r>
        <w:rPr>
          <w:rFonts w:hint="eastAsia" w:ascii="宋体" w:hAnsi="宋体"/>
          <w:color w:val="auto"/>
          <w:u w:val="single"/>
          <w:lang w:val="en-US" w:eastAsia="zh-CN"/>
        </w:rPr>
        <w:t xml:space="preserve">      </w:t>
      </w:r>
      <w:r>
        <w:rPr>
          <w:rFonts w:hint="eastAsia" w:cs="Calibri"/>
          <w:color w:val="auto"/>
          <w:highlight w:val="none"/>
        </w:rPr>
        <w:t xml:space="preserve">   </w:t>
      </w:r>
    </w:p>
    <w:p>
      <w:pPr>
        <w:pStyle w:val="32"/>
        <w:keepNext w:val="0"/>
        <w:keepLines w:val="0"/>
        <w:pageBreakBefore w:val="0"/>
        <w:kinsoku/>
        <w:wordWrap/>
        <w:overflowPunct/>
        <w:topLinePunct w:val="0"/>
        <w:autoSpaceDE/>
        <w:autoSpaceDN/>
        <w:bidi w:val="0"/>
        <w:spacing w:before="0" w:beforeAutospacing="0" w:after="120" w:afterAutospacing="0" w:line="540" w:lineRule="exact"/>
        <w:ind w:firstLine="240"/>
        <w:jc w:val="right"/>
        <w:rPr>
          <w:rFonts w:hint="eastAsia" w:cs="Calibri"/>
          <w:color w:val="auto"/>
          <w:highlight w:val="none"/>
        </w:rPr>
      </w:pPr>
      <w:r>
        <w:rPr>
          <w:rFonts w:hint="eastAsia" w:cs="Calibri"/>
          <w:color w:val="auto"/>
          <w:highlight w:val="none"/>
        </w:rPr>
        <w:t xml:space="preserve">  </w:t>
      </w:r>
      <w:r>
        <w:rPr>
          <w:rFonts w:hint="eastAsia" w:cs="Calibri"/>
          <w:color w:val="auto"/>
          <w:highlight w:val="none"/>
          <w:lang w:val="en-US" w:eastAsia="zh-CN"/>
        </w:rPr>
        <w:t xml:space="preserve">  </w:t>
      </w:r>
      <w:r>
        <w:rPr>
          <w:rFonts w:hint="eastAsia" w:cs="Calibri"/>
          <w:color w:val="auto"/>
          <w:highlight w:val="none"/>
        </w:rPr>
        <w:t>年</w:t>
      </w:r>
      <w:r>
        <w:rPr>
          <w:rFonts w:hint="eastAsia" w:cs="Calibri"/>
          <w:color w:val="auto"/>
          <w:highlight w:val="none"/>
          <w:lang w:val="en-US" w:eastAsia="zh-CN"/>
        </w:rPr>
        <w:t xml:space="preserve">  </w:t>
      </w:r>
      <w:r>
        <w:rPr>
          <w:rFonts w:hint="eastAsia" w:cs="Calibri"/>
          <w:color w:val="auto"/>
          <w:highlight w:val="none"/>
        </w:rPr>
        <w:t>月</w:t>
      </w:r>
      <w:r>
        <w:rPr>
          <w:rFonts w:hint="eastAsia" w:cs="Calibri"/>
          <w:color w:val="auto"/>
          <w:highlight w:val="none"/>
          <w:lang w:val="en-US" w:eastAsia="zh-CN"/>
        </w:rPr>
        <w:t xml:space="preserve">  </w:t>
      </w:r>
      <w:r>
        <w:rPr>
          <w:rFonts w:hint="eastAsia" w:cs="Calibri"/>
          <w:color w:val="auto"/>
          <w:highlight w:val="none"/>
        </w:rPr>
        <w:t>日</w:t>
      </w:r>
    </w:p>
    <w:p>
      <w:pPr>
        <w:pStyle w:val="2"/>
        <w:rPr>
          <w:rFonts w:hint="eastAsia"/>
          <w:color w:val="auto"/>
        </w:rPr>
      </w:pPr>
    </w:p>
    <w:p>
      <w:pPr>
        <w:pStyle w:val="32"/>
        <w:spacing w:beforeAutospacing="0" w:after="120" w:afterAutospacing="0"/>
        <w:jc w:val="both"/>
        <w:rPr>
          <w:rFonts w:hint="eastAsia"/>
          <w:b/>
          <w:bCs/>
          <w:color w:val="auto"/>
          <w:sz w:val="24"/>
          <w:szCs w:val="24"/>
        </w:rPr>
      </w:pPr>
    </w:p>
    <w:p>
      <w:pPr>
        <w:pStyle w:val="32"/>
        <w:spacing w:beforeAutospacing="0" w:after="120" w:afterAutospacing="0"/>
        <w:ind w:firstLine="3915" w:firstLineChars="1300"/>
        <w:jc w:val="both"/>
        <w:rPr>
          <w:rFonts w:hint="eastAsia" w:cs="Calibri"/>
          <w:b/>
          <w:bCs/>
          <w:color w:val="auto"/>
          <w:sz w:val="30"/>
          <w:szCs w:val="30"/>
          <w:highlight w:val="none"/>
        </w:rPr>
      </w:pPr>
    </w:p>
    <w:p>
      <w:pPr>
        <w:pStyle w:val="32"/>
        <w:spacing w:beforeAutospacing="0" w:after="120" w:afterAutospacing="0"/>
        <w:ind w:firstLine="3915" w:firstLineChars="1300"/>
        <w:jc w:val="both"/>
        <w:rPr>
          <w:rFonts w:hint="eastAsia" w:cs="Calibri"/>
          <w:b/>
          <w:bCs/>
          <w:color w:val="auto"/>
          <w:sz w:val="30"/>
          <w:szCs w:val="30"/>
          <w:highlight w:val="none"/>
        </w:rPr>
      </w:pPr>
    </w:p>
    <w:p>
      <w:pPr>
        <w:pStyle w:val="32"/>
        <w:spacing w:beforeAutospacing="0" w:after="120" w:afterAutospacing="0"/>
        <w:ind w:firstLine="3915" w:firstLineChars="1300"/>
        <w:jc w:val="both"/>
        <w:rPr>
          <w:rFonts w:ascii="Calibri" w:hAnsi="Calibri" w:eastAsia="微软雅黑" w:cs="Calibri"/>
          <w:color w:val="auto"/>
          <w:sz w:val="21"/>
          <w:szCs w:val="21"/>
          <w:highlight w:val="none"/>
        </w:rPr>
      </w:pPr>
      <w:r>
        <w:rPr>
          <w:rFonts w:hint="eastAsia" w:cs="Calibri"/>
          <w:b/>
          <w:bCs/>
          <w:color w:val="auto"/>
          <w:sz w:val="30"/>
          <w:szCs w:val="30"/>
          <w:highlight w:val="none"/>
        </w:rPr>
        <w:t>联合体协议书</w:t>
      </w:r>
    </w:p>
    <w:p>
      <w:pPr>
        <w:pStyle w:val="32"/>
        <w:spacing w:before="0" w:beforeAutospacing="0" w:after="120" w:afterAutospacing="0" w:line="360" w:lineRule="auto"/>
        <w:ind w:firstLine="480"/>
        <w:jc w:val="both"/>
        <w:rPr>
          <w:rFonts w:eastAsia="微软雅黑"/>
          <w:color w:val="auto"/>
          <w:highlight w:val="none"/>
          <w:u w:val="single"/>
        </w:rPr>
      </w:pP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（所有成员单位名称）自愿组成联合体，共同参加</w:t>
      </w:r>
      <w:r>
        <w:rPr>
          <w:rFonts w:hint="eastAsia" w:asciiTheme="minorEastAsia" w:hAnsiTheme="minorEastAsia" w:eastAsiaTheme="minorEastAsia" w:cstheme="minorEastAsia"/>
          <w:color w:val="auto"/>
          <w:sz w:val="24"/>
          <w:szCs w:val="24"/>
          <w:highlight w:val="none"/>
          <w:u w:val="single"/>
          <w:lang w:eastAsia="zh-CN"/>
        </w:rPr>
        <w:t>大埔县白云大桥停车场及周边道路附属设施建设工程(勘察、设计)</w:t>
      </w:r>
      <w:r>
        <w:rPr>
          <w:rFonts w:hint="eastAsia" w:asciiTheme="minorEastAsia" w:hAnsiTheme="minorEastAsia" w:eastAsiaTheme="minorEastAsia" w:cstheme="minorEastAsia"/>
          <w:color w:val="auto"/>
          <w:sz w:val="24"/>
          <w:szCs w:val="24"/>
          <w:highlight w:val="none"/>
        </w:rPr>
        <w:t>投标。现就联合体投标事宜订立如下协议。</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（单位名称）为联合体牵头人，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为联合体成员方。</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2、联合体牵头人合法代表联合体各成员负责本招标项目投标文件编制和合同</w:t>
      </w:r>
      <w:r>
        <w:rPr>
          <w:rFonts w:hint="eastAsia" w:asciiTheme="minorEastAsia" w:hAnsiTheme="minorEastAsia" w:eastAsiaTheme="minorEastAsia" w:cstheme="minorEastAsia"/>
          <w:color w:val="auto"/>
          <w:sz w:val="24"/>
          <w:szCs w:val="24"/>
          <w:highlight w:val="none"/>
          <w:lang w:eastAsia="zh-CN"/>
        </w:rPr>
        <w:t>商定</w:t>
      </w:r>
      <w:r>
        <w:rPr>
          <w:rFonts w:hint="eastAsia" w:asciiTheme="minorEastAsia" w:hAnsiTheme="minorEastAsia" w:eastAsiaTheme="minorEastAsia" w:cstheme="minorEastAsia"/>
          <w:color w:val="auto"/>
          <w:sz w:val="24"/>
          <w:szCs w:val="24"/>
          <w:highlight w:val="none"/>
        </w:rPr>
        <w:t>活动，并代表联合体提交和接收相关的资料、信息及指示，并处理与之有关的一切事务，负责合同实施阶段的主办、组织和协调工作。</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3、联合体将严格按照招标文件的各项要求，递交投标文件，履行合同，并对外承担连带责任。</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4、如果中标，联合体各方将依照下述分工原则，就各方的具体工作范围和相应的责任、权利和义务，另行签订协议或合同，并报发包人。</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5、本协议书自签署之日起生效，合同履行完毕后自动失效。 </w:t>
      </w:r>
    </w:p>
    <w:p>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6、本协议书联合体成员和招标人各执一份，附投标文件正本一份（附入投标文件正本内）。</w:t>
      </w:r>
    </w:p>
    <w:p>
      <w:pPr>
        <w:rPr>
          <w:rFonts w:hint="eastAsia"/>
          <w:color w:val="auto"/>
        </w:rPr>
      </w:pP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牵头人名称：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360" w:lineRule="auto"/>
        <w:ind w:firstLine="3840" w:firstLineChars="16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分工内容：</w:t>
      </w:r>
    </w:p>
    <w:p>
      <w:pPr>
        <w:spacing w:line="360" w:lineRule="auto"/>
        <w:ind w:left="0" w:leftChars="0" w:firstLine="3840" w:firstLineChars="16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成员名称：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360" w:lineRule="auto"/>
        <w:ind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分工内容：</w:t>
      </w:r>
    </w:p>
    <w:p>
      <w:pPr>
        <w:spacing w:line="360" w:lineRule="auto"/>
        <w:ind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pPr>
        <w:wordWrap w:val="0"/>
        <w:spacing w:line="360" w:lineRule="auto"/>
        <w:ind w:right="960" w:firstLine="720" w:firstLineChars="300"/>
        <w:jc w:val="righ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pStyle w:val="6"/>
        <w:wordWrap/>
        <w:rPr>
          <w:rFonts w:hint="eastAsia"/>
          <w:color w:val="auto"/>
        </w:rPr>
      </w:pPr>
    </w:p>
    <w:p>
      <w:pPr>
        <w:rPr>
          <w:rFonts w:hint="eastAsia"/>
          <w:color w:val="auto"/>
          <w:lang w:eastAsia="zh-CN"/>
        </w:rPr>
      </w:pPr>
    </w:p>
    <w:p>
      <w:pPr>
        <w:wordWrap w:val="0"/>
        <w:spacing w:line="360" w:lineRule="auto"/>
        <w:ind w:right="960" w:firstLine="1080" w:firstLineChars="300"/>
        <w:jc w:val="center"/>
        <w:outlineLvl w:val="0"/>
        <w:rPr>
          <w:rFonts w:ascii="宋体" w:hAnsi="宋体" w:cs="宋体"/>
          <w:b/>
          <w:bCs/>
          <w:color w:val="auto"/>
          <w:sz w:val="24"/>
          <w:szCs w:val="24"/>
          <w:highlight w:val="none"/>
        </w:rPr>
      </w:pPr>
      <w:bookmarkStart w:id="6" w:name="_Toc3407"/>
      <w:r>
        <w:rPr>
          <w:rFonts w:hint="eastAsia"/>
          <w:color w:val="auto"/>
          <w:sz w:val="36"/>
          <w:szCs w:val="36"/>
          <w:highlight w:val="none"/>
          <w:lang w:eastAsia="zh-CN"/>
        </w:rPr>
        <w:t>第二章</w:t>
      </w:r>
      <w:r>
        <w:rPr>
          <w:rFonts w:hint="eastAsia"/>
          <w:color w:val="auto"/>
          <w:sz w:val="36"/>
          <w:szCs w:val="36"/>
          <w:highlight w:val="none"/>
          <w:lang w:val="en-US" w:eastAsia="zh-CN"/>
        </w:rPr>
        <w:t xml:space="preserve"> </w:t>
      </w:r>
      <w:r>
        <w:rPr>
          <w:rFonts w:hint="eastAsia"/>
          <w:color w:val="auto"/>
          <w:sz w:val="36"/>
          <w:szCs w:val="36"/>
          <w:highlight w:val="none"/>
          <w:lang w:eastAsia="zh-CN"/>
        </w:rPr>
        <w:t>投标须知前附表及投标人须知</w:t>
      </w:r>
      <w:bookmarkEnd w:id="6"/>
    </w:p>
    <w:p>
      <w:pPr>
        <w:ind w:firstLine="4096" w:firstLineChars="1700"/>
        <w:rPr>
          <w:rFonts w:ascii="宋体" w:hAnsi="宋体" w:cs="宋体"/>
          <w:b/>
          <w:bCs/>
          <w:color w:val="auto"/>
          <w:sz w:val="24"/>
          <w:szCs w:val="24"/>
          <w:highlight w:val="none"/>
        </w:rPr>
      </w:pPr>
      <w:r>
        <w:rPr>
          <w:rFonts w:hint="eastAsia" w:ascii="宋体" w:hAnsi="宋体" w:cs="宋体"/>
          <w:b/>
          <w:bCs/>
          <w:color w:val="auto"/>
          <w:sz w:val="24"/>
          <w:szCs w:val="24"/>
          <w:highlight w:val="none"/>
        </w:rPr>
        <w:t>投标须知前附表</w:t>
      </w:r>
    </w:p>
    <w:tbl>
      <w:tblPr>
        <w:tblStyle w:val="37"/>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030"/>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852" w:type="dxa"/>
            <w:tcBorders>
              <w:top w:val="single" w:color="auto" w:sz="8" w:space="0"/>
              <w:left w:val="single" w:color="auto" w:sz="8"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项号</w:t>
            </w:r>
          </w:p>
        </w:tc>
        <w:tc>
          <w:tcPr>
            <w:tcW w:w="2030" w:type="dxa"/>
            <w:tcBorders>
              <w:top w:val="single" w:color="auto" w:sz="4" w:space="0"/>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条款名称</w:t>
            </w:r>
          </w:p>
        </w:tc>
        <w:tc>
          <w:tcPr>
            <w:tcW w:w="7076" w:type="dxa"/>
            <w:tcBorders>
              <w:top w:val="single" w:color="auto" w:sz="4" w:space="0"/>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招标人</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eastAsia="zh-CN"/>
              </w:rPr>
            </w:pPr>
            <w:r>
              <w:rPr>
                <w:rFonts w:hint="eastAsia" w:ascii="宋体" w:hAnsi="宋体"/>
                <w:color w:val="auto"/>
                <w:kern w:val="2"/>
                <w:sz w:val="24"/>
                <w:szCs w:val="24"/>
                <w:highlight w:val="none"/>
              </w:rPr>
              <w:t>名  称：</w:t>
            </w:r>
            <w:r>
              <w:rPr>
                <w:rFonts w:hint="eastAsia" w:ascii="宋体" w:hAnsi="宋体"/>
                <w:color w:val="auto"/>
                <w:kern w:val="2"/>
                <w:sz w:val="24"/>
                <w:szCs w:val="24"/>
                <w:highlight w:val="none"/>
                <w:lang w:val="zh-CN" w:eastAsia="zh-CN"/>
              </w:rPr>
              <w:t>大埔县城市管理和综合执法局</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eastAsia="zh-CN"/>
              </w:rPr>
            </w:pPr>
            <w:r>
              <w:rPr>
                <w:rFonts w:hint="eastAsia" w:ascii="宋体" w:hAnsi="宋体"/>
                <w:color w:val="auto"/>
                <w:kern w:val="2"/>
                <w:sz w:val="24"/>
                <w:szCs w:val="24"/>
                <w:highlight w:val="none"/>
              </w:rPr>
              <w:t>地  址：梅州市大埔县内环西路与畹香路交汇处西</w:t>
            </w:r>
            <w:r>
              <w:rPr>
                <w:rFonts w:hint="eastAsia" w:ascii="宋体" w:hAnsi="宋体"/>
                <w:color w:val="auto"/>
                <w:kern w:val="2"/>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eastAsia="zh-CN"/>
              </w:rPr>
            </w:pPr>
            <w:r>
              <w:rPr>
                <w:rFonts w:hint="eastAsia" w:ascii="宋体" w:hAnsi="宋体"/>
                <w:color w:val="auto"/>
                <w:kern w:val="2"/>
                <w:sz w:val="24"/>
                <w:szCs w:val="24"/>
                <w:highlight w:val="none"/>
              </w:rPr>
              <w:t>联系人：</w:t>
            </w:r>
            <w:r>
              <w:rPr>
                <w:rFonts w:hint="eastAsia" w:ascii="宋体" w:hAnsi="宋体"/>
                <w:color w:val="auto"/>
                <w:kern w:val="2"/>
                <w:sz w:val="24"/>
                <w:szCs w:val="24"/>
                <w:highlight w:val="none"/>
                <w:lang w:eastAsia="zh-CN"/>
              </w:rPr>
              <w:t>吴小姐</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 xml:space="preserve">    联系电话：0753-5531336</w:t>
            </w:r>
            <w:r>
              <w:rPr>
                <w:rFonts w:hint="eastAsia" w:ascii="宋体" w:hAnsi="宋体"/>
                <w:color w:val="auto"/>
                <w:kern w:val="2"/>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030" w:type="dxa"/>
            <w:tcBorders>
              <w:right w:val="single" w:color="auto" w:sz="4" w:space="0"/>
            </w:tcBorders>
            <w:vAlign w:val="center"/>
          </w:tcPr>
          <w:p>
            <w:pPr>
              <w:spacing w:line="440" w:lineRule="exact"/>
              <w:jc w:val="center"/>
              <w:rPr>
                <w:rFonts w:ascii="宋体" w:hAnsi="宋体"/>
                <w:color w:val="auto"/>
                <w:sz w:val="24"/>
                <w:highlight w:val="none"/>
              </w:rPr>
            </w:pPr>
            <w:r>
              <w:rPr>
                <w:rFonts w:ascii="宋体" w:hAnsi="宋体"/>
                <w:color w:val="auto"/>
                <w:sz w:val="24"/>
                <w:highlight w:val="none"/>
              </w:rPr>
              <w:t>招标代理机构</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名称：梅州市众汇工程管理有限公司</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eastAsia="zh-CN"/>
              </w:rPr>
            </w:pPr>
            <w:r>
              <w:rPr>
                <w:rFonts w:hint="eastAsia" w:ascii="宋体" w:hAnsi="宋体"/>
                <w:color w:val="auto"/>
                <w:kern w:val="2"/>
                <w:sz w:val="24"/>
                <w:szCs w:val="24"/>
                <w:highlight w:val="none"/>
              </w:rPr>
              <w:t>地址：</w:t>
            </w:r>
            <w:r>
              <w:rPr>
                <w:rFonts w:hint="eastAsia" w:ascii="宋体" w:hAnsi="宋体"/>
                <w:color w:val="auto"/>
                <w:kern w:val="2"/>
                <w:sz w:val="24"/>
                <w:szCs w:val="24"/>
                <w:highlight w:val="none"/>
                <w:lang w:eastAsia="zh-CN"/>
              </w:rPr>
              <w:t>梅州市梅江区华南大道47-5号二楼</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联系人：</w:t>
            </w:r>
            <w:r>
              <w:rPr>
                <w:rFonts w:hint="eastAsia" w:ascii="宋体" w:hAnsi="宋体"/>
                <w:color w:val="auto"/>
                <w:kern w:val="2"/>
                <w:sz w:val="24"/>
                <w:szCs w:val="24"/>
                <w:highlight w:val="none"/>
                <w:lang w:eastAsia="zh-CN"/>
              </w:rPr>
              <w:t>古工</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 xml:space="preserve">   联系电话：</w:t>
            </w:r>
            <w:r>
              <w:rPr>
                <w:rFonts w:hint="eastAsia" w:ascii="宋体" w:hAnsi="宋体"/>
                <w:color w:val="auto"/>
                <w:kern w:val="2"/>
                <w:sz w:val="24"/>
                <w:szCs w:val="24"/>
                <w:highlight w:val="none"/>
                <w:lang w:eastAsia="zh-CN"/>
              </w:rPr>
              <w:t>0753-2114888</w:t>
            </w:r>
            <w:r>
              <w:rPr>
                <w:rFonts w:hint="eastAsia" w:ascii="宋体" w:hAnsi="宋体"/>
                <w:color w:val="auto"/>
                <w:kern w:val="2"/>
                <w:sz w:val="24"/>
                <w:szCs w:val="24"/>
                <w:highlight w:val="none"/>
              </w:rPr>
              <w:t xml:space="preserve"> </w:t>
            </w: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HYPERLINK "mailto:bjzj_gz@163.com" </w:instrText>
            </w:r>
            <w:r>
              <w:rPr>
                <w:rFonts w:hint="eastAsia" w:ascii="宋体" w:hAnsi="宋体"/>
                <w:color w:val="auto"/>
                <w:kern w:val="2"/>
                <w:sz w:val="24"/>
                <w:szCs w:val="24"/>
                <w:highlight w:val="none"/>
              </w:rPr>
              <w:fldChar w:fldCharType="separate"/>
            </w:r>
            <w:r>
              <w:rPr>
                <w:rFonts w:hint="eastAsia" w:ascii="宋体" w:hAnsi="宋体"/>
                <w:color w:val="auto"/>
                <w:kern w:val="2"/>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eastAsia="zh-CN"/>
              </w:rPr>
            </w:pPr>
            <w:r>
              <w:rPr>
                <w:rFonts w:hint="eastAsia" w:ascii="宋体" w:hAnsi="宋体"/>
                <w:color w:val="auto"/>
                <w:kern w:val="2"/>
                <w:sz w:val="24"/>
                <w:szCs w:val="24"/>
                <w:highlight w:val="none"/>
                <w:lang w:eastAsia="zh-CN"/>
              </w:rPr>
              <w:t>大埔县白云大桥停车场及周边道路附属设施建设工程(勘察、设计)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建设地点</w:t>
            </w:r>
          </w:p>
        </w:tc>
        <w:tc>
          <w:tcPr>
            <w:tcW w:w="707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lang w:eastAsia="zh-CN"/>
              </w:rPr>
              <w:t>大埔县湖寮镇。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707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lang w:val="en-US" w:eastAsia="zh-CN"/>
              </w:rPr>
              <w:t>除积极争取上级资金外，其余不足部分地方财政统筹解决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项目规模</w:t>
            </w:r>
          </w:p>
        </w:tc>
        <w:tc>
          <w:tcPr>
            <w:tcW w:w="707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lang w:val="en-US" w:eastAsia="zh-CN"/>
              </w:rPr>
              <w:t>新建停车场、升级改造周边道路及新建人行天桥，具体如下：新建停车场、建筑面积约为19150平方米，其中地下室建筑面积约9035平方米、地上建筑面积约为10115平方米。地下部分规划平时为停车库，战时为核六级、常六级人防工程；地上部分包括生活垃圾中转站、架空停车场、公共卫生间、休闲茶室、农贸市场等；改造道路总长33000米，其中县城主路长约15000米，巷道约18000米，包含道路工程、供排水工程、绿化工程及停车位设置；新建大埔大道及环城大道各设1座人行天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030" w:type="dxa"/>
            <w:tcBorders>
              <w:right w:val="single" w:color="auto" w:sz="4" w:space="0"/>
            </w:tcBorders>
            <w:vAlign w:val="center"/>
          </w:tcPr>
          <w:p>
            <w:pPr>
              <w:pStyle w:val="6"/>
              <w:snapToGrid w:val="0"/>
              <w:spacing w:line="440" w:lineRule="exact"/>
              <w:ind w:left="-108" w:leftChars="-54" w:firstLine="108" w:firstLineChars="45"/>
              <w:jc w:val="center"/>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完成大埔县城区范围内的勘察工作（含详细勘察、技术资料、后期服务等）、设计工作（含方案设计、初步设计、施工图设计、施工图预算编制，施工过程中的设计变更，提供与本合同工作勘察、设计至工程竣工各阶段的相关服务），最终的勘察、设计成果必须达到满足正常审图、施工和验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勘察、</w:t>
            </w:r>
            <w:r>
              <w:rPr>
                <w:rFonts w:hint="eastAsia" w:ascii="宋体" w:hAnsi="宋体" w:cs="宋体"/>
                <w:color w:val="auto"/>
                <w:sz w:val="24"/>
                <w:szCs w:val="24"/>
                <w:highlight w:val="none"/>
              </w:rPr>
              <w:t>设计周期</w:t>
            </w:r>
          </w:p>
        </w:tc>
        <w:tc>
          <w:tcPr>
            <w:tcW w:w="7076" w:type="dxa"/>
            <w:tcBorders>
              <w:left w:val="single" w:color="auto" w:sz="4" w:space="0"/>
              <w:right w:val="single" w:color="auto" w:sz="8" w:space="0"/>
            </w:tcBorders>
            <w:vAlign w:val="center"/>
          </w:tcPr>
          <w:p>
            <w:pPr>
              <w:pStyle w:val="6"/>
              <w:keepNext w:val="0"/>
              <w:keepLines w:val="0"/>
              <w:pageBreakBefore w:val="0"/>
              <w:kinsoku/>
              <w:wordWrap/>
              <w:overflowPunct/>
              <w:topLinePunct w:val="0"/>
              <w:autoSpaceDE/>
              <w:autoSpaceDN/>
              <w:bidi w:val="0"/>
              <w:snapToGrid w:val="0"/>
              <w:spacing w:line="288" w:lineRule="auto"/>
              <w:ind w:left="0" w:leftChars="0" w:firstLine="0" w:firstLineChars="0"/>
              <w:rPr>
                <w:rFonts w:hint="eastAsia" w:ascii="宋体" w:hAnsi="宋体"/>
                <w:color w:val="auto"/>
                <w:kern w:val="2"/>
                <w:sz w:val="24"/>
                <w:szCs w:val="24"/>
                <w:highlight w:val="none"/>
              </w:rPr>
            </w:pPr>
            <w:r>
              <w:rPr>
                <w:rFonts w:hint="eastAsia" w:ascii="宋体" w:hAnsi="宋体"/>
                <w:color w:val="auto"/>
                <w:kern w:val="2"/>
                <w:sz w:val="24"/>
                <w:szCs w:val="24"/>
                <w:highlight w:val="none"/>
                <w:lang w:eastAsia="zh-CN"/>
              </w:rPr>
              <w:t>总工期</w:t>
            </w:r>
            <w:r>
              <w:rPr>
                <w:rFonts w:hint="eastAsia" w:ascii="宋体" w:hAnsi="宋体"/>
                <w:color w:val="auto"/>
                <w:kern w:val="2"/>
                <w:sz w:val="24"/>
                <w:szCs w:val="24"/>
                <w:highlight w:val="none"/>
                <w:lang w:val="en-US" w:eastAsia="zh-CN"/>
              </w:rPr>
              <w:t>30天，</w:t>
            </w:r>
            <w:r>
              <w:rPr>
                <w:rFonts w:hint="eastAsia" w:ascii="宋体" w:hAnsi="宋体" w:cs="宋体"/>
                <w:color w:val="auto"/>
                <w:sz w:val="24"/>
                <w:szCs w:val="24"/>
                <w:highlight w:val="none"/>
                <w:lang w:val="en-US" w:eastAsia="zh-CN"/>
              </w:rPr>
              <w:t>其中，</w:t>
            </w:r>
            <w:r>
              <w:rPr>
                <w:rFonts w:hint="eastAsia" w:ascii="宋体" w:hAnsi="宋体" w:cs="宋体"/>
                <w:color w:val="auto"/>
                <w:sz w:val="24"/>
                <w:szCs w:val="24"/>
                <w:highlight w:val="none"/>
              </w:rPr>
              <w:t>勘察：合同签订后</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个日历天内完成。设计：（1）方案设计：合同签订后10个日历天内；（2）施工图设计：建设工程规划许可证核发后</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个日历天内</w:t>
            </w:r>
            <w:r>
              <w:rPr>
                <w:rFonts w:hint="eastAsia" w:ascii="宋体" w:hAnsi="宋体" w:cs="宋体"/>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030" w:type="dxa"/>
            <w:tcBorders>
              <w:right w:val="single" w:color="auto" w:sz="4" w:space="0"/>
            </w:tcBorders>
            <w:vAlign w:val="center"/>
          </w:tcPr>
          <w:p>
            <w:pPr>
              <w:keepNext w:val="0"/>
              <w:keepLines w:val="0"/>
              <w:pageBreakBefore w:val="0"/>
              <w:tabs>
                <w:tab w:val="left" w:pos="1800"/>
              </w:tabs>
              <w:kinsoku/>
              <w:wordWrap/>
              <w:overflowPunct/>
              <w:topLinePunct w:val="0"/>
              <w:autoSpaceDE/>
              <w:autoSpaceDN/>
              <w:bidi w:val="0"/>
              <w:spacing w:line="5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质量标准</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val="en-US" w:eastAsia="zh-CN"/>
              </w:rPr>
            </w:pPr>
            <w:r>
              <w:rPr>
                <w:rFonts w:hint="eastAsia" w:ascii="宋体" w:hAnsi="宋体"/>
                <w:color w:val="auto"/>
                <w:kern w:val="2"/>
                <w:sz w:val="24"/>
                <w:szCs w:val="24"/>
                <w:highlight w:val="none"/>
                <w:lang w:val="en-US" w:eastAsia="zh-CN"/>
              </w:rPr>
              <w:t>质量标准：符合国家、行业颁布的工程勘察、设计规范要求。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030" w:type="dxa"/>
            <w:tcBorders>
              <w:right w:val="single" w:color="auto" w:sz="4" w:space="0"/>
            </w:tcBorders>
            <w:vAlign w:val="center"/>
          </w:tcPr>
          <w:p>
            <w:pPr>
              <w:pStyle w:val="6"/>
              <w:snapToGrid w:val="0"/>
              <w:spacing w:line="24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资格审查方式</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合格投标人资格条件</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030" w:type="dxa"/>
            <w:tcBorders>
              <w:righ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费用承担和设计成果补偿</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不补偿</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踏勘现场</w:t>
            </w:r>
          </w:p>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时间地点</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不组织：投标人自行前往踏勘，考察现场的费用由投标人自己承担。考察期间所发生的人身伤害及财产损失由投标人自己负责，因投标人原因引起的对第三方的其他损失或伤害由投标人承担。</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组织，踏勘时间：</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030" w:type="dxa"/>
            <w:tcBorders>
              <w:right w:val="single" w:color="auto" w:sz="4" w:space="0"/>
            </w:tcBorders>
            <w:vAlign w:val="center"/>
          </w:tcPr>
          <w:p>
            <w:pPr>
              <w:pStyle w:val="6"/>
              <w:snapToGrid w:val="0"/>
              <w:spacing w:line="360" w:lineRule="auto"/>
              <w:ind w:firstLine="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招标人澄清、修改或答疑期限和投标人质疑期限</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1、方式：网上答疑；</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2、投标人质疑期限：在投标截止日期前</w:t>
            </w:r>
            <w:r>
              <w:rPr>
                <w:rFonts w:hint="eastAsia" w:ascii="宋体" w:hAnsi="宋体"/>
                <w:color w:val="auto"/>
                <w:kern w:val="2"/>
                <w:sz w:val="24"/>
                <w:szCs w:val="24"/>
                <w:highlight w:val="none"/>
                <w:lang w:val="en-US" w:eastAsia="zh-CN"/>
              </w:rPr>
              <w:t>15</w:t>
            </w:r>
            <w:r>
              <w:rPr>
                <w:rFonts w:hint="eastAsia" w:ascii="宋体" w:hAnsi="宋体"/>
                <w:color w:val="auto"/>
                <w:kern w:val="2"/>
                <w:sz w:val="24"/>
                <w:szCs w:val="24"/>
                <w:highlight w:val="none"/>
              </w:rPr>
              <w:t>日；</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3、招标人澄清、修补或答疑期限：在投标截止日期前1</w:t>
            </w:r>
            <w:r>
              <w:rPr>
                <w:rFonts w:hint="eastAsia" w:ascii="宋体" w:hAnsi="宋体"/>
                <w:color w:val="auto"/>
                <w:kern w:val="2"/>
                <w:sz w:val="24"/>
                <w:szCs w:val="24"/>
                <w:highlight w:val="none"/>
                <w:lang w:val="en-US" w:eastAsia="zh-CN"/>
              </w:rPr>
              <w:t>0</w:t>
            </w:r>
            <w:r>
              <w:rPr>
                <w:rFonts w:hint="eastAsia" w:ascii="宋体" w:hAnsi="宋体"/>
                <w:color w:val="auto"/>
                <w:kern w:val="2"/>
                <w:sz w:val="24"/>
                <w:szCs w:val="24"/>
                <w:highlight w:val="none"/>
              </w:rPr>
              <w:t>日；</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4、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5、招标答疑纪要一经广州公共资源交易中心网站发布，视作已发给所有投标人。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030" w:type="dxa"/>
            <w:tcBorders>
              <w:right w:val="single" w:color="auto" w:sz="4" w:space="0"/>
            </w:tcBorders>
            <w:vAlign w:val="center"/>
          </w:tcPr>
          <w:p>
            <w:pPr>
              <w:pStyle w:val="6"/>
              <w:snapToGrid w:val="0"/>
              <w:spacing w:line="440" w:lineRule="exact"/>
              <w:ind w:firstLine="0"/>
              <w:jc w:val="center"/>
              <w:rPr>
                <w:rFonts w:ascii="宋体" w:hAnsi="宋体"/>
                <w:color w:val="auto"/>
                <w:sz w:val="24"/>
                <w:szCs w:val="24"/>
                <w:highlight w:val="none"/>
              </w:rPr>
            </w:pPr>
            <w:r>
              <w:rPr>
                <w:rFonts w:hint="eastAsia" w:ascii="宋体" w:hAnsi="宋体"/>
                <w:color w:val="auto"/>
                <w:sz w:val="24"/>
                <w:szCs w:val="24"/>
                <w:highlight w:val="none"/>
              </w:rPr>
              <w:t>勘察</w:t>
            </w:r>
            <w:r>
              <w:rPr>
                <w:rFonts w:hint="eastAsia" w:ascii="宋体" w:hAnsi="宋体"/>
                <w:color w:val="auto"/>
                <w:sz w:val="24"/>
                <w:szCs w:val="24"/>
                <w:highlight w:val="none"/>
                <w:lang w:eastAsia="zh-CN"/>
              </w:rPr>
              <w:t>、设计费</w:t>
            </w:r>
            <w:r>
              <w:rPr>
                <w:rFonts w:hint="eastAsia" w:ascii="宋体" w:hAnsi="宋体"/>
                <w:color w:val="auto"/>
                <w:sz w:val="24"/>
                <w:szCs w:val="24"/>
                <w:highlight w:val="none"/>
              </w:rPr>
              <w:t>招标控制价</w:t>
            </w:r>
          </w:p>
        </w:tc>
        <w:tc>
          <w:tcPr>
            <w:tcW w:w="7076" w:type="dxa"/>
            <w:tcBorders>
              <w:left w:val="single" w:color="auto" w:sz="4" w:space="0"/>
              <w:right w:val="single" w:color="auto" w:sz="8" w:space="0"/>
            </w:tcBorders>
            <w:vAlign w:val="center"/>
          </w:tcPr>
          <w:p>
            <w:pPr>
              <w:keepNext w:val="0"/>
              <w:keepLines w:val="0"/>
              <w:pageBreakBefore w:val="0"/>
              <w:tabs>
                <w:tab w:val="left" w:pos="1800"/>
              </w:tabs>
              <w:kinsoku/>
              <w:wordWrap/>
              <w:overflowPunct/>
              <w:topLinePunct w:val="0"/>
              <w:autoSpaceDE/>
              <w:autoSpaceDN/>
              <w:bidi w:val="0"/>
              <w:spacing w:line="288" w:lineRule="auto"/>
              <w:rPr>
                <w:rFonts w:hint="eastAsia" w:ascii="宋体" w:hAnsi="宋体"/>
                <w:color w:val="auto"/>
                <w:kern w:val="2"/>
                <w:sz w:val="24"/>
                <w:szCs w:val="24"/>
                <w:highlight w:val="none"/>
              </w:rPr>
            </w:pPr>
            <w:r>
              <w:rPr>
                <w:rFonts w:hint="eastAsia" w:ascii="宋体" w:hAnsi="宋体" w:cs="宋体"/>
                <w:bCs/>
                <w:color w:val="auto"/>
                <w:sz w:val="24"/>
                <w:szCs w:val="24"/>
                <w:highlight w:val="none"/>
              </w:rPr>
              <w:t>招标控制价：</w:t>
            </w:r>
            <w:r>
              <w:rPr>
                <w:rFonts w:hint="eastAsia" w:ascii="宋体" w:hAnsi="宋体" w:cs="宋体"/>
                <w:bCs/>
                <w:color w:val="auto"/>
                <w:sz w:val="24"/>
                <w:szCs w:val="24"/>
                <w:highlight w:val="none"/>
                <w:lang w:val="en-US" w:eastAsia="zh-CN"/>
              </w:rPr>
              <w:t>1320.27</w:t>
            </w:r>
            <w:r>
              <w:rPr>
                <w:rFonts w:hint="eastAsia" w:ascii="宋体" w:hAnsi="宋体" w:cs="宋体"/>
                <w:bCs/>
                <w:color w:val="auto"/>
                <w:sz w:val="24"/>
                <w:szCs w:val="24"/>
                <w:highlight w:val="none"/>
              </w:rPr>
              <w:t>万元，其中勘察费</w:t>
            </w:r>
            <w:r>
              <w:rPr>
                <w:rFonts w:hint="eastAsia" w:ascii="宋体" w:hAnsi="宋体" w:cs="宋体"/>
                <w:bCs/>
                <w:color w:val="auto"/>
                <w:sz w:val="24"/>
                <w:szCs w:val="24"/>
                <w:highlight w:val="none"/>
                <w:lang w:val="en-US" w:eastAsia="zh-CN"/>
              </w:rPr>
              <w:t>200.48</w:t>
            </w:r>
            <w:r>
              <w:rPr>
                <w:rFonts w:hint="eastAsia" w:ascii="宋体" w:hAnsi="宋体" w:cs="宋体"/>
                <w:bCs/>
                <w:color w:val="auto"/>
                <w:sz w:val="24"/>
                <w:szCs w:val="24"/>
                <w:highlight w:val="none"/>
              </w:rPr>
              <w:t>万元、施工图预算编制费87.48万元、</w:t>
            </w:r>
            <w:r>
              <w:rPr>
                <w:rFonts w:hint="eastAsia" w:ascii="宋体" w:hAnsi="宋体" w:cs="宋体"/>
                <w:color w:val="auto"/>
                <w:kern w:val="0"/>
                <w:sz w:val="24"/>
                <w:szCs w:val="24"/>
                <w:highlight w:val="none"/>
                <w:lang w:val="en-US" w:eastAsia="zh-CN" w:bidi="ar-SA"/>
              </w:rPr>
              <w:t xml:space="preserve">设计费1032.31万元 </w:t>
            </w:r>
            <w:r>
              <w:rPr>
                <w:rFonts w:hint="eastAsia" w:ascii="宋体" w:hAnsi="宋体" w:cs="宋体"/>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olor w:val="auto"/>
                <w:sz w:val="24"/>
                <w:szCs w:val="24"/>
                <w:highlight w:val="none"/>
              </w:rPr>
              <w:t>勘察</w:t>
            </w:r>
            <w:r>
              <w:rPr>
                <w:rFonts w:hint="eastAsia" w:ascii="宋体" w:hAnsi="宋体"/>
                <w:color w:val="auto"/>
                <w:sz w:val="24"/>
                <w:szCs w:val="24"/>
                <w:highlight w:val="none"/>
                <w:lang w:eastAsia="zh-CN"/>
              </w:rPr>
              <w:t>、</w:t>
            </w:r>
            <w:r>
              <w:rPr>
                <w:rFonts w:hint="eastAsia" w:ascii="宋体" w:hAnsi="宋体" w:cs="宋体"/>
                <w:color w:val="auto"/>
                <w:sz w:val="24"/>
                <w:szCs w:val="24"/>
                <w:highlight w:val="none"/>
              </w:rPr>
              <w:t>设计费投标报价</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eastAsia="宋体"/>
                <w:color w:val="auto"/>
                <w:kern w:val="2"/>
                <w:sz w:val="24"/>
                <w:szCs w:val="24"/>
                <w:highlight w:val="none"/>
                <w:lang w:eastAsia="zh-CN"/>
              </w:rPr>
            </w:pPr>
            <w:r>
              <w:rPr>
                <w:rFonts w:hint="eastAsia" w:ascii="宋体" w:hAnsi="宋体"/>
                <w:color w:val="auto"/>
                <w:kern w:val="2"/>
                <w:sz w:val="24"/>
                <w:szCs w:val="24"/>
                <w:highlight w:val="none"/>
                <w:lang w:eastAsia="zh-CN"/>
              </w:rPr>
              <w:t>勘察、</w:t>
            </w:r>
            <w:r>
              <w:rPr>
                <w:rFonts w:hint="eastAsia" w:ascii="宋体" w:hAnsi="宋体"/>
                <w:color w:val="auto"/>
                <w:kern w:val="2"/>
                <w:sz w:val="24"/>
                <w:szCs w:val="24"/>
                <w:highlight w:val="none"/>
              </w:rPr>
              <w:t>设计费：在投标函中填报投标下浮率</w:t>
            </w:r>
            <w:r>
              <w:rPr>
                <w:rFonts w:hint="eastAsia" w:ascii="宋体" w:hAnsi="宋体"/>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olor w:val="auto"/>
                <w:sz w:val="24"/>
                <w:szCs w:val="24"/>
                <w:highlight w:val="none"/>
              </w:rPr>
              <w:t>勘察</w:t>
            </w:r>
            <w:r>
              <w:rPr>
                <w:rFonts w:hint="eastAsia" w:ascii="宋体" w:hAnsi="宋体"/>
                <w:color w:val="auto"/>
                <w:sz w:val="24"/>
                <w:szCs w:val="24"/>
                <w:highlight w:val="none"/>
                <w:lang w:eastAsia="zh-CN"/>
              </w:rPr>
              <w:t>、</w:t>
            </w:r>
            <w:r>
              <w:rPr>
                <w:rFonts w:hint="eastAsia" w:ascii="宋体" w:hAnsi="宋体" w:cs="宋体"/>
                <w:color w:val="auto"/>
                <w:sz w:val="24"/>
                <w:szCs w:val="24"/>
                <w:highlight w:val="none"/>
              </w:rPr>
              <w:t>设计费有效报价范围</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2030" w:type="dxa"/>
            <w:tcBorders>
              <w:right w:val="single" w:color="auto" w:sz="4" w:space="0"/>
            </w:tcBorders>
            <w:vAlign w:val="center"/>
          </w:tcPr>
          <w:p>
            <w:pPr>
              <w:pStyle w:val="6"/>
              <w:snapToGrid w:val="0"/>
              <w:spacing w:line="440" w:lineRule="exact"/>
              <w:ind w:firstLine="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合同付款方式</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勘察费支付办法：合同签订并确认进场后，勘察人提出申请，经有关程序审批后发包人10个工作日内支付勘察合同总额的 </w:t>
            </w:r>
            <w:r>
              <w:rPr>
                <w:rFonts w:hint="eastAsia" w:ascii="宋体" w:hAnsi="宋体"/>
                <w:color w:val="auto"/>
                <w:kern w:val="2"/>
                <w:sz w:val="24"/>
                <w:szCs w:val="24"/>
                <w:highlight w:val="none"/>
                <w:lang w:val="en-US" w:eastAsia="zh-CN"/>
              </w:rPr>
              <w:t>2</w:t>
            </w:r>
            <w:r>
              <w:rPr>
                <w:rFonts w:hint="eastAsia" w:ascii="宋体" w:hAnsi="宋体"/>
                <w:color w:val="auto"/>
                <w:kern w:val="2"/>
                <w:sz w:val="24"/>
                <w:szCs w:val="24"/>
                <w:highlight w:val="none"/>
              </w:rPr>
              <w:t>0％；承包人提交全部勘</w:t>
            </w:r>
            <w:r>
              <w:rPr>
                <w:rFonts w:hint="eastAsia" w:ascii="宋体" w:hAnsi="宋体"/>
                <w:color w:val="auto"/>
                <w:kern w:val="2"/>
                <w:sz w:val="24"/>
                <w:szCs w:val="24"/>
                <w:highlight w:val="none"/>
                <w:lang w:val="en-US" w:eastAsia="zh-Hans"/>
              </w:rPr>
              <w:t>察</w:t>
            </w:r>
            <w:r>
              <w:rPr>
                <w:rFonts w:hint="eastAsia" w:ascii="宋体" w:hAnsi="宋体"/>
                <w:color w:val="auto"/>
                <w:kern w:val="2"/>
                <w:sz w:val="24"/>
                <w:szCs w:val="24"/>
                <w:highlight w:val="none"/>
              </w:rPr>
              <w:t>成果资料经有关部门审核合格并按要求出具岩土勘察报告后，请款申请经有关程序审批后10个工作日内累计支付</w:t>
            </w:r>
            <w:r>
              <w:rPr>
                <w:rFonts w:hint="eastAsia" w:ascii="宋体" w:hAnsi="宋体"/>
                <w:color w:val="auto"/>
                <w:kern w:val="2"/>
                <w:sz w:val="24"/>
                <w:szCs w:val="24"/>
                <w:highlight w:val="none"/>
                <w:lang w:val="en-US" w:eastAsia="zh-CN"/>
              </w:rPr>
              <w:t>至</w:t>
            </w:r>
            <w:r>
              <w:rPr>
                <w:rFonts w:hint="eastAsia" w:ascii="宋体" w:hAnsi="宋体"/>
                <w:color w:val="auto"/>
                <w:kern w:val="2"/>
                <w:sz w:val="24"/>
                <w:szCs w:val="24"/>
                <w:highlight w:val="none"/>
              </w:rPr>
              <w:t>勘察费用的</w:t>
            </w:r>
            <w:r>
              <w:rPr>
                <w:rFonts w:hint="eastAsia" w:ascii="宋体" w:hAnsi="宋体"/>
                <w:color w:val="auto"/>
                <w:kern w:val="2"/>
                <w:sz w:val="24"/>
                <w:szCs w:val="24"/>
                <w:highlight w:val="none"/>
                <w:lang w:val="en-US" w:eastAsia="zh-CN"/>
              </w:rPr>
              <w:t>5</w:t>
            </w:r>
            <w:r>
              <w:rPr>
                <w:rFonts w:hint="eastAsia" w:ascii="宋体" w:hAnsi="宋体"/>
                <w:color w:val="auto"/>
                <w:kern w:val="2"/>
                <w:sz w:val="24"/>
                <w:szCs w:val="24"/>
                <w:highlight w:val="none"/>
              </w:rPr>
              <w:t>0%；工程竣工验收</w:t>
            </w:r>
            <w:r>
              <w:rPr>
                <w:rFonts w:hint="eastAsia" w:ascii="宋体" w:hAnsi="宋体"/>
                <w:color w:val="auto"/>
                <w:kern w:val="2"/>
                <w:sz w:val="24"/>
                <w:szCs w:val="24"/>
                <w:highlight w:val="none"/>
                <w:lang w:val="en-US" w:eastAsia="zh-CN"/>
              </w:rPr>
              <w:t>完成</w:t>
            </w:r>
            <w:r>
              <w:rPr>
                <w:rFonts w:hint="eastAsia" w:ascii="宋体" w:hAnsi="宋体"/>
                <w:color w:val="auto"/>
                <w:kern w:val="2"/>
                <w:sz w:val="24"/>
                <w:szCs w:val="24"/>
                <w:highlight w:val="none"/>
              </w:rPr>
              <w:t>后，余款申请经有关程序审批后10个工作日内付清。</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设计费支付条件和金额：</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（1）合同签订并进入设计阶段后，设计人提出申请，经有关程序审批后发包人10个工作日内支付设计合同总额的</w:t>
            </w:r>
            <w:r>
              <w:rPr>
                <w:rFonts w:hint="eastAsia" w:ascii="宋体" w:hAnsi="宋体"/>
                <w:color w:val="auto"/>
                <w:kern w:val="2"/>
                <w:sz w:val="24"/>
                <w:szCs w:val="24"/>
                <w:highlight w:val="none"/>
                <w:lang w:val="en-US" w:eastAsia="zh-CN"/>
              </w:rPr>
              <w:t>2</w:t>
            </w:r>
            <w:r>
              <w:rPr>
                <w:rFonts w:hint="eastAsia" w:ascii="宋体" w:hAnsi="宋体"/>
                <w:color w:val="auto"/>
                <w:kern w:val="2"/>
                <w:sz w:val="24"/>
                <w:szCs w:val="24"/>
                <w:highlight w:val="none"/>
              </w:rPr>
              <w:t>0％；</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（2）初步设计完成且全部工程施工图设计文件均按期完成并审核合格，施工图预算编制审核完成后，向设计人累计支付</w:t>
            </w:r>
            <w:r>
              <w:rPr>
                <w:rFonts w:hint="eastAsia" w:ascii="宋体" w:hAnsi="宋体"/>
                <w:color w:val="auto"/>
                <w:kern w:val="2"/>
                <w:sz w:val="24"/>
                <w:szCs w:val="24"/>
                <w:highlight w:val="none"/>
                <w:lang w:eastAsia="zh-CN"/>
              </w:rPr>
              <w:t>至</w:t>
            </w:r>
            <w:r>
              <w:rPr>
                <w:rFonts w:hint="eastAsia" w:ascii="宋体" w:hAnsi="宋体"/>
                <w:color w:val="auto"/>
                <w:kern w:val="2"/>
                <w:sz w:val="24"/>
                <w:szCs w:val="24"/>
                <w:highlight w:val="none"/>
              </w:rPr>
              <w:t>合同总额的</w:t>
            </w:r>
            <w:r>
              <w:rPr>
                <w:rFonts w:hint="eastAsia" w:ascii="宋体" w:hAnsi="宋体"/>
                <w:color w:val="auto"/>
                <w:kern w:val="2"/>
                <w:sz w:val="24"/>
                <w:szCs w:val="24"/>
                <w:highlight w:val="none"/>
                <w:lang w:val="en-US" w:eastAsia="zh-CN"/>
              </w:rPr>
              <w:t>50</w:t>
            </w:r>
            <w:r>
              <w:rPr>
                <w:rFonts w:hint="eastAsia" w:ascii="宋体" w:hAnsi="宋体"/>
                <w:color w:val="auto"/>
                <w:kern w:val="2"/>
                <w:sz w:val="24"/>
                <w:szCs w:val="24"/>
                <w:highlight w:val="none"/>
              </w:rPr>
              <w:t>％设计费；</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eastAsia="宋体"/>
                <w:color w:val="auto"/>
                <w:kern w:val="2"/>
                <w:sz w:val="24"/>
                <w:szCs w:val="24"/>
                <w:highlight w:val="none"/>
                <w:lang w:val="en-US" w:eastAsia="zh-CN"/>
              </w:rPr>
            </w:pPr>
            <w:r>
              <w:rPr>
                <w:rFonts w:hint="eastAsia" w:ascii="宋体" w:hAnsi="宋体"/>
                <w:color w:val="auto"/>
                <w:kern w:val="2"/>
                <w:sz w:val="24"/>
                <w:szCs w:val="24"/>
                <w:highlight w:val="none"/>
              </w:rPr>
              <w:t>（</w:t>
            </w:r>
            <w:r>
              <w:rPr>
                <w:rFonts w:hint="eastAsia" w:ascii="宋体" w:hAnsi="宋体"/>
                <w:color w:val="auto"/>
                <w:kern w:val="2"/>
                <w:sz w:val="24"/>
                <w:szCs w:val="24"/>
                <w:highlight w:val="none"/>
                <w:lang w:val="en-US" w:eastAsia="zh-CN"/>
              </w:rPr>
              <w:t>3</w:t>
            </w:r>
            <w:r>
              <w:rPr>
                <w:rFonts w:hint="eastAsia" w:ascii="宋体" w:hAnsi="宋体"/>
                <w:color w:val="auto"/>
                <w:kern w:val="2"/>
                <w:sz w:val="24"/>
                <w:szCs w:val="24"/>
                <w:highlight w:val="none"/>
              </w:rPr>
              <w:t>）设计费余款待工程竣工验收合格</w:t>
            </w:r>
            <w:r>
              <w:rPr>
                <w:rFonts w:hint="eastAsia" w:ascii="宋体" w:hAnsi="宋体"/>
                <w:color w:val="auto"/>
                <w:kern w:val="2"/>
                <w:sz w:val="24"/>
                <w:szCs w:val="24"/>
                <w:highlight w:val="none"/>
                <w:lang w:eastAsia="zh-CN"/>
              </w:rPr>
              <w:t>经财政结算</w:t>
            </w:r>
            <w:r>
              <w:rPr>
                <w:rFonts w:hint="eastAsia" w:ascii="宋体" w:hAnsi="宋体"/>
                <w:color w:val="auto"/>
                <w:kern w:val="2"/>
                <w:sz w:val="24"/>
                <w:szCs w:val="24"/>
                <w:highlight w:val="none"/>
              </w:rPr>
              <w:t>定案后，设计人提出申请，经有关程序审批后发包人10个工作日内支付。</w:t>
            </w:r>
            <w:r>
              <w:rPr>
                <w:rFonts w:hint="eastAsia" w:ascii="宋体" w:hAnsi="宋体"/>
                <w:color w:val="auto"/>
                <w:kern w:val="2"/>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030" w:type="dxa"/>
            <w:tcBorders>
              <w:right w:val="single" w:color="auto" w:sz="4" w:space="0"/>
            </w:tcBorders>
            <w:vAlign w:val="center"/>
          </w:tcPr>
          <w:p>
            <w:pPr>
              <w:pStyle w:val="6"/>
              <w:snapToGrid w:val="0"/>
              <w:spacing w:line="240" w:lineRule="auto"/>
              <w:ind w:firstLine="0"/>
              <w:jc w:val="center"/>
              <w:rPr>
                <w:rFonts w:ascii="宋体" w:hAnsi="宋体" w:cs="宋体"/>
                <w:bCs/>
                <w:color w:val="auto"/>
                <w:sz w:val="24"/>
                <w:szCs w:val="24"/>
                <w:highlight w:val="none"/>
              </w:rPr>
            </w:pPr>
            <w:r>
              <w:rPr>
                <w:rFonts w:hint="eastAsia" w:ascii="宋体" w:hAnsi="宋体" w:cs="宋体"/>
                <w:bCs/>
                <w:color w:val="auto"/>
                <w:sz w:val="24"/>
                <w:szCs w:val="24"/>
                <w:highlight w:val="none"/>
              </w:rPr>
              <w:t>结算方式</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设计费</w:t>
            </w: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rPr>
              <w:t>参照国家发展计划委员会、建设部2002年颁布的《工程勘察设计收费标准》，以</w:t>
            </w:r>
            <w:r>
              <w:rPr>
                <w:rFonts w:hint="eastAsia" w:ascii="宋体" w:hAnsi="宋体"/>
                <w:color w:val="auto"/>
                <w:kern w:val="2"/>
                <w:sz w:val="24"/>
                <w:szCs w:val="24"/>
                <w:highlight w:val="none"/>
                <w:lang w:eastAsia="zh-CN"/>
              </w:rPr>
              <w:t>施工图预算</w:t>
            </w:r>
            <w:r>
              <w:rPr>
                <w:rFonts w:hint="eastAsia" w:ascii="宋体" w:hAnsi="宋体"/>
                <w:color w:val="auto"/>
                <w:kern w:val="2"/>
                <w:sz w:val="24"/>
                <w:szCs w:val="24"/>
                <w:highlight w:val="none"/>
              </w:rPr>
              <w:t>经财政投资审核中心审定后的工程建安费造价为基数计算，计算得出工程设计费的标准收费额×（1-中标下浮率）。</w:t>
            </w:r>
            <w:r>
              <w:rPr>
                <w:rFonts w:hint="eastAsia" w:ascii="宋体" w:hAnsi="宋体"/>
                <w:color w:val="auto"/>
                <w:kern w:val="2"/>
                <w:sz w:val="24"/>
                <w:szCs w:val="24"/>
                <w:highlight w:val="none"/>
                <w:lang w:val="en-US" w:eastAsia="zh-CN"/>
              </w:rPr>
              <w:t>费用包含方案设计、初步设计及概算、施工图设计、深化设计、二次设计、变更设计等整个工程项目设计的相关工作、工程量清单及预算编制及施工现场驻点指导与配合服务，招标人不再支付其它附属的任何费用。</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eastAsia="zh-CN"/>
              </w:rPr>
            </w:pPr>
            <w:r>
              <w:rPr>
                <w:rFonts w:hint="eastAsia" w:ascii="宋体" w:hAnsi="宋体"/>
                <w:color w:val="auto"/>
                <w:kern w:val="2"/>
                <w:sz w:val="24"/>
                <w:szCs w:val="24"/>
                <w:highlight w:val="none"/>
                <w:lang w:eastAsia="zh-CN"/>
              </w:rPr>
              <w:t>勘察费：</w:t>
            </w:r>
            <w:r>
              <w:rPr>
                <w:rFonts w:hint="eastAsia" w:ascii="宋体" w:hAnsi="宋体"/>
                <w:color w:val="auto"/>
                <w:kern w:val="2"/>
                <w:sz w:val="24"/>
                <w:szCs w:val="24"/>
                <w:highlight w:val="none"/>
              </w:rPr>
              <w:t>勘察费结算价=按《工程勘察设计收费标准（2002年修订本）》计费标准计算工程勘察费×</w:t>
            </w: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lang w:val="en-US" w:eastAsia="zh-CN"/>
              </w:rPr>
              <w:t>1-</w:t>
            </w:r>
            <w:r>
              <w:rPr>
                <w:rFonts w:hint="eastAsia" w:ascii="宋体" w:hAnsi="宋体"/>
                <w:color w:val="auto"/>
                <w:kern w:val="2"/>
                <w:sz w:val="24"/>
                <w:szCs w:val="24"/>
                <w:highlight w:val="none"/>
              </w:rPr>
              <w:t>中标</w:t>
            </w:r>
            <w:r>
              <w:rPr>
                <w:rFonts w:hint="eastAsia" w:ascii="宋体" w:hAnsi="宋体"/>
                <w:color w:val="auto"/>
                <w:kern w:val="2"/>
                <w:sz w:val="24"/>
                <w:szCs w:val="24"/>
                <w:highlight w:val="none"/>
                <w:lang w:eastAsia="zh-CN"/>
              </w:rPr>
              <w:t>下浮率）</w:t>
            </w:r>
            <w:r>
              <w:rPr>
                <w:rFonts w:hint="eastAsia" w:ascii="宋体" w:hAnsi="宋体"/>
                <w:color w:val="auto"/>
                <w:kern w:val="2"/>
                <w:sz w:val="24"/>
                <w:szCs w:val="24"/>
                <w:highlight w:val="none"/>
              </w:rPr>
              <w:t>。</w:t>
            </w:r>
            <w:r>
              <w:rPr>
                <w:rFonts w:hint="eastAsia" w:ascii="宋体" w:hAnsi="宋体"/>
                <w:color w:val="auto"/>
                <w:kern w:val="2"/>
                <w:sz w:val="24"/>
                <w:szCs w:val="24"/>
                <w:highlight w:val="none"/>
                <w:lang w:val="en-US" w:eastAsia="zh-CN"/>
              </w:rPr>
              <w:t>费用包含制订勘察纲要、进行勘探点定点测量费、取岩芯样收费、室内试验费、剪切波速测试、土壤氡浓度测试；其他费用：技术工作费、大型机械搬运费、勘察所需的水电及附属设施等勘察作业以及编制工程勘察文件和岩土工程设计文件等费用，招标人不再支付其它附属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本招标项目的投标有效期为投标截止期后90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5" w:hRule="atLeast"/>
        </w:trPr>
        <w:tc>
          <w:tcPr>
            <w:tcW w:w="852" w:type="dxa"/>
            <w:tcBorders>
              <w:left w:val="single" w:color="auto" w:sz="8" w:space="0"/>
              <w:bottom w:val="single" w:color="auto" w:sz="4"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2030" w:type="dxa"/>
            <w:tcBorders>
              <w:bottom w:val="single" w:color="auto" w:sz="4" w:space="0"/>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投标保证金提交方式和金额</w:t>
            </w:r>
          </w:p>
        </w:tc>
        <w:tc>
          <w:tcPr>
            <w:tcW w:w="7076" w:type="dxa"/>
            <w:tcBorders>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保证金提交方式（任选其一）：</w:t>
            </w: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 xml:space="preserve">银行保函   </w:t>
            </w: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 xml:space="preserve"> 银行转账</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投标保证金保证数额：</w:t>
            </w:r>
            <w:r>
              <w:rPr>
                <w:rFonts w:hint="eastAsia" w:ascii="宋体" w:hAnsi="宋体"/>
                <w:b/>
                <w:bCs/>
                <w:color w:val="auto"/>
                <w:kern w:val="2"/>
                <w:sz w:val="24"/>
                <w:szCs w:val="24"/>
                <w:highlight w:val="none"/>
                <w:lang w:eastAsia="zh-CN"/>
              </w:rPr>
              <w:t>壹拾</w:t>
            </w:r>
            <w:r>
              <w:rPr>
                <w:rFonts w:hint="eastAsia" w:ascii="宋体" w:hAnsi="宋体"/>
                <w:b/>
                <w:bCs/>
                <w:color w:val="auto"/>
                <w:kern w:val="2"/>
                <w:sz w:val="24"/>
                <w:szCs w:val="24"/>
                <w:highlight w:val="none"/>
              </w:rPr>
              <w:t>万元整</w:t>
            </w:r>
            <w:r>
              <w:rPr>
                <w:rFonts w:hint="eastAsia" w:ascii="宋体" w:hAnsi="宋体"/>
                <w:color w:val="auto"/>
                <w:kern w:val="2"/>
                <w:sz w:val="24"/>
                <w:szCs w:val="24"/>
                <w:highlight w:val="none"/>
              </w:rPr>
              <w:t>。</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1、银行转账</w:t>
            </w:r>
          </w:p>
          <w:p>
            <w:pPr>
              <w:keepNext w:val="0"/>
              <w:keepLines w:val="0"/>
              <w:pageBreakBefore w:val="0"/>
              <w:kinsoku/>
              <w:wordWrap/>
              <w:overflowPunct/>
              <w:topLinePunct w:val="0"/>
              <w:autoSpaceDE/>
              <w:autoSpaceDN/>
              <w:bidi w:val="0"/>
              <w:adjustRightInd/>
              <w:spacing w:line="288" w:lineRule="auto"/>
              <w:ind w:left="240" w:hanging="240" w:hangingChars="100"/>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提交时限：</w:t>
            </w:r>
            <w:r>
              <w:rPr>
                <w:rFonts w:hint="eastAsia" w:ascii="宋体" w:hAnsi="宋体"/>
                <w:color w:val="auto"/>
                <w:kern w:val="2"/>
                <w:sz w:val="24"/>
                <w:szCs w:val="24"/>
                <w:highlight w:val="none"/>
                <w:lang w:eastAsia="zh-CN"/>
              </w:rPr>
              <w:t>投标截止时间前（具体详见广州公共资源交易中心网站关于本项目招投标活动日程安排）。</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户  名梅州市众汇工程管理有限公司</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账  号：80020000016215749  </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开户行：梅州农商银行荷泗支行 </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rPr>
              <w:t>缴款时在“备注栏”填写标识符</w:t>
            </w:r>
            <w:r>
              <w:rPr>
                <w:rFonts w:hint="eastAsia" w:ascii="宋体" w:hAnsi="宋体"/>
                <w:color w:val="auto"/>
                <w:kern w:val="2"/>
                <w:sz w:val="24"/>
                <w:szCs w:val="24"/>
                <w:highlight w:val="none"/>
                <w:lang w:eastAsia="zh-CN"/>
              </w:rPr>
              <w:t>：白云大桥勘察设计</w:t>
            </w:r>
            <w:r>
              <w:rPr>
                <w:rFonts w:hint="eastAsia" w:ascii="宋体" w:hAnsi="宋体"/>
                <w:color w:val="auto"/>
                <w:kern w:val="2"/>
                <w:sz w:val="24"/>
                <w:szCs w:val="24"/>
                <w:highlight w:val="none"/>
              </w:rPr>
              <w:t xml:space="preserve">)。                       </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投标保证金必须从投标人的基本账户汇入指定账户,否则视为无效投标保证金，其递交的投标文件一律视作无效投标文件。</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最迟应当在书面合同签订后5日内向中标人和未中标的投标人退还投标保证金，投标保证金的银行同期存款利息用作抵扣银行退款手续费。</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中标人无正当理由不与招标人订立合同，在签订合同时向招标人提出附加条件，或者不按照招标文件要求提交履约保证金的，取消中标资格，没收其投标担保金。</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其他：投标保证金到账情况由招标代理机构负责查实。</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银行保函</w:t>
            </w:r>
          </w:p>
          <w:p>
            <w:pPr>
              <w:pStyle w:val="12"/>
              <w:topLinePunct/>
              <w:spacing w:after="0"/>
              <w:rPr>
                <w:rFonts w:hint="eastAsia" w:ascii="宋体" w:hAnsi="宋体" w:eastAsia="宋体"/>
                <w:color w:val="auto"/>
                <w:kern w:val="2"/>
                <w:sz w:val="24"/>
                <w:szCs w:val="24"/>
                <w:highlight w:val="none"/>
                <w:lang w:eastAsia="zh-CN"/>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投标人应在投标保证金截止时间前将银行出具的投标保函原件单独提交</w:t>
            </w:r>
            <w:r>
              <w:rPr>
                <w:rFonts w:hint="eastAsia" w:ascii="宋体" w:hAnsi="宋体"/>
                <w:color w:val="auto"/>
                <w:kern w:val="2"/>
                <w:sz w:val="24"/>
                <w:szCs w:val="24"/>
                <w:highlight w:val="none"/>
                <w:lang w:eastAsia="zh-CN"/>
              </w:rPr>
              <w:t>。</w:t>
            </w:r>
            <w:r>
              <w:rPr>
                <w:rFonts w:hint="eastAsia" w:ascii="宋体" w:hAnsi="宋体" w:eastAsia="宋体"/>
                <w:color w:val="auto"/>
                <w:kern w:val="2"/>
                <w:sz w:val="24"/>
                <w:szCs w:val="24"/>
                <w:highlight w:val="none"/>
                <w:lang w:eastAsia="zh-CN"/>
              </w:rPr>
              <w:t>（</w:t>
            </w:r>
            <w:r>
              <w:rPr>
                <w:rFonts w:hint="eastAsia" w:ascii="宋体" w:hAnsi="宋体" w:eastAsia="宋体"/>
                <w:color w:val="auto"/>
                <w:kern w:val="2"/>
                <w:sz w:val="24"/>
                <w:szCs w:val="24"/>
                <w:highlight w:val="none"/>
              </w:rPr>
              <w:t>具体详见广州公共资源交易中心网站关于本项目招投标活动日程安排）。</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trPr>
        <w:tc>
          <w:tcPr>
            <w:tcW w:w="852" w:type="dxa"/>
            <w:tcBorders>
              <w:left w:val="single" w:color="auto" w:sz="8" w:space="0"/>
              <w:bottom w:val="single" w:color="auto" w:sz="4"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p>
        </w:tc>
        <w:tc>
          <w:tcPr>
            <w:tcW w:w="2030" w:type="dxa"/>
            <w:tcBorders>
              <w:bottom w:val="single" w:color="auto" w:sz="4" w:space="0"/>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p>
        </w:tc>
        <w:tc>
          <w:tcPr>
            <w:tcW w:w="7076" w:type="dxa"/>
            <w:tcBorders>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投标人采用银行出具的投标保函提交投标担保的，必须是由投标人的基本账户行开启，保函中须标明本招标文件的项目名称、受益人为招标人，所提供的担保金额须与本次招标所要求的投标保证金等额，保函有效期与本招标文件规定的投标有效期的截止时间须相同。如未在规定时间提交银行保函的或提供的保函不符合要求的，则视为无效投标担保，其递交的投标文件一律视作无效投标文件。</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招标人最迟应当在书面合同签订后5日内向投标人退还银行保函原件。非中标候选人应当在中标结果公告后5个工作日内前往招标代理机构办公地点领取银行保函原件，中标候选人领取时间另行通知，领取时须单独携带法定代表人身份证明书原件（委托代理人另外提供法定代表人授权委托书原件）、本人身份证原件，逾期未领取视为投标人自动放弃领取保函，责任由投标人自行承担。</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中标人无正当理由不与招标人订立合同，在签订合同时向招标人提出附加条件，或者不按照招标文件要求提交履约保证金的，取消中标资格，且向银行提交索赔意向书，没收其投标担保金。</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其他：投标保证金到账情况由招标代理机构及招标人负责查实。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2030" w:type="dxa"/>
            <w:tcBorders>
              <w:right w:val="single" w:color="auto" w:sz="4" w:space="0"/>
            </w:tcBorders>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是否允许</w:t>
            </w:r>
            <w:r>
              <w:rPr>
                <w:rFonts w:hint="eastAsia" w:ascii="宋体" w:hAnsi="宋体"/>
                <w:color w:val="auto"/>
                <w:sz w:val="24"/>
                <w:szCs w:val="24"/>
                <w:highlight w:val="none"/>
              </w:rPr>
              <w:t>递交备</w:t>
            </w:r>
            <w:r>
              <w:rPr>
                <w:rFonts w:ascii="宋体" w:hAnsi="宋体"/>
                <w:color w:val="auto"/>
                <w:sz w:val="24"/>
                <w:szCs w:val="24"/>
                <w:highlight w:val="none"/>
              </w:rPr>
              <w:t>选投标方案</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 xml:space="preserve">不允许      </w:t>
            </w: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2030" w:type="dxa"/>
            <w:tcBorders>
              <w:right w:val="single" w:color="auto" w:sz="4" w:space="0"/>
            </w:tcBorders>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签字或盖章要求</w:t>
            </w:r>
          </w:p>
        </w:tc>
        <w:tc>
          <w:tcPr>
            <w:tcW w:w="7076" w:type="dxa"/>
            <w:tcBorders>
              <w:left w:val="single" w:color="auto" w:sz="4" w:space="0"/>
              <w:right w:val="single" w:color="auto" w:sz="8" w:space="0"/>
            </w:tcBorders>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招标文件所附格式中有明确签名、盖章位置的，须按照格式签名、盖章。副本可采用签名盖章后的正本的复印件。正本与副本不一致时以正本为准。以联合体形式参与投标的，投标文件盖章应盖联合体</w:t>
            </w:r>
            <w:r>
              <w:rPr>
                <w:rFonts w:hint="eastAsia" w:ascii="宋体" w:hAnsi="宋体"/>
                <w:color w:val="auto"/>
                <w:kern w:val="2"/>
                <w:sz w:val="24"/>
                <w:szCs w:val="24"/>
                <w:highlight w:val="none"/>
                <w:lang w:eastAsia="zh-CN"/>
              </w:rPr>
              <w:t>牵头人</w:t>
            </w:r>
            <w:r>
              <w:rPr>
                <w:rFonts w:hint="eastAsia" w:ascii="宋体" w:hAnsi="宋体"/>
                <w:color w:val="auto"/>
                <w:kern w:val="2"/>
                <w:sz w:val="24"/>
                <w:szCs w:val="24"/>
                <w:highlight w:val="none"/>
              </w:rPr>
              <w:t>单位公章，签字或盖章应由联合体</w:t>
            </w:r>
            <w:r>
              <w:rPr>
                <w:rFonts w:hint="eastAsia" w:ascii="宋体" w:hAnsi="宋体"/>
                <w:color w:val="auto"/>
                <w:kern w:val="2"/>
                <w:sz w:val="24"/>
                <w:szCs w:val="24"/>
                <w:highlight w:val="none"/>
                <w:lang w:eastAsia="zh-CN"/>
              </w:rPr>
              <w:t>牵头人</w:t>
            </w:r>
            <w:r>
              <w:rPr>
                <w:rFonts w:hint="eastAsia" w:ascii="宋体" w:hAnsi="宋体"/>
                <w:color w:val="auto"/>
                <w:kern w:val="2"/>
                <w:sz w:val="24"/>
                <w:szCs w:val="24"/>
                <w:highlight w:val="none"/>
              </w:rPr>
              <w:t>法定代表人（签字或盖章）或其委托代理人签字。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投标文件份数</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正本一份，副本四份；电子文件一份（电子文件应采用电子U盘</w:t>
            </w:r>
            <w:r>
              <w:rPr>
                <w:rFonts w:hint="eastAsia" w:ascii="宋体" w:hAnsi="宋体"/>
                <w:color w:val="auto"/>
                <w:kern w:val="2"/>
                <w:sz w:val="24"/>
                <w:szCs w:val="24"/>
                <w:highlight w:val="none"/>
                <w:lang w:eastAsia="zh-CN"/>
              </w:rPr>
              <w:t>或光盘</w:t>
            </w:r>
            <w:r>
              <w:rPr>
                <w:rFonts w:hint="eastAsia" w:ascii="宋体" w:hAnsi="宋体"/>
                <w:color w:val="auto"/>
                <w:kern w:val="2"/>
                <w:sz w:val="24"/>
                <w:szCs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2030" w:type="dxa"/>
            <w:tcBorders>
              <w:right w:val="single" w:color="auto" w:sz="4" w:space="0"/>
            </w:tcBorders>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装订</w:t>
            </w:r>
            <w:r>
              <w:rPr>
                <w:rFonts w:hint="eastAsia" w:ascii="宋体" w:hAnsi="宋体"/>
                <w:color w:val="auto"/>
                <w:sz w:val="24"/>
                <w:szCs w:val="24"/>
                <w:highlight w:val="none"/>
              </w:rPr>
              <w:t>及包装</w:t>
            </w:r>
            <w:r>
              <w:rPr>
                <w:rFonts w:ascii="宋体" w:hAnsi="宋体"/>
                <w:color w:val="auto"/>
                <w:sz w:val="24"/>
                <w:szCs w:val="24"/>
                <w:highlight w:val="none"/>
              </w:rPr>
              <w:t>要求</w:t>
            </w:r>
          </w:p>
        </w:tc>
        <w:tc>
          <w:tcPr>
            <w:tcW w:w="7076" w:type="dxa"/>
            <w:tcBorders>
              <w:left w:val="single" w:color="auto" w:sz="4" w:space="0"/>
              <w:right w:val="single" w:color="auto" w:sz="8" w:space="0"/>
            </w:tcBorders>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投标文件的正本与副本应分别装订成册，电子文件采用电子U盘</w:t>
            </w:r>
            <w:r>
              <w:rPr>
                <w:rFonts w:hint="eastAsia" w:ascii="宋体" w:hAnsi="宋体"/>
                <w:color w:val="auto"/>
                <w:kern w:val="2"/>
                <w:sz w:val="24"/>
                <w:szCs w:val="24"/>
                <w:highlight w:val="none"/>
                <w:lang w:eastAsia="zh-CN"/>
              </w:rPr>
              <w:t>或光盘</w:t>
            </w:r>
            <w:r>
              <w:rPr>
                <w:rFonts w:hint="eastAsia" w:ascii="宋体" w:hAnsi="宋体"/>
                <w:color w:val="auto"/>
                <w:kern w:val="2"/>
                <w:sz w:val="24"/>
                <w:szCs w:val="24"/>
                <w:highlight w:val="none"/>
              </w:rPr>
              <w:t>形式（包括投标文件全部内容），电子文件必须独立封包与投标文件同时提交。所有投标文件统一包装在一个密封袋中。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2030" w:type="dxa"/>
            <w:tcBorders>
              <w:right w:val="single" w:color="auto" w:sz="4" w:space="0"/>
            </w:tcBorders>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是否退还投标文件</w:t>
            </w:r>
          </w:p>
        </w:tc>
        <w:tc>
          <w:tcPr>
            <w:tcW w:w="7076" w:type="dxa"/>
            <w:tcBorders>
              <w:left w:val="single" w:color="auto" w:sz="4" w:space="0"/>
              <w:right w:val="single" w:color="auto" w:sz="8" w:space="0"/>
            </w:tcBorders>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rPr>
              <w:t>否</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投标文件的递交截止时间及递交地点</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default" w:ascii="宋体" w:hAnsi="宋体" w:eastAsia="宋体"/>
                <w:color w:val="auto"/>
                <w:kern w:val="2"/>
                <w:sz w:val="24"/>
                <w:szCs w:val="24"/>
                <w:highlight w:val="none"/>
                <w:lang w:val="en-US" w:eastAsia="zh-CN"/>
              </w:rPr>
            </w:pPr>
            <w:r>
              <w:rPr>
                <w:rFonts w:hint="eastAsia" w:ascii="宋体" w:hAnsi="宋体"/>
                <w:color w:val="auto"/>
                <w:kern w:val="2"/>
                <w:sz w:val="24"/>
                <w:szCs w:val="24"/>
                <w:highlight w:val="none"/>
              </w:rPr>
              <w:t>递交时间：</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年</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月</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日</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时</w:t>
            </w:r>
            <w:r>
              <w:rPr>
                <w:rFonts w:hint="eastAsia" w:ascii="宋体" w:hAnsi="宋体"/>
                <w:color w:val="auto"/>
                <w:kern w:val="2"/>
                <w:sz w:val="24"/>
                <w:szCs w:val="24"/>
                <w:highlight w:val="none"/>
                <w:lang w:val="en-US" w:eastAsia="zh-CN"/>
              </w:rPr>
              <w:t xml:space="preserve">  分</w:t>
            </w:r>
          </w:p>
          <w:p>
            <w:pPr>
              <w:keepNext w:val="0"/>
              <w:keepLines w:val="0"/>
              <w:pageBreakBefore w:val="0"/>
              <w:kinsoku/>
              <w:wordWrap/>
              <w:overflowPunct/>
              <w:topLinePunct w:val="0"/>
              <w:autoSpaceDE/>
              <w:autoSpaceDN/>
              <w:bidi w:val="0"/>
              <w:adjustRightInd/>
              <w:spacing w:line="288" w:lineRule="auto"/>
              <w:jc w:val="left"/>
              <w:textAlignment w:val="auto"/>
              <w:rPr>
                <w:rFonts w:hint="default" w:ascii="宋体" w:hAnsi="宋体" w:eastAsia="宋体"/>
                <w:color w:val="auto"/>
                <w:kern w:val="2"/>
                <w:sz w:val="24"/>
                <w:szCs w:val="24"/>
                <w:highlight w:val="none"/>
                <w:lang w:val="en-US" w:eastAsia="zh-CN"/>
              </w:rPr>
            </w:pPr>
            <w:r>
              <w:rPr>
                <w:rFonts w:hint="eastAsia" w:ascii="宋体" w:hAnsi="宋体"/>
                <w:color w:val="auto"/>
                <w:kern w:val="2"/>
                <w:sz w:val="24"/>
                <w:szCs w:val="24"/>
                <w:highlight w:val="none"/>
              </w:rPr>
              <w:t>截止时间：</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年</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月</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日</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时</w:t>
            </w:r>
            <w:r>
              <w:rPr>
                <w:rFonts w:hint="eastAsia" w:ascii="宋体" w:hAnsi="宋体"/>
                <w:color w:val="auto"/>
                <w:kern w:val="2"/>
                <w:sz w:val="24"/>
                <w:szCs w:val="24"/>
                <w:highlight w:val="none"/>
                <w:lang w:val="en-US" w:eastAsia="zh-CN"/>
              </w:rPr>
              <w:t xml:space="preserve">  分</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递交地点：广州公共资源交易中心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2030"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w:t>
            </w:r>
          </w:p>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和地点</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开标时间：</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年</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月</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日</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时</w:t>
            </w:r>
            <w:r>
              <w:rPr>
                <w:rFonts w:hint="eastAsia" w:ascii="宋体" w:hAnsi="宋体"/>
                <w:color w:val="auto"/>
                <w:kern w:val="2"/>
                <w:sz w:val="24"/>
                <w:szCs w:val="24"/>
                <w:highlight w:val="none"/>
                <w:lang w:val="en-US" w:eastAsia="zh-CN"/>
              </w:rPr>
              <w:t xml:space="preserve">   分</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开标地点：广州公共资源交易中心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2030" w:type="dxa"/>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开标程序</w:t>
            </w:r>
          </w:p>
        </w:tc>
        <w:tc>
          <w:tcPr>
            <w:tcW w:w="7076" w:type="dxa"/>
            <w:tcBorders>
              <w:left w:val="single" w:color="auto" w:sz="4" w:space="0"/>
              <w:right w:val="single" w:color="auto" w:sz="8" w:space="0"/>
            </w:tcBorders>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密封情况检查：招标人、监督人员及投标人代表检查</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开标顺序：随机启封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2030" w:type="dxa"/>
            <w:tcBorders>
              <w:right w:val="single" w:color="auto" w:sz="4" w:space="0"/>
            </w:tcBorders>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评标委员会的组建</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评标专家确定方式：由招标人依法组建。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2030" w:type="dxa"/>
            <w:tcBorders>
              <w:right w:val="single" w:color="auto" w:sz="4" w:space="0"/>
            </w:tcBorders>
            <w:vAlign w:val="center"/>
          </w:tcPr>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是否授权评标委员会确定中标人</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推荐的中标候选人数：3名，该项目评标结果公示无异议后，则确定第一中标候选人为中标人。</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否，推荐的中标候选人数：/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2030" w:type="dxa"/>
            <w:tcBorders>
              <w:right w:val="single" w:color="auto" w:sz="4" w:space="0"/>
            </w:tcBorders>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中标候选人公示媒介</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广州公共资源交易中心网站</w:t>
            </w:r>
            <w:r>
              <w:rPr>
                <w:rFonts w:hint="eastAsia" w:ascii="宋体" w:hAnsi="宋体"/>
                <w:color w:val="auto"/>
                <w:kern w:val="2"/>
                <w:sz w:val="24"/>
                <w:szCs w:val="24"/>
                <w:highlight w:val="none"/>
                <w:lang w:eastAsia="zh-CN"/>
              </w:rPr>
              <w:t>、</w:t>
            </w:r>
            <w:r>
              <w:rPr>
                <w:rFonts w:hint="eastAsia" w:ascii="宋体" w:hAnsi="宋体"/>
                <w:color w:val="auto"/>
                <w:kern w:val="2"/>
                <w:sz w:val="24"/>
                <w:szCs w:val="24"/>
                <w:highlight w:val="none"/>
              </w:rPr>
              <w:t>广东省招标投标监管网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2030" w:type="dxa"/>
            <w:tcBorders>
              <w:right w:val="single" w:color="auto" w:sz="4" w:space="0"/>
            </w:tcBorders>
            <w:vAlign w:val="center"/>
          </w:tcPr>
          <w:p>
            <w:pPr>
              <w:pStyle w:val="6"/>
              <w:snapToGrid w:val="0"/>
              <w:spacing w:line="440" w:lineRule="exact"/>
              <w:ind w:left="-8"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合同签订</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招标人和中标人应当在投标有效期内并在自中标通知书发出之日起三十日内，按照招标文件和中标人的投标文件订立书面合同。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2030" w:type="dxa"/>
            <w:tcBorders>
              <w:right w:val="single" w:color="auto" w:sz="4" w:space="0"/>
            </w:tcBorders>
            <w:vAlign w:val="center"/>
          </w:tcPr>
          <w:p>
            <w:pPr>
              <w:pStyle w:val="6"/>
              <w:snapToGrid w:val="0"/>
              <w:spacing w:line="440" w:lineRule="exact"/>
              <w:ind w:left="-8"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未中标方案</w:t>
            </w:r>
          </w:p>
          <w:p>
            <w:pPr>
              <w:pStyle w:val="6"/>
              <w:snapToGrid w:val="0"/>
              <w:spacing w:line="440" w:lineRule="exact"/>
              <w:ind w:left="-8"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补偿</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2030" w:type="dxa"/>
            <w:tcBorders>
              <w:right w:val="single" w:color="auto" w:sz="4" w:space="0"/>
            </w:tcBorders>
            <w:vAlign w:val="center"/>
          </w:tcPr>
          <w:p>
            <w:pPr>
              <w:pStyle w:val="6"/>
              <w:snapToGrid w:val="0"/>
              <w:spacing w:line="440" w:lineRule="exact"/>
              <w:ind w:left="-8" w:leftChars="-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分包</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不允许：投标单位承诺中标后不得将本项目的</w:t>
            </w:r>
            <w:r>
              <w:rPr>
                <w:rFonts w:hint="eastAsia" w:ascii="宋体" w:hAnsi="宋体"/>
                <w:color w:val="auto"/>
                <w:kern w:val="2"/>
                <w:sz w:val="24"/>
                <w:szCs w:val="24"/>
                <w:highlight w:val="none"/>
                <w:lang w:eastAsia="zh-CN"/>
              </w:rPr>
              <w:t>勘察、</w:t>
            </w:r>
            <w:r>
              <w:rPr>
                <w:rFonts w:hint="eastAsia" w:ascii="宋体" w:hAnsi="宋体"/>
                <w:color w:val="auto"/>
                <w:kern w:val="2"/>
                <w:sz w:val="24"/>
                <w:szCs w:val="24"/>
                <w:highlight w:val="none"/>
              </w:rPr>
              <w:t>设计工作进行分包、转包或委托第三方实施。</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fldChar w:fldCharType="begin"/>
            </w:r>
            <w:r>
              <w:rPr>
                <w:rFonts w:hint="eastAsia" w:ascii="宋体" w:hAnsi="宋体"/>
                <w:color w:val="auto"/>
                <w:kern w:val="2"/>
                <w:sz w:val="24"/>
                <w:szCs w:val="24"/>
                <w:highlight w:val="none"/>
              </w:rPr>
              <w:instrText xml:space="preserve"> eq \o\ac(□,×)</w:instrText>
            </w:r>
            <w:r>
              <w:rPr>
                <w:rFonts w:hint="eastAsia" w:ascii="宋体" w:hAnsi="宋体"/>
                <w:color w:val="auto"/>
                <w:kern w:val="2"/>
                <w:sz w:val="24"/>
                <w:szCs w:val="24"/>
                <w:highlight w:val="none"/>
              </w:rPr>
              <w:fldChar w:fldCharType="end"/>
            </w:r>
            <w:r>
              <w:rPr>
                <w:rFonts w:hint="eastAsia" w:ascii="宋体" w:hAnsi="宋体"/>
                <w:color w:val="auto"/>
                <w:kern w:val="2"/>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2030" w:type="dxa"/>
            <w:tcBorders>
              <w:right w:val="single" w:color="auto" w:sz="4" w:space="0"/>
            </w:tcBorders>
            <w:vAlign w:val="center"/>
          </w:tcPr>
          <w:p>
            <w:pPr>
              <w:pStyle w:val="6"/>
              <w:snapToGrid w:val="0"/>
              <w:spacing w:line="440" w:lineRule="exact"/>
              <w:ind w:left="-8" w:leftChars="-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解释权</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rPr>
            </w:pPr>
            <w:r>
              <w:rPr>
                <w:rFonts w:hint="eastAsia" w:ascii="宋体" w:hAnsi="宋体"/>
                <w:color w:val="auto"/>
                <w:kern w:val="2"/>
                <w:sz w:val="24"/>
                <w:szCs w:val="24"/>
                <w:highlight w:val="none"/>
              </w:rPr>
              <w:t>构成本招标文件的各组成文件应互为解释，互为说明；如有不明确或不一致，构成合同文件的组成内容的，以合同文件约定内容为准，且以专用合同条款约定的合同文件优先顺序解释；仅使用于招标投标阶段的约定，按招标公告、投标须知、评标办法、投标文件格式的先后顺序解释，同一文件中就同一事项的约定不一致的，以逻辑顺序在后者为准；同一文件不同版本之间有不一致的，以形成时间在后者为准。按本款前述约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trPr>
        <w:tc>
          <w:tcPr>
            <w:tcW w:w="852" w:type="dxa"/>
            <w:tcBorders>
              <w:left w:val="single" w:color="auto" w:sz="8" w:space="0"/>
            </w:tcBorders>
            <w:vAlign w:val="center"/>
          </w:tcPr>
          <w:p>
            <w:pPr>
              <w:pStyle w:val="6"/>
              <w:numPr>
                <w:ilvl w:val="0"/>
                <w:numId w:val="0"/>
              </w:numPr>
              <w:snapToGrid w:val="0"/>
              <w:spacing w:line="44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2030" w:type="dxa"/>
            <w:tcBorders>
              <w:right w:val="single" w:color="auto" w:sz="4" w:space="0"/>
            </w:tcBorders>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投标费用</w:t>
            </w:r>
          </w:p>
        </w:tc>
        <w:tc>
          <w:tcPr>
            <w:tcW w:w="7076" w:type="dxa"/>
            <w:tcBorders>
              <w:left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val="en-US" w:eastAsia="zh-CN"/>
              </w:rPr>
            </w:pPr>
            <w:r>
              <w:rPr>
                <w:rFonts w:hint="default" w:ascii="宋体" w:hAnsi="宋体"/>
                <w:color w:val="auto"/>
                <w:kern w:val="2"/>
                <w:sz w:val="24"/>
                <w:szCs w:val="24"/>
                <w:highlight w:val="none"/>
                <w:lang w:val="en-US" w:eastAsia="zh-CN"/>
              </w:rPr>
              <w:t>①</w:t>
            </w:r>
            <w:r>
              <w:rPr>
                <w:rFonts w:hint="eastAsia" w:ascii="宋体" w:hAnsi="宋体"/>
                <w:color w:val="auto"/>
                <w:kern w:val="2"/>
                <w:sz w:val="24"/>
                <w:szCs w:val="24"/>
                <w:highlight w:val="none"/>
                <w:lang w:val="en-US" w:eastAsia="zh-CN"/>
              </w:rPr>
              <w:t>交易中心交易服务费，中标候选人公示结束后3日内由中标人支付。</w:t>
            </w:r>
          </w:p>
          <w:p>
            <w:pPr>
              <w:keepNext w:val="0"/>
              <w:keepLines w:val="0"/>
              <w:pageBreakBefore w:val="0"/>
              <w:kinsoku/>
              <w:wordWrap/>
              <w:overflowPunct/>
              <w:topLinePunct w:val="0"/>
              <w:autoSpaceDE/>
              <w:autoSpaceDN/>
              <w:bidi w:val="0"/>
              <w:adjustRightInd/>
              <w:spacing w:line="288" w:lineRule="auto"/>
              <w:jc w:val="left"/>
              <w:textAlignment w:val="auto"/>
              <w:rPr>
                <w:rFonts w:hint="eastAsia" w:ascii="宋体" w:hAnsi="宋体"/>
                <w:color w:val="auto"/>
                <w:kern w:val="2"/>
                <w:sz w:val="24"/>
                <w:szCs w:val="24"/>
                <w:highlight w:val="none"/>
                <w:lang w:val="en-US" w:eastAsia="zh-CN"/>
              </w:rPr>
            </w:pPr>
            <w:r>
              <w:rPr>
                <w:rFonts w:hint="eastAsia" w:ascii="宋体" w:hAnsi="宋体"/>
                <w:color w:val="auto"/>
                <w:kern w:val="2"/>
                <w:sz w:val="24"/>
                <w:szCs w:val="24"/>
                <w:highlight w:val="none"/>
                <w:lang w:val="en-US" w:eastAsia="zh-CN"/>
              </w:rPr>
              <w:t>②投标人应依据招标人提供的所有资料和自己对现场查勘来编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pPr>
              <w:pStyle w:val="6"/>
              <w:ind w:left="0" w:leftChars="0" w:firstLine="0" w:firstLineChars="0"/>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③</w:t>
            </w:r>
            <w:r>
              <w:rPr>
                <w:rFonts w:hint="eastAsia" w:ascii="宋体" w:hAnsi="宋体" w:eastAsia="宋体" w:cs="Times New Roman"/>
                <w:color w:val="auto"/>
                <w:kern w:val="2"/>
                <w:sz w:val="24"/>
                <w:szCs w:val="24"/>
                <w:highlight w:val="none"/>
                <w:lang w:val="en-US" w:eastAsia="zh-CN" w:bidi="ar-SA"/>
              </w:rPr>
              <w:t>招标代理服务费</w:t>
            </w:r>
          </w:p>
          <w:p>
            <w:pPr>
              <w:pStyle w:val="6"/>
              <w:ind w:left="0" w:leftChars="0" w:firstLine="0" w:firstLineChars="0"/>
              <w:rPr>
                <w:rFonts w:hint="eastAsia" w:ascii="宋体" w:hAnsi="宋体"/>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SA"/>
              </w:rPr>
              <w:t>根据本项目招标代理合同约定，本项目的招标代理服务费由中标人支付。中标人须在中标候选人公示期结束后、领取中标通知书前须向招标代理机构一次性支付招标代理服务费。</w:t>
            </w:r>
          </w:p>
        </w:tc>
      </w:tr>
    </w:tbl>
    <w:p>
      <w:pPr>
        <w:spacing w:line="500" w:lineRule="exact"/>
        <w:jc w:val="both"/>
        <w:rPr>
          <w:rFonts w:hint="eastAsia"/>
          <w:color w:val="auto"/>
          <w:sz w:val="32"/>
          <w:szCs w:val="32"/>
          <w:highlight w:val="none"/>
        </w:rPr>
      </w:pPr>
      <w:bookmarkStart w:id="7" w:name="_Toc382381107"/>
      <w:r>
        <w:rPr>
          <w:rFonts w:hint="eastAsia"/>
          <w:color w:val="auto"/>
          <w:sz w:val="32"/>
          <w:szCs w:val="32"/>
          <w:highlight w:val="none"/>
        </w:rPr>
        <w:br w:type="page"/>
      </w:r>
      <w:bookmarkEnd w:id="7"/>
    </w:p>
    <w:p>
      <w:pPr>
        <w:spacing w:line="500" w:lineRule="exact"/>
        <w:jc w:val="center"/>
        <w:outlineLvl w:val="9"/>
        <w:rPr>
          <w:rFonts w:hint="eastAsia" w:eastAsia="宋体"/>
          <w:b/>
          <w:bCs/>
          <w:color w:val="auto"/>
          <w:sz w:val="32"/>
          <w:szCs w:val="32"/>
          <w:highlight w:val="none"/>
          <w:lang w:val="en-US" w:eastAsia="zh-Hans"/>
        </w:rPr>
      </w:pPr>
      <w:r>
        <w:rPr>
          <w:rFonts w:hint="eastAsia"/>
          <w:b/>
          <w:bCs/>
          <w:color w:val="auto"/>
          <w:sz w:val="32"/>
          <w:szCs w:val="32"/>
          <w:highlight w:val="none"/>
          <w:lang w:val="en-US" w:eastAsia="zh-Hans"/>
        </w:rPr>
        <w:t>一</w:t>
      </w:r>
      <w:r>
        <w:rPr>
          <w:rFonts w:hint="default"/>
          <w:b/>
          <w:bCs/>
          <w:color w:val="auto"/>
          <w:sz w:val="32"/>
          <w:szCs w:val="32"/>
          <w:highlight w:val="none"/>
          <w:lang w:eastAsia="zh-Hans"/>
        </w:rPr>
        <w:t>、</w:t>
      </w:r>
      <w:r>
        <w:rPr>
          <w:rFonts w:hint="eastAsia"/>
          <w:b/>
          <w:bCs/>
          <w:color w:val="auto"/>
          <w:sz w:val="32"/>
          <w:szCs w:val="32"/>
          <w:highlight w:val="none"/>
          <w:lang w:val="en-US" w:eastAsia="zh-Hans"/>
        </w:rPr>
        <w:t>投标</w:t>
      </w:r>
      <w:r>
        <w:rPr>
          <w:rFonts w:hint="eastAsia"/>
          <w:b/>
          <w:bCs/>
          <w:color w:val="auto"/>
          <w:sz w:val="32"/>
          <w:szCs w:val="32"/>
          <w:highlight w:val="none"/>
          <w:lang w:val="en-US" w:eastAsia="zh-CN"/>
        </w:rPr>
        <w:t>人</w:t>
      </w:r>
      <w:r>
        <w:rPr>
          <w:rFonts w:hint="eastAsia"/>
          <w:b/>
          <w:bCs/>
          <w:color w:val="auto"/>
          <w:sz w:val="32"/>
          <w:szCs w:val="32"/>
          <w:highlight w:val="none"/>
          <w:lang w:val="en-US" w:eastAsia="zh-Hans"/>
        </w:rPr>
        <w:t>须知</w:t>
      </w:r>
    </w:p>
    <w:p>
      <w:pPr>
        <w:spacing w:line="500" w:lineRule="exact"/>
        <w:jc w:val="both"/>
        <w:rPr>
          <w:b/>
          <w:color w:val="auto"/>
          <w:sz w:val="28"/>
          <w:szCs w:val="28"/>
          <w:highlight w:val="none"/>
        </w:rPr>
      </w:pPr>
      <w:r>
        <w:rPr>
          <w:rFonts w:hint="eastAsia"/>
          <w:b/>
          <w:color w:val="auto"/>
          <w:sz w:val="28"/>
          <w:szCs w:val="28"/>
          <w:highlight w:val="none"/>
        </w:rPr>
        <w:t>1、总则</w:t>
      </w:r>
    </w:p>
    <w:p>
      <w:pPr>
        <w:spacing w:line="500" w:lineRule="exact"/>
        <w:rPr>
          <w:b/>
          <w:color w:val="auto"/>
          <w:sz w:val="28"/>
          <w:szCs w:val="28"/>
          <w:highlight w:val="none"/>
        </w:rPr>
      </w:pPr>
      <w:r>
        <w:rPr>
          <w:rFonts w:hint="eastAsia"/>
          <w:b/>
          <w:color w:val="auto"/>
          <w:sz w:val="28"/>
          <w:szCs w:val="28"/>
          <w:highlight w:val="none"/>
        </w:rPr>
        <w:t>1.1工程说明</w:t>
      </w:r>
    </w:p>
    <w:p>
      <w:pPr>
        <w:spacing w:line="500" w:lineRule="exact"/>
        <w:rPr>
          <w:color w:val="auto"/>
          <w:sz w:val="24"/>
          <w:szCs w:val="24"/>
          <w:highlight w:val="none"/>
        </w:rPr>
      </w:pPr>
      <w:r>
        <w:rPr>
          <w:rFonts w:hint="eastAsia"/>
          <w:color w:val="auto"/>
          <w:sz w:val="24"/>
          <w:szCs w:val="24"/>
          <w:highlight w:val="none"/>
        </w:rPr>
        <w:t>根据《中华人民共和国招标投标法》、《中华人民共和国招标投标法实施条例》、国家八部委第2号令《工程建设项目勘察、设计招标投标办法》等有关法律、法规和规章，通过公开招标方式选定设计单位。</w:t>
      </w:r>
    </w:p>
    <w:p>
      <w:pPr>
        <w:spacing w:line="500" w:lineRule="exact"/>
        <w:rPr>
          <w:color w:val="auto"/>
          <w:sz w:val="24"/>
          <w:szCs w:val="24"/>
          <w:highlight w:val="none"/>
        </w:rPr>
      </w:pPr>
      <w:r>
        <w:rPr>
          <w:rFonts w:hint="eastAsia"/>
          <w:color w:val="auto"/>
          <w:sz w:val="24"/>
          <w:szCs w:val="24"/>
          <w:highlight w:val="none"/>
        </w:rPr>
        <w:t>1.1.1招标项目工程说明及要求：详见投标须知前附表。</w:t>
      </w:r>
    </w:p>
    <w:p>
      <w:pPr>
        <w:tabs>
          <w:tab w:val="left" w:pos="1800"/>
        </w:tabs>
        <w:spacing w:line="500" w:lineRule="exact"/>
        <w:ind w:left="480" w:hanging="480" w:hangingChars="200"/>
        <w:rPr>
          <w:color w:val="auto"/>
          <w:sz w:val="24"/>
          <w:szCs w:val="24"/>
          <w:highlight w:val="none"/>
        </w:rPr>
      </w:pPr>
      <w:r>
        <w:rPr>
          <w:rFonts w:hint="eastAsia"/>
          <w:color w:val="auto"/>
          <w:sz w:val="24"/>
          <w:szCs w:val="24"/>
          <w:highlight w:val="none"/>
        </w:rPr>
        <w:t>1.1.2中标人原则上应承担中标后后续阶段设计和服务工作，包括但不限于施工图设计</w:t>
      </w:r>
    </w:p>
    <w:p>
      <w:pPr>
        <w:tabs>
          <w:tab w:val="left" w:pos="1800"/>
        </w:tabs>
        <w:spacing w:line="500" w:lineRule="exact"/>
        <w:ind w:left="480" w:hanging="480" w:hangingChars="200"/>
        <w:rPr>
          <w:color w:val="auto"/>
          <w:sz w:val="24"/>
          <w:szCs w:val="24"/>
          <w:highlight w:val="none"/>
        </w:rPr>
      </w:pPr>
      <w:r>
        <w:rPr>
          <w:rFonts w:hint="eastAsia"/>
          <w:color w:val="auto"/>
          <w:sz w:val="24"/>
          <w:szCs w:val="24"/>
          <w:highlight w:val="none"/>
        </w:rPr>
        <w:t>等及施工现场指导与配合服务</w:t>
      </w:r>
      <w:r>
        <w:rPr>
          <w:rFonts w:hint="eastAsia" w:ascii="宋体" w:hAnsi="宋体" w:cs="宋体"/>
          <w:bCs/>
          <w:color w:val="auto"/>
          <w:sz w:val="24"/>
          <w:szCs w:val="24"/>
          <w:highlight w:val="none"/>
        </w:rPr>
        <w:t>。</w:t>
      </w:r>
    </w:p>
    <w:p>
      <w:pPr>
        <w:spacing w:line="500" w:lineRule="exact"/>
        <w:rPr>
          <w:b/>
          <w:color w:val="auto"/>
          <w:sz w:val="28"/>
          <w:szCs w:val="28"/>
          <w:highlight w:val="none"/>
        </w:rPr>
      </w:pPr>
      <w:r>
        <w:rPr>
          <w:rFonts w:hint="eastAsia"/>
          <w:b/>
          <w:color w:val="auto"/>
          <w:sz w:val="28"/>
          <w:szCs w:val="28"/>
          <w:highlight w:val="none"/>
        </w:rPr>
        <w:t>1.2、资格审查方式</w:t>
      </w:r>
    </w:p>
    <w:p>
      <w:pPr>
        <w:spacing w:line="500" w:lineRule="exact"/>
        <w:rPr>
          <w:color w:val="auto"/>
          <w:sz w:val="24"/>
          <w:szCs w:val="24"/>
          <w:highlight w:val="none"/>
        </w:rPr>
      </w:pPr>
      <w:r>
        <w:rPr>
          <w:rFonts w:hint="eastAsia"/>
          <w:color w:val="auto"/>
          <w:sz w:val="24"/>
          <w:szCs w:val="24"/>
          <w:highlight w:val="none"/>
        </w:rPr>
        <w:t>1.2.1本招标项目招标人对投标申请人的资格审查采用的方式见投标须知前附表第10项。</w:t>
      </w:r>
    </w:p>
    <w:p>
      <w:pPr>
        <w:spacing w:line="500" w:lineRule="exact"/>
        <w:rPr>
          <w:color w:val="auto"/>
          <w:sz w:val="24"/>
          <w:szCs w:val="24"/>
          <w:highlight w:val="none"/>
        </w:rPr>
      </w:pPr>
      <w:r>
        <w:rPr>
          <w:rFonts w:hint="eastAsia"/>
          <w:color w:val="auto"/>
          <w:sz w:val="24"/>
          <w:szCs w:val="24"/>
          <w:highlight w:val="none"/>
        </w:rPr>
        <w:t>1.2.2 经资格审查合格的投标申请人才能成为投标人。</w:t>
      </w:r>
    </w:p>
    <w:p>
      <w:pPr>
        <w:spacing w:line="500" w:lineRule="exact"/>
        <w:rPr>
          <w:b/>
          <w:color w:val="auto"/>
          <w:sz w:val="28"/>
          <w:szCs w:val="28"/>
          <w:highlight w:val="none"/>
        </w:rPr>
      </w:pPr>
      <w:r>
        <w:rPr>
          <w:rFonts w:hint="eastAsia"/>
          <w:b/>
          <w:color w:val="auto"/>
          <w:sz w:val="28"/>
          <w:szCs w:val="28"/>
          <w:highlight w:val="none"/>
        </w:rPr>
        <w:t>1.3、投标人的资格要求</w:t>
      </w:r>
    </w:p>
    <w:p>
      <w:pPr>
        <w:spacing w:line="500" w:lineRule="exact"/>
        <w:rPr>
          <w:color w:val="auto"/>
          <w:sz w:val="24"/>
          <w:szCs w:val="24"/>
          <w:highlight w:val="none"/>
        </w:rPr>
      </w:pPr>
      <w:r>
        <w:rPr>
          <w:rFonts w:hint="eastAsia"/>
          <w:color w:val="auto"/>
          <w:sz w:val="24"/>
          <w:szCs w:val="24"/>
          <w:highlight w:val="none"/>
        </w:rPr>
        <w:t>投标人的资格要求见投标须知前附表第11项。</w:t>
      </w:r>
    </w:p>
    <w:p>
      <w:pPr>
        <w:spacing w:line="500" w:lineRule="exact"/>
        <w:rPr>
          <w:b/>
          <w:color w:val="auto"/>
          <w:sz w:val="28"/>
          <w:szCs w:val="28"/>
          <w:highlight w:val="none"/>
        </w:rPr>
      </w:pPr>
      <w:r>
        <w:rPr>
          <w:rFonts w:hint="eastAsia"/>
          <w:b/>
          <w:color w:val="auto"/>
          <w:sz w:val="28"/>
          <w:szCs w:val="28"/>
          <w:highlight w:val="none"/>
        </w:rPr>
        <w:t>1.4、投标费用</w:t>
      </w:r>
    </w:p>
    <w:p>
      <w:pPr>
        <w:spacing w:line="500" w:lineRule="exact"/>
        <w:rPr>
          <w:color w:val="auto"/>
          <w:sz w:val="24"/>
          <w:szCs w:val="24"/>
          <w:highlight w:val="none"/>
        </w:rPr>
      </w:pPr>
      <w:r>
        <w:rPr>
          <w:rFonts w:hint="eastAsia"/>
          <w:color w:val="auto"/>
          <w:sz w:val="24"/>
          <w:szCs w:val="24"/>
          <w:highlight w:val="none"/>
        </w:rPr>
        <w:t>投标人应承担己方投标文件编制与递交等参加本招标活动所涉及的一切费用。</w:t>
      </w:r>
    </w:p>
    <w:p>
      <w:pPr>
        <w:spacing w:line="500" w:lineRule="exact"/>
        <w:rPr>
          <w:b/>
          <w:color w:val="auto"/>
          <w:sz w:val="28"/>
          <w:szCs w:val="28"/>
          <w:highlight w:val="none"/>
        </w:rPr>
      </w:pPr>
      <w:r>
        <w:rPr>
          <w:rFonts w:hint="eastAsia"/>
          <w:b/>
          <w:color w:val="auto"/>
          <w:sz w:val="28"/>
          <w:szCs w:val="28"/>
          <w:highlight w:val="none"/>
        </w:rPr>
        <w:t>1.5、踏勘现场</w:t>
      </w:r>
    </w:p>
    <w:p>
      <w:pPr>
        <w:spacing w:line="500" w:lineRule="exact"/>
        <w:rPr>
          <w:color w:val="auto"/>
          <w:sz w:val="24"/>
          <w:szCs w:val="24"/>
          <w:highlight w:val="none"/>
        </w:rPr>
      </w:pPr>
      <w:r>
        <w:rPr>
          <w:rFonts w:hint="eastAsia"/>
          <w:color w:val="auto"/>
          <w:sz w:val="24"/>
          <w:szCs w:val="24"/>
          <w:highlight w:val="none"/>
        </w:rPr>
        <w:t>1.5.1本工程不组织现场勘察，如有需要</w:t>
      </w:r>
      <w:r>
        <w:rPr>
          <w:rFonts w:hint="eastAsia"/>
          <w:color w:val="auto"/>
          <w:sz w:val="24"/>
          <w:szCs w:val="24"/>
          <w:highlight w:val="none"/>
          <w:lang w:eastAsia="zh-CN"/>
        </w:rPr>
        <w:t>，</w:t>
      </w:r>
      <w:r>
        <w:rPr>
          <w:rFonts w:hint="eastAsia"/>
          <w:color w:val="auto"/>
          <w:sz w:val="24"/>
          <w:szCs w:val="24"/>
          <w:highlight w:val="none"/>
        </w:rPr>
        <w:t>投标人可自行与招标人联系对现场及其周围环境进行考察。</w:t>
      </w:r>
    </w:p>
    <w:p>
      <w:pPr>
        <w:spacing w:line="500" w:lineRule="exact"/>
        <w:rPr>
          <w:color w:val="auto"/>
          <w:sz w:val="24"/>
          <w:szCs w:val="24"/>
          <w:highlight w:val="none"/>
        </w:rPr>
      </w:pPr>
      <w:r>
        <w:rPr>
          <w:rFonts w:hint="eastAsia"/>
          <w:color w:val="auto"/>
          <w:sz w:val="24"/>
          <w:szCs w:val="24"/>
          <w:highlight w:val="none"/>
        </w:rPr>
        <w:t>1.5.2投标人自行与招标人联系对现场及其周围环境进行考察，以便投标人获取有关编制投标文件和签署合同所涉及现场的资料。投标人承担踏勘现场所发生的自身费用。</w:t>
      </w:r>
    </w:p>
    <w:p>
      <w:pPr>
        <w:spacing w:line="500" w:lineRule="exact"/>
        <w:rPr>
          <w:color w:val="auto"/>
          <w:sz w:val="24"/>
          <w:szCs w:val="24"/>
          <w:highlight w:val="none"/>
        </w:rPr>
      </w:pPr>
      <w:r>
        <w:rPr>
          <w:rFonts w:hint="eastAsia"/>
          <w:color w:val="auto"/>
          <w:sz w:val="24"/>
          <w:szCs w:val="24"/>
          <w:highlight w:val="none"/>
        </w:rPr>
        <w:t>1.5.3 招标人向投标人提供的有关现场的数据和资料，是招标人现有的能被投标人利用的资料，招标人对投标人做出的任何推论、理解和结论均不负责任。</w:t>
      </w:r>
    </w:p>
    <w:p>
      <w:pPr>
        <w:spacing w:line="500" w:lineRule="exact"/>
        <w:rPr>
          <w:b/>
          <w:color w:val="auto"/>
          <w:sz w:val="28"/>
          <w:szCs w:val="28"/>
          <w:highlight w:val="none"/>
        </w:rPr>
      </w:pPr>
      <w:r>
        <w:rPr>
          <w:rFonts w:hint="eastAsia"/>
          <w:b/>
          <w:color w:val="auto"/>
          <w:sz w:val="28"/>
          <w:szCs w:val="28"/>
          <w:highlight w:val="none"/>
        </w:rPr>
        <w:t>1.6、知识产权</w:t>
      </w:r>
    </w:p>
    <w:p>
      <w:pPr>
        <w:spacing w:line="500" w:lineRule="exact"/>
        <w:rPr>
          <w:color w:val="auto"/>
          <w:sz w:val="24"/>
          <w:szCs w:val="24"/>
          <w:highlight w:val="none"/>
        </w:rPr>
      </w:pPr>
      <w:r>
        <w:rPr>
          <w:rFonts w:hint="eastAsia"/>
          <w:color w:val="auto"/>
          <w:sz w:val="24"/>
          <w:szCs w:val="24"/>
          <w:highlight w:val="none"/>
        </w:rPr>
        <w:t>1.6.1投标人拥有设计方案的著作权（版权）。未经投标人书面同意，招标人不得将交付的设计方案向第三方转让或用于本招标范围以外的其他建设项目。</w:t>
      </w:r>
    </w:p>
    <w:p>
      <w:pPr>
        <w:spacing w:line="500" w:lineRule="exact"/>
        <w:rPr>
          <w:color w:val="auto"/>
          <w:sz w:val="24"/>
          <w:szCs w:val="24"/>
          <w:highlight w:val="none"/>
        </w:rPr>
      </w:pPr>
      <w:r>
        <w:rPr>
          <w:rFonts w:hint="eastAsia"/>
          <w:color w:val="auto"/>
          <w:sz w:val="24"/>
          <w:szCs w:val="24"/>
          <w:highlight w:val="none"/>
        </w:rPr>
        <w:t>1.6.2招标人与中标人签署设计合同后，招标人在该建设项目中拥有中标方案的使用权。中标人应保护招标人一旦使用其设计方案不能受到来自第三方的侵权诉讼或索赔，否则中标人应承担由此而产生的一切责任。</w:t>
      </w:r>
    </w:p>
    <w:p>
      <w:pPr>
        <w:spacing w:line="500" w:lineRule="exact"/>
        <w:rPr>
          <w:color w:val="auto"/>
          <w:sz w:val="24"/>
          <w:szCs w:val="24"/>
          <w:highlight w:val="none"/>
        </w:rPr>
      </w:pPr>
      <w:r>
        <w:rPr>
          <w:rFonts w:hint="eastAsia"/>
          <w:color w:val="auto"/>
          <w:sz w:val="24"/>
          <w:szCs w:val="24"/>
          <w:highlight w:val="none"/>
        </w:rPr>
        <w:t>1.6.3招标人或者中标人使用其他未中标人投标文件中的技术成果或技术方案的，应当事先征得该投标人的书面同意，并按规定支付使用费。未经相关投标人书面许可，招标人或者中标人不得擅自使用其他投标人投标文件中的技术成果或技术方案。</w:t>
      </w:r>
    </w:p>
    <w:p>
      <w:pPr>
        <w:spacing w:line="500" w:lineRule="exact"/>
        <w:rPr>
          <w:color w:val="auto"/>
          <w:sz w:val="24"/>
          <w:szCs w:val="24"/>
          <w:highlight w:val="none"/>
        </w:rPr>
      </w:pPr>
      <w:r>
        <w:rPr>
          <w:rFonts w:hint="eastAsia"/>
          <w:color w:val="auto"/>
          <w:sz w:val="24"/>
          <w:szCs w:val="24"/>
          <w:highlight w:val="none"/>
        </w:rPr>
        <w:t>1.6.4招标人按投标须知</w:t>
      </w:r>
      <w:r>
        <w:rPr>
          <w:rFonts w:hint="eastAsia"/>
          <w:color w:val="auto"/>
          <w:sz w:val="24"/>
          <w:szCs w:val="24"/>
          <w:highlight w:val="none"/>
          <w:lang w:val="en-US" w:eastAsia="zh-CN"/>
        </w:rPr>
        <w:t>相关</w:t>
      </w:r>
      <w:r>
        <w:rPr>
          <w:rFonts w:hint="eastAsia"/>
          <w:color w:val="auto"/>
          <w:sz w:val="24"/>
          <w:szCs w:val="24"/>
          <w:highlight w:val="none"/>
        </w:rPr>
        <w:t>规定给予未中标的投标人经济补偿后，有权部分采用该投标人的设计方案对中标设计方案进行优化，该未中标的投标人应保证招标人采用其投标设计不受到第三方关于侵犯设计权的指控，任何第三方如果提出侵权指控，该投标人应与第三方交涉，承担可能发生的一切法律责任、后果和费用，并赔偿招标人的损失。</w:t>
      </w:r>
    </w:p>
    <w:p>
      <w:pPr>
        <w:spacing w:line="500" w:lineRule="exact"/>
        <w:rPr>
          <w:rFonts w:asciiTheme="minorEastAsia" w:hAnsiTheme="minorEastAsia" w:eastAsiaTheme="minorEastAsia"/>
          <w:b/>
          <w:bCs/>
          <w:color w:val="auto"/>
          <w:sz w:val="32"/>
          <w:szCs w:val="32"/>
          <w:highlight w:val="none"/>
        </w:rPr>
      </w:pPr>
      <w:bookmarkStart w:id="8" w:name="_Toc376715927"/>
      <w:bookmarkStart w:id="9" w:name="_Toc11941097"/>
      <w:bookmarkStart w:id="10" w:name="_Toc376722698"/>
      <w:bookmarkStart w:id="11" w:name="_Toc376722613"/>
      <w:bookmarkStart w:id="12" w:name="_Toc247527567"/>
      <w:bookmarkStart w:id="13" w:name="_Toc376813721"/>
      <w:bookmarkStart w:id="14" w:name="_Toc152042318"/>
      <w:bookmarkStart w:id="15" w:name="_Toc376814065"/>
      <w:bookmarkStart w:id="16" w:name="_Toc367880312"/>
      <w:bookmarkStart w:id="17" w:name="_Toc247513966"/>
      <w:bookmarkStart w:id="18" w:name="_Toc152045542"/>
      <w:bookmarkStart w:id="19" w:name="_Toc144974510"/>
      <w:bookmarkStart w:id="20" w:name="_Toc376722782"/>
      <w:bookmarkStart w:id="21" w:name="_Toc394435776"/>
      <w:bookmarkStart w:id="22" w:name="_Toc394248455"/>
      <w:r>
        <w:rPr>
          <w:rFonts w:hint="eastAsia" w:asciiTheme="minorEastAsia" w:hAnsiTheme="minorEastAsia" w:eastAsiaTheme="minorEastAsia"/>
          <w:b/>
          <w:color w:val="auto"/>
          <w:sz w:val="32"/>
          <w:szCs w:val="32"/>
          <w:highlight w:val="none"/>
        </w:rPr>
        <w:t>2. 招标文件</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500" w:lineRule="exact"/>
        <w:rPr>
          <w:b/>
          <w:color w:val="auto"/>
          <w:sz w:val="28"/>
          <w:szCs w:val="28"/>
          <w:highlight w:val="none"/>
        </w:rPr>
      </w:pPr>
      <w:bookmarkStart w:id="23" w:name="_Toc376722699"/>
      <w:bookmarkStart w:id="24" w:name="_Toc394435777"/>
      <w:bookmarkStart w:id="25" w:name="_Toc367880313"/>
      <w:bookmarkStart w:id="26" w:name="_Toc11941098"/>
      <w:bookmarkStart w:id="27" w:name="_Toc394248456"/>
      <w:bookmarkStart w:id="28" w:name="_Toc376722614"/>
      <w:bookmarkStart w:id="29" w:name="_Toc376722783"/>
      <w:bookmarkStart w:id="30" w:name="_Toc376715928"/>
      <w:bookmarkStart w:id="31" w:name="_Toc376813722"/>
      <w:bookmarkStart w:id="32" w:name="_Toc152042319"/>
      <w:bookmarkStart w:id="33" w:name="_Toc247527568"/>
      <w:bookmarkStart w:id="34" w:name="_Toc247513967"/>
      <w:bookmarkStart w:id="35" w:name="_Toc144974511"/>
      <w:bookmarkStart w:id="36" w:name="_Toc376814066"/>
      <w:bookmarkStart w:id="37" w:name="_Toc152045543"/>
      <w:r>
        <w:rPr>
          <w:rFonts w:hint="eastAsia"/>
          <w:b/>
          <w:color w:val="auto"/>
          <w:sz w:val="28"/>
          <w:szCs w:val="28"/>
          <w:highlight w:val="none"/>
        </w:rPr>
        <w:t>2.1 招标文件的组成</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500" w:lineRule="exact"/>
        <w:rPr>
          <w:color w:val="auto"/>
          <w:sz w:val="24"/>
          <w:highlight w:val="none"/>
        </w:rPr>
      </w:pPr>
      <w:r>
        <w:rPr>
          <w:rFonts w:hint="eastAsia"/>
          <w:color w:val="auto"/>
          <w:sz w:val="24"/>
          <w:highlight w:val="none"/>
        </w:rPr>
        <w:t>　　本招标文件包括：</w:t>
      </w:r>
    </w:p>
    <w:p>
      <w:pPr>
        <w:spacing w:line="500" w:lineRule="exact"/>
        <w:ind w:firstLine="480" w:firstLineChars="200"/>
        <w:rPr>
          <w:color w:val="auto"/>
          <w:sz w:val="24"/>
          <w:highlight w:val="none"/>
        </w:rPr>
      </w:pPr>
      <w:r>
        <w:rPr>
          <w:rFonts w:hint="eastAsia"/>
          <w:color w:val="auto"/>
          <w:sz w:val="24"/>
          <w:highlight w:val="none"/>
        </w:rPr>
        <w:t>（1）招标公告；</w:t>
      </w:r>
    </w:p>
    <w:p>
      <w:pPr>
        <w:spacing w:line="500" w:lineRule="exact"/>
        <w:ind w:firstLine="480" w:firstLineChars="200"/>
        <w:rPr>
          <w:color w:val="auto"/>
          <w:sz w:val="24"/>
          <w:highlight w:val="none"/>
        </w:rPr>
      </w:pPr>
      <w:r>
        <w:rPr>
          <w:rFonts w:hint="eastAsia"/>
          <w:color w:val="auto"/>
          <w:sz w:val="24"/>
          <w:highlight w:val="none"/>
        </w:rPr>
        <w:t>（2）</w:t>
      </w:r>
      <w:r>
        <w:rPr>
          <w:rFonts w:hint="eastAsia" w:ascii="宋体" w:hAnsi="宋体"/>
          <w:color w:val="auto"/>
          <w:sz w:val="24"/>
          <w:szCs w:val="24"/>
          <w:highlight w:val="none"/>
        </w:rPr>
        <w:t>投标须知前附表及</w:t>
      </w:r>
      <w:r>
        <w:rPr>
          <w:rFonts w:hint="eastAsia"/>
          <w:color w:val="auto"/>
          <w:sz w:val="24"/>
          <w:highlight w:val="none"/>
        </w:rPr>
        <w:t>投标人须知；</w:t>
      </w:r>
    </w:p>
    <w:p>
      <w:pPr>
        <w:spacing w:line="500" w:lineRule="exact"/>
        <w:ind w:firstLine="480" w:firstLineChars="200"/>
        <w:rPr>
          <w:color w:val="auto"/>
          <w:sz w:val="24"/>
          <w:highlight w:val="none"/>
        </w:rPr>
      </w:pPr>
      <w:r>
        <w:rPr>
          <w:rFonts w:hint="eastAsia"/>
          <w:color w:val="auto"/>
          <w:sz w:val="24"/>
          <w:highlight w:val="none"/>
        </w:rPr>
        <w:t>（3）</w:t>
      </w:r>
      <w:r>
        <w:rPr>
          <w:rFonts w:hint="eastAsia" w:ascii="宋体" w:hAnsi="宋体"/>
          <w:color w:val="auto"/>
          <w:sz w:val="24"/>
          <w:szCs w:val="24"/>
          <w:highlight w:val="none"/>
        </w:rPr>
        <w:t>评标办法和标准</w:t>
      </w:r>
      <w:r>
        <w:rPr>
          <w:rFonts w:hint="eastAsia"/>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（4）合同条款；</w:t>
      </w:r>
    </w:p>
    <w:p>
      <w:pPr>
        <w:spacing w:line="500" w:lineRule="exact"/>
        <w:ind w:firstLine="480" w:firstLineChars="200"/>
        <w:rPr>
          <w:rFonts w:ascii="宋体" w:hAnsi="宋体"/>
          <w:color w:val="auto"/>
          <w:sz w:val="24"/>
          <w:szCs w:val="24"/>
          <w:highlight w:val="none"/>
        </w:rPr>
      </w:pPr>
      <w:r>
        <w:rPr>
          <w:rFonts w:hint="eastAsia"/>
          <w:color w:val="auto"/>
          <w:sz w:val="24"/>
          <w:highlight w:val="none"/>
        </w:rPr>
        <w:t>（5）</w:t>
      </w:r>
      <w:r>
        <w:rPr>
          <w:rFonts w:hint="eastAsia" w:ascii="宋体" w:hAnsi="宋体"/>
          <w:color w:val="auto"/>
          <w:sz w:val="24"/>
          <w:szCs w:val="24"/>
          <w:highlight w:val="none"/>
        </w:rPr>
        <w:t>技术标准和设计任务书</w:t>
      </w:r>
    </w:p>
    <w:p>
      <w:pPr>
        <w:spacing w:line="500" w:lineRule="exact"/>
        <w:ind w:firstLine="480" w:firstLineChars="200"/>
        <w:rPr>
          <w:color w:val="auto"/>
          <w:sz w:val="24"/>
          <w:highlight w:val="none"/>
        </w:rPr>
      </w:pPr>
      <w:r>
        <w:rPr>
          <w:rFonts w:hint="eastAsia" w:ascii="宋体" w:hAnsi="宋体"/>
          <w:color w:val="auto"/>
          <w:sz w:val="24"/>
          <w:szCs w:val="24"/>
          <w:highlight w:val="none"/>
        </w:rPr>
        <w:t>（6）设计有关资料</w:t>
      </w:r>
    </w:p>
    <w:p>
      <w:pPr>
        <w:spacing w:line="500" w:lineRule="exact"/>
        <w:ind w:firstLine="480" w:firstLineChars="200"/>
        <w:rPr>
          <w:color w:val="auto"/>
          <w:sz w:val="24"/>
          <w:highlight w:val="none"/>
        </w:rPr>
      </w:pPr>
      <w:r>
        <w:rPr>
          <w:rFonts w:hint="eastAsia"/>
          <w:color w:val="auto"/>
          <w:sz w:val="24"/>
          <w:highlight w:val="none"/>
        </w:rPr>
        <w:t>（7）投标文件格式；</w:t>
      </w:r>
    </w:p>
    <w:p>
      <w:pPr>
        <w:spacing w:line="500" w:lineRule="exact"/>
        <w:ind w:firstLine="480" w:firstLineChars="200"/>
        <w:rPr>
          <w:color w:val="auto"/>
          <w:sz w:val="24"/>
          <w:highlight w:val="none"/>
        </w:rPr>
      </w:pPr>
      <w:r>
        <w:rPr>
          <w:rFonts w:hint="eastAsia"/>
          <w:color w:val="auto"/>
          <w:sz w:val="24"/>
          <w:highlight w:val="none"/>
        </w:rPr>
        <w:t>除本投标须知第2.1款所述的招标文件内容外，招标人在招标期间、符合法定时间发出的答疑、澄清、修改或补充内容，均是招标文件的组成部分，对招标人和投标人起约束作用。</w:t>
      </w:r>
    </w:p>
    <w:p>
      <w:pPr>
        <w:spacing w:line="500" w:lineRule="exact"/>
        <w:rPr>
          <w:b/>
          <w:color w:val="auto"/>
          <w:sz w:val="28"/>
          <w:szCs w:val="28"/>
          <w:highlight w:val="none"/>
        </w:rPr>
      </w:pPr>
      <w:bookmarkStart w:id="38" w:name="_Toc152042320"/>
      <w:bookmarkStart w:id="39" w:name="_Toc247527569"/>
      <w:bookmarkStart w:id="40" w:name="_Toc376722615"/>
      <w:bookmarkStart w:id="41" w:name="_Toc376813723"/>
      <w:bookmarkStart w:id="42" w:name="_Toc394435778"/>
      <w:bookmarkStart w:id="43" w:name="_Toc11941099"/>
      <w:bookmarkStart w:id="44" w:name="_Toc394248457"/>
      <w:bookmarkStart w:id="45" w:name="_Toc376715929"/>
      <w:bookmarkStart w:id="46" w:name="_Toc152045544"/>
      <w:bookmarkStart w:id="47" w:name="_Toc376814067"/>
      <w:bookmarkStart w:id="48" w:name="_Toc376722700"/>
      <w:bookmarkStart w:id="49" w:name="_Toc144974512"/>
      <w:bookmarkStart w:id="50" w:name="_Toc376722784"/>
      <w:bookmarkStart w:id="51" w:name="_Toc367880314"/>
      <w:bookmarkStart w:id="52" w:name="_Toc247513968"/>
      <w:r>
        <w:rPr>
          <w:rFonts w:hint="eastAsia"/>
          <w:b/>
          <w:color w:val="auto"/>
          <w:sz w:val="28"/>
          <w:szCs w:val="28"/>
          <w:highlight w:val="none"/>
        </w:rPr>
        <w:t>2.2 招标文件的澄清</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highlight w:val="none"/>
        </w:rPr>
      </w:pPr>
      <w:bookmarkStart w:id="53" w:name="_Toc376813725"/>
      <w:bookmarkStart w:id="54" w:name="_Toc144974514"/>
      <w:bookmarkStart w:id="55" w:name="_Toc247527571"/>
      <w:bookmarkStart w:id="56" w:name="_Toc152045546"/>
      <w:bookmarkStart w:id="57" w:name="_Toc247513970"/>
      <w:bookmarkStart w:id="58" w:name="_Toc376722786"/>
      <w:bookmarkStart w:id="59" w:name="_Toc394435780"/>
      <w:bookmarkStart w:id="60" w:name="_Toc367880316"/>
      <w:bookmarkStart w:id="61" w:name="_Toc376814069"/>
      <w:bookmarkStart w:id="62" w:name="_Toc376722702"/>
      <w:bookmarkStart w:id="63" w:name="_Toc376715931"/>
      <w:bookmarkStart w:id="64" w:name="_Toc394248459"/>
      <w:bookmarkStart w:id="65" w:name="_Toc152042322"/>
      <w:bookmarkStart w:id="66" w:name="_Toc11941101"/>
      <w:bookmarkStart w:id="67" w:name="_Toc376722617"/>
      <w:r>
        <w:rPr>
          <w:rFonts w:hint="eastAsia" w:cs="宋体" w:asciiTheme="minorEastAsia" w:hAnsiTheme="minorEastAsia" w:eastAsiaTheme="minorEastAsia"/>
          <w:color w:val="auto"/>
          <w:kern w:val="2"/>
          <w:sz w:val="24"/>
          <w:szCs w:val="24"/>
          <w:highlight w:val="none"/>
        </w:rPr>
        <w:t>2.2.1投标人应仔细阅读和检查招标文件的全部内容。如发现缺页或附件不全及其他投标人认为需要澄清的情况，应在投标须知前附表规定的时间前以署名的方式向招标人提出，要求招标人对招标文件予以澄清。</w:t>
      </w:r>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2.2.2招标文件解释权利归招标人和招标代理机构，招标文件解释顺序按照发出时间的逆反顺序。</w:t>
      </w:r>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2.2.3招标答疑采用网上答疑方式进行。投标人若对招标文件(包括招标控制价)有疑问的，可在规定的时间内通过广州公共资源交易中心网站将问题提交给招标人或招标代理人，提交问题时一律不得署名。</w:t>
      </w:r>
    </w:p>
    <w:p>
      <w:pPr>
        <w:adjustRightInd/>
        <w:spacing w:line="500" w:lineRule="exact"/>
        <w:ind w:left="-2" w:leftChars="-1" w:right="-42" w:rightChars="-21" w:firstLine="480" w:firstLineChars="200"/>
        <w:textAlignment w:val="auto"/>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2.2.4招标答疑纪要一经在广州公共资源交易中心网站发布，视作已发放给所有投标人。</w:t>
      </w:r>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2.2.5招标答疑纪要为招标文件的一部分。投标人可在广州公共资源交易中心网站浏览、下载招标答疑纪要。</w:t>
      </w:r>
    </w:p>
    <w:p>
      <w:pPr>
        <w:spacing w:line="500" w:lineRule="exact"/>
        <w:ind w:firstLine="360" w:firstLineChars="150"/>
        <w:rPr>
          <w:rFonts w:hint="eastAsia"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2.2.6若招标答疑纪要与招标文件有矛盾时，以广州公共资源交易中心网站最后发布的答疑纪要为准。</w:t>
      </w:r>
    </w:p>
    <w:p>
      <w:pPr>
        <w:pStyle w:val="2"/>
        <w:rPr>
          <w:color w:val="auto"/>
        </w:rPr>
      </w:pPr>
    </w:p>
    <w:p>
      <w:pPr>
        <w:spacing w:line="500" w:lineRule="exact"/>
        <w:ind w:firstLine="354" w:firstLineChars="147"/>
        <w:rPr>
          <w:rFonts w:asciiTheme="minorEastAsia" w:hAnsiTheme="minorEastAsia" w:eastAsiaTheme="minorEastAsia"/>
          <w:b/>
          <w:color w:val="auto"/>
          <w:sz w:val="24"/>
          <w:szCs w:val="24"/>
          <w:highlight w:val="none"/>
        </w:rPr>
      </w:pPr>
      <w:bookmarkStart w:id="68" w:name="_Toc144974513"/>
      <w:bookmarkStart w:id="69" w:name="_Toc376722785"/>
      <w:bookmarkStart w:id="70" w:name="_Toc376813724"/>
      <w:bookmarkStart w:id="71" w:name="_Toc152042321"/>
      <w:bookmarkStart w:id="72" w:name="_Toc11941100"/>
      <w:bookmarkStart w:id="73" w:name="_Toc247527570"/>
      <w:bookmarkStart w:id="74" w:name="_Toc376715930"/>
      <w:bookmarkStart w:id="75" w:name="_Toc247513969"/>
      <w:bookmarkStart w:id="76" w:name="_Toc376722616"/>
      <w:bookmarkStart w:id="77" w:name="_Toc394248458"/>
      <w:bookmarkStart w:id="78" w:name="_Toc152045545"/>
      <w:bookmarkStart w:id="79" w:name="_Toc376722701"/>
      <w:bookmarkStart w:id="80" w:name="_Toc394435779"/>
      <w:bookmarkStart w:id="81" w:name="_Toc376814068"/>
      <w:bookmarkStart w:id="82" w:name="_Toc367880315"/>
      <w:r>
        <w:rPr>
          <w:rFonts w:hint="eastAsia" w:asciiTheme="minorEastAsia" w:hAnsiTheme="minorEastAsia" w:eastAsiaTheme="minorEastAsia"/>
          <w:b/>
          <w:color w:val="auto"/>
          <w:sz w:val="24"/>
          <w:szCs w:val="24"/>
          <w:highlight w:val="none"/>
        </w:rPr>
        <w:t>2.3 招标文件的修改</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Theme="minorEastAsia" w:hAnsiTheme="minorEastAsia" w:eastAsiaTheme="minorEastAsia"/>
          <w:b/>
          <w:color w:val="auto"/>
          <w:sz w:val="24"/>
          <w:szCs w:val="24"/>
          <w:highlight w:val="none"/>
        </w:rPr>
        <w:t>、补充</w:t>
      </w:r>
    </w:p>
    <w:p>
      <w:pPr>
        <w:spacing w:line="50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2.3.1 招标人修改招标文件的时间距投标须知前附表规定的投标截止时间不足15天的，并且澄清内容影响投标文件编制的，将相应延长投标截止时间。</w:t>
      </w:r>
    </w:p>
    <w:p>
      <w:pPr>
        <w:spacing w:line="50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2.3.2 招标文件的修改、补充参考招标文件的澄清方式进行。</w:t>
      </w:r>
    </w:p>
    <w:p>
      <w:pPr>
        <w:spacing w:line="500" w:lineRule="exact"/>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3. 投标文件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Theme="minorEastAsia" w:hAnsiTheme="minorEastAsia" w:eastAsiaTheme="minorEastAsia"/>
          <w:b/>
          <w:color w:val="auto"/>
          <w:sz w:val="32"/>
          <w:szCs w:val="32"/>
          <w:highlight w:val="none"/>
        </w:rPr>
        <w:t>的编制</w:t>
      </w:r>
    </w:p>
    <w:p>
      <w:pPr>
        <w:spacing w:line="500" w:lineRule="exact"/>
        <w:rPr>
          <w:b/>
          <w:color w:val="auto"/>
          <w:sz w:val="28"/>
          <w:szCs w:val="28"/>
          <w:highlight w:val="none"/>
        </w:rPr>
      </w:pPr>
      <w:bookmarkStart w:id="83" w:name="_Toc376814070"/>
      <w:bookmarkStart w:id="84" w:name="_Toc152042323"/>
      <w:bookmarkStart w:id="85" w:name="_Toc376722618"/>
      <w:bookmarkStart w:id="86" w:name="_Toc394435781"/>
      <w:bookmarkStart w:id="87" w:name="_Toc376813726"/>
      <w:bookmarkStart w:id="88" w:name="_Toc247527572"/>
      <w:bookmarkStart w:id="89" w:name="_Toc376722787"/>
      <w:bookmarkStart w:id="90" w:name="_Toc144974515"/>
      <w:bookmarkStart w:id="91" w:name="_Toc247513971"/>
      <w:bookmarkStart w:id="92" w:name="_Toc394248460"/>
      <w:bookmarkStart w:id="93" w:name="_Toc376715932"/>
      <w:bookmarkStart w:id="94" w:name="_Toc152045547"/>
      <w:bookmarkStart w:id="95" w:name="_Toc367880317"/>
      <w:bookmarkStart w:id="96" w:name="_Toc376722703"/>
      <w:bookmarkStart w:id="97" w:name="_Toc11941102"/>
      <w:r>
        <w:rPr>
          <w:rFonts w:hint="eastAsia"/>
          <w:b/>
          <w:color w:val="auto"/>
          <w:sz w:val="28"/>
          <w:szCs w:val="28"/>
          <w:highlight w:val="none"/>
        </w:rPr>
        <w:t>3.1 投标文件的组成</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00" w:lineRule="exact"/>
        <w:ind w:firstLine="480" w:firstLineChars="200"/>
        <w:rPr>
          <w:color w:val="auto"/>
          <w:sz w:val="24"/>
          <w:highlight w:val="none"/>
        </w:rPr>
      </w:pPr>
      <w:r>
        <w:rPr>
          <w:rFonts w:hint="eastAsia"/>
          <w:color w:val="auto"/>
          <w:sz w:val="24"/>
          <w:highlight w:val="none"/>
        </w:rPr>
        <w:t>投标文件应包括下列内容：</w:t>
      </w:r>
    </w:p>
    <w:p>
      <w:pPr>
        <w:spacing w:line="500" w:lineRule="exact"/>
        <w:ind w:firstLine="480" w:firstLineChars="200"/>
        <w:rPr>
          <w:color w:val="auto"/>
          <w:sz w:val="24"/>
          <w:highlight w:val="none"/>
        </w:rPr>
      </w:pPr>
      <w:r>
        <w:rPr>
          <w:rFonts w:hint="eastAsia"/>
          <w:color w:val="auto"/>
          <w:sz w:val="24"/>
          <w:highlight w:val="none"/>
        </w:rPr>
        <w:t>3.1.1</w:t>
      </w:r>
      <w:r>
        <w:rPr>
          <w:rFonts w:hint="eastAsia" w:ascii="宋体" w:hAnsi="宋体"/>
          <w:b/>
          <w:color w:val="auto"/>
          <w:sz w:val="24"/>
          <w:szCs w:val="24"/>
          <w:highlight w:val="none"/>
        </w:rPr>
        <w:t>资格审查文件</w:t>
      </w:r>
      <w:r>
        <w:rPr>
          <w:rFonts w:hint="eastAsia" w:ascii="宋体" w:hAnsi="宋体"/>
          <w:color w:val="auto"/>
          <w:sz w:val="24"/>
          <w:szCs w:val="24"/>
          <w:highlight w:val="none"/>
        </w:rPr>
        <w:t>、</w:t>
      </w:r>
      <w:r>
        <w:rPr>
          <w:rFonts w:hint="eastAsia" w:ascii="宋体" w:hAnsi="宋体"/>
          <w:b/>
          <w:color w:val="auto"/>
          <w:sz w:val="24"/>
          <w:szCs w:val="24"/>
          <w:highlight w:val="none"/>
        </w:rPr>
        <w:t>商务文件</w:t>
      </w:r>
      <w:r>
        <w:rPr>
          <w:rFonts w:hint="eastAsia" w:ascii="宋体" w:hAnsi="宋体"/>
          <w:color w:val="auto"/>
          <w:sz w:val="24"/>
          <w:szCs w:val="24"/>
          <w:highlight w:val="none"/>
        </w:rPr>
        <w:t>、</w:t>
      </w:r>
      <w:r>
        <w:rPr>
          <w:rFonts w:hint="eastAsia" w:ascii="宋体" w:hAnsi="宋体"/>
          <w:b/>
          <w:color w:val="auto"/>
          <w:sz w:val="24"/>
          <w:szCs w:val="24"/>
          <w:highlight w:val="none"/>
        </w:rPr>
        <w:t>技术文件三</w:t>
      </w:r>
      <w:r>
        <w:rPr>
          <w:rFonts w:hint="eastAsia" w:ascii="宋体" w:hAnsi="宋体"/>
          <w:color w:val="auto"/>
          <w:sz w:val="24"/>
          <w:szCs w:val="24"/>
          <w:highlight w:val="none"/>
        </w:rPr>
        <w:t>部分组成</w:t>
      </w:r>
    </w:p>
    <w:p>
      <w:pPr>
        <w:pStyle w:val="6"/>
        <w:tabs>
          <w:tab w:val="left" w:pos="1000"/>
        </w:tabs>
        <w:spacing w:line="500" w:lineRule="exact"/>
        <w:ind w:left="510" w:firstLine="0"/>
        <w:rPr>
          <w:rFonts w:ascii="宋体" w:hAnsi="宋体" w:cs="宋体"/>
          <w:color w:val="auto"/>
          <w:sz w:val="24"/>
          <w:szCs w:val="24"/>
          <w:highlight w:val="none"/>
        </w:rPr>
      </w:pPr>
      <w:bookmarkStart w:id="98" w:name="_Toc394435782"/>
      <w:bookmarkStart w:id="99" w:name="_Toc11941103"/>
      <w:bookmarkStart w:id="100" w:name="_Toc394248461"/>
      <w:r>
        <w:rPr>
          <w:rFonts w:hint="eastAsia" w:ascii="宋体" w:hAnsi="宋体" w:cs="宋体"/>
          <w:b/>
          <w:color w:val="auto"/>
          <w:sz w:val="24"/>
          <w:szCs w:val="24"/>
          <w:highlight w:val="none"/>
        </w:rPr>
        <w:t>3.1.1.1资格审查文件</w:t>
      </w:r>
      <w:r>
        <w:rPr>
          <w:rFonts w:hint="eastAsia" w:ascii="宋体" w:hAnsi="宋体" w:cs="宋体"/>
          <w:color w:val="auto"/>
          <w:sz w:val="24"/>
          <w:szCs w:val="24"/>
          <w:highlight w:val="none"/>
        </w:rPr>
        <w:t>包括下列内容：</w:t>
      </w:r>
    </w:p>
    <w:p>
      <w:pPr>
        <w:pStyle w:val="6"/>
        <w:numPr>
          <w:ilvl w:val="0"/>
          <w:numId w:val="6"/>
        </w:num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法定代表人资格证明书原件及其授权委托书原件；</w:t>
      </w:r>
      <w:r>
        <w:rPr>
          <w:rFonts w:hint="eastAsia" w:ascii="宋体" w:hAnsi="宋体"/>
          <w:color w:val="auto"/>
          <w:sz w:val="24"/>
          <w:highlight w:val="none"/>
        </w:rPr>
        <w:t>（</w:t>
      </w:r>
      <w:r>
        <w:rPr>
          <w:rFonts w:hint="eastAsia" w:ascii="宋体" w:hAnsi="宋体"/>
          <w:color w:val="auto"/>
          <w:sz w:val="24"/>
          <w:szCs w:val="24"/>
        </w:rPr>
        <w:t>按第七章投标文件格式</w:t>
      </w:r>
      <w:r>
        <w:rPr>
          <w:rFonts w:hint="eastAsia" w:ascii="宋体" w:hAnsi="宋体"/>
          <w:color w:val="auto"/>
          <w:sz w:val="24"/>
          <w:highlight w:val="none"/>
        </w:rPr>
        <w:t>）</w:t>
      </w:r>
    </w:p>
    <w:p>
      <w:pPr>
        <w:pStyle w:val="6"/>
        <w:numPr>
          <w:ilvl w:val="0"/>
          <w:numId w:val="6"/>
        </w:num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企业营业执照副本；</w:t>
      </w:r>
    </w:p>
    <w:p>
      <w:pPr>
        <w:pStyle w:val="6"/>
        <w:numPr>
          <w:ilvl w:val="0"/>
          <w:numId w:val="6"/>
        </w:num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资质证书副本；</w:t>
      </w:r>
    </w:p>
    <w:p>
      <w:pPr>
        <w:pStyle w:val="6"/>
        <w:numPr>
          <w:ilvl w:val="0"/>
          <w:numId w:val="6"/>
        </w:numPr>
        <w:spacing w:line="500" w:lineRule="exact"/>
        <w:rPr>
          <w:rFonts w:ascii="宋体" w:hAnsi="宋体" w:cs="宋体"/>
          <w:color w:val="auto"/>
          <w:sz w:val="24"/>
          <w:szCs w:val="24"/>
          <w:highlight w:val="none"/>
        </w:rPr>
      </w:pPr>
      <w:r>
        <w:rPr>
          <w:rFonts w:hint="eastAsia" w:ascii="宋体" w:hAnsi="宋体"/>
          <w:color w:val="auto"/>
          <w:sz w:val="24"/>
          <w:highlight w:val="none"/>
        </w:rPr>
        <w:t>联合体协议书</w:t>
      </w:r>
      <w:r>
        <w:rPr>
          <w:rFonts w:hint="eastAsia" w:ascii="宋体" w:hAnsi="宋体" w:cs="宋体"/>
          <w:color w:val="auto"/>
          <w:sz w:val="24"/>
          <w:szCs w:val="24"/>
          <w:highlight w:val="none"/>
        </w:rPr>
        <w:t>原件</w:t>
      </w:r>
      <w:r>
        <w:rPr>
          <w:rFonts w:hint="eastAsia" w:ascii="宋体" w:hAnsi="宋体"/>
          <w:color w:val="auto"/>
          <w:sz w:val="24"/>
          <w:highlight w:val="none"/>
        </w:rPr>
        <w:t>；</w:t>
      </w:r>
    </w:p>
    <w:p>
      <w:pPr>
        <w:pStyle w:val="6"/>
        <w:numPr>
          <w:ilvl w:val="0"/>
          <w:numId w:val="6"/>
        </w:num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勘察、设计</w:t>
      </w:r>
      <w:r>
        <w:rPr>
          <w:rFonts w:hint="eastAsia" w:ascii="宋体" w:hAnsi="宋体" w:cs="宋体"/>
          <w:color w:val="auto"/>
          <w:sz w:val="24"/>
          <w:szCs w:val="24"/>
          <w:highlight w:val="none"/>
        </w:rPr>
        <w:t>项目负责人</w:t>
      </w:r>
      <w:r>
        <w:rPr>
          <w:rFonts w:hint="eastAsia" w:ascii="宋体" w:hAnsi="宋体" w:cs="宋体"/>
          <w:color w:val="auto"/>
          <w:sz w:val="24"/>
          <w:szCs w:val="24"/>
          <w:highlight w:val="none"/>
          <w:lang w:eastAsia="zh-CN"/>
        </w:rPr>
        <w:t>注册证书或</w:t>
      </w:r>
      <w:r>
        <w:rPr>
          <w:rFonts w:hint="eastAsia" w:ascii="宋体" w:hAnsi="宋体" w:cs="宋体"/>
          <w:color w:val="auto"/>
          <w:sz w:val="24"/>
          <w:szCs w:val="24"/>
          <w:highlight w:val="none"/>
        </w:rPr>
        <w:t>职称证书；</w:t>
      </w:r>
    </w:p>
    <w:p>
      <w:pPr>
        <w:pStyle w:val="6"/>
        <w:numPr>
          <w:ilvl w:val="0"/>
          <w:numId w:val="6"/>
        </w:num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勘察、设计</w:t>
      </w:r>
      <w:r>
        <w:rPr>
          <w:rFonts w:hint="eastAsia" w:ascii="宋体" w:hAnsi="宋体" w:cs="宋体"/>
          <w:color w:val="auto"/>
          <w:sz w:val="24"/>
          <w:szCs w:val="24"/>
          <w:highlight w:val="none"/>
        </w:rPr>
        <w:t>项目负责人二代身份证；</w:t>
      </w:r>
    </w:p>
    <w:p>
      <w:pPr>
        <w:pStyle w:val="6"/>
        <w:numPr>
          <w:ilvl w:val="0"/>
          <w:numId w:val="6"/>
        </w:num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勘察、设计</w:t>
      </w:r>
      <w:r>
        <w:rPr>
          <w:rFonts w:hint="eastAsia" w:ascii="宋体" w:hAnsi="宋体" w:cs="宋体"/>
          <w:color w:val="auto"/>
          <w:sz w:val="24"/>
          <w:szCs w:val="24"/>
          <w:highlight w:val="none"/>
        </w:rPr>
        <w:t>项目负责人近三个月</w:t>
      </w:r>
      <w:r>
        <w:rPr>
          <w:rFonts w:hint="eastAsia"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s="宋体"/>
          <w:color w:val="auto"/>
          <w:sz w:val="24"/>
          <w:szCs w:val="24"/>
          <w:highlight w:val="none"/>
        </w:rPr>
        <w:t>的社会保险凭证；</w:t>
      </w:r>
    </w:p>
    <w:p>
      <w:pPr>
        <w:pStyle w:val="6"/>
        <w:numPr>
          <w:ilvl w:val="0"/>
          <w:numId w:val="6"/>
        </w:numPr>
        <w:spacing w:line="500" w:lineRule="exact"/>
        <w:rPr>
          <w:rFonts w:ascii="宋体" w:hAnsi="宋体" w:cs="宋体"/>
          <w:color w:val="auto"/>
          <w:sz w:val="24"/>
          <w:szCs w:val="24"/>
          <w:highlight w:val="none"/>
        </w:rPr>
      </w:pPr>
      <w:r>
        <w:rPr>
          <w:rFonts w:hint="eastAsia" w:ascii="宋体" w:hAnsi="宋体"/>
          <w:color w:val="auto"/>
          <w:sz w:val="24"/>
          <w:highlight w:val="none"/>
        </w:rPr>
        <w:t>在“梅州市建筑市场诚信管理平台”办理的企业登记的相关证明材料；省外企业提供已按要求在“进粤企业和人员诚信信息登记平台”录入相关信息的相关证明文件</w:t>
      </w:r>
      <w:r>
        <w:rPr>
          <w:rFonts w:hint="eastAsia" w:ascii="宋体" w:hAnsi="宋体" w:cs="宋体"/>
          <w:color w:val="auto"/>
          <w:sz w:val="24"/>
          <w:szCs w:val="24"/>
          <w:highlight w:val="none"/>
        </w:rPr>
        <w:t>；</w:t>
      </w:r>
    </w:p>
    <w:p>
      <w:pPr>
        <w:pStyle w:val="6"/>
        <w:numPr>
          <w:ilvl w:val="0"/>
          <w:numId w:val="6"/>
        </w:numPr>
        <w:spacing w:line="500" w:lineRule="exact"/>
        <w:rPr>
          <w:rFonts w:ascii="宋体" w:hAnsi="宋体" w:cs="宋体"/>
          <w:color w:val="auto"/>
          <w:sz w:val="24"/>
          <w:szCs w:val="24"/>
          <w:highlight w:val="none"/>
        </w:rPr>
      </w:pPr>
      <w:r>
        <w:rPr>
          <w:rFonts w:hint="eastAsia" w:ascii="宋体" w:hAnsi="宋体"/>
          <w:color w:val="auto"/>
          <w:sz w:val="24"/>
          <w:szCs w:val="22"/>
          <w:highlight w:val="none"/>
        </w:rPr>
        <w:t>自20</w:t>
      </w:r>
      <w:r>
        <w:rPr>
          <w:rFonts w:hint="eastAsia" w:ascii="宋体" w:hAnsi="宋体"/>
          <w:color w:val="auto"/>
          <w:sz w:val="24"/>
          <w:szCs w:val="22"/>
          <w:highlight w:val="none"/>
          <w:lang w:val="en-US" w:eastAsia="zh-CN"/>
        </w:rPr>
        <w:t>21</w:t>
      </w:r>
      <w:r>
        <w:rPr>
          <w:rFonts w:hint="eastAsia" w:ascii="宋体" w:hAnsi="宋体"/>
          <w:color w:val="auto"/>
          <w:sz w:val="24"/>
          <w:szCs w:val="22"/>
          <w:highlight w:val="none"/>
        </w:rPr>
        <w:t>年</w:t>
      </w:r>
      <w:r>
        <w:rPr>
          <w:rFonts w:hint="eastAsia" w:ascii="宋体" w:hAnsi="宋体"/>
          <w:color w:val="auto"/>
          <w:sz w:val="24"/>
          <w:szCs w:val="22"/>
          <w:highlight w:val="none"/>
          <w:lang w:val="en-US" w:eastAsia="zh-CN"/>
        </w:rPr>
        <w:t>7</w:t>
      </w:r>
      <w:r>
        <w:rPr>
          <w:rFonts w:hint="eastAsia" w:ascii="宋体" w:hAnsi="宋体"/>
          <w:color w:val="auto"/>
          <w:sz w:val="24"/>
          <w:szCs w:val="22"/>
          <w:highlight w:val="none"/>
        </w:rPr>
        <w:t>月1日至本项目投标登记截止时间止（以处罚或通报日期为准），</w:t>
      </w:r>
      <w:r>
        <w:rPr>
          <w:rFonts w:hint="eastAsia" w:ascii="宋体" w:hAnsi="宋体" w:cs="宋体"/>
          <w:color w:val="auto"/>
          <w:sz w:val="24"/>
          <w:highlight w:val="none"/>
        </w:rPr>
        <w:t>企业和项目负责人在国家住房和城乡建设部“全国建筑市场监管公共服务平台”、“广东省建筑市场监管公共服务平台”、“梅州市住建局建筑市场诚信管理平台”上未有被限制参与投标的信息，</w:t>
      </w:r>
      <w:r>
        <w:rPr>
          <w:rFonts w:hint="eastAsia" w:ascii="宋体" w:hAnsi="宋体" w:cs="宋体"/>
          <w:b/>
          <w:bCs/>
          <w:color w:val="auto"/>
          <w:sz w:val="24"/>
          <w:highlight w:val="none"/>
        </w:rPr>
        <w:t>提供承诺书</w:t>
      </w:r>
      <w:r>
        <w:rPr>
          <w:rFonts w:hint="eastAsia" w:ascii="宋体" w:hAnsi="宋体" w:cs="宋体"/>
          <w:color w:val="auto"/>
          <w:sz w:val="24"/>
          <w:highlight w:val="none"/>
        </w:rPr>
        <w:t>。</w:t>
      </w:r>
    </w:p>
    <w:p>
      <w:pPr>
        <w:pStyle w:val="6"/>
        <w:tabs>
          <w:tab w:val="left" w:pos="1000"/>
        </w:tabs>
        <w:spacing w:line="500" w:lineRule="exact"/>
        <w:ind w:firstLine="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备注：</w:t>
      </w:r>
      <w:r>
        <w:rPr>
          <w:rFonts w:hint="eastAsia" w:ascii="宋体" w:hAnsi="宋体" w:cs="宋体"/>
          <w:b/>
          <w:color w:val="auto"/>
          <w:sz w:val="24"/>
          <w:highlight w:val="none"/>
          <w:lang w:eastAsia="zh-CN"/>
        </w:rPr>
        <w:t>除</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lang w:eastAsia="zh-CN"/>
        </w:rPr>
        <w:t>）资料提供原件外，其它</w:t>
      </w:r>
      <w:r>
        <w:rPr>
          <w:rFonts w:hint="eastAsia" w:ascii="宋体" w:hAnsi="宋体" w:cs="宋体"/>
          <w:b/>
          <w:color w:val="auto"/>
          <w:sz w:val="24"/>
          <w:highlight w:val="none"/>
        </w:rPr>
        <w:t>资料提供复印件，加盖投标单位公章。</w:t>
      </w:r>
      <w:r>
        <w:rPr>
          <w:rFonts w:hint="eastAsia" w:ascii="宋体" w:hAnsi="宋体"/>
          <w:color w:val="auto"/>
          <w:sz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投标，加盖联合体牵头</w:t>
      </w:r>
      <w:r>
        <w:rPr>
          <w:rFonts w:hint="eastAsia" w:ascii="宋体" w:hAnsi="宋体" w:cs="宋体"/>
          <w:color w:val="auto"/>
          <w:sz w:val="24"/>
          <w:szCs w:val="24"/>
          <w:highlight w:val="none"/>
        </w:rPr>
        <w:t>方</w:t>
      </w:r>
      <w:r>
        <w:rPr>
          <w:rFonts w:hint="eastAsia" w:ascii="宋体" w:hAnsi="宋体" w:cs="宋体"/>
          <w:color w:val="auto"/>
          <w:sz w:val="24"/>
          <w:szCs w:val="24"/>
          <w:highlight w:val="none"/>
          <w:lang w:eastAsia="zh-CN"/>
        </w:rPr>
        <w:t>公章</w:t>
      </w:r>
      <w:r>
        <w:rPr>
          <w:rFonts w:hint="eastAsia" w:ascii="宋体" w:hAnsi="宋体"/>
          <w:color w:val="auto"/>
          <w:sz w:val="24"/>
          <w:highlight w:val="none"/>
        </w:rPr>
        <w:t>）</w:t>
      </w:r>
    </w:p>
    <w:p>
      <w:pPr>
        <w:spacing w:line="500" w:lineRule="exact"/>
        <w:ind w:right="-45"/>
        <w:jc w:val="left"/>
        <w:outlineLvl w:val="9"/>
        <w:rPr>
          <w:rFonts w:ascii="宋体" w:hAnsi="宋体" w:cs="宋体"/>
          <w:color w:val="auto"/>
          <w:sz w:val="24"/>
          <w:szCs w:val="24"/>
          <w:highlight w:val="none"/>
        </w:rPr>
      </w:pPr>
      <w:r>
        <w:rPr>
          <w:rFonts w:hint="eastAsia" w:ascii="宋体" w:hAnsi="宋体" w:cs="宋体"/>
          <w:b/>
          <w:color w:val="auto"/>
          <w:sz w:val="24"/>
          <w:szCs w:val="24"/>
          <w:highlight w:val="none"/>
        </w:rPr>
        <w:t xml:space="preserve">    3.1.1.2.商务文件</w:t>
      </w:r>
      <w:r>
        <w:rPr>
          <w:rFonts w:hint="eastAsia" w:ascii="宋体" w:hAnsi="宋体" w:cs="宋体"/>
          <w:color w:val="auto"/>
          <w:sz w:val="24"/>
          <w:szCs w:val="24"/>
          <w:highlight w:val="none"/>
        </w:rPr>
        <w:t>包括下列内容：</w:t>
      </w:r>
    </w:p>
    <w:p>
      <w:pPr>
        <w:numPr>
          <w:ilvl w:val="0"/>
          <w:numId w:val="7"/>
        </w:numPr>
        <w:spacing w:line="500" w:lineRule="exact"/>
        <w:rPr>
          <w:rFonts w:ascii="宋体" w:hAnsi="宋体" w:cs="宋体"/>
          <w:color w:val="auto"/>
          <w:sz w:val="24"/>
          <w:highlight w:val="none"/>
        </w:rPr>
      </w:pPr>
      <w:r>
        <w:rPr>
          <w:rFonts w:hint="eastAsia" w:ascii="宋体" w:hAnsi="宋体" w:cs="宋体"/>
          <w:color w:val="auto"/>
          <w:sz w:val="24"/>
          <w:highlight w:val="none"/>
        </w:rPr>
        <w:t>投标函；</w:t>
      </w:r>
    </w:p>
    <w:p>
      <w:pPr>
        <w:numPr>
          <w:ilvl w:val="0"/>
          <w:numId w:val="7"/>
        </w:numPr>
        <w:spacing w:line="500" w:lineRule="exact"/>
        <w:rPr>
          <w:rFonts w:ascii="宋体" w:hAnsi="宋体" w:cs="宋体"/>
          <w:color w:val="auto"/>
          <w:sz w:val="24"/>
          <w:highlight w:val="none"/>
        </w:rPr>
      </w:pPr>
      <w:r>
        <w:rPr>
          <w:rFonts w:hint="eastAsia" w:ascii="宋体" w:hAnsi="宋体" w:cs="宋体"/>
          <w:color w:val="auto"/>
          <w:sz w:val="24"/>
          <w:highlight w:val="none"/>
        </w:rPr>
        <w:t>投标函附表；</w:t>
      </w:r>
    </w:p>
    <w:p>
      <w:pPr>
        <w:numPr>
          <w:ilvl w:val="0"/>
          <w:numId w:val="7"/>
        </w:numPr>
        <w:spacing w:line="500" w:lineRule="exact"/>
        <w:rPr>
          <w:rFonts w:ascii="宋体" w:hAnsi="宋体" w:cs="宋体"/>
          <w:color w:val="auto"/>
          <w:sz w:val="24"/>
          <w:highlight w:val="none"/>
        </w:rPr>
      </w:pPr>
      <w:r>
        <w:rPr>
          <w:rFonts w:hint="eastAsia" w:ascii="宋体" w:hAnsi="宋体" w:cs="宋体"/>
          <w:color w:val="auto"/>
          <w:sz w:val="24"/>
          <w:highlight w:val="none"/>
          <w:lang w:eastAsia="zh-CN"/>
        </w:rPr>
        <w:t>企业荣誉</w:t>
      </w:r>
      <w:r>
        <w:rPr>
          <w:rFonts w:hint="eastAsia" w:ascii="宋体" w:hAnsi="宋体" w:cs="宋体"/>
          <w:color w:val="auto"/>
          <w:sz w:val="24"/>
          <w:highlight w:val="none"/>
        </w:rPr>
        <w:t>；</w:t>
      </w:r>
    </w:p>
    <w:p>
      <w:pPr>
        <w:numPr>
          <w:ilvl w:val="0"/>
          <w:numId w:val="7"/>
        </w:numPr>
        <w:spacing w:line="500" w:lineRule="exact"/>
        <w:rPr>
          <w:rFonts w:ascii="宋体" w:hAnsi="宋体" w:cs="宋体"/>
          <w:color w:val="auto"/>
          <w:sz w:val="24"/>
          <w:highlight w:val="none"/>
        </w:rPr>
      </w:pPr>
      <w:r>
        <w:rPr>
          <w:rFonts w:hint="eastAsia" w:ascii="宋体" w:hAnsi="宋体" w:cs="宋体"/>
          <w:color w:val="auto"/>
          <w:sz w:val="24"/>
          <w:highlight w:val="none"/>
          <w:lang w:eastAsia="zh-CN"/>
        </w:rPr>
        <w:t>企业获奖</w:t>
      </w:r>
      <w:r>
        <w:rPr>
          <w:rFonts w:hint="eastAsia" w:ascii="宋体" w:hAnsi="宋体" w:cs="宋体"/>
          <w:color w:val="auto"/>
          <w:sz w:val="24"/>
          <w:highlight w:val="none"/>
        </w:rPr>
        <w:t>；</w:t>
      </w:r>
    </w:p>
    <w:p>
      <w:pPr>
        <w:numPr>
          <w:ilvl w:val="0"/>
          <w:numId w:val="7"/>
        </w:numPr>
        <w:spacing w:line="500" w:lineRule="exact"/>
        <w:rPr>
          <w:rFonts w:ascii="宋体" w:hAnsi="宋体" w:cs="宋体"/>
          <w:color w:val="auto"/>
          <w:sz w:val="24"/>
          <w:highlight w:val="none"/>
        </w:rPr>
      </w:pPr>
      <w:r>
        <w:rPr>
          <w:rFonts w:hint="eastAsia" w:hAnsi="宋体"/>
          <w:color w:val="auto"/>
          <w:sz w:val="24"/>
          <w:highlight w:val="none"/>
          <w:lang w:eastAsia="zh-CN"/>
        </w:rPr>
        <w:t>企业业绩</w:t>
      </w:r>
      <w:r>
        <w:rPr>
          <w:rFonts w:hint="eastAsia" w:ascii="宋体" w:hAnsi="宋体" w:cs="宋体"/>
          <w:color w:val="auto"/>
          <w:sz w:val="24"/>
          <w:highlight w:val="none"/>
        </w:rPr>
        <w:t>；</w:t>
      </w:r>
    </w:p>
    <w:p>
      <w:pPr>
        <w:numPr>
          <w:ilvl w:val="0"/>
          <w:numId w:val="7"/>
        </w:numPr>
        <w:spacing w:line="500" w:lineRule="exact"/>
        <w:rPr>
          <w:rFonts w:ascii="宋体" w:hAnsi="宋体" w:cs="宋体"/>
          <w:color w:val="auto"/>
          <w:sz w:val="24"/>
          <w:highlight w:val="none"/>
        </w:rPr>
      </w:pPr>
      <w:r>
        <w:rPr>
          <w:rFonts w:hint="eastAsia" w:hAnsi="宋体"/>
          <w:color w:val="auto"/>
          <w:sz w:val="24"/>
          <w:highlight w:val="none"/>
          <w:lang w:eastAsia="zh-CN"/>
        </w:rPr>
        <w:t>企业实力</w:t>
      </w:r>
      <w:r>
        <w:rPr>
          <w:rFonts w:hint="eastAsia" w:ascii="宋体" w:hAnsi="宋体" w:cs="宋体"/>
          <w:color w:val="auto"/>
          <w:sz w:val="24"/>
          <w:highlight w:val="none"/>
        </w:rPr>
        <w:t>；</w:t>
      </w:r>
    </w:p>
    <w:p>
      <w:pPr>
        <w:pStyle w:val="85"/>
        <w:numPr>
          <w:ilvl w:val="0"/>
          <w:numId w:val="7"/>
        </w:numPr>
        <w:spacing w:line="500" w:lineRule="exact"/>
        <w:ind w:firstLineChars="0"/>
        <w:rPr>
          <w:rFonts w:ascii="宋体" w:hAnsi="宋体" w:cs="宋体"/>
          <w:color w:val="auto"/>
          <w:sz w:val="24"/>
          <w:highlight w:val="none"/>
        </w:rPr>
      </w:pPr>
      <w:r>
        <w:rPr>
          <w:rFonts w:hint="eastAsia" w:hAnsi="宋体"/>
          <w:color w:val="auto"/>
          <w:sz w:val="24"/>
          <w:highlight w:val="none"/>
          <w:lang w:eastAsia="zh-CN"/>
        </w:rPr>
        <w:t>项目负责人实力</w:t>
      </w:r>
      <w:r>
        <w:rPr>
          <w:rFonts w:hint="eastAsia" w:ascii="宋体" w:hAnsi="宋体" w:cs="宋体"/>
          <w:color w:val="auto"/>
          <w:sz w:val="24"/>
          <w:highlight w:val="none"/>
        </w:rPr>
        <w:t>；</w:t>
      </w:r>
    </w:p>
    <w:p>
      <w:pPr>
        <w:pStyle w:val="85"/>
        <w:numPr>
          <w:ilvl w:val="0"/>
          <w:numId w:val="7"/>
        </w:numPr>
        <w:spacing w:line="500" w:lineRule="exact"/>
        <w:ind w:firstLineChars="0"/>
        <w:rPr>
          <w:rFonts w:ascii="宋体" w:hAnsi="宋体" w:cs="宋体"/>
          <w:color w:val="auto"/>
          <w:sz w:val="24"/>
          <w:highlight w:val="none"/>
        </w:rPr>
      </w:pPr>
      <w:r>
        <w:rPr>
          <w:rFonts w:hint="eastAsia" w:hAnsi="宋体"/>
          <w:color w:val="auto"/>
          <w:sz w:val="24"/>
          <w:highlight w:val="none"/>
          <w:lang w:eastAsia="zh-CN"/>
        </w:rPr>
        <w:t>其他主要设计人员情况</w:t>
      </w:r>
      <w:r>
        <w:rPr>
          <w:rFonts w:hint="eastAsia" w:ascii="宋体" w:hAnsi="宋体" w:cs="宋体"/>
          <w:color w:val="auto"/>
          <w:sz w:val="24"/>
          <w:highlight w:val="none"/>
          <w:lang w:val="en-US" w:eastAsia="zh-CN"/>
        </w:rPr>
        <w:t>；</w:t>
      </w:r>
    </w:p>
    <w:p>
      <w:pPr>
        <w:pStyle w:val="85"/>
        <w:numPr>
          <w:ilvl w:val="0"/>
          <w:numId w:val="7"/>
        </w:numPr>
        <w:spacing w:line="500" w:lineRule="exact"/>
        <w:ind w:firstLineChars="0"/>
        <w:rPr>
          <w:rFonts w:ascii="宋体" w:hAnsi="宋体" w:cs="宋体"/>
          <w:color w:val="auto"/>
          <w:sz w:val="24"/>
          <w:highlight w:val="none"/>
        </w:rPr>
      </w:pPr>
      <w:r>
        <w:rPr>
          <w:rFonts w:hint="eastAsia" w:ascii="宋体" w:hAnsi="宋体" w:cs="宋体"/>
          <w:color w:val="auto"/>
          <w:sz w:val="24"/>
          <w:highlight w:val="none"/>
        </w:rPr>
        <w:t>项目负责人和其他主要专业设计人员到位承诺书；</w:t>
      </w:r>
    </w:p>
    <w:p>
      <w:pPr>
        <w:numPr>
          <w:ilvl w:val="0"/>
          <w:numId w:val="7"/>
        </w:numPr>
        <w:spacing w:line="500" w:lineRule="exact"/>
        <w:rPr>
          <w:rFonts w:ascii="宋体" w:hAnsi="宋体" w:cs="宋体"/>
          <w:color w:val="auto"/>
          <w:sz w:val="24"/>
          <w:highlight w:val="none"/>
        </w:rPr>
      </w:pPr>
      <w:r>
        <w:rPr>
          <w:rFonts w:hint="eastAsia" w:ascii="宋体" w:hAnsi="宋体" w:cs="宋体"/>
          <w:color w:val="auto"/>
          <w:sz w:val="24"/>
          <w:highlight w:val="none"/>
        </w:rPr>
        <w:t>服务保证；</w:t>
      </w:r>
    </w:p>
    <w:p>
      <w:pPr>
        <w:numPr>
          <w:ilvl w:val="0"/>
          <w:numId w:val="7"/>
        </w:numPr>
        <w:spacing w:line="500" w:lineRule="exact"/>
        <w:rPr>
          <w:rFonts w:hint="default"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承诺书(投标单位提供中标后不得将本项目的勘察、设计工作进行分包、转包或委托第三方实施的承诺书 )</w:t>
      </w:r>
    </w:p>
    <w:p>
      <w:pPr>
        <w:numPr>
          <w:ilvl w:val="0"/>
          <w:numId w:val="7"/>
        </w:numPr>
        <w:spacing w:line="500" w:lineRule="exact"/>
        <w:rPr>
          <w:rFonts w:hint="eastAsia" w:ascii="宋体" w:hAnsi="宋体" w:cs="宋体"/>
          <w:color w:val="auto"/>
          <w:sz w:val="24"/>
          <w:szCs w:val="22"/>
          <w:highlight w:val="none"/>
        </w:rPr>
      </w:pPr>
      <w:r>
        <w:rPr>
          <w:rFonts w:hint="eastAsia" w:ascii="宋体" w:hAnsi="宋体" w:cs="宋体"/>
          <w:color w:val="auto"/>
          <w:sz w:val="24"/>
          <w:szCs w:val="22"/>
          <w:highlight w:val="none"/>
        </w:rPr>
        <w:t>其他资料（根据招标文件的要求和投标人认为需要提供的资料）</w:t>
      </w:r>
    </w:p>
    <w:p>
      <w:pPr>
        <w:pStyle w:val="6"/>
        <w:tabs>
          <w:tab w:val="left" w:pos="1000"/>
        </w:tabs>
        <w:spacing w:line="500" w:lineRule="exact"/>
        <w:rPr>
          <w:rFonts w:ascii="宋体" w:hAnsi="宋体" w:cs="宋体"/>
          <w:color w:val="auto"/>
          <w:sz w:val="24"/>
          <w:szCs w:val="24"/>
          <w:highlight w:val="none"/>
        </w:rPr>
      </w:pPr>
      <w:r>
        <w:rPr>
          <w:rFonts w:hint="eastAsia" w:ascii="宋体" w:hAnsi="宋体" w:cs="宋体"/>
          <w:b/>
          <w:color w:val="auto"/>
          <w:sz w:val="24"/>
          <w:szCs w:val="24"/>
          <w:highlight w:val="none"/>
        </w:rPr>
        <w:t>3.1.1.</w:t>
      </w:r>
      <w:r>
        <w:rPr>
          <w:rFonts w:hint="eastAsia" w:ascii="宋体" w:hAnsi="宋体" w:cs="宋体"/>
          <w:b/>
          <w:color w:val="auto"/>
          <w:kern w:val="0"/>
          <w:sz w:val="24"/>
          <w:highlight w:val="none"/>
        </w:rPr>
        <w:t>3技术文件</w:t>
      </w:r>
      <w:r>
        <w:rPr>
          <w:rFonts w:hint="eastAsia" w:ascii="宋体" w:hAnsi="宋体" w:cs="宋体"/>
          <w:color w:val="auto"/>
          <w:sz w:val="24"/>
          <w:szCs w:val="24"/>
          <w:highlight w:val="none"/>
        </w:rPr>
        <w:t>应包括以下内容：</w:t>
      </w:r>
    </w:p>
    <w:p>
      <w:pPr>
        <w:numPr>
          <w:ilvl w:val="0"/>
          <w:numId w:val="8"/>
        </w:numPr>
        <w:spacing w:line="500" w:lineRule="exact"/>
        <w:rPr>
          <w:rFonts w:ascii="宋体" w:hAnsi="宋体" w:cs="宋体"/>
          <w:color w:val="auto"/>
          <w:sz w:val="24"/>
          <w:highlight w:val="none"/>
        </w:rPr>
      </w:pPr>
      <w:r>
        <w:rPr>
          <w:rFonts w:hint="eastAsia" w:ascii="宋体" w:hAnsi="宋体" w:cs="宋体"/>
          <w:color w:val="auto"/>
          <w:sz w:val="24"/>
          <w:highlight w:val="none"/>
        </w:rPr>
        <w:t>设计说明和设计图纸汇编缩印本；</w:t>
      </w:r>
    </w:p>
    <w:p>
      <w:pPr>
        <w:numPr>
          <w:ilvl w:val="0"/>
          <w:numId w:val="8"/>
        </w:numPr>
        <w:spacing w:line="500" w:lineRule="exact"/>
        <w:rPr>
          <w:rFonts w:ascii="宋体" w:hAnsi="宋体" w:cs="宋体"/>
          <w:color w:val="auto"/>
          <w:sz w:val="24"/>
          <w:highlight w:val="none"/>
        </w:rPr>
      </w:pPr>
      <w:r>
        <w:rPr>
          <w:rFonts w:hint="eastAsia" w:ascii="宋体" w:hAnsi="宋体" w:cs="宋体"/>
          <w:color w:val="auto"/>
          <w:sz w:val="24"/>
          <w:highlight w:val="none"/>
        </w:rPr>
        <w:t>电子文档（</w:t>
      </w:r>
      <w:r>
        <w:rPr>
          <w:rFonts w:hint="eastAsia"/>
          <w:color w:val="auto"/>
          <w:sz w:val="24"/>
          <w:szCs w:val="24"/>
          <w:lang w:val="en-US" w:eastAsia="zh-CN"/>
        </w:rPr>
        <w:t>包含投标文件全部内容，文件需为PDF或JPG格式</w:t>
      </w:r>
      <w:r>
        <w:rPr>
          <w:rFonts w:hint="eastAsia" w:ascii="宋体" w:hAnsi="宋体" w:cs="宋体"/>
          <w:color w:val="auto"/>
          <w:sz w:val="24"/>
          <w:highlight w:val="none"/>
        </w:rPr>
        <w:t>）</w:t>
      </w:r>
    </w:p>
    <w:p>
      <w:pPr>
        <w:numPr>
          <w:ilvl w:val="0"/>
          <w:numId w:val="8"/>
        </w:numPr>
        <w:spacing w:line="500" w:lineRule="exact"/>
        <w:rPr>
          <w:rFonts w:ascii="宋体" w:hAnsi="宋体" w:cs="宋体"/>
          <w:color w:val="auto"/>
          <w:sz w:val="24"/>
          <w:highlight w:val="none"/>
        </w:rPr>
      </w:pPr>
      <w:r>
        <w:rPr>
          <w:rFonts w:hint="eastAsia" w:ascii="宋体" w:hAnsi="宋体" w:cs="宋体"/>
          <w:color w:val="auto"/>
          <w:sz w:val="24"/>
          <w:highlight w:val="none"/>
        </w:rPr>
        <w:t>其他技术文件（当招标文件有要求时须提供）。</w:t>
      </w:r>
    </w:p>
    <w:p>
      <w:pPr>
        <w:spacing w:line="500" w:lineRule="exact"/>
        <w:rPr>
          <w:b/>
          <w:color w:val="auto"/>
          <w:sz w:val="30"/>
          <w:szCs w:val="30"/>
          <w:highlight w:val="none"/>
        </w:rPr>
      </w:pPr>
      <w:r>
        <w:rPr>
          <w:rFonts w:hint="eastAsia"/>
          <w:b/>
          <w:color w:val="auto"/>
          <w:sz w:val="30"/>
          <w:szCs w:val="30"/>
          <w:highlight w:val="none"/>
        </w:rPr>
        <w:t>3.2对投标文件的要求</w:t>
      </w:r>
    </w:p>
    <w:p>
      <w:pPr>
        <w:pStyle w:val="6"/>
        <w:tabs>
          <w:tab w:val="left" w:pos="1000"/>
        </w:tabs>
        <w:spacing w:line="500" w:lineRule="exact"/>
        <w:ind w:firstLine="0"/>
        <w:rPr>
          <w:rFonts w:ascii="宋体" w:hAnsi="宋体"/>
          <w:b/>
          <w:color w:val="auto"/>
          <w:sz w:val="24"/>
          <w:szCs w:val="24"/>
          <w:highlight w:val="none"/>
        </w:rPr>
      </w:pPr>
      <w:r>
        <w:rPr>
          <w:rFonts w:hint="eastAsia" w:ascii="宋体" w:hAnsi="宋体"/>
          <w:color w:val="auto"/>
          <w:sz w:val="24"/>
          <w:highlight w:val="none"/>
        </w:rPr>
        <w:t xml:space="preserve">    1）招标人只允许每个投标人报送一个设计方案，投标人所提交的投标文件应符合招标文件的要求，满足评标需要的全部资料。</w:t>
      </w:r>
    </w:p>
    <w:p>
      <w:pPr>
        <w:pStyle w:val="6"/>
        <w:tabs>
          <w:tab w:val="left" w:pos="1000"/>
        </w:tabs>
        <w:spacing w:line="500" w:lineRule="exact"/>
        <w:ind w:firstLine="480" w:firstLineChars="200"/>
        <w:rPr>
          <w:rFonts w:ascii="宋体" w:hAnsi="宋体"/>
          <w:color w:val="auto"/>
          <w:sz w:val="24"/>
          <w:szCs w:val="24"/>
          <w:highlight w:val="none"/>
        </w:rPr>
      </w:pPr>
      <w:r>
        <w:rPr>
          <w:rFonts w:hint="eastAsia" w:ascii="宋体" w:hAnsi="宋体"/>
          <w:color w:val="auto"/>
          <w:sz w:val="24"/>
          <w:highlight w:val="none"/>
        </w:rPr>
        <w:t>2）</w:t>
      </w:r>
      <w:r>
        <w:rPr>
          <w:rFonts w:hint="eastAsia" w:ascii="宋体" w:hAnsi="宋体"/>
          <w:color w:val="auto"/>
          <w:sz w:val="24"/>
          <w:szCs w:val="24"/>
          <w:highlight w:val="none"/>
        </w:rPr>
        <w:t>投标文件应包含本须知第3.1条中规定的内容，</w:t>
      </w:r>
      <w:r>
        <w:rPr>
          <w:rFonts w:hint="eastAsia" w:ascii="宋体" w:hAnsi="宋体"/>
          <w:b/>
          <w:color w:val="auto"/>
          <w:sz w:val="24"/>
          <w:szCs w:val="24"/>
          <w:highlight w:val="none"/>
        </w:rPr>
        <w:t>投标人提交的投标文件使用招标文件第七章所规定的投标文件全部格式</w:t>
      </w:r>
      <w:r>
        <w:rPr>
          <w:rFonts w:hint="eastAsia" w:ascii="宋体" w:hAnsi="宋体"/>
          <w:color w:val="auto"/>
          <w:sz w:val="24"/>
          <w:szCs w:val="24"/>
          <w:highlight w:val="none"/>
        </w:rPr>
        <w:t>（表格可以按同样格式扩展），包括完整地填写</w:t>
      </w:r>
      <w:r>
        <w:rPr>
          <w:rFonts w:hint="eastAsia" w:ascii="宋体" w:hAnsi="宋体"/>
          <w:b/>
          <w:color w:val="auto"/>
          <w:sz w:val="24"/>
          <w:szCs w:val="24"/>
          <w:highlight w:val="none"/>
        </w:rPr>
        <w:t>投标函</w:t>
      </w:r>
      <w:r>
        <w:rPr>
          <w:rFonts w:hint="eastAsia" w:ascii="宋体" w:hAnsi="宋体"/>
          <w:color w:val="auto"/>
          <w:sz w:val="24"/>
          <w:szCs w:val="24"/>
          <w:highlight w:val="none"/>
        </w:rPr>
        <w:t>和</w:t>
      </w:r>
      <w:r>
        <w:rPr>
          <w:rFonts w:hint="eastAsia" w:ascii="宋体" w:hAnsi="宋体"/>
          <w:b/>
          <w:color w:val="auto"/>
          <w:sz w:val="24"/>
          <w:szCs w:val="24"/>
          <w:highlight w:val="none"/>
        </w:rPr>
        <w:t>投标函附表</w:t>
      </w:r>
      <w:r>
        <w:rPr>
          <w:rFonts w:hint="eastAsia" w:ascii="宋体" w:hAnsi="宋体"/>
          <w:color w:val="auto"/>
          <w:sz w:val="24"/>
          <w:szCs w:val="24"/>
          <w:highlight w:val="none"/>
        </w:rPr>
        <w:t>。</w:t>
      </w:r>
    </w:p>
    <w:p>
      <w:pPr>
        <w:pStyle w:val="6"/>
        <w:tabs>
          <w:tab w:val="left" w:pos="1000"/>
        </w:tabs>
        <w:spacing w:line="500" w:lineRule="exact"/>
        <w:ind w:firstLine="0"/>
        <w:rPr>
          <w:rFonts w:ascii="宋体" w:hAnsi="宋体"/>
          <w:b/>
          <w:color w:val="auto"/>
          <w:sz w:val="24"/>
          <w:szCs w:val="24"/>
          <w:highlight w:val="none"/>
        </w:rPr>
      </w:pPr>
      <w:r>
        <w:rPr>
          <w:rFonts w:hint="eastAsia" w:ascii="宋体" w:hAnsi="宋体" w:cs="宋体"/>
          <w:bCs/>
          <w:color w:val="auto"/>
          <w:kern w:val="0"/>
          <w:sz w:val="24"/>
          <w:highlight w:val="none"/>
        </w:rPr>
        <w:t xml:space="preserve">    3）</w:t>
      </w:r>
      <w:r>
        <w:rPr>
          <w:rFonts w:ascii="宋体" w:hAnsi="宋体" w:cs="宋体"/>
          <w:b/>
          <w:color w:val="auto"/>
          <w:kern w:val="0"/>
          <w:sz w:val="24"/>
          <w:highlight w:val="none"/>
        </w:rPr>
        <w:t>投标人应当按照招标文件的要求编制</w:t>
      </w:r>
      <w:r>
        <w:rPr>
          <w:rFonts w:hint="eastAsia" w:ascii="宋体" w:hAnsi="宋体" w:cs="宋体"/>
          <w:b/>
          <w:color w:val="auto"/>
          <w:kern w:val="0"/>
          <w:sz w:val="24"/>
          <w:highlight w:val="none"/>
        </w:rPr>
        <w:t>技术</w:t>
      </w:r>
      <w:r>
        <w:rPr>
          <w:rFonts w:ascii="宋体" w:hAnsi="宋体" w:cs="宋体"/>
          <w:b/>
          <w:color w:val="auto"/>
          <w:kern w:val="0"/>
          <w:sz w:val="24"/>
          <w:highlight w:val="none"/>
        </w:rPr>
        <w:t>文件</w:t>
      </w:r>
      <w:r>
        <w:rPr>
          <w:rFonts w:hint="eastAsia" w:ascii="宋体" w:hAnsi="宋体" w:cs="宋体"/>
          <w:b/>
          <w:color w:val="auto"/>
          <w:kern w:val="0"/>
          <w:sz w:val="24"/>
          <w:highlight w:val="none"/>
        </w:rPr>
        <w:t>，具体要求详见招标文件第五章“技术标准和设计</w:t>
      </w:r>
      <w:r>
        <w:rPr>
          <w:rFonts w:hint="eastAsia" w:ascii="宋体" w:hAnsi="宋体" w:cs="宋体"/>
          <w:b/>
          <w:color w:val="auto"/>
          <w:kern w:val="0"/>
          <w:sz w:val="24"/>
          <w:highlight w:val="none"/>
          <w:lang w:eastAsia="zh-CN"/>
        </w:rPr>
        <w:t>任务书</w:t>
      </w:r>
      <w:r>
        <w:rPr>
          <w:rFonts w:hint="eastAsia" w:ascii="宋体" w:hAnsi="宋体" w:cs="宋体"/>
          <w:b/>
          <w:color w:val="auto"/>
          <w:kern w:val="0"/>
          <w:sz w:val="24"/>
          <w:highlight w:val="none"/>
        </w:rPr>
        <w:t>”和第七章投标文件格式中的“</w:t>
      </w:r>
      <w:r>
        <w:rPr>
          <w:rFonts w:hint="eastAsia" w:ascii="宋体" w:hAnsi="宋体" w:cs="宋体"/>
          <w:b/>
          <w:color w:val="auto"/>
          <w:kern w:val="0"/>
          <w:sz w:val="24"/>
          <w:highlight w:val="none"/>
          <w:lang w:eastAsia="zh-CN"/>
        </w:rPr>
        <w:t>四</w:t>
      </w:r>
      <w:r>
        <w:rPr>
          <w:rFonts w:hint="eastAsia" w:ascii="宋体" w:hAnsi="宋体" w:cs="宋体"/>
          <w:b/>
          <w:color w:val="auto"/>
          <w:kern w:val="0"/>
          <w:sz w:val="24"/>
          <w:highlight w:val="none"/>
        </w:rPr>
        <w:t>.技术文件格式”</w:t>
      </w:r>
      <w:r>
        <w:rPr>
          <w:rFonts w:hint="eastAsia" w:ascii="宋体" w:hAnsi="宋体" w:cs="宋体"/>
          <w:color w:val="auto"/>
          <w:kern w:val="0"/>
          <w:sz w:val="24"/>
          <w:highlight w:val="none"/>
        </w:rPr>
        <w:t>。</w:t>
      </w:r>
    </w:p>
    <w:p>
      <w:pPr>
        <w:pStyle w:val="6"/>
        <w:tabs>
          <w:tab w:val="left" w:pos="1000"/>
        </w:tabs>
        <w:spacing w:line="500" w:lineRule="exact"/>
        <w:ind w:firstLine="480" w:firstLineChars="200"/>
        <w:rPr>
          <w:rFonts w:ascii="宋体" w:hAnsi="宋体"/>
          <w:b/>
          <w:color w:val="auto"/>
          <w:sz w:val="24"/>
          <w:szCs w:val="24"/>
          <w:highlight w:val="none"/>
        </w:rPr>
      </w:pPr>
      <w:r>
        <w:rPr>
          <w:rFonts w:hint="eastAsia" w:ascii="宋体" w:hAnsi="宋体"/>
          <w:color w:val="auto"/>
          <w:sz w:val="24"/>
          <w:highlight w:val="none"/>
        </w:rPr>
        <w:t>4）</w:t>
      </w:r>
      <w:r>
        <w:rPr>
          <w:rFonts w:ascii="宋体" w:hAnsi="宋体"/>
          <w:color w:val="auto"/>
          <w:sz w:val="24"/>
          <w:highlight w:val="none"/>
        </w:rPr>
        <w:t>投标人</w:t>
      </w:r>
      <w:r>
        <w:rPr>
          <w:rFonts w:ascii="宋体" w:hAnsi="宋体" w:cs="宋体"/>
          <w:color w:val="auto"/>
          <w:kern w:val="0"/>
          <w:sz w:val="24"/>
          <w:szCs w:val="24"/>
          <w:highlight w:val="none"/>
        </w:rPr>
        <w:t>在投标文件有关技术方案和要求中不得指定与工程建设项目有关的重要设备、材料的生产供应者，或者含有倾向或者排斥特定生产供应者的内容。</w:t>
      </w:r>
    </w:p>
    <w:p>
      <w:pPr>
        <w:pStyle w:val="6"/>
        <w:tabs>
          <w:tab w:val="left" w:pos="1000"/>
        </w:tabs>
        <w:spacing w:line="500" w:lineRule="exact"/>
        <w:ind w:firstLine="480" w:firstLineChars="200"/>
        <w:rPr>
          <w:rFonts w:ascii="宋体" w:hAnsi="宋体"/>
          <w:b/>
          <w:color w:val="auto"/>
          <w:sz w:val="24"/>
          <w:szCs w:val="24"/>
          <w:highlight w:val="none"/>
        </w:rPr>
      </w:pPr>
      <w:r>
        <w:rPr>
          <w:rFonts w:hint="eastAsia" w:ascii="宋体" w:hAnsi="宋体"/>
          <w:color w:val="auto"/>
          <w:sz w:val="24"/>
          <w:highlight w:val="none"/>
        </w:rPr>
        <w:t>5）投标</w:t>
      </w:r>
      <w:r>
        <w:rPr>
          <w:rFonts w:hint="eastAsia" w:ascii="宋体" w:hAnsi="宋体" w:cs="宋体"/>
          <w:color w:val="auto"/>
          <w:kern w:val="0"/>
          <w:sz w:val="24"/>
          <w:szCs w:val="24"/>
          <w:highlight w:val="none"/>
        </w:rPr>
        <w:t>人不得通过故意压低投资额、降低施工技术要求、减少占地面积，或者缩短工期等手段弄虚作假，骗取中标。</w:t>
      </w:r>
    </w:p>
    <w:p>
      <w:pPr>
        <w:spacing w:line="500" w:lineRule="exact"/>
        <w:rPr>
          <w:b/>
          <w:color w:val="auto"/>
          <w:sz w:val="30"/>
          <w:szCs w:val="30"/>
          <w:highlight w:val="none"/>
        </w:rPr>
      </w:pPr>
      <w:r>
        <w:rPr>
          <w:rFonts w:hint="eastAsia"/>
          <w:b/>
          <w:color w:val="auto"/>
          <w:sz w:val="30"/>
          <w:szCs w:val="30"/>
          <w:highlight w:val="none"/>
        </w:rPr>
        <w:t>3.3</w:t>
      </w:r>
      <w:bookmarkEnd w:id="98"/>
      <w:bookmarkEnd w:id="99"/>
      <w:bookmarkEnd w:id="100"/>
      <w:r>
        <w:rPr>
          <w:rFonts w:hint="eastAsia"/>
          <w:b/>
          <w:color w:val="auto"/>
          <w:sz w:val="30"/>
          <w:szCs w:val="30"/>
          <w:highlight w:val="none"/>
        </w:rPr>
        <w:t>投标报价和合同金额</w:t>
      </w:r>
    </w:p>
    <w:p>
      <w:pPr>
        <w:spacing w:line="500" w:lineRule="exact"/>
        <w:ind w:firstLine="480" w:firstLineChars="200"/>
        <w:rPr>
          <w:color w:val="auto"/>
          <w:sz w:val="24"/>
          <w:highlight w:val="none"/>
        </w:rPr>
      </w:pPr>
      <w:r>
        <w:rPr>
          <w:rFonts w:hint="eastAsia"/>
          <w:color w:val="auto"/>
          <w:sz w:val="24"/>
          <w:highlight w:val="none"/>
        </w:rPr>
        <w:t>3.3.1.本招标项目的合同金额，应是完成本须知第1条中所述的和合同条款上所列招标项目的设计范围、设计周期、以及设计服务内容的全部制定的，不得以任何理由予以重复，其根据为招标人向投标人提供的招标文件。</w:t>
      </w:r>
    </w:p>
    <w:p>
      <w:pPr>
        <w:spacing w:line="500" w:lineRule="exact"/>
        <w:ind w:firstLine="480" w:firstLineChars="200"/>
        <w:rPr>
          <w:color w:val="auto"/>
          <w:sz w:val="24"/>
          <w:highlight w:val="none"/>
        </w:rPr>
      </w:pPr>
      <w:r>
        <w:rPr>
          <w:rFonts w:hint="eastAsia"/>
          <w:color w:val="auto"/>
          <w:sz w:val="24"/>
          <w:highlight w:val="none"/>
        </w:rPr>
        <w:t>3.3.2.合同金额为招标人向中标人支付的各项金额的总和，包括完成本投标须知第3.3.1款所确定的设计业务所需的全部费用。除非招标人对招标文件予以修改。施工图纸应通过有关部门审查合格并提供报建所需的设计文件及后续服务等工作。</w:t>
      </w:r>
    </w:p>
    <w:p>
      <w:pPr>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color w:val="auto"/>
          <w:sz w:val="24"/>
          <w:highlight w:val="none"/>
        </w:rPr>
        <w:t>3.3.3. 投标人</w:t>
      </w:r>
      <w:r>
        <w:rPr>
          <w:rFonts w:hint="eastAsia"/>
          <w:color w:val="auto"/>
          <w:sz w:val="24"/>
          <w:highlight w:val="none"/>
          <w:lang w:eastAsia="zh-CN"/>
        </w:rPr>
        <w:t>参照</w:t>
      </w:r>
      <w:r>
        <w:rPr>
          <w:rFonts w:hint="eastAsia"/>
          <w:color w:val="auto"/>
          <w:sz w:val="24"/>
          <w:highlight w:val="none"/>
        </w:rPr>
        <w:t>国家发展计划委员会、建设部2002年颁布的《工程勘察设计收费标准》</w:t>
      </w:r>
      <w:r>
        <w:rPr>
          <w:rFonts w:hint="eastAsia"/>
          <w:color w:val="auto"/>
          <w:sz w:val="24"/>
          <w:highlight w:val="none"/>
          <w:lang w:eastAsia="zh-CN"/>
        </w:rPr>
        <w:t>填报下浮率</w:t>
      </w:r>
      <w:r>
        <w:rPr>
          <w:rFonts w:hint="eastAsia" w:asciiTheme="minorEastAsia" w:hAnsiTheme="minorEastAsia" w:eastAsiaTheme="minorEastAsia" w:cstheme="minorEastAsia"/>
          <w:color w:val="auto"/>
          <w:sz w:val="24"/>
          <w:highlight w:val="none"/>
        </w:rPr>
        <w:t>。</w:t>
      </w:r>
    </w:p>
    <w:p>
      <w:pPr>
        <w:spacing w:line="500" w:lineRule="exact"/>
        <w:ind w:firstLine="480" w:firstLineChars="200"/>
        <w:rPr>
          <w:color w:val="auto"/>
          <w:sz w:val="24"/>
          <w:highlight w:val="none"/>
        </w:rPr>
      </w:pPr>
      <w:r>
        <w:rPr>
          <w:rFonts w:hint="eastAsia"/>
          <w:color w:val="auto"/>
          <w:sz w:val="24"/>
          <w:highlight w:val="none"/>
        </w:rPr>
        <w:t>3.3.4招标人和中标人按中标的勘察、设计费报价金额签订合同。</w:t>
      </w:r>
    </w:p>
    <w:p>
      <w:pPr>
        <w:spacing w:line="500" w:lineRule="exact"/>
        <w:ind w:firstLine="480" w:firstLineChars="200"/>
        <w:rPr>
          <w:color w:val="auto"/>
          <w:sz w:val="24"/>
          <w:highlight w:val="none"/>
        </w:rPr>
      </w:pPr>
      <w:r>
        <w:rPr>
          <w:rFonts w:hint="eastAsia"/>
          <w:color w:val="auto"/>
          <w:sz w:val="24"/>
          <w:highlight w:val="none"/>
        </w:rPr>
        <w:t>3.3.5未中标方案补偿费：无。</w:t>
      </w:r>
    </w:p>
    <w:p>
      <w:pPr>
        <w:spacing w:line="500" w:lineRule="exact"/>
        <w:ind w:firstLine="480" w:firstLineChars="200"/>
        <w:rPr>
          <w:color w:val="auto"/>
          <w:sz w:val="24"/>
          <w:highlight w:val="none"/>
        </w:rPr>
      </w:pPr>
      <w:r>
        <w:rPr>
          <w:rFonts w:hint="eastAsia"/>
          <w:color w:val="auto"/>
          <w:sz w:val="24"/>
          <w:highlight w:val="none"/>
        </w:rPr>
        <w:t>3.3.6 投标人只允许有一个报价，任何有选择的报价都不予接受。</w:t>
      </w:r>
    </w:p>
    <w:p>
      <w:pPr>
        <w:spacing w:line="500" w:lineRule="exact"/>
        <w:rPr>
          <w:b/>
          <w:color w:val="auto"/>
          <w:sz w:val="30"/>
          <w:szCs w:val="30"/>
          <w:highlight w:val="none"/>
        </w:rPr>
      </w:pPr>
      <w:bookmarkStart w:id="101" w:name="_Toc394435783"/>
      <w:bookmarkStart w:id="102" w:name="_Toc376722705"/>
      <w:bookmarkStart w:id="103" w:name="_Toc394248462"/>
      <w:bookmarkStart w:id="104" w:name="_Toc247513973"/>
      <w:bookmarkStart w:id="105" w:name="_Toc11941104"/>
      <w:bookmarkStart w:id="106" w:name="_Toc367880319"/>
      <w:bookmarkStart w:id="107" w:name="_Toc376722789"/>
      <w:bookmarkStart w:id="108" w:name="_Toc376814072"/>
      <w:bookmarkStart w:id="109" w:name="_Toc376813728"/>
      <w:bookmarkStart w:id="110" w:name="_Toc376715934"/>
      <w:bookmarkStart w:id="111" w:name="_Toc152045549"/>
      <w:bookmarkStart w:id="112" w:name="_Toc376722620"/>
      <w:bookmarkStart w:id="113" w:name="_Toc152042325"/>
      <w:bookmarkStart w:id="114" w:name="_Toc144974517"/>
      <w:bookmarkStart w:id="115" w:name="_Toc247527574"/>
      <w:r>
        <w:rPr>
          <w:rFonts w:hint="eastAsia"/>
          <w:b/>
          <w:color w:val="auto"/>
          <w:sz w:val="30"/>
          <w:szCs w:val="30"/>
          <w:highlight w:val="none"/>
        </w:rPr>
        <w:t>3.4投标有效期</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line="500" w:lineRule="exact"/>
        <w:ind w:firstLine="480" w:firstLineChars="200"/>
        <w:rPr>
          <w:color w:val="auto"/>
          <w:sz w:val="24"/>
          <w:highlight w:val="none"/>
        </w:rPr>
      </w:pPr>
      <w:r>
        <w:rPr>
          <w:rFonts w:hint="eastAsia"/>
          <w:color w:val="auto"/>
          <w:sz w:val="24"/>
          <w:highlight w:val="none"/>
        </w:rPr>
        <w:t>3.4.1投标有效期为90天。</w:t>
      </w:r>
    </w:p>
    <w:p>
      <w:pPr>
        <w:spacing w:line="500" w:lineRule="exact"/>
        <w:ind w:firstLine="480" w:firstLineChars="200"/>
        <w:rPr>
          <w:color w:val="auto"/>
          <w:sz w:val="24"/>
          <w:highlight w:val="none"/>
        </w:rPr>
      </w:pPr>
      <w:r>
        <w:rPr>
          <w:rFonts w:hint="eastAsia"/>
          <w:color w:val="auto"/>
          <w:sz w:val="24"/>
          <w:highlight w:val="none"/>
        </w:rPr>
        <w:t>3.4.2 在投标有效期内，投标人撤销或修改其投标文件的，应承担招标文件和法律规定的责任。</w:t>
      </w:r>
    </w:p>
    <w:p>
      <w:pPr>
        <w:spacing w:line="500" w:lineRule="exact"/>
        <w:ind w:firstLine="480" w:firstLineChars="200"/>
        <w:rPr>
          <w:color w:val="auto"/>
          <w:sz w:val="24"/>
          <w:highlight w:val="none"/>
        </w:rPr>
      </w:pPr>
      <w:r>
        <w:rPr>
          <w:rFonts w:hint="eastAsia"/>
          <w:color w:val="auto"/>
          <w:sz w:val="24"/>
          <w:highlight w:val="none"/>
        </w:rPr>
        <w:t>3.4.3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500" w:lineRule="exact"/>
        <w:rPr>
          <w:b/>
          <w:color w:val="auto"/>
          <w:sz w:val="30"/>
          <w:szCs w:val="30"/>
          <w:highlight w:val="none"/>
        </w:rPr>
      </w:pPr>
      <w:bookmarkStart w:id="116" w:name="_Toc11941105"/>
      <w:bookmarkStart w:id="117" w:name="_Toc376722790"/>
      <w:bookmarkStart w:id="118" w:name="_Toc247513974"/>
      <w:bookmarkStart w:id="119" w:name="_Toc376715935"/>
      <w:bookmarkStart w:id="120" w:name="_Toc152045550"/>
      <w:bookmarkStart w:id="121" w:name="_Toc144974518"/>
      <w:bookmarkStart w:id="122" w:name="_Toc376722706"/>
      <w:bookmarkStart w:id="123" w:name="_Toc376722621"/>
      <w:bookmarkStart w:id="124" w:name="_Toc394435784"/>
      <w:bookmarkStart w:id="125" w:name="_Toc152042326"/>
      <w:bookmarkStart w:id="126" w:name="_Toc367880320"/>
      <w:bookmarkStart w:id="127" w:name="_Toc247527575"/>
      <w:bookmarkStart w:id="128" w:name="_Toc394248463"/>
      <w:bookmarkStart w:id="129" w:name="_Toc376813729"/>
      <w:bookmarkStart w:id="130" w:name="_Toc376814073"/>
      <w:r>
        <w:rPr>
          <w:rFonts w:hint="eastAsia"/>
          <w:b/>
          <w:color w:val="auto"/>
          <w:sz w:val="30"/>
          <w:szCs w:val="30"/>
          <w:highlight w:val="none"/>
        </w:rPr>
        <w:t>3.5投标保证金</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500" w:lineRule="exact"/>
        <w:ind w:firstLine="480" w:firstLineChars="200"/>
        <w:rPr>
          <w:color w:val="auto"/>
          <w:sz w:val="24"/>
          <w:highlight w:val="none"/>
        </w:rPr>
      </w:pPr>
      <w:r>
        <w:rPr>
          <w:rFonts w:hint="eastAsia"/>
          <w:color w:val="auto"/>
          <w:sz w:val="24"/>
          <w:highlight w:val="none"/>
        </w:rPr>
        <w:t>3.5.1 投标人在递交投标文件的同时，应按投标须知前附表规定的金额、担保形式的规定递交投标保证金，并作为其投标文件的组成部分。联合体投标的，其投标保证金由牵头人递交，并应符合投标须知前附表的规定。</w:t>
      </w:r>
    </w:p>
    <w:p>
      <w:pPr>
        <w:spacing w:line="500" w:lineRule="exact"/>
        <w:ind w:firstLine="480" w:firstLineChars="200"/>
        <w:rPr>
          <w:color w:val="auto"/>
          <w:sz w:val="24"/>
          <w:highlight w:val="none"/>
        </w:rPr>
      </w:pPr>
      <w:r>
        <w:rPr>
          <w:rFonts w:hint="eastAsia"/>
          <w:color w:val="auto"/>
          <w:sz w:val="24"/>
          <w:highlight w:val="none"/>
        </w:rPr>
        <w:t>3.5.2 投标人不按本章第3.5.1项要求提交投标保证金的，评标委员会将否决其投标。</w:t>
      </w:r>
    </w:p>
    <w:p>
      <w:pPr>
        <w:spacing w:line="500" w:lineRule="exact"/>
        <w:ind w:firstLine="480" w:firstLineChars="200"/>
        <w:rPr>
          <w:color w:val="auto"/>
          <w:sz w:val="24"/>
          <w:highlight w:val="none"/>
        </w:rPr>
      </w:pPr>
      <w:r>
        <w:rPr>
          <w:rFonts w:hint="eastAsia"/>
          <w:color w:val="auto"/>
          <w:sz w:val="24"/>
          <w:highlight w:val="none"/>
        </w:rPr>
        <w:t>3.5.3 招标人与中标人签订合同后5日内，向未中标的投标人和中标人</w:t>
      </w:r>
      <w:r>
        <w:rPr>
          <w:rFonts w:hint="eastAsia" w:ascii="宋体" w:hAnsi="宋体" w:cs="宋体"/>
          <w:color w:val="auto"/>
          <w:sz w:val="24"/>
          <w:szCs w:val="24"/>
          <w:highlight w:val="none"/>
        </w:rPr>
        <w:t>一次性退还投标保证金</w:t>
      </w:r>
      <w:r>
        <w:rPr>
          <w:rFonts w:hint="eastAsia"/>
          <w:color w:val="auto"/>
          <w:sz w:val="24"/>
          <w:highlight w:val="none"/>
        </w:rPr>
        <w:t>。</w:t>
      </w:r>
      <w:r>
        <w:rPr>
          <w:rFonts w:hint="eastAsia" w:ascii="宋体" w:hAnsi="宋体"/>
          <w:color w:val="auto"/>
          <w:sz w:val="24"/>
          <w:highlight w:val="none"/>
        </w:rPr>
        <w:t>投标保证金的银行同期存款利息用作抵扣银行退款手续费。</w:t>
      </w:r>
      <w:r>
        <w:rPr>
          <w:rFonts w:hint="eastAsia" w:ascii="宋体" w:hAnsi="宋体" w:cs="宋体"/>
          <w:color w:val="auto"/>
          <w:sz w:val="24"/>
          <w:szCs w:val="24"/>
          <w:highlight w:val="none"/>
        </w:rPr>
        <w:t>招标文件中规定给予未中标人经济补偿的，也应在此期限内一并给付。</w:t>
      </w:r>
    </w:p>
    <w:p>
      <w:pPr>
        <w:spacing w:line="500" w:lineRule="exact"/>
        <w:ind w:firstLine="480" w:firstLineChars="200"/>
        <w:rPr>
          <w:color w:val="auto"/>
          <w:sz w:val="24"/>
          <w:highlight w:val="none"/>
        </w:rPr>
      </w:pPr>
      <w:r>
        <w:rPr>
          <w:rFonts w:hint="eastAsia"/>
          <w:color w:val="auto"/>
          <w:sz w:val="24"/>
          <w:highlight w:val="none"/>
        </w:rPr>
        <w:t>3.5.4 有下列情形之一的，投标保证金将不予退还：</w:t>
      </w:r>
    </w:p>
    <w:p>
      <w:pPr>
        <w:spacing w:line="500" w:lineRule="exact"/>
        <w:ind w:firstLine="360" w:firstLineChars="150"/>
        <w:rPr>
          <w:color w:val="auto"/>
          <w:sz w:val="24"/>
          <w:highlight w:val="none"/>
        </w:rPr>
      </w:pPr>
      <w:r>
        <w:rPr>
          <w:rFonts w:hint="eastAsia"/>
          <w:color w:val="auto"/>
          <w:sz w:val="24"/>
          <w:highlight w:val="none"/>
        </w:rPr>
        <w:t>（1）投标人在规定的投标有效期内撤销或修改其投标文件；</w:t>
      </w:r>
    </w:p>
    <w:p>
      <w:pPr>
        <w:spacing w:line="500" w:lineRule="exact"/>
        <w:ind w:firstLine="360" w:firstLineChars="150"/>
        <w:rPr>
          <w:color w:val="auto"/>
          <w:sz w:val="24"/>
          <w:highlight w:val="none"/>
        </w:rPr>
      </w:pPr>
      <w:r>
        <w:rPr>
          <w:rFonts w:hint="eastAsia"/>
          <w:color w:val="auto"/>
          <w:sz w:val="24"/>
          <w:highlight w:val="none"/>
        </w:rPr>
        <w:t>（2）</w:t>
      </w:r>
      <w:bookmarkStart w:id="131" w:name="_Toc376722709"/>
      <w:bookmarkStart w:id="132" w:name="_Toc376715938"/>
      <w:bookmarkStart w:id="133" w:name="_Toc376722624"/>
      <w:bookmarkStart w:id="134" w:name="_Toc144974522"/>
      <w:bookmarkStart w:id="135" w:name="_Toc152042330"/>
      <w:bookmarkStart w:id="136" w:name="_Toc152045554"/>
      <w:bookmarkStart w:id="137" w:name="_Toc247513978"/>
      <w:bookmarkStart w:id="138" w:name="_Toc376813730"/>
      <w:bookmarkStart w:id="139" w:name="_Toc376722793"/>
      <w:bookmarkStart w:id="140" w:name="_Toc394248464"/>
      <w:bookmarkStart w:id="141" w:name="_Toc367880323"/>
      <w:bookmarkStart w:id="142" w:name="_Toc394435785"/>
      <w:bookmarkStart w:id="143" w:name="_Toc376814074"/>
      <w:bookmarkStart w:id="144" w:name="_Toc247527579"/>
      <w:r>
        <w:rPr>
          <w:rFonts w:hint="eastAsia"/>
          <w:color w:val="auto"/>
          <w:sz w:val="24"/>
          <w:highlight w:val="none"/>
        </w:rPr>
        <w:t>中标人未能在规定期限内与招标人签订合同协议。</w:t>
      </w:r>
    </w:p>
    <w:p>
      <w:pPr>
        <w:spacing w:line="500" w:lineRule="exact"/>
        <w:rPr>
          <w:b/>
          <w:color w:val="auto"/>
          <w:sz w:val="30"/>
          <w:szCs w:val="30"/>
          <w:highlight w:val="none"/>
        </w:rPr>
      </w:pPr>
      <w:bookmarkStart w:id="145" w:name="_Toc11941106"/>
      <w:r>
        <w:rPr>
          <w:rFonts w:hint="eastAsia"/>
          <w:b/>
          <w:color w:val="auto"/>
          <w:sz w:val="30"/>
          <w:szCs w:val="30"/>
          <w:highlight w:val="none"/>
        </w:rPr>
        <w:t>3.6投标文件的份数和签署</w:t>
      </w:r>
    </w:p>
    <w:p>
      <w:pPr>
        <w:pStyle w:val="6"/>
        <w:tabs>
          <w:tab w:val="left" w:pos="0"/>
        </w:tabs>
        <w:snapToGrid w:val="0"/>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（1）投标人应按前附表规定的份数提交投标文件。</w:t>
      </w:r>
    </w:p>
    <w:p>
      <w:pPr>
        <w:pStyle w:val="6"/>
        <w:tabs>
          <w:tab w:val="left" w:pos="0"/>
        </w:tabs>
        <w:snapToGrid w:val="0"/>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投标文件的正本和副本均需打（复）印或使用不褪色的蓝、黑墨水笔书写，字迹应清晰易于辨认，并应在投标文件封面上清楚的注明“正本”或“副本”。副本可以是正本加盖公章签字后的复印件。正本与副本如有不一致之处，则以正本为准。</w:t>
      </w:r>
    </w:p>
    <w:p>
      <w:pPr>
        <w:pStyle w:val="6"/>
        <w:tabs>
          <w:tab w:val="left" w:pos="0"/>
        </w:tabs>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（3）投标文件应按具体要求加盖投标人单位公章、法定代表人或委托代理人签字</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由委托代理人签字的在投标文件中必须同时提交投标文件的法定代表人授权委托书，投标文件签署授权委托书格式、签字、盖章及内容均应符合要求，否则投标文件签署授权委托书无效。</w:t>
      </w:r>
    </w:p>
    <w:p>
      <w:pPr>
        <w:pStyle w:val="6"/>
        <w:tabs>
          <w:tab w:val="left" w:pos="0"/>
        </w:tabs>
        <w:snapToGrid w:val="0"/>
        <w:spacing w:line="500" w:lineRule="exact"/>
        <w:ind w:firstLine="482" w:firstLineChars="200"/>
        <w:jc w:val="left"/>
        <w:rPr>
          <w:rFonts w:hint="eastAsia" w:ascii="宋体" w:hAnsi="宋体" w:cs="宋体"/>
          <w:color w:val="auto"/>
          <w:sz w:val="24"/>
          <w:szCs w:val="24"/>
          <w:highlight w:val="none"/>
        </w:rPr>
      </w:pPr>
      <w:r>
        <w:rPr>
          <w:rFonts w:hint="eastAsia" w:hAnsi="宋体"/>
          <w:b/>
          <w:bCs/>
          <w:color w:val="auto"/>
          <w:sz w:val="24"/>
          <w:szCs w:val="24"/>
          <w:highlight w:val="none"/>
        </w:rPr>
        <w:t>如联合体</w:t>
      </w:r>
      <w:r>
        <w:rPr>
          <w:rFonts w:hint="eastAsia" w:ascii="宋体" w:hAnsi="宋体"/>
          <w:b/>
          <w:bCs/>
          <w:color w:val="auto"/>
          <w:sz w:val="24"/>
          <w:highlight w:val="none"/>
        </w:rPr>
        <w:t>形式参与</w:t>
      </w:r>
      <w:r>
        <w:rPr>
          <w:rFonts w:hint="eastAsia" w:hAnsi="宋体"/>
          <w:b/>
          <w:bCs/>
          <w:color w:val="auto"/>
          <w:sz w:val="24"/>
          <w:szCs w:val="24"/>
          <w:highlight w:val="none"/>
        </w:rPr>
        <w:t>投标的，则投标申请人名称填写所有成员的名称【如***公司（</w:t>
      </w:r>
      <w:r>
        <w:rPr>
          <w:rFonts w:hint="eastAsia" w:hAnsi="宋体"/>
          <w:b/>
          <w:bCs/>
          <w:color w:val="auto"/>
          <w:sz w:val="24"/>
          <w:szCs w:val="24"/>
          <w:highlight w:val="none"/>
          <w:lang w:eastAsia="zh-CN"/>
        </w:rPr>
        <w:t>牵头人</w:t>
      </w:r>
      <w:r>
        <w:rPr>
          <w:rFonts w:hint="eastAsia" w:hAnsi="宋体"/>
          <w:b/>
          <w:bCs/>
          <w:color w:val="auto"/>
          <w:sz w:val="24"/>
          <w:szCs w:val="24"/>
          <w:highlight w:val="none"/>
        </w:rPr>
        <w:t>）、***公司（成员）】，盖章应盖联合体</w:t>
      </w:r>
      <w:r>
        <w:rPr>
          <w:rFonts w:hint="eastAsia" w:hAnsi="宋体"/>
          <w:b/>
          <w:bCs/>
          <w:color w:val="auto"/>
          <w:sz w:val="24"/>
          <w:szCs w:val="24"/>
          <w:highlight w:val="none"/>
          <w:lang w:eastAsia="zh-CN"/>
        </w:rPr>
        <w:t>牵头人</w:t>
      </w:r>
      <w:r>
        <w:rPr>
          <w:rFonts w:hint="eastAsia" w:hAnsi="宋体"/>
          <w:b/>
          <w:bCs/>
          <w:color w:val="auto"/>
          <w:sz w:val="24"/>
          <w:szCs w:val="24"/>
          <w:highlight w:val="none"/>
        </w:rPr>
        <w:t>单位公章，签字</w:t>
      </w:r>
      <w:r>
        <w:rPr>
          <w:rFonts w:hAnsi="宋体"/>
          <w:b/>
          <w:bCs/>
          <w:color w:val="auto"/>
          <w:sz w:val="24"/>
          <w:szCs w:val="24"/>
          <w:highlight w:val="none"/>
        </w:rPr>
        <w:t>或盖章</w:t>
      </w:r>
      <w:r>
        <w:rPr>
          <w:rFonts w:hint="eastAsia" w:hAnsi="宋体"/>
          <w:b/>
          <w:bCs/>
          <w:color w:val="auto"/>
          <w:sz w:val="24"/>
          <w:szCs w:val="24"/>
          <w:highlight w:val="none"/>
        </w:rPr>
        <w:t>应由联合体</w:t>
      </w:r>
      <w:r>
        <w:rPr>
          <w:rFonts w:hint="eastAsia" w:hAnsi="宋体"/>
          <w:b/>
          <w:bCs/>
          <w:color w:val="auto"/>
          <w:sz w:val="24"/>
          <w:szCs w:val="24"/>
          <w:highlight w:val="none"/>
          <w:lang w:eastAsia="zh-CN"/>
        </w:rPr>
        <w:t>牵头人</w:t>
      </w:r>
      <w:r>
        <w:rPr>
          <w:rFonts w:hint="eastAsia" w:hAnsi="宋体"/>
          <w:b/>
          <w:bCs/>
          <w:color w:val="auto"/>
          <w:sz w:val="24"/>
          <w:szCs w:val="24"/>
          <w:highlight w:val="none"/>
        </w:rPr>
        <w:t>法定代表人（签字</w:t>
      </w:r>
      <w:r>
        <w:rPr>
          <w:rFonts w:hAnsi="宋体"/>
          <w:b/>
          <w:bCs/>
          <w:color w:val="auto"/>
          <w:sz w:val="24"/>
          <w:szCs w:val="24"/>
          <w:highlight w:val="none"/>
        </w:rPr>
        <w:t>或盖章</w:t>
      </w:r>
      <w:r>
        <w:rPr>
          <w:rFonts w:hint="eastAsia" w:hAnsi="宋体"/>
          <w:b/>
          <w:bCs/>
          <w:color w:val="auto"/>
          <w:sz w:val="24"/>
          <w:szCs w:val="24"/>
          <w:highlight w:val="none"/>
        </w:rPr>
        <w:t>）或其委托代理人签字，联合体协议除外</w:t>
      </w:r>
      <w:r>
        <w:rPr>
          <w:rFonts w:hint="eastAsia"/>
          <w:color w:val="auto"/>
          <w:sz w:val="24"/>
          <w:szCs w:val="24"/>
          <w:highlight w:val="none"/>
        </w:rPr>
        <w:t>。</w:t>
      </w:r>
    </w:p>
    <w:p>
      <w:pPr>
        <w:pStyle w:val="6"/>
        <w:tabs>
          <w:tab w:val="left" w:pos="0"/>
        </w:tabs>
        <w:snapToGrid w:val="0"/>
        <w:spacing w:line="500" w:lineRule="exact"/>
        <w:ind w:firstLine="480" w:firstLineChars="200"/>
        <w:jc w:val="left"/>
        <w:rPr>
          <w:b/>
          <w:color w:val="auto"/>
          <w:sz w:val="30"/>
          <w:szCs w:val="30"/>
          <w:highlight w:val="none"/>
        </w:rPr>
      </w:pPr>
      <w:r>
        <w:rPr>
          <w:rFonts w:hint="eastAsia" w:ascii="宋体" w:hAnsi="宋体" w:cs="宋体"/>
          <w:color w:val="auto"/>
          <w:sz w:val="24"/>
          <w:szCs w:val="24"/>
          <w:highlight w:val="none"/>
        </w:rPr>
        <w:t>（4）除投标人对错误处须修改外，全套投标文件应无涂改或行间插字和增删，如有修改，修改之处均应盖投标人单位公章或法定代表人（或委托代理人）签字。</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Start w:id="146" w:name="_Toc11941109"/>
      <w:bookmarkStart w:id="147" w:name="_Toc247513979"/>
      <w:bookmarkStart w:id="148" w:name="_Toc394435786"/>
      <w:bookmarkStart w:id="149" w:name="_Toc152045555"/>
      <w:bookmarkStart w:id="150" w:name="_Toc376814075"/>
      <w:bookmarkStart w:id="151" w:name="_Toc367880324"/>
      <w:bookmarkStart w:id="152" w:name="_Toc376722710"/>
      <w:bookmarkStart w:id="153" w:name="_Toc394248465"/>
      <w:bookmarkStart w:id="154" w:name="_Toc247527580"/>
      <w:bookmarkStart w:id="155" w:name="_Toc376813731"/>
      <w:bookmarkStart w:id="156" w:name="_Toc144974523"/>
      <w:bookmarkStart w:id="157" w:name="_Toc376715939"/>
      <w:bookmarkStart w:id="158" w:name="_Toc376722625"/>
      <w:bookmarkStart w:id="159" w:name="_Toc152042331"/>
      <w:bookmarkStart w:id="160" w:name="_Toc376722794"/>
    </w:p>
    <w:p>
      <w:pPr>
        <w:spacing w:line="500" w:lineRule="exact"/>
        <w:rPr>
          <w:b/>
          <w:color w:val="auto"/>
          <w:sz w:val="30"/>
          <w:szCs w:val="30"/>
          <w:highlight w:val="none"/>
        </w:rPr>
      </w:pPr>
      <w:r>
        <w:rPr>
          <w:rFonts w:hint="eastAsia"/>
          <w:b/>
          <w:color w:val="auto"/>
          <w:sz w:val="30"/>
          <w:szCs w:val="30"/>
          <w:highlight w:val="none"/>
        </w:rPr>
        <w:t>4. 投标</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500" w:lineRule="exact"/>
        <w:rPr>
          <w:b/>
          <w:color w:val="auto"/>
          <w:sz w:val="28"/>
          <w:szCs w:val="28"/>
          <w:highlight w:val="none"/>
        </w:rPr>
      </w:pPr>
      <w:bookmarkStart w:id="161" w:name="_Toc152045556"/>
      <w:bookmarkStart w:id="162" w:name="_Toc376722795"/>
      <w:bookmarkStart w:id="163" w:name="_Toc394248466"/>
      <w:bookmarkStart w:id="164" w:name="_Toc367880325"/>
      <w:bookmarkStart w:id="165" w:name="_Toc376814076"/>
      <w:bookmarkStart w:id="166" w:name="_Toc376722711"/>
      <w:bookmarkStart w:id="167" w:name="_Toc376715940"/>
      <w:bookmarkStart w:id="168" w:name="_Toc247513980"/>
      <w:bookmarkStart w:id="169" w:name="_Toc247527581"/>
      <w:bookmarkStart w:id="170" w:name="_Toc144974524"/>
      <w:bookmarkStart w:id="171" w:name="_Toc152042332"/>
      <w:bookmarkStart w:id="172" w:name="_Toc376722626"/>
      <w:bookmarkStart w:id="173" w:name="_Toc11941110"/>
      <w:bookmarkStart w:id="174" w:name="_Toc376813732"/>
      <w:bookmarkStart w:id="175" w:name="_Toc394435787"/>
      <w:r>
        <w:rPr>
          <w:rFonts w:hint="eastAsia"/>
          <w:b/>
          <w:color w:val="auto"/>
          <w:sz w:val="28"/>
          <w:szCs w:val="28"/>
          <w:highlight w:val="none"/>
        </w:rPr>
        <w:t>4.1 投标文件的密封和标记</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500" w:lineRule="exact"/>
        <w:ind w:firstLine="480" w:firstLineChars="200"/>
        <w:rPr>
          <w:color w:val="auto"/>
          <w:sz w:val="24"/>
          <w:highlight w:val="none"/>
        </w:rPr>
      </w:pPr>
      <w:r>
        <w:rPr>
          <w:rFonts w:hint="eastAsia"/>
          <w:color w:val="auto"/>
          <w:sz w:val="24"/>
          <w:highlight w:val="none"/>
        </w:rPr>
        <w:t>4.1.1 投标文件应进行包装、加贴封条，并在封套的封口处加盖投标人单位章。</w:t>
      </w:r>
    </w:p>
    <w:p>
      <w:pPr>
        <w:spacing w:line="500" w:lineRule="exact"/>
        <w:ind w:firstLine="480" w:firstLineChars="200"/>
        <w:rPr>
          <w:color w:val="auto"/>
          <w:sz w:val="24"/>
          <w:highlight w:val="none"/>
        </w:rPr>
      </w:pPr>
      <w:r>
        <w:rPr>
          <w:rFonts w:hint="eastAsia"/>
          <w:color w:val="auto"/>
          <w:sz w:val="24"/>
          <w:highlight w:val="none"/>
        </w:rPr>
        <w:t>4.1.2 投标文件封套上应写明的内容见投标须知前附表。</w:t>
      </w:r>
    </w:p>
    <w:p>
      <w:pPr>
        <w:spacing w:line="500" w:lineRule="exact"/>
        <w:ind w:firstLine="480" w:firstLineChars="200"/>
        <w:rPr>
          <w:color w:val="auto"/>
          <w:sz w:val="24"/>
          <w:highlight w:val="none"/>
        </w:rPr>
      </w:pPr>
      <w:r>
        <w:rPr>
          <w:rFonts w:hint="eastAsia"/>
          <w:color w:val="auto"/>
          <w:sz w:val="24"/>
          <w:highlight w:val="none"/>
        </w:rPr>
        <w:t>4.1.3 未按本章第4.1.1项和第4.1.2项要求密封和加写标记的投标文件，招标人不予受理。</w:t>
      </w:r>
    </w:p>
    <w:p>
      <w:pPr>
        <w:spacing w:line="500" w:lineRule="exact"/>
        <w:rPr>
          <w:b/>
          <w:color w:val="auto"/>
          <w:sz w:val="28"/>
          <w:szCs w:val="28"/>
          <w:highlight w:val="none"/>
        </w:rPr>
      </w:pPr>
      <w:bookmarkStart w:id="176" w:name="_Toc152045557"/>
      <w:bookmarkStart w:id="177" w:name="_Toc11941111"/>
      <w:bookmarkStart w:id="178" w:name="_Toc144974525"/>
      <w:bookmarkStart w:id="179" w:name="_Toc247527582"/>
      <w:bookmarkStart w:id="180" w:name="_Toc376715941"/>
      <w:bookmarkStart w:id="181" w:name="_Toc376722712"/>
      <w:bookmarkStart w:id="182" w:name="_Toc394248467"/>
      <w:bookmarkStart w:id="183" w:name="_Toc376813733"/>
      <w:bookmarkStart w:id="184" w:name="_Toc247513981"/>
      <w:bookmarkStart w:id="185" w:name="_Toc394435788"/>
      <w:bookmarkStart w:id="186" w:name="_Toc152042333"/>
      <w:bookmarkStart w:id="187" w:name="_Toc367880326"/>
      <w:bookmarkStart w:id="188" w:name="_Toc376722796"/>
      <w:bookmarkStart w:id="189" w:name="_Toc376814077"/>
      <w:bookmarkStart w:id="190" w:name="_Toc376722627"/>
      <w:r>
        <w:rPr>
          <w:rFonts w:hint="eastAsia"/>
          <w:b/>
          <w:color w:val="auto"/>
          <w:sz w:val="28"/>
          <w:szCs w:val="28"/>
          <w:highlight w:val="none"/>
        </w:rPr>
        <w:t>4.2 投标文件的递交</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500" w:lineRule="exact"/>
        <w:ind w:firstLine="480" w:firstLineChars="200"/>
        <w:rPr>
          <w:color w:val="auto"/>
          <w:sz w:val="24"/>
          <w:highlight w:val="none"/>
        </w:rPr>
      </w:pPr>
      <w:r>
        <w:rPr>
          <w:rFonts w:hint="eastAsia"/>
          <w:color w:val="auto"/>
          <w:sz w:val="24"/>
          <w:highlight w:val="none"/>
        </w:rPr>
        <w:t>4.2.1 投标人应在规定的投标截止时间前递交投标文件。</w:t>
      </w:r>
    </w:p>
    <w:p>
      <w:pPr>
        <w:spacing w:line="500" w:lineRule="exact"/>
        <w:ind w:firstLine="480" w:firstLineChars="200"/>
        <w:rPr>
          <w:color w:val="auto"/>
          <w:sz w:val="24"/>
          <w:highlight w:val="none"/>
        </w:rPr>
      </w:pPr>
      <w:r>
        <w:rPr>
          <w:rFonts w:hint="eastAsia"/>
          <w:color w:val="auto"/>
          <w:sz w:val="24"/>
          <w:highlight w:val="none"/>
        </w:rPr>
        <w:t>4.2.2 投标人递交投标文件的地点：见投标须知前附表。</w:t>
      </w:r>
    </w:p>
    <w:p>
      <w:pPr>
        <w:spacing w:line="500" w:lineRule="exact"/>
        <w:ind w:firstLine="480" w:firstLineChars="200"/>
        <w:rPr>
          <w:color w:val="auto"/>
          <w:sz w:val="24"/>
          <w:highlight w:val="none"/>
        </w:rPr>
      </w:pPr>
      <w:r>
        <w:rPr>
          <w:rFonts w:hint="eastAsia"/>
          <w:color w:val="auto"/>
          <w:sz w:val="24"/>
          <w:highlight w:val="none"/>
        </w:rPr>
        <w:t>4.2.3 除投标须知前附表另有规定外，投标人所递交的投标文件不予退还。</w:t>
      </w:r>
    </w:p>
    <w:p>
      <w:pPr>
        <w:spacing w:line="500" w:lineRule="exact"/>
        <w:ind w:firstLine="480" w:firstLineChars="200"/>
        <w:rPr>
          <w:color w:val="auto"/>
          <w:sz w:val="24"/>
          <w:highlight w:val="none"/>
        </w:rPr>
      </w:pPr>
      <w:r>
        <w:rPr>
          <w:rFonts w:hint="eastAsia"/>
          <w:color w:val="auto"/>
          <w:sz w:val="24"/>
          <w:highlight w:val="none"/>
        </w:rPr>
        <w:t>4.2.4 逾期送达的或者未送达指定地点的投标文件，招标人不予受理。</w:t>
      </w:r>
    </w:p>
    <w:p>
      <w:pPr>
        <w:spacing w:line="500" w:lineRule="exact"/>
        <w:rPr>
          <w:b/>
          <w:color w:val="auto"/>
          <w:sz w:val="28"/>
          <w:szCs w:val="28"/>
          <w:highlight w:val="none"/>
        </w:rPr>
      </w:pPr>
      <w:bookmarkStart w:id="191" w:name="_Toc152042334"/>
      <w:bookmarkStart w:id="192" w:name="_Toc394248468"/>
      <w:bookmarkStart w:id="193" w:name="_Toc376814078"/>
      <w:bookmarkStart w:id="194" w:name="_Toc247527583"/>
      <w:bookmarkStart w:id="195" w:name="_Toc11941112"/>
      <w:bookmarkStart w:id="196" w:name="_Toc376722797"/>
      <w:bookmarkStart w:id="197" w:name="_Toc376722628"/>
      <w:bookmarkStart w:id="198" w:name="_Toc152045558"/>
      <w:bookmarkStart w:id="199" w:name="_Toc247513982"/>
      <w:bookmarkStart w:id="200" w:name="_Toc376722713"/>
      <w:bookmarkStart w:id="201" w:name="_Toc144974526"/>
      <w:bookmarkStart w:id="202" w:name="_Toc394435789"/>
      <w:bookmarkStart w:id="203" w:name="_Toc376715942"/>
      <w:bookmarkStart w:id="204" w:name="_Toc367880327"/>
      <w:bookmarkStart w:id="205" w:name="_Toc376813734"/>
      <w:r>
        <w:rPr>
          <w:rFonts w:hint="eastAsia"/>
          <w:b/>
          <w:color w:val="auto"/>
          <w:sz w:val="28"/>
          <w:szCs w:val="28"/>
          <w:highlight w:val="none"/>
        </w:rPr>
        <w:t>4.3 投标文件的修改与撤回</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500" w:lineRule="exact"/>
        <w:ind w:firstLine="480" w:firstLineChars="200"/>
        <w:rPr>
          <w:color w:val="auto"/>
          <w:sz w:val="24"/>
          <w:highlight w:val="none"/>
        </w:rPr>
      </w:pPr>
      <w:r>
        <w:rPr>
          <w:rFonts w:hint="eastAsia"/>
          <w:color w:val="auto"/>
          <w:sz w:val="24"/>
          <w:highlight w:val="none"/>
        </w:rPr>
        <w:t>4.3.1 在规定的投标截止时间前，投标人可以修改或撤回已递交的投标文件，但应以书面形式通知招标人。</w:t>
      </w:r>
    </w:p>
    <w:p>
      <w:pPr>
        <w:spacing w:line="500" w:lineRule="exact"/>
        <w:ind w:firstLine="480" w:firstLineChars="200"/>
        <w:rPr>
          <w:color w:val="auto"/>
          <w:sz w:val="24"/>
          <w:highlight w:val="none"/>
        </w:rPr>
      </w:pPr>
      <w:r>
        <w:rPr>
          <w:rFonts w:hint="eastAsia"/>
          <w:color w:val="auto"/>
          <w:sz w:val="24"/>
          <w:highlight w:val="none"/>
        </w:rPr>
        <w:t>4.3.2 投标人修改或撤回已递交投标文件的书面通知应按照要求签字和盖章。</w:t>
      </w:r>
    </w:p>
    <w:p>
      <w:pPr>
        <w:spacing w:line="500" w:lineRule="exact"/>
        <w:ind w:firstLine="480" w:firstLineChars="200"/>
        <w:rPr>
          <w:color w:val="auto"/>
          <w:sz w:val="24"/>
          <w:highlight w:val="none"/>
        </w:rPr>
      </w:pPr>
      <w:r>
        <w:rPr>
          <w:rFonts w:hint="eastAsia"/>
          <w:color w:val="auto"/>
          <w:sz w:val="24"/>
          <w:highlight w:val="none"/>
        </w:rPr>
        <w:t>4.3.3 投标人撤回投标文件的，招标人自收到投标人书面撤回通知之日起5日内退还已收取的投标保证金。</w:t>
      </w:r>
    </w:p>
    <w:p>
      <w:pPr>
        <w:spacing w:line="500" w:lineRule="exact"/>
        <w:ind w:firstLine="480" w:firstLineChars="200"/>
        <w:rPr>
          <w:color w:val="auto"/>
          <w:sz w:val="24"/>
          <w:highlight w:val="none"/>
        </w:rPr>
      </w:pPr>
      <w:r>
        <w:rPr>
          <w:rFonts w:hint="eastAsia"/>
          <w:color w:val="auto"/>
          <w:sz w:val="24"/>
          <w:highlight w:val="none"/>
        </w:rPr>
        <w:t>4.3.4 修改的内容为投标文件的组成部分。</w:t>
      </w:r>
    </w:p>
    <w:p>
      <w:pPr>
        <w:spacing w:line="500" w:lineRule="exact"/>
        <w:rPr>
          <w:b/>
          <w:color w:val="auto"/>
          <w:sz w:val="30"/>
          <w:szCs w:val="30"/>
          <w:highlight w:val="none"/>
        </w:rPr>
      </w:pPr>
      <w:bookmarkStart w:id="206" w:name="_Toc376715943"/>
      <w:bookmarkStart w:id="207" w:name="_Toc376814079"/>
      <w:bookmarkStart w:id="208" w:name="_Toc152042335"/>
      <w:bookmarkStart w:id="209" w:name="_Toc394435790"/>
      <w:bookmarkStart w:id="210" w:name="_Toc144974527"/>
      <w:bookmarkStart w:id="211" w:name="_Toc367880328"/>
      <w:bookmarkStart w:id="212" w:name="_Toc152045559"/>
      <w:bookmarkStart w:id="213" w:name="_Toc376813735"/>
      <w:bookmarkStart w:id="214" w:name="_Toc247527584"/>
      <w:bookmarkStart w:id="215" w:name="_Toc11941113"/>
      <w:bookmarkStart w:id="216" w:name="_Toc376722629"/>
      <w:bookmarkStart w:id="217" w:name="_Toc376722714"/>
      <w:bookmarkStart w:id="218" w:name="_Toc376722798"/>
      <w:bookmarkStart w:id="219" w:name="_Toc394248469"/>
      <w:bookmarkStart w:id="220" w:name="_Toc247513983"/>
      <w:r>
        <w:rPr>
          <w:rFonts w:hint="eastAsia"/>
          <w:b/>
          <w:color w:val="auto"/>
          <w:sz w:val="30"/>
          <w:szCs w:val="30"/>
          <w:highlight w:val="none"/>
        </w:rPr>
        <w:t>5. 开标</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500" w:lineRule="exact"/>
        <w:rPr>
          <w:b/>
          <w:color w:val="auto"/>
          <w:sz w:val="28"/>
          <w:szCs w:val="28"/>
          <w:highlight w:val="none"/>
        </w:rPr>
      </w:pPr>
      <w:bookmarkStart w:id="221" w:name="_Toc376814080"/>
      <w:bookmarkStart w:id="222" w:name="_Toc152042336"/>
      <w:bookmarkStart w:id="223" w:name="_Toc376715944"/>
      <w:bookmarkStart w:id="224" w:name="_Toc152045560"/>
      <w:bookmarkStart w:id="225" w:name="_Toc376813736"/>
      <w:bookmarkStart w:id="226" w:name="_Toc247513984"/>
      <w:bookmarkStart w:id="227" w:name="_Toc394248470"/>
      <w:bookmarkStart w:id="228" w:name="_Toc367880329"/>
      <w:bookmarkStart w:id="229" w:name="_Toc247527585"/>
      <w:bookmarkStart w:id="230" w:name="_Toc376722715"/>
      <w:bookmarkStart w:id="231" w:name="_Toc394435791"/>
      <w:bookmarkStart w:id="232" w:name="_Toc376722799"/>
      <w:bookmarkStart w:id="233" w:name="_Toc11941114"/>
      <w:bookmarkStart w:id="234" w:name="_Toc144974528"/>
      <w:bookmarkStart w:id="235" w:name="_Toc376722630"/>
      <w:r>
        <w:rPr>
          <w:rFonts w:hint="eastAsia"/>
          <w:b/>
          <w:color w:val="auto"/>
          <w:sz w:val="28"/>
          <w:szCs w:val="28"/>
          <w:highlight w:val="none"/>
        </w:rPr>
        <w:t>5.1 开标时间和地点</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500" w:lineRule="exact"/>
        <w:ind w:firstLine="480" w:firstLineChars="200"/>
        <w:rPr>
          <w:color w:val="auto"/>
          <w:sz w:val="24"/>
          <w:highlight w:val="none"/>
        </w:rPr>
      </w:pPr>
      <w:r>
        <w:rPr>
          <w:rFonts w:hint="eastAsia"/>
          <w:color w:val="auto"/>
          <w:sz w:val="24"/>
          <w:highlight w:val="none"/>
        </w:rPr>
        <w:t>招标人在规定的投标截止时间（开标时间）和投标须知前附表规定的地点公开开标，投标人的</w:t>
      </w:r>
      <w:r>
        <w:rPr>
          <w:rFonts w:hint="eastAsia" w:ascii="宋体" w:hAnsi="宋体"/>
          <w:color w:val="auto"/>
          <w:sz w:val="24"/>
          <w:highlight w:val="none"/>
        </w:rPr>
        <w:t>法定代表人或其授权代表</w:t>
      </w:r>
      <w:r>
        <w:rPr>
          <w:rFonts w:hint="eastAsia"/>
          <w:color w:val="auto"/>
          <w:sz w:val="24"/>
          <w:highlight w:val="none"/>
        </w:rPr>
        <w:t>应准时参加。</w:t>
      </w:r>
    </w:p>
    <w:p>
      <w:pPr>
        <w:spacing w:line="500" w:lineRule="exact"/>
        <w:rPr>
          <w:b/>
          <w:color w:val="auto"/>
          <w:sz w:val="28"/>
          <w:szCs w:val="28"/>
          <w:highlight w:val="none"/>
        </w:rPr>
      </w:pPr>
      <w:bookmarkStart w:id="236" w:name="_Toc376722631"/>
      <w:bookmarkStart w:id="237" w:name="_Toc394435792"/>
      <w:bookmarkStart w:id="238" w:name="_Toc394248471"/>
      <w:bookmarkStart w:id="239" w:name="_Toc367880330"/>
      <w:bookmarkStart w:id="240" w:name="_Toc376814081"/>
      <w:bookmarkStart w:id="241" w:name="_Toc376722800"/>
      <w:bookmarkStart w:id="242" w:name="_Toc376715945"/>
      <w:bookmarkStart w:id="243" w:name="_Toc376813737"/>
      <w:bookmarkStart w:id="244" w:name="_Toc247513985"/>
      <w:bookmarkStart w:id="245" w:name="_Toc247527586"/>
      <w:bookmarkStart w:id="246" w:name="_Toc152042337"/>
      <w:bookmarkStart w:id="247" w:name="_Toc144974529"/>
      <w:bookmarkStart w:id="248" w:name="_Toc376722716"/>
      <w:bookmarkStart w:id="249" w:name="_Toc152045561"/>
      <w:bookmarkStart w:id="250" w:name="_Toc11941115"/>
      <w:r>
        <w:rPr>
          <w:rFonts w:hint="eastAsia"/>
          <w:b/>
          <w:color w:val="auto"/>
          <w:sz w:val="28"/>
          <w:szCs w:val="28"/>
          <w:highlight w:val="none"/>
        </w:rPr>
        <w:t>5.2 开标程序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spacing w:line="500" w:lineRule="exact"/>
        <w:ind w:firstLine="480" w:firstLineChars="200"/>
        <w:rPr>
          <w:color w:val="auto"/>
          <w:sz w:val="24"/>
          <w:highlight w:val="none"/>
        </w:rPr>
      </w:pPr>
      <w:r>
        <w:rPr>
          <w:rFonts w:hint="eastAsia"/>
          <w:color w:val="auto"/>
          <w:sz w:val="24"/>
          <w:highlight w:val="none"/>
        </w:rPr>
        <w:t>(1)开标会议由招标人（或招标代理机构）主持；</w:t>
      </w:r>
    </w:p>
    <w:p>
      <w:pPr>
        <w:spacing w:line="500" w:lineRule="exact"/>
        <w:ind w:firstLine="480" w:firstLineChars="200"/>
        <w:rPr>
          <w:color w:val="auto"/>
          <w:sz w:val="24"/>
          <w:highlight w:val="none"/>
        </w:rPr>
      </w:pPr>
      <w:r>
        <w:rPr>
          <w:rFonts w:hint="eastAsia"/>
          <w:color w:val="auto"/>
          <w:sz w:val="24"/>
          <w:highlight w:val="none"/>
        </w:rPr>
        <w:t>(2)宣布参加开标会议的投标人和投标文件送达情况，宣布各</w:t>
      </w:r>
      <w:r>
        <w:rPr>
          <w:color w:val="auto"/>
          <w:sz w:val="24"/>
          <w:highlight w:val="none"/>
        </w:rPr>
        <w:t>投标</w:t>
      </w:r>
      <w:r>
        <w:rPr>
          <w:rFonts w:hint="eastAsia"/>
          <w:color w:val="auto"/>
          <w:sz w:val="24"/>
          <w:highlight w:val="none"/>
        </w:rPr>
        <w:t>人</w:t>
      </w:r>
      <w:r>
        <w:rPr>
          <w:color w:val="auto"/>
          <w:sz w:val="24"/>
          <w:highlight w:val="none"/>
        </w:rPr>
        <w:t>投标担保</w:t>
      </w:r>
      <w:r>
        <w:rPr>
          <w:rFonts w:hint="eastAsia"/>
          <w:color w:val="auto"/>
          <w:sz w:val="24"/>
          <w:highlight w:val="none"/>
        </w:rPr>
        <w:t>交纳</w:t>
      </w:r>
      <w:r>
        <w:rPr>
          <w:color w:val="auto"/>
          <w:sz w:val="24"/>
          <w:highlight w:val="none"/>
        </w:rPr>
        <w:t>情况；</w:t>
      </w:r>
    </w:p>
    <w:p>
      <w:pPr>
        <w:spacing w:line="500" w:lineRule="exact"/>
        <w:ind w:firstLine="480" w:firstLineChars="200"/>
        <w:rPr>
          <w:color w:val="auto"/>
          <w:sz w:val="24"/>
          <w:highlight w:val="none"/>
        </w:rPr>
      </w:pPr>
      <w:r>
        <w:rPr>
          <w:rFonts w:hint="eastAsia"/>
          <w:color w:val="auto"/>
          <w:sz w:val="24"/>
          <w:highlight w:val="none"/>
        </w:rPr>
        <w:t>(3) 招标人、监督人员及投标人代表对</w:t>
      </w:r>
      <w:r>
        <w:rPr>
          <w:color w:val="auto"/>
          <w:sz w:val="24"/>
          <w:highlight w:val="none"/>
        </w:rPr>
        <w:t>投标文件</w:t>
      </w:r>
      <w:r>
        <w:rPr>
          <w:rFonts w:hint="eastAsia"/>
          <w:color w:val="auto"/>
          <w:sz w:val="24"/>
          <w:highlight w:val="none"/>
        </w:rPr>
        <w:t>的</w:t>
      </w:r>
      <w:r>
        <w:rPr>
          <w:color w:val="auto"/>
          <w:sz w:val="24"/>
          <w:highlight w:val="none"/>
        </w:rPr>
        <w:t>密封情况进行检查</w:t>
      </w:r>
      <w:r>
        <w:rPr>
          <w:rFonts w:hint="eastAsia"/>
          <w:color w:val="auto"/>
          <w:sz w:val="24"/>
          <w:highlight w:val="none"/>
        </w:rPr>
        <w:t>，</w:t>
      </w:r>
      <w:r>
        <w:rPr>
          <w:color w:val="auto"/>
          <w:sz w:val="24"/>
          <w:highlight w:val="none"/>
        </w:rPr>
        <w:t>宣布检查结果；</w:t>
      </w:r>
    </w:p>
    <w:p>
      <w:pPr>
        <w:spacing w:line="500" w:lineRule="exact"/>
        <w:ind w:firstLine="480" w:firstLineChars="200"/>
        <w:rPr>
          <w:color w:val="auto"/>
          <w:sz w:val="24"/>
          <w:highlight w:val="none"/>
        </w:rPr>
      </w:pPr>
      <w:r>
        <w:rPr>
          <w:rFonts w:hint="eastAsia"/>
          <w:color w:val="auto"/>
          <w:sz w:val="24"/>
          <w:highlight w:val="none"/>
        </w:rPr>
        <w:t>(4)</w:t>
      </w:r>
      <w:r>
        <w:rPr>
          <w:color w:val="auto"/>
          <w:sz w:val="24"/>
          <w:highlight w:val="none"/>
        </w:rPr>
        <w:t>开启各投标</w:t>
      </w:r>
      <w:r>
        <w:rPr>
          <w:rFonts w:hint="eastAsia"/>
          <w:color w:val="auto"/>
          <w:sz w:val="24"/>
          <w:highlight w:val="none"/>
        </w:rPr>
        <w:t>人</w:t>
      </w:r>
      <w:r>
        <w:rPr>
          <w:color w:val="auto"/>
          <w:sz w:val="24"/>
          <w:highlight w:val="none"/>
        </w:rPr>
        <w:t>的</w:t>
      </w:r>
      <w:r>
        <w:rPr>
          <w:rFonts w:hint="eastAsia"/>
          <w:color w:val="auto"/>
          <w:sz w:val="24"/>
          <w:highlight w:val="none"/>
        </w:rPr>
        <w:t>投标文件，宣布投标报价及其他；</w:t>
      </w:r>
    </w:p>
    <w:p>
      <w:pPr>
        <w:spacing w:line="500" w:lineRule="exact"/>
        <w:ind w:firstLine="480" w:firstLineChars="200"/>
        <w:rPr>
          <w:rFonts w:hint="eastAsia" w:eastAsia="宋体"/>
          <w:color w:val="auto"/>
          <w:sz w:val="24"/>
          <w:highlight w:val="none"/>
          <w:lang w:eastAsia="zh-CN"/>
        </w:rPr>
      </w:pPr>
      <w:r>
        <w:rPr>
          <w:rFonts w:hint="eastAsia"/>
          <w:color w:val="auto"/>
          <w:sz w:val="24"/>
          <w:highlight w:val="none"/>
        </w:rPr>
        <w:t>(5)询问各投标人对开标情况有无异议，如无则进入评标阶段</w:t>
      </w:r>
      <w:r>
        <w:rPr>
          <w:rFonts w:hint="eastAsia"/>
          <w:color w:val="auto"/>
          <w:sz w:val="24"/>
          <w:highlight w:val="none"/>
          <w:lang w:eastAsia="zh-CN"/>
        </w:rPr>
        <w:t>。</w:t>
      </w:r>
    </w:p>
    <w:p>
      <w:pPr>
        <w:spacing w:line="500" w:lineRule="exact"/>
        <w:rPr>
          <w:b/>
          <w:color w:val="auto"/>
          <w:sz w:val="28"/>
          <w:szCs w:val="28"/>
          <w:highlight w:val="none"/>
        </w:rPr>
      </w:pPr>
      <w:bookmarkStart w:id="251" w:name="_Toc376715946"/>
      <w:bookmarkStart w:id="252" w:name="_Toc376722632"/>
      <w:bookmarkStart w:id="253" w:name="_Toc367880331"/>
      <w:bookmarkStart w:id="254" w:name="_Toc376722717"/>
      <w:bookmarkStart w:id="255" w:name="_Toc394435793"/>
      <w:bookmarkStart w:id="256" w:name="_Toc376813738"/>
      <w:bookmarkStart w:id="257" w:name="_Toc376722801"/>
      <w:bookmarkStart w:id="258" w:name="_Toc376814082"/>
      <w:bookmarkStart w:id="259" w:name="_Toc394248472"/>
      <w:bookmarkStart w:id="260" w:name="_Toc11941116"/>
      <w:r>
        <w:rPr>
          <w:rFonts w:hint="eastAsia"/>
          <w:b/>
          <w:color w:val="auto"/>
          <w:sz w:val="28"/>
          <w:szCs w:val="28"/>
          <w:highlight w:val="none"/>
        </w:rPr>
        <w:t>5.3 开标异议</w:t>
      </w:r>
      <w:bookmarkEnd w:id="251"/>
      <w:bookmarkEnd w:id="252"/>
      <w:bookmarkEnd w:id="253"/>
      <w:bookmarkEnd w:id="254"/>
      <w:bookmarkEnd w:id="255"/>
      <w:bookmarkEnd w:id="256"/>
      <w:bookmarkEnd w:id="257"/>
      <w:bookmarkEnd w:id="258"/>
      <w:bookmarkEnd w:id="259"/>
      <w:bookmarkEnd w:id="260"/>
    </w:p>
    <w:p>
      <w:pPr>
        <w:spacing w:line="500" w:lineRule="exact"/>
        <w:ind w:firstLine="410" w:firstLineChars="171"/>
        <w:rPr>
          <w:color w:val="auto"/>
          <w:sz w:val="24"/>
          <w:highlight w:val="none"/>
        </w:rPr>
      </w:pPr>
      <w:r>
        <w:rPr>
          <w:rFonts w:hint="eastAsia"/>
          <w:color w:val="auto"/>
          <w:sz w:val="24"/>
          <w:highlight w:val="none"/>
        </w:rPr>
        <w:t>投标人对开标有异议的，应当在开标现场提出，招标人当场作出答复，并作记录。</w:t>
      </w:r>
    </w:p>
    <w:p>
      <w:pPr>
        <w:spacing w:line="500" w:lineRule="exact"/>
        <w:rPr>
          <w:b/>
          <w:color w:val="auto"/>
          <w:sz w:val="30"/>
          <w:szCs w:val="30"/>
          <w:highlight w:val="none"/>
        </w:rPr>
      </w:pPr>
      <w:bookmarkStart w:id="261" w:name="_Toc367880332"/>
      <w:bookmarkStart w:id="262" w:name="_Toc152042338"/>
      <w:bookmarkStart w:id="263" w:name="_Toc394248473"/>
      <w:bookmarkStart w:id="264" w:name="_Toc376722718"/>
      <w:bookmarkStart w:id="265" w:name="_Toc376722802"/>
      <w:bookmarkStart w:id="266" w:name="_Toc376814083"/>
      <w:bookmarkStart w:id="267" w:name="_Toc144974530"/>
      <w:bookmarkStart w:id="268" w:name="_Toc394435794"/>
      <w:bookmarkStart w:id="269" w:name="_Toc11941117"/>
      <w:bookmarkStart w:id="270" w:name="_Toc247513986"/>
      <w:bookmarkStart w:id="271" w:name="_Toc376813739"/>
      <w:bookmarkStart w:id="272" w:name="_Toc247527587"/>
      <w:bookmarkStart w:id="273" w:name="_Toc152045562"/>
      <w:bookmarkStart w:id="274" w:name="_Toc376715947"/>
      <w:bookmarkStart w:id="275" w:name="_Toc376722633"/>
      <w:r>
        <w:rPr>
          <w:rFonts w:hint="eastAsia"/>
          <w:b/>
          <w:color w:val="auto"/>
          <w:sz w:val="30"/>
          <w:szCs w:val="30"/>
          <w:highlight w:val="none"/>
        </w:rPr>
        <w:t>6. 评标</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spacing w:line="500" w:lineRule="exact"/>
        <w:rPr>
          <w:b/>
          <w:color w:val="auto"/>
          <w:sz w:val="28"/>
          <w:szCs w:val="28"/>
          <w:highlight w:val="none"/>
        </w:rPr>
      </w:pPr>
      <w:bookmarkStart w:id="276" w:name="_Toc394435795"/>
      <w:bookmarkStart w:id="277" w:name="_Toc376813740"/>
      <w:bookmarkStart w:id="278" w:name="_Toc11941118"/>
      <w:bookmarkStart w:id="279" w:name="_Toc394248474"/>
      <w:bookmarkStart w:id="280" w:name="_Toc376722634"/>
      <w:bookmarkStart w:id="281" w:name="_Toc247527588"/>
      <w:bookmarkStart w:id="282" w:name="_Toc144974531"/>
      <w:bookmarkStart w:id="283" w:name="_Toc376722803"/>
      <w:bookmarkStart w:id="284" w:name="_Toc152045563"/>
      <w:bookmarkStart w:id="285" w:name="_Toc376715948"/>
      <w:bookmarkStart w:id="286" w:name="_Toc247513987"/>
      <w:bookmarkStart w:id="287" w:name="_Toc367880333"/>
      <w:bookmarkStart w:id="288" w:name="_Toc152042339"/>
      <w:bookmarkStart w:id="289" w:name="_Toc376814084"/>
      <w:bookmarkStart w:id="290" w:name="_Toc376722719"/>
      <w:r>
        <w:rPr>
          <w:rFonts w:hint="eastAsia"/>
          <w:b/>
          <w:color w:val="auto"/>
          <w:sz w:val="28"/>
          <w:szCs w:val="28"/>
          <w:highlight w:val="none"/>
        </w:rPr>
        <w:t>6.1 评标委员会</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500" w:lineRule="exact"/>
        <w:ind w:firstLine="480" w:firstLineChars="200"/>
        <w:rPr>
          <w:color w:val="auto"/>
          <w:sz w:val="24"/>
          <w:highlight w:val="none"/>
        </w:rPr>
      </w:pPr>
      <w:r>
        <w:rPr>
          <w:rFonts w:hint="eastAsia"/>
          <w:color w:val="auto"/>
          <w:sz w:val="24"/>
          <w:highlight w:val="none"/>
        </w:rPr>
        <w:t>6.1.1 评标由招标人依法组建的评标委员会负责。</w:t>
      </w:r>
      <w:r>
        <w:rPr>
          <w:rFonts w:hint="eastAsia" w:ascii="宋体" w:hAnsi="宋体" w:cs="宋体"/>
          <w:color w:val="auto"/>
          <w:sz w:val="24"/>
          <w:highlight w:val="none"/>
        </w:rPr>
        <w:t>评标委员会成员人数以及技术、经济等方面专家的确定方式见投</w:t>
      </w:r>
      <w:r>
        <w:rPr>
          <w:rFonts w:hint="eastAsia"/>
          <w:color w:val="auto"/>
          <w:sz w:val="24"/>
          <w:highlight w:val="none"/>
        </w:rPr>
        <w:t>标须知前附表。</w:t>
      </w:r>
    </w:p>
    <w:p>
      <w:pPr>
        <w:spacing w:line="500" w:lineRule="exact"/>
        <w:ind w:firstLine="480" w:firstLineChars="200"/>
        <w:rPr>
          <w:color w:val="auto"/>
          <w:sz w:val="24"/>
          <w:highlight w:val="none"/>
        </w:rPr>
      </w:pPr>
      <w:r>
        <w:rPr>
          <w:rFonts w:hint="eastAsia"/>
          <w:color w:val="auto"/>
          <w:sz w:val="24"/>
          <w:highlight w:val="none"/>
        </w:rPr>
        <w:t>6.1.2 评标委员会成员有下列情形之一的，应当回避：</w:t>
      </w:r>
    </w:p>
    <w:p>
      <w:pPr>
        <w:spacing w:line="500" w:lineRule="exact"/>
        <w:ind w:firstLine="820" w:firstLineChars="342"/>
        <w:rPr>
          <w:color w:val="auto"/>
          <w:sz w:val="24"/>
          <w:highlight w:val="none"/>
        </w:rPr>
      </w:pPr>
      <w:r>
        <w:rPr>
          <w:rFonts w:hint="eastAsia"/>
          <w:color w:val="auto"/>
          <w:sz w:val="24"/>
          <w:highlight w:val="none"/>
        </w:rPr>
        <w:t>（1）投标人或投标人主要负责人的近亲属；</w:t>
      </w:r>
    </w:p>
    <w:p>
      <w:pPr>
        <w:spacing w:line="500" w:lineRule="exact"/>
        <w:ind w:firstLine="820" w:firstLineChars="342"/>
        <w:rPr>
          <w:color w:val="auto"/>
          <w:sz w:val="24"/>
          <w:highlight w:val="none"/>
        </w:rPr>
      </w:pPr>
      <w:r>
        <w:rPr>
          <w:rFonts w:hint="eastAsia"/>
          <w:color w:val="auto"/>
          <w:sz w:val="24"/>
          <w:highlight w:val="none"/>
        </w:rPr>
        <w:t>（2）项目主管部门或者行政监督部门的人员；</w:t>
      </w:r>
    </w:p>
    <w:p>
      <w:pPr>
        <w:spacing w:line="500" w:lineRule="exact"/>
        <w:ind w:firstLine="820" w:firstLineChars="342"/>
        <w:rPr>
          <w:color w:val="auto"/>
          <w:sz w:val="24"/>
          <w:highlight w:val="none"/>
        </w:rPr>
      </w:pPr>
      <w:r>
        <w:rPr>
          <w:rFonts w:hint="eastAsia"/>
          <w:color w:val="auto"/>
          <w:sz w:val="24"/>
          <w:highlight w:val="none"/>
        </w:rPr>
        <w:t>（3）与投标人有经济利益关系，可能影响对投标公正评审的；</w:t>
      </w:r>
    </w:p>
    <w:p>
      <w:pPr>
        <w:spacing w:line="500" w:lineRule="exact"/>
        <w:ind w:firstLine="820" w:firstLineChars="342"/>
        <w:rPr>
          <w:color w:val="auto"/>
          <w:sz w:val="24"/>
          <w:highlight w:val="none"/>
        </w:rPr>
      </w:pPr>
      <w:r>
        <w:rPr>
          <w:rFonts w:hint="eastAsia"/>
          <w:color w:val="auto"/>
          <w:sz w:val="24"/>
          <w:highlight w:val="none"/>
        </w:rPr>
        <w:t>（4）曾因在招标、评标以及其他与招标投标有关活动中从事违法行为而受过行政处罚或刑事处罚的；</w:t>
      </w:r>
    </w:p>
    <w:p>
      <w:pPr>
        <w:spacing w:line="500" w:lineRule="exact"/>
        <w:ind w:firstLine="820" w:firstLineChars="342"/>
        <w:rPr>
          <w:color w:val="auto"/>
          <w:sz w:val="24"/>
          <w:highlight w:val="none"/>
        </w:rPr>
      </w:pPr>
      <w:r>
        <w:rPr>
          <w:rFonts w:hint="eastAsia"/>
          <w:color w:val="auto"/>
          <w:sz w:val="24"/>
          <w:highlight w:val="none"/>
        </w:rPr>
        <w:t>（5）与投标人有其他利害关系。</w:t>
      </w:r>
    </w:p>
    <w:p>
      <w:pPr>
        <w:spacing w:line="500" w:lineRule="exact"/>
        <w:rPr>
          <w:b/>
          <w:color w:val="auto"/>
          <w:sz w:val="28"/>
          <w:szCs w:val="28"/>
          <w:highlight w:val="none"/>
        </w:rPr>
      </w:pPr>
      <w:bookmarkStart w:id="291" w:name="_Toc376722804"/>
      <w:bookmarkStart w:id="292" w:name="_Toc394248475"/>
      <w:bookmarkStart w:id="293" w:name="_Toc376715949"/>
      <w:bookmarkStart w:id="294" w:name="_Toc11941119"/>
      <w:bookmarkStart w:id="295" w:name="_Toc376814085"/>
      <w:bookmarkStart w:id="296" w:name="_Toc376722720"/>
      <w:bookmarkStart w:id="297" w:name="_Toc152045564"/>
      <w:bookmarkStart w:id="298" w:name="_Toc367880334"/>
      <w:bookmarkStart w:id="299" w:name="_Toc394435796"/>
      <w:bookmarkStart w:id="300" w:name="_Toc144974532"/>
      <w:bookmarkStart w:id="301" w:name="_Toc247527589"/>
      <w:bookmarkStart w:id="302" w:name="_Toc376813741"/>
      <w:bookmarkStart w:id="303" w:name="_Toc152042340"/>
      <w:bookmarkStart w:id="304" w:name="_Toc376722635"/>
      <w:bookmarkStart w:id="305" w:name="_Toc247513988"/>
      <w:r>
        <w:rPr>
          <w:rFonts w:hint="eastAsia"/>
          <w:b/>
          <w:color w:val="auto"/>
          <w:sz w:val="28"/>
          <w:szCs w:val="28"/>
          <w:highlight w:val="none"/>
        </w:rPr>
        <w:t>6.2 评标原则</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b/>
          <w:color w:val="auto"/>
          <w:sz w:val="28"/>
          <w:szCs w:val="28"/>
          <w:highlight w:val="none"/>
        </w:rPr>
        <w:tab/>
      </w:r>
    </w:p>
    <w:p>
      <w:pPr>
        <w:spacing w:line="500" w:lineRule="exact"/>
        <w:ind w:firstLine="480" w:firstLineChars="200"/>
        <w:rPr>
          <w:color w:val="auto"/>
          <w:sz w:val="24"/>
          <w:highlight w:val="none"/>
        </w:rPr>
      </w:pPr>
      <w:r>
        <w:rPr>
          <w:rFonts w:hint="eastAsia"/>
          <w:color w:val="auto"/>
          <w:sz w:val="24"/>
          <w:highlight w:val="none"/>
        </w:rPr>
        <w:t>评标活动遵循公平、公正、科学和择优的原则。</w:t>
      </w:r>
    </w:p>
    <w:p>
      <w:pPr>
        <w:spacing w:line="500" w:lineRule="exact"/>
        <w:rPr>
          <w:b/>
          <w:color w:val="auto"/>
          <w:sz w:val="28"/>
          <w:szCs w:val="28"/>
          <w:highlight w:val="none"/>
        </w:rPr>
      </w:pPr>
      <w:bookmarkStart w:id="306" w:name="_Toc376722805"/>
      <w:bookmarkStart w:id="307" w:name="_Toc11941120"/>
      <w:bookmarkStart w:id="308" w:name="_Toc376813742"/>
      <w:bookmarkStart w:id="309" w:name="_Toc376814086"/>
      <w:bookmarkStart w:id="310" w:name="_Toc367880335"/>
      <w:bookmarkStart w:id="311" w:name="_Toc144974533"/>
      <w:bookmarkStart w:id="312" w:name="_Toc376722636"/>
      <w:bookmarkStart w:id="313" w:name="_Toc394248476"/>
      <w:bookmarkStart w:id="314" w:name="_Toc376722721"/>
      <w:bookmarkStart w:id="315" w:name="_Toc394435797"/>
      <w:bookmarkStart w:id="316" w:name="_Toc247513989"/>
      <w:bookmarkStart w:id="317" w:name="_Toc247527590"/>
      <w:bookmarkStart w:id="318" w:name="_Toc376715950"/>
      <w:bookmarkStart w:id="319" w:name="_Toc152042341"/>
      <w:bookmarkStart w:id="320" w:name="_Toc152045565"/>
      <w:r>
        <w:rPr>
          <w:rFonts w:hint="eastAsia"/>
          <w:b/>
          <w:color w:val="auto"/>
          <w:sz w:val="28"/>
          <w:szCs w:val="28"/>
          <w:highlight w:val="none"/>
        </w:rPr>
        <w:t>6.3 评标</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6"/>
        <w:tabs>
          <w:tab w:val="left" w:pos="1000"/>
        </w:tabs>
        <w:snapToGrid w:val="0"/>
        <w:spacing w:line="500" w:lineRule="exact"/>
        <w:ind w:firstLine="480" w:firstLineChars="200"/>
        <w:jc w:val="left"/>
        <w:rPr>
          <w:rFonts w:ascii="宋体" w:hAnsi="宋体" w:cs="宋体"/>
          <w:color w:val="auto"/>
          <w:sz w:val="24"/>
          <w:szCs w:val="24"/>
          <w:highlight w:val="none"/>
        </w:rPr>
      </w:pPr>
      <w:bookmarkStart w:id="321" w:name="_Toc857569"/>
      <w:bookmarkStart w:id="322" w:name="_Toc11941121"/>
      <w:r>
        <w:rPr>
          <w:rFonts w:hint="eastAsia" w:ascii="宋体" w:hAnsi="宋体" w:cs="宋体"/>
          <w:color w:val="auto"/>
          <w:sz w:val="24"/>
          <w:szCs w:val="24"/>
          <w:highlight w:val="none"/>
        </w:rPr>
        <w:t>评标委员会按照招标文件第三章“评标办法和标准”规定进行评标。</w:t>
      </w:r>
    </w:p>
    <w:p>
      <w:pPr>
        <w:spacing w:line="500" w:lineRule="exact"/>
        <w:rPr>
          <w:b/>
          <w:color w:val="auto"/>
          <w:sz w:val="28"/>
          <w:szCs w:val="28"/>
          <w:highlight w:val="none"/>
        </w:rPr>
      </w:pPr>
      <w:r>
        <w:rPr>
          <w:rFonts w:hint="eastAsia"/>
          <w:b/>
          <w:color w:val="auto"/>
          <w:sz w:val="28"/>
          <w:szCs w:val="28"/>
          <w:highlight w:val="none"/>
        </w:rPr>
        <w:t>6.4重新招标</w:t>
      </w:r>
      <w:bookmarkEnd w:id="321"/>
      <w:bookmarkEnd w:id="322"/>
    </w:p>
    <w:p>
      <w:pPr>
        <w:autoSpaceDE w:val="0"/>
        <w:autoSpaceDN w:val="0"/>
        <w:spacing w:before="64" w:line="500" w:lineRule="exact"/>
        <w:ind w:left="120" w:right="-109" w:firstLine="420"/>
        <w:jc w:val="left"/>
        <w:rPr>
          <w:rFonts w:ascii="宋体" w:hAnsi="宋体" w:cs="宋体"/>
          <w:color w:val="auto"/>
          <w:sz w:val="24"/>
          <w:highlight w:val="none"/>
        </w:rPr>
      </w:pPr>
      <w:r>
        <w:rPr>
          <w:rFonts w:hint="eastAsia" w:ascii="宋体" w:hAnsi="宋体" w:cs="宋体"/>
          <w:color w:val="auto"/>
          <w:sz w:val="24"/>
          <w:highlight w:val="none"/>
        </w:rPr>
        <w:t>有下列情形之一的，招标人将重新招标：</w:t>
      </w:r>
    </w:p>
    <w:p>
      <w:pPr>
        <w:autoSpaceDE w:val="0"/>
        <w:autoSpaceDN w:val="0"/>
        <w:spacing w:before="64" w:line="500" w:lineRule="exact"/>
        <w:ind w:right="-109" w:firstLine="480" w:firstLineChars="200"/>
        <w:jc w:val="left"/>
        <w:rPr>
          <w:rFonts w:ascii="宋体" w:hAnsi="宋体" w:cs="宋体"/>
          <w:color w:val="auto"/>
          <w:sz w:val="24"/>
          <w:highlight w:val="none"/>
        </w:rPr>
      </w:pPr>
      <w:r>
        <w:rPr>
          <w:rFonts w:hint="eastAsia" w:ascii="宋体" w:hAnsi="宋体" w:cs="宋体"/>
          <w:color w:val="auto"/>
          <w:sz w:val="24"/>
          <w:highlight w:val="none"/>
        </w:rPr>
        <w:t>（1）经评议有效投标的投标人少于 3 人；</w:t>
      </w:r>
    </w:p>
    <w:p>
      <w:pPr>
        <w:autoSpaceDE w:val="0"/>
        <w:autoSpaceDN w:val="0"/>
        <w:spacing w:before="64" w:line="500" w:lineRule="exact"/>
        <w:ind w:left="114" w:leftChars="57" w:right="-109" w:firstLine="360" w:firstLineChars="150"/>
        <w:jc w:val="left"/>
        <w:rPr>
          <w:color w:val="auto"/>
          <w:sz w:val="24"/>
          <w:highlight w:val="none"/>
        </w:rPr>
      </w:pPr>
      <w:r>
        <w:rPr>
          <w:rFonts w:hint="eastAsia" w:ascii="宋体" w:hAnsi="宋体" w:cs="宋体"/>
          <w:color w:val="auto"/>
          <w:sz w:val="24"/>
          <w:highlight w:val="none"/>
        </w:rPr>
        <w:t>（2）经查实，招标投标过程有不公正行为，经项目审批部门会同行业主管部门裁定招标投标结果无效。</w:t>
      </w:r>
    </w:p>
    <w:p>
      <w:pPr>
        <w:spacing w:line="500" w:lineRule="exact"/>
        <w:rPr>
          <w:b/>
          <w:color w:val="auto"/>
          <w:sz w:val="30"/>
          <w:szCs w:val="30"/>
          <w:highlight w:val="none"/>
        </w:rPr>
      </w:pPr>
      <w:bookmarkStart w:id="323" w:name="_Toc376814087"/>
      <w:bookmarkStart w:id="324" w:name="_Toc11941122"/>
      <w:bookmarkStart w:id="325" w:name="_Toc394435798"/>
      <w:bookmarkStart w:id="326" w:name="_Toc152045566"/>
      <w:bookmarkStart w:id="327" w:name="_Toc376715951"/>
      <w:bookmarkStart w:id="328" w:name="_Toc152042342"/>
      <w:bookmarkStart w:id="329" w:name="_Toc394248477"/>
      <w:bookmarkStart w:id="330" w:name="_Toc376722806"/>
      <w:bookmarkStart w:id="331" w:name="_Toc247513990"/>
      <w:bookmarkStart w:id="332" w:name="_Toc376813743"/>
      <w:bookmarkStart w:id="333" w:name="_Toc367880336"/>
      <w:bookmarkStart w:id="334" w:name="_Toc247527591"/>
      <w:bookmarkStart w:id="335" w:name="_Toc376722637"/>
      <w:bookmarkStart w:id="336" w:name="_Toc144974534"/>
      <w:bookmarkStart w:id="337" w:name="_Toc376722722"/>
      <w:r>
        <w:rPr>
          <w:rFonts w:hint="eastAsia"/>
          <w:b/>
          <w:color w:val="auto"/>
          <w:sz w:val="30"/>
          <w:szCs w:val="30"/>
          <w:highlight w:val="none"/>
        </w:rPr>
        <w:t>7. 合同授予</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spacing w:line="500" w:lineRule="exact"/>
        <w:ind w:firstLine="480" w:firstLineChars="200"/>
        <w:rPr>
          <w:color w:val="auto"/>
          <w:kern w:val="2"/>
          <w:sz w:val="24"/>
          <w:szCs w:val="24"/>
          <w:highlight w:val="none"/>
        </w:rPr>
      </w:pPr>
      <w:r>
        <w:rPr>
          <w:rFonts w:hint="eastAsia"/>
          <w:color w:val="auto"/>
          <w:kern w:val="2"/>
          <w:sz w:val="24"/>
          <w:szCs w:val="24"/>
          <w:highlight w:val="none"/>
        </w:rPr>
        <w:t>本招标工程合同授予其投标文件在实质上响应招标文件要求和按本招标文件规定所确定的中标人。招标人在授予合同之前有权对投标人递交的投标文件资料进行核实，投标人应对投标文件资料的真实性负责，如发现其所提交的资料不真实，招标人将视其为以弄虚作假方式骗取中标，其中标无效，给招标人造成损失的，应依法承担赔偿责任。</w:t>
      </w:r>
    </w:p>
    <w:p>
      <w:pPr>
        <w:spacing w:line="500" w:lineRule="exact"/>
        <w:rPr>
          <w:b/>
          <w:color w:val="auto"/>
          <w:sz w:val="30"/>
          <w:szCs w:val="30"/>
          <w:highlight w:val="none"/>
        </w:rPr>
      </w:pPr>
      <w:bookmarkStart w:id="338" w:name="_Toc394248478"/>
      <w:bookmarkStart w:id="339" w:name="_Toc376722807"/>
      <w:bookmarkStart w:id="340" w:name="_Toc144974535"/>
      <w:bookmarkStart w:id="341" w:name="_Toc367880337"/>
      <w:bookmarkStart w:id="342" w:name="_Toc247527592"/>
      <w:bookmarkStart w:id="343" w:name="_Toc376722638"/>
      <w:bookmarkStart w:id="344" w:name="_Toc247513991"/>
      <w:bookmarkStart w:id="345" w:name="_Toc152045567"/>
      <w:bookmarkStart w:id="346" w:name="_Toc376722723"/>
      <w:bookmarkStart w:id="347" w:name="_Toc11941123"/>
      <w:bookmarkStart w:id="348" w:name="_Toc376813744"/>
      <w:bookmarkStart w:id="349" w:name="_Toc376814088"/>
      <w:bookmarkStart w:id="350" w:name="_Toc376715952"/>
      <w:bookmarkStart w:id="351" w:name="_Toc394435799"/>
      <w:bookmarkStart w:id="352" w:name="_Toc152042343"/>
      <w:r>
        <w:rPr>
          <w:rFonts w:hint="eastAsia"/>
          <w:b/>
          <w:color w:val="auto"/>
          <w:sz w:val="30"/>
          <w:szCs w:val="30"/>
          <w:highlight w:val="none"/>
        </w:rPr>
        <w:t>8. 定标方式</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spacing w:line="500" w:lineRule="exact"/>
        <w:ind w:firstLine="480" w:firstLineChars="200"/>
        <w:rPr>
          <w:color w:val="auto"/>
          <w:sz w:val="24"/>
          <w:highlight w:val="none"/>
        </w:rPr>
      </w:pPr>
      <w:r>
        <w:rPr>
          <w:rFonts w:hint="eastAsia"/>
          <w:color w:val="auto"/>
          <w:sz w:val="24"/>
          <w:highlight w:val="none"/>
        </w:rPr>
        <w:t>除投标须知前附表规定评标委员会直接确定中标人外，招标人依据评标委员会推荐的中标候选人确定中标人，评标委员会推荐中标候选人的人数见投标须知前附表</w:t>
      </w:r>
      <w:r>
        <w:rPr>
          <w:rFonts w:hint="eastAsia"/>
          <w:color w:val="auto"/>
          <w:sz w:val="24"/>
          <w:highlight w:val="none"/>
          <w:lang w:val="en-US" w:eastAsia="zh-CN"/>
        </w:rPr>
        <w:t xml:space="preserve"> </w:t>
      </w:r>
      <w:r>
        <w:rPr>
          <w:rFonts w:hint="eastAsia"/>
          <w:color w:val="auto"/>
          <w:sz w:val="24"/>
          <w:highlight w:val="none"/>
        </w:rPr>
        <w:t>。</w:t>
      </w:r>
    </w:p>
    <w:p>
      <w:pPr>
        <w:spacing w:line="500" w:lineRule="exact"/>
        <w:rPr>
          <w:b/>
          <w:color w:val="auto"/>
          <w:sz w:val="28"/>
          <w:szCs w:val="28"/>
          <w:highlight w:val="none"/>
        </w:rPr>
      </w:pPr>
      <w:bookmarkStart w:id="353" w:name="_Toc376814089"/>
      <w:bookmarkStart w:id="354" w:name="_Toc11941124"/>
      <w:bookmarkStart w:id="355" w:name="_Toc394248479"/>
      <w:bookmarkStart w:id="356" w:name="_Toc376722639"/>
      <w:bookmarkStart w:id="357" w:name="_Toc394435800"/>
      <w:bookmarkStart w:id="358" w:name="_Toc376722724"/>
      <w:bookmarkStart w:id="359" w:name="_Toc376722808"/>
      <w:bookmarkStart w:id="360" w:name="_Toc367880338"/>
      <w:bookmarkStart w:id="361" w:name="_Toc376715953"/>
      <w:bookmarkStart w:id="362" w:name="_Toc376813745"/>
      <w:r>
        <w:rPr>
          <w:rFonts w:hint="eastAsia"/>
          <w:b/>
          <w:color w:val="auto"/>
          <w:sz w:val="28"/>
          <w:szCs w:val="28"/>
          <w:highlight w:val="none"/>
        </w:rPr>
        <w:t>8.1 中标候选人公示</w:t>
      </w:r>
      <w:bookmarkEnd w:id="353"/>
      <w:bookmarkEnd w:id="354"/>
      <w:bookmarkEnd w:id="355"/>
      <w:bookmarkEnd w:id="356"/>
      <w:bookmarkEnd w:id="357"/>
      <w:bookmarkEnd w:id="358"/>
      <w:bookmarkEnd w:id="359"/>
      <w:bookmarkEnd w:id="360"/>
      <w:bookmarkEnd w:id="361"/>
      <w:bookmarkEnd w:id="362"/>
    </w:p>
    <w:p>
      <w:pPr>
        <w:spacing w:line="500" w:lineRule="exact"/>
        <w:ind w:firstLine="480" w:firstLineChars="200"/>
        <w:rPr>
          <w:color w:val="auto"/>
          <w:sz w:val="24"/>
          <w:highlight w:val="none"/>
        </w:rPr>
      </w:pPr>
      <w:r>
        <w:rPr>
          <w:rFonts w:hint="eastAsia"/>
          <w:color w:val="auto"/>
          <w:sz w:val="24"/>
          <w:highlight w:val="none"/>
        </w:rPr>
        <w:t>招标人在规定的媒介公示中标候选人。</w:t>
      </w:r>
    </w:p>
    <w:p>
      <w:pPr>
        <w:spacing w:line="500" w:lineRule="exact"/>
        <w:rPr>
          <w:b/>
          <w:color w:val="auto"/>
          <w:sz w:val="28"/>
          <w:szCs w:val="28"/>
          <w:highlight w:val="none"/>
        </w:rPr>
      </w:pPr>
      <w:bookmarkStart w:id="363" w:name="_Toc376813746"/>
      <w:bookmarkStart w:id="364" w:name="_Toc376722725"/>
      <w:bookmarkStart w:id="365" w:name="_Toc367880339"/>
      <w:bookmarkStart w:id="366" w:name="_Toc152045568"/>
      <w:bookmarkStart w:id="367" w:name="_Toc247513992"/>
      <w:bookmarkStart w:id="368" w:name="_Toc11941125"/>
      <w:bookmarkStart w:id="369" w:name="_Toc376722809"/>
      <w:bookmarkStart w:id="370" w:name="_Toc376715954"/>
      <w:bookmarkStart w:id="371" w:name="_Toc376814090"/>
      <w:bookmarkStart w:id="372" w:name="_Toc394248480"/>
      <w:bookmarkStart w:id="373" w:name="_Toc394435801"/>
      <w:bookmarkStart w:id="374" w:name="_Toc247527593"/>
      <w:bookmarkStart w:id="375" w:name="_Toc152042344"/>
      <w:bookmarkStart w:id="376" w:name="_Toc144974536"/>
      <w:bookmarkStart w:id="377" w:name="_Toc376722640"/>
      <w:r>
        <w:rPr>
          <w:rFonts w:hint="eastAsia"/>
          <w:b/>
          <w:color w:val="auto"/>
          <w:sz w:val="28"/>
          <w:szCs w:val="28"/>
          <w:highlight w:val="none"/>
        </w:rPr>
        <w:t>8.2 中标通知</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spacing w:line="500" w:lineRule="exact"/>
        <w:ind w:firstLine="480" w:firstLineChars="200"/>
        <w:rPr>
          <w:color w:val="auto"/>
          <w:sz w:val="24"/>
          <w:highlight w:val="none"/>
        </w:rPr>
      </w:pPr>
      <w:r>
        <w:rPr>
          <w:rFonts w:hint="eastAsia"/>
          <w:color w:val="auto"/>
          <w:sz w:val="24"/>
          <w:highlight w:val="none"/>
        </w:rPr>
        <w:t>评标公示后，在规定的投标有效期内，招标人以书面形式向中标人发出中标通知书，中标通知书发出前须经广州公共资源交易中心（广州市天河区天润路333号）盖章确认。</w:t>
      </w:r>
    </w:p>
    <w:p>
      <w:pPr>
        <w:spacing w:line="500" w:lineRule="exact"/>
        <w:rPr>
          <w:b/>
          <w:color w:val="auto"/>
          <w:sz w:val="28"/>
          <w:szCs w:val="28"/>
          <w:highlight w:val="none"/>
        </w:rPr>
      </w:pPr>
      <w:bookmarkStart w:id="378" w:name="_Toc144974538"/>
      <w:bookmarkStart w:id="379" w:name="_Toc394435802"/>
      <w:bookmarkStart w:id="380" w:name="_Toc376722727"/>
      <w:bookmarkStart w:id="381" w:name="_Toc152042346"/>
      <w:bookmarkStart w:id="382" w:name="_Toc247527595"/>
      <w:bookmarkStart w:id="383" w:name="_Toc367880341"/>
      <w:bookmarkStart w:id="384" w:name="_Toc376814091"/>
      <w:bookmarkStart w:id="385" w:name="_Toc376715956"/>
      <w:bookmarkStart w:id="386" w:name="_Toc152045570"/>
      <w:bookmarkStart w:id="387" w:name="_Toc376722811"/>
      <w:bookmarkStart w:id="388" w:name="_Toc394248481"/>
      <w:bookmarkStart w:id="389" w:name="_Toc376813747"/>
      <w:bookmarkStart w:id="390" w:name="_Toc11941126"/>
      <w:bookmarkStart w:id="391" w:name="_Toc247513994"/>
      <w:bookmarkStart w:id="392" w:name="_Toc376722642"/>
      <w:r>
        <w:rPr>
          <w:rFonts w:hint="eastAsia"/>
          <w:b/>
          <w:color w:val="auto"/>
          <w:sz w:val="28"/>
          <w:szCs w:val="28"/>
          <w:highlight w:val="none"/>
        </w:rPr>
        <w:t>8.3 签订合同</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500" w:lineRule="exact"/>
        <w:ind w:firstLine="480" w:firstLineChars="200"/>
        <w:rPr>
          <w:color w:val="auto"/>
          <w:sz w:val="24"/>
          <w:highlight w:val="none"/>
        </w:rPr>
      </w:pPr>
      <w:r>
        <w:rPr>
          <w:rFonts w:hint="eastAsia"/>
          <w:color w:val="auto"/>
          <w:sz w:val="24"/>
          <w:highlight w:val="none"/>
        </w:rPr>
        <w:t>8.3.1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500" w:lineRule="exact"/>
        <w:ind w:firstLine="480" w:firstLineChars="200"/>
        <w:rPr>
          <w:color w:val="auto"/>
          <w:sz w:val="24"/>
          <w:highlight w:val="none"/>
        </w:rPr>
      </w:pPr>
      <w:r>
        <w:rPr>
          <w:rFonts w:hint="eastAsia"/>
          <w:color w:val="auto"/>
          <w:sz w:val="24"/>
          <w:highlight w:val="none"/>
        </w:rPr>
        <w:t>8.3.2 发出中标通知书后，招标人无正当理由拒签合同的，招标人向中标人退还投标保证金；给中标人造成损失的，还应当赔偿损失。</w:t>
      </w:r>
      <w:bookmarkStart w:id="393" w:name="_Toc152042347"/>
      <w:bookmarkStart w:id="394" w:name="_Toc152045571"/>
      <w:bookmarkStart w:id="395" w:name="_Toc144974539"/>
      <w:bookmarkStart w:id="396" w:name="_Toc247513995"/>
      <w:bookmarkStart w:id="397" w:name="_Toc247527596"/>
      <w:bookmarkStart w:id="398" w:name="_Toc376722812"/>
      <w:bookmarkStart w:id="399" w:name="_Toc376813748"/>
      <w:bookmarkStart w:id="400" w:name="_Toc376814092"/>
      <w:bookmarkStart w:id="401" w:name="_Toc376722728"/>
      <w:bookmarkStart w:id="402" w:name="_Toc376722643"/>
      <w:bookmarkStart w:id="403" w:name="_Toc376715957"/>
      <w:bookmarkStart w:id="404" w:name="_Toc367880342"/>
      <w:bookmarkStart w:id="405" w:name="_Toc394248482"/>
      <w:bookmarkStart w:id="406" w:name="_Toc394435803"/>
    </w:p>
    <w:p>
      <w:pPr>
        <w:spacing w:line="500" w:lineRule="exact"/>
        <w:rPr>
          <w:b/>
          <w:color w:val="auto"/>
          <w:sz w:val="30"/>
          <w:szCs w:val="30"/>
          <w:highlight w:val="none"/>
        </w:rPr>
      </w:pPr>
      <w:bookmarkStart w:id="407" w:name="_Toc11941127"/>
      <w:r>
        <w:rPr>
          <w:rFonts w:hint="eastAsia"/>
          <w:b/>
          <w:color w:val="auto"/>
          <w:sz w:val="30"/>
          <w:szCs w:val="30"/>
          <w:highlight w:val="none"/>
        </w:rPr>
        <w:t>9.</w:t>
      </w:r>
      <w:bookmarkEnd w:id="393"/>
      <w:bookmarkEnd w:id="394"/>
      <w:bookmarkEnd w:id="395"/>
      <w:bookmarkEnd w:id="396"/>
      <w:bookmarkEnd w:id="397"/>
      <w:bookmarkStart w:id="408" w:name="_Toc144974542"/>
      <w:bookmarkStart w:id="409" w:name="_Toc152045574"/>
      <w:bookmarkStart w:id="410" w:name="_Toc247513998"/>
      <w:bookmarkStart w:id="411" w:name="_Toc247527599"/>
      <w:bookmarkStart w:id="412" w:name="_Toc152042350"/>
      <w:r>
        <w:rPr>
          <w:rFonts w:hint="eastAsia"/>
          <w:b/>
          <w:color w:val="auto"/>
          <w:sz w:val="30"/>
          <w:szCs w:val="30"/>
          <w:highlight w:val="none"/>
        </w:rPr>
        <w:t>纪律和监督</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keepNext w:val="0"/>
        <w:keepLines w:val="0"/>
        <w:pageBreakBefore w:val="0"/>
        <w:widowControl w:val="0"/>
        <w:kinsoku/>
        <w:wordWrap/>
        <w:overflowPunct/>
        <w:topLinePunct w:val="0"/>
        <w:bidi w:val="0"/>
        <w:adjustRightInd w:val="0"/>
        <w:spacing w:line="480" w:lineRule="exact"/>
        <w:textAlignment w:val="baseline"/>
        <w:rPr>
          <w:b/>
          <w:color w:val="auto"/>
          <w:sz w:val="28"/>
          <w:szCs w:val="28"/>
          <w:highlight w:val="none"/>
        </w:rPr>
      </w:pPr>
      <w:bookmarkStart w:id="413" w:name="_Toc144974543"/>
      <w:bookmarkStart w:id="414" w:name="_Toc376722729"/>
      <w:bookmarkStart w:id="415" w:name="_Toc247513999"/>
      <w:bookmarkStart w:id="416" w:name="_Toc394435804"/>
      <w:bookmarkStart w:id="417" w:name="_Toc394248483"/>
      <w:bookmarkStart w:id="418" w:name="_Toc376722644"/>
      <w:bookmarkStart w:id="419" w:name="_Toc376813749"/>
      <w:bookmarkStart w:id="420" w:name="_Toc152045575"/>
      <w:bookmarkStart w:id="421" w:name="_Toc376814093"/>
      <w:bookmarkStart w:id="422" w:name="_Toc152042351"/>
      <w:bookmarkStart w:id="423" w:name="_Toc247527600"/>
      <w:bookmarkStart w:id="424" w:name="_Toc11941128"/>
      <w:bookmarkStart w:id="425" w:name="_Toc376722813"/>
      <w:bookmarkStart w:id="426" w:name="_Toc367880343"/>
      <w:bookmarkStart w:id="427" w:name="_Toc376715958"/>
      <w:r>
        <w:rPr>
          <w:rFonts w:hint="eastAsia"/>
          <w:b/>
          <w:color w:val="auto"/>
          <w:sz w:val="28"/>
          <w:szCs w:val="28"/>
          <w:highlight w:val="none"/>
        </w:rPr>
        <w:t>9.1 对招标人的纪律要求</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keepNext w:val="0"/>
        <w:keepLines w:val="0"/>
        <w:pageBreakBefore w:val="0"/>
        <w:widowControl w:val="0"/>
        <w:kinsoku/>
        <w:wordWrap/>
        <w:overflowPunct/>
        <w:topLinePunct w:val="0"/>
        <w:bidi w:val="0"/>
        <w:adjustRightInd w:val="0"/>
        <w:spacing w:line="480" w:lineRule="exact"/>
        <w:ind w:firstLine="480" w:firstLineChars="200"/>
        <w:textAlignment w:val="baseline"/>
        <w:rPr>
          <w:color w:val="auto"/>
          <w:sz w:val="24"/>
          <w:highlight w:val="none"/>
        </w:rPr>
      </w:pPr>
      <w:r>
        <w:rPr>
          <w:rFonts w:hint="eastAsia"/>
          <w:color w:val="auto"/>
          <w:sz w:val="24"/>
          <w:highlight w:val="none"/>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bidi w:val="0"/>
        <w:adjustRightInd w:val="0"/>
        <w:spacing w:line="480" w:lineRule="exact"/>
        <w:textAlignment w:val="baseline"/>
        <w:rPr>
          <w:b/>
          <w:color w:val="auto"/>
          <w:sz w:val="28"/>
          <w:szCs w:val="28"/>
          <w:highlight w:val="none"/>
        </w:rPr>
      </w:pPr>
      <w:bookmarkStart w:id="428" w:name="_Toc367880344"/>
      <w:bookmarkStart w:id="429" w:name="_Toc376722645"/>
      <w:bookmarkStart w:id="430" w:name="_Toc376813750"/>
      <w:bookmarkStart w:id="431" w:name="_Toc394435805"/>
      <w:bookmarkStart w:id="432" w:name="_Toc247527601"/>
      <w:bookmarkStart w:id="433" w:name="_Toc394248484"/>
      <w:bookmarkStart w:id="434" w:name="_Toc376722814"/>
      <w:bookmarkStart w:id="435" w:name="_Toc376715959"/>
      <w:bookmarkStart w:id="436" w:name="_Toc152042352"/>
      <w:bookmarkStart w:id="437" w:name="_Toc144974544"/>
      <w:bookmarkStart w:id="438" w:name="_Toc152045576"/>
      <w:bookmarkStart w:id="439" w:name="_Toc247514000"/>
      <w:bookmarkStart w:id="440" w:name="_Toc376722730"/>
      <w:bookmarkStart w:id="441" w:name="_Toc376814094"/>
      <w:bookmarkStart w:id="442" w:name="_Toc11941129"/>
      <w:r>
        <w:rPr>
          <w:rFonts w:hint="eastAsia"/>
          <w:b/>
          <w:color w:val="auto"/>
          <w:sz w:val="28"/>
          <w:szCs w:val="28"/>
          <w:highlight w:val="none"/>
        </w:rPr>
        <w:t>9.2 对投标人的纪律要求</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keepNext w:val="0"/>
        <w:keepLines w:val="0"/>
        <w:pageBreakBefore w:val="0"/>
        <w:widowControl w:val="0"/>
        <w:kinsoku/>
        <w:wordWrap/>
        <w:overflowPunct/>
        <w:topLinePunct w:val="0"/>
        <w:bidi w:val="0"/>
        <w:adjustRightInd w:val="0"/>
        <w:spacing w:line="480" w:lineRule="exact"/>
        <w:ind w:firstLine="480" w:firstLineChars="200"/>
        <w:textAlignment w:val="baseline"/>
        <w:rPr>
          <w:color w:val="auto"/>
          <w:sz w:val="24"/>
          <w:highlight w:val="none"/>
        </w:rPr>
      </w:pPr>
      <w:r>
        <w:rPr>
          <w:rFonts w:hint="eastAsia"/>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bidi w:val="0"/>
        <w:adjustRightInd w:val="0"/>
        <w:spacing w:line="480" w:lineRule="exact"/>
        <w:textAlignment w:val="baseline"/>
        <w:rPr>
          <w:b/>
          <w:color w:val="auto"/>
          <w:sz w:val="28"/>
          <w:szCs w:val="28"/>
          <w:highlight w:val="none"/>
        </w:rPr>
      </w:pPr>
      <w:bookmarkStart w:id="443" w:name="_Toc394435806"/>
      <w:bookmarkStart w:id="444" w:name="_Toc376813751"/>
      <w:bookmarkStart w:id="445" w:name="_Toc144974545"/>
      <w:bookmarkStart w:id="446" w:name="_Toc376814095"/>
      <w:bookmarkStart w:id="447" w:name="_Toc247514001"/>
      <w:bookmarkStart w:id="448" w:name="_Toc11941130"/>
      <w:bookmarkStart w:id="449" w:name="_Toc247527602"/>
      <w:bookmarkStart w:id="450" w:name="_Toc376722646"/>
      <w:bookmarkStart w:id="451" w:name="_Toc367880345"/>
      <w:bookmarkStart w:id="452" w:name="_Toc394248485"/>
      <w:bookmarkStart w:id="453" w:name="_Toc376715960"/>
      <w:bookmarkStart w:id="454" w:name="_Toc376722731"/>
      <w:bookmarkStart w:id="455" w:name="_Toc152045577"/>
      <w:bookmarkStart w:id="456" w:name="_Toc376722815"/>
      <w:bookmarkStart w:id="457" w:name="_Toc152042353"/>
      <w:r>
        <w:rPr>
          <w:rFonts w:hint="eastAsia"/>
          <w:b/>
          <w:color w:val="auto"/>
          <w:sz w:val="28"/>
          <w:szCs w:val="28"/>
          <w:highlight w:val="none"/>
        </w:rPr>
        <w:t>9.3 对评标委员会成员的纪律要求</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keepNext w:val="0"/>
        <w:keepLines w:val="0"/>
        <w:pageBreakBefore w:val="0"/>
        <w:widowControl w:val="0"/>
        <w:kinsoku/>
        <w:wordWrap/>
        <w:overflowPunct/>
        <w:topLinePunct w:val="0"/>
        <w:bidi w:val="0"/>
        <w:adjustRightInd w:val="0"/>
        <w:spacing w:line="480" w:lineRule="exact"/>
        <w:ind w:firstLine="480" w:firstLineChars="200"/>
        <w:textAlignment w:val="baseline"/>
        <w:rPr>
          <w:color w:val="auto"/>
          <w:sz w:val="24"/>
          <w:highlight w:val="none"/>
        </w:rPr>
      </w:pPr>
      <w:r>
        <w:rPr>
          <w:rFonts w:hint="eastAsia"/>
          <w:color w:val="auto"/>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w:t>
      </w:r>
      <w:r>
        <w:rPr>
          <w:rFonts w:hint="eastAsia" w:ascii="宋体" w:hAnsi="宋体" w:cs="宋体"/>
          <w:color w:val="auto"/>
          <w:sz w:val="24"/>
          <w:szCs w:val="24"/>
          <w:highlight w:val="none"/>
        </w:rPr>
        <w:t>评标办法和标准</w:t>
      </w:r>
      <w:r>
        <w:rPr>
          <w:rFonts w:hint="eastAsia"/>
          <w:color w:val="auto"/>
          <w:sz w:val="24"/>
          <w:highlight w:val="none"/>
        </w:rPr>
        <w:t>”没有规定的评审因素和标准进行评标。</w:t>
      </w:r>
    </w:p>
    <w:p>
      <w:pPr>
        <w:keepNext w:val="0"/>
        <w:keepLines w:val="0"/>
        <w:pageBreakBefore w:val="0"/>
        <w:widowControl w:val="0"/>
        <w:kinsoku/>
        <w:wordWrap/>
        <w:overflowPunct/>
        <w:topLinePunct w:val="0"/>
        <w:bidi w:val="0"/>
        <w:adjustRightInd w:val="0"/>
        <w:spacing w:line="480" w:lineRule="exact"/>
        <w:textAlignment w:val="baseline"/>
        <w:rPr>
          <w:b/>
          <w:color w:val="auto"/>
          <w:sz w:val="28"/>
          <w:szCs w:val="28"/>
          <w:highlight w:val="none"/>
        </w:rPr>
      </w:pPr>
      <w:bookmarkStart w:id="458" w:name="_Toc376814096"/>
      <w:bookmarkStart w:id="459" w:name="_Toc367880346"/>
      <w:bookmarkStart w:id="460" w:name="_Toc376813752"/>
      <w:bookmarkStart w:id="461" w:name="_Toc376722732"/>
      <w:bookmarkStart w:id="462" w:name="_Toc152045578"/>
      <w:bookmarkStart w:id="463" w:name="_Toc376722816"/>
      <w:bookmarkStart w:id="464" w:name="_Toc376722647"/>
      <w:bookmarkStart w:id="465" w:name="_Toc394248486"/>
      <w:bookmarkStart w:id="466" w:name="_Toc247527603"/>
      <w:bookmarkStart w:id="467" w:name="_Toc11941131"/>
      <w:bookmarkStart w:id="468" w:name="_Toc376715961"/>
      <w:bookmarkStart w:id="469" w:name="_Toc247514002"/>
      <w:bookmarkStart w:id="470" w:name="_Toc152042354"/>
      <w:bookmarkStart w:id="471" w:name="_Toc394435807"/>
      <w:bookmarkStart w:id="472" w:name="_Toc144974546"/>
      <w:r>
        <w:rPr>
          <w:rFonts w:hint="eastAsia"/>
          <w:b/>
          <w:color w:val="auto"/>
          <w:sz w:val="28"/>
          <w:szCs w:val="28"/>
          <w:highlight w:val="none"/>
        </w:rPr>
        <w:t>9.4 对与评标活动有关的工作人员的纪律要求</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keepNext w:val="0"/>
        <w:keepLines w:val="0"/>
        <w:pageBreakBefore w:val="0"/>
        <w:widowControl w:val="0"/>
        <w:kinsoku/>
        <w:wordWrap/>
        <w:overflowPunct/>
        <w:topLinePunct w:val="0"/>
        <w:bidi w:val="0"/>
        <w:adjustRightInd w:val="0"/>
        <w:spacing w:line="480" w:lineRule="exact"/>
        <w:ind w:firstLine="480" w:firstLineChars="200"/>
        <w:textAlignment w:val="baseline"/>
        <w:rPr>
          <w:color w:val="auto"/>
          <w:sz w:val="24"/>
          <w:highlight w:val="none"/>
        </w:rPr>
      </w:pPr>
      <w:bookmarkStart w:id="473" w:name="_Toc152042355"/>
      <w:r>
        <w:rPr>
          <w:rFonts w:hint="eastAsia"/>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3"/>
    </w:p>
    <w:p>
      <w:pPr>
        <w:keepNext w:val="0"/>
        <w:keepLines w:val="0"/>
        <w:pageBreakBefore w:val="0"/>
        <w:widowControl w:val="0"/>
        <w:kinsoku/>
        <w:wordWrap/>
        <w:overflowPunct/>
        <w:topLinePunct w:val="0"/>
        <w:bidi w:val="0"/>
        <w:adjustRightInd w:val="0"/>
        <w:spacing w:line="480" w:lineRule="exact"/>
        <w:textAlignment w:val="baseline"/>
        <w:rPr>
          <w:b/>
          <w:color w:val="auto"/>
          <w:sz w:val="28"/>
          <w:szCs w:val="28"/>
          <w:highlight w:val="none"/>
        </w:rPr>
      </w:pPr>
      <w:bookmarkStart w:id="474" w:name="_Toc11941132"/>
      <w:bookmarkStart w:id="475" w:name="_Toc394248487"/>
      <w:bookmarkStart w:id="476" w:name="_Toc247527604"/>
      <w:bookmarkStart w:id="477" w:name="_Toc376813753"/>
      <w:bookmarkStart w:id="478" w:name="_Toc152045579"/>
      <w:bookmarkStart w:id="479" w:name="_Toc376814097"/>
      <w:bookmarkStart w:id="480" w:name="_Toc376715962"/>
      <w:bookmarkStart w:id="481" w:name="_Toc247514003"/>
      <w:bookmarkStart w:id="482" w:name="_Toc367880347"/>
      <w:bookmarkStart w:id="483" w:name="_Toc394435808"/>
      <w:bookmarkStart w:id="484" w:name="_Toc152042356"/>
      <w:bookmarkStart w:id="485" w:name="_Toc376722733"/>
      <w:bookmarkStart w:id="486" w:name="_Toc376722817"/>
      <w:bookmarkStart w:id="487" w:name="_Toc376722648"/>
      <w:r>
        <w:rPr>
          <w:rFonts w:hint="eastAsia"/>
          <w:b/>
          <w:color w:val="auto"/>
          <w:sz w:val="28"/>
          <w:szCs w:val="28"/>
          <w:highlight w:val="none"/>
        </w:rPr>
        <w:t>9.5 投诉</w:t>
      </w:r>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keepNext w:val="0"/>
        <w:keepLines w:val="0"/>
        <w:pageBreakBefore w:val="0"/>
        <w:widowControl w:val="0"/>
        <w:kinsoku/>
        <w:wordWrap/>
        <w:overflowPunct/>
        <w:topLinePunct w:val="0"/>
        <w:bidi w:val="0"/>
        <w:adjustRightInd w:val="0"/>
        <w:spacing w:line="480" w:lineRule="exact"/>
        <w:ind w:firstLine="480" w:firstLineChars="200"/>
        <w:textAlignment w:val="baseline"/>
        <w:rPr>
          <w:color w:val="auto"/>
          <w:sz w:val="24"/>
          <w:highlight w:val="none"/>
        </w:rPr>
      </w:pPr>
      <w:r>
        <w:rPr>
          <w:rFonts w:hint="eastAsia"/>
          <w:color w:val="auto"/>
          <w:sz w:val="24"/>
          <w:highlight w:val="none"/>
        </w:rPr>
        <w:t>投标人和其他利害关系人认为本次招标活动违反法律、法规和规章规定的，有权向有关行政监督部门投诉。</w:t>
      </w:r>
    </w:p>
    <w:p>
      <w:pPr>
        <w:keepNext w:val="0"/>
        <w:keepLines w:val="0"/>
        <w:pageBreakBefore w:val="0"/>
        <w:widowControl w:val="0"/>
        <w:kinsoku/>
        <w:wordWrap/>
        <w:overflowPunct/>
        <w:topLinePunct w:val="0"/>
        <w:bidi w:val="0"/>
        <w:adjustRightInd w:val="0"/>
        <w:spacing w:line="480" w:lineRule="exact"/>
        <w:textAlignment w:val="baseline"/>
        <w:rPr>
          <w:b/>
          <w:color w:val="auto"/>
          <w:sz w:val="30"/>
          <w:szCs w:val="30"/>
          <w:highlight w:val="none"/>
        </w:rPr>
      </w:pPr>
      <w:bookmarkStart w:id="488" w:name="_Toc247514004"/>
      <w:bookmarkStart w:id="489" w:name="_Toc300835000"/>
      <w:bookmarkStart w:id="490" w:name="_Toc11941133"/>
      <w:bookmarkStart w:id="491" w:name="_Toc144974547"/>
      <w:bookmarkStart w:id="492" w:name="_Toc152042357"/>
      <w:bookmarkStart w:id="493" w:name="_Toc247527605"/>
      <w:bookmarkStart w:id="494" w:name="_Toc152045580"/>
      <w:r>
        <w:rPr>
          <w:rFonts w:hint="eastAsia"/>
          <w:b/>
          <w:color w:val="auto"/>
          <w:sz w:val="30"/>
          <w:szCs w:val="30"/>
          <w:highlight w:val="none"/>
        </w:rPr>
        <w:t>10. 补偿</w:t>
      </w:r>
    </w:p>
    <w:p>
      <w:pPr>
        <w:pStyle w:val="6"/>
        <w:keepNext w:val="0"/>
        <w:keepLines w:val="0"/>
        <w:pageBreakBefore w:val="0"/>
        <w:widowControl w:val="0"/>
        <w:tabs>
          <w:tab w:val="left" w:pos="0"/>
        </w:tabs>
        <w:kinsoku/>
        <w:wordWrap/>
        <w:overflowPunct/>
        <w:topLinePunct w:val="0"/>
        <w:bidi w:val="0"/>
        <w:adjustRightInd w:val="0"/>
        <w:snapToGrid w:val="0"/>
        <w:spacing w:line="480" w:lineRule="exact"/>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10.1.招标人将与中标人按招标文件要求签订设计合同，对其方案设计不再另行给予补偿。</w:t>
      </w:r>
    </w:p>
    <w:p>
      <w:pPr>
        <w:pStyle w:val="6"/>
        <w:keepNext w:val="0"/>
        <w:keepLines w:val="0"/>
        <w:pageBreakBefore w:val="0"/>
        <w:widowControl w:val="0"/>
        <w:tabs>
          <w:tab w:val="left" w:pos="0"/>
        </w:tabs>
        <w:kinsoku/>
        <w:wordWrap/>
        <w:overflowPunct/>
        <w:topLinePunct w:val="0"/>
        <w:bidi w:val="0"/>
        <w:adjustRightInd w:val="0"/>
        <w:snapToGrid w:val="0"/>
        <w:spacing w:line="480" w:lineRule="exact"/>
        <w:ind w:firstLine="480" w:firstLineChars="200"/>
        <w:jc w:val="left"/>
        <w:textAlignment w:val="baseline"/>
        <w:rPr>
          <w:rFonts w:ascii="宋体" w:hAnsi="宋体"/>
          <w:color w:val="auto"/>
          <w:sz w:val="24"/>
          <w:szCs w:val="24"/>
          <w:highlight w:val="none"/>
        </w:rPr>
      </w:pPr>
      <w:r>
        <w:rPr>
          <w:rFonts w:hint="eastAsia" w:ascii="宋体" w:hAnsi="宋体"/>
          <w:color w:val="auto"/>
          <w:sz w:val="24"/>
          <w:szCs w:val="24"/>
          <w:highlight w:val="none"/>
        </w:rPr>
        <w:t>10.2.对于提交有效投标文件但未中标的其他中标候选人，招标人将按前附表第3</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项规定的标准给予经济补偿。</w:t>
      </w:r>
    </w:p>
    <w:p>
      <w:pPr>
        <w:keepNext w:val="0"/>
        <w:keepLines w:val="0"/>
        <w:pageBreakBefore w:val="0"/>
        <w:widowControl w:val="0"/>
        <w:kinsoku/>
        <w:wordWrap/>
        <w:overflowPunct/>
        <w:topLinePunct w:val="0"/>
        <w:bidi w:val="0"/>
        <w:adjustRightInd w:val="0"/>
        <w:spacing w:line="480" w:lineRule="exact"/>
        <w:textAlignment w:val="baseline"/>
        <w:rPr>
          <w:b/>
          <w:color w:val="auto"/>
          <w:sz w:val="30"/>
          <w:szCs w:val="30"/>
          <w:highlight w:val="none"/>
        </w:rPr>
      </w:pPr>
      <w:r>
        <w:rPr>
          <w:rFonts w:hint="eastAsia"/>
          <w:b/>
          <w:color w:val="auto"/>
          <w:sz w:val="30"/>
          <w:szCs w:val="30"/>
          <w:highlight w:val="none"/>
        </w:rPr>
        <w:t>11.需要补充的其他内容</w:t>
      </w:r>
      <w:bookmarkEnd w:id="488"/>
      <w:bookmarkEnd w:id="489"/>
      <w:bookmarkEnd w:id="490"/>
      <w:bookmarkEnd w:id="491"/>
      <w:bookmarkEnd w:id="492"/>
      <w:bookmarkEnd w:id="493"/>
      <w:bookmarkEnd w:id="494"/>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11.1 未尽事宜按国家有关规定执行。</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11.2 本招标文件最终解释权归招标人。</w:t>
      </w:r>
    </w:p>
    <w:p>
      <w:pPr>
        <w:rPr>
          <w:color w:val="auto"/>
          <w:kern w:val="2"/>
          <w:sz w:val="21"/>
          <w:highlight w:val="none"/>
        </w:rPr>
      </w:pPr>
    </w:p>
    <w:p>
      <w:pPr>
        <w:rPr>
          <w:color w:val="auto"/>
          <w:kern w:val="2"/>
          <w:sz w:val="21"/>
          <w:highlight w:val="none"/>
        </w:rPr>
      </w:pPr>
    </w:p>
    <w:p>
      <w:pPr>
        <w:rPr>
          <w:color w:val="auto"/>
          <w:kern w:val="2"/>
          <w:sz w:val="21"/>
          <w:highlight w:val="none"/>
        </w:rPr>
      </w:pPr>
    </w:p>
    <w:p>
      <w:pPr>
        <w:rPr>
          <w:color w:val="auto"/>
          <w:kern w:val="2"/>
          <w:sz w:val="21"/>
          <w:highlight w:val="none"/>
        </w:rPr>
      </w:pPr>
    </w:p>
    <w:p>
      <w:pPr>
        <w:rPr>
          <w:color w:val="auto"/>
          <w:kern w:val="2"/>
          <w:sz w:val="21"/>
          <w:highlight w:val="none"/>
        </w:rPr>
      </w:pPr>
    </w:p>
    <w:p>
      <w:pPr>
        <w:rPr>
          <w:color w:val="auto"/>
          <w:kern w:val="2"/>
          <w:sz w:val="21"/>
          <w:highlight w:val="none"/>
        </w:rPr>
      </w:pPr>
    </w:p>
    <w:p>
      <w:pPr>
        <w:rPr>
          <w:color w:val="auto"/>
          <w:kern w:val="2"/>
          <w:sz w:val="21"/>
          <w:highlight w:val="none"/>
        </w:rPr>
      </w:pPr>
    </w:p>
    <w:p>
      <w:pPr>
        <w:rPr>
          <w:color w:val="auto"/>
          <w:kern w:val="2"/>
          <w:sz w:val="21"/>
          <w:highlight w:val="none"/>
        </w:rPr>
      </w:pPr>
    </w:p>
    <w:p>
      <w:pPr>
        <w:rPr>
          <w:color w:val="auto"/>
          <w:kern w:val="2"/>
          <w:sz w:val="21"/>
          <w:highlight w:val="none"/>
        </w:rPr>
      </w:pPr>
    </w:p>
    <w:p>
      <w:pPr>
        <w:rPr>
          <w:color w:val="auto"/>
          <w:kern w:val="2"/>
          <w:sz w:val="21"/>
          <w:highlight w:val="none"/>
        </w:rPr>
      </w:pPr>
    </w:p>
    <w:p>
      <w:pPr>
        <w:numPr>
          <w:ilvl w:val="1"/>
          <w:numId w:val="0"/>
        </w:numPr>
        <w:ind w:left="624" w:leftChars="0"/>
        <w:outlineLvl w:val="9"/>
        <w:rPr>
          <w:color w:val="auto"/>
          <w:highlight w:val="none"/>
        </w:rPr>
      </w:pPr>
    </w:p>
    <w:p>
      <w:pPr>
        <w:rPr>
          <w:color w:val="auto"/>
          <w:kern w:val="2"/>
          <w:sz w:val="21"/>
          <w:highlight w:val="none"/>
        </w:rPr>
      </w:pPr>
    </w:p>
    <w:p>
      <w:pPr>
        <w:numPr>
          <w:ilvl w:val="1"/>
          <w:numId w:val="0"/>
        </w:numPr>
        <w:ind w:left="624" w:leftChars="0"/>
        <w:outlineLvl w:val="9"/>
        <w:rPr>
          <w:color w:val="auto"/>
          <w:highlight w:val="none"/>
        </w:rPr>
      </w:pPr>
    </w:p>
    <w:p>
      <w:pPr>
        <w:rPr>
          <w:color w:val="auto"/>
          <w:kern w:val="2"/>
          <w:sz w:val="21"/>
          <w:highlight w:val="none"/>
        </w:rPr>
      </w:pPr>
    </w:p>
    <w:p>
      <w:pPr>
        <w:numPr>
          <w:ilvl w:val="1"/>
          <w:numId w:val="0"/>
        </w:numPr>
        <w:ind w:left="624" w:leftChars="0"/>
        <w:outlineLvl w:val="9"/>
        <w:rPr>
          <w:color w:val="auto"/>
          <w:highlight w:val="none"/>
        </w:rPr>
      </w:pPr>
    </w:p>
    <w:p>
      <w:pPr>
        <w:rPr>
          <w:color w:val="auto"/>
          <w:kern w:val="2"/>
          <w:sz w:val="21"/>
          <w:highlight w:val="none"/>
        </w:rPr>
      </w:pPr>
    </w:p>
    <w:p>
      <w:pPr>
        <w:numPr>
          <w:ilvl w:val="1"/>
          <w:numId w:val="0"/>
        </w:numPr>
        <w:ind w:left="624" w:leftChars="0"/>
        <w:outlineLvl w:val="9"/>
        <w:rPr>
          <w:color w:val="auto"/>
          <w:highlight w:val="none"/>
        </w:rPr>
      </w:pPr>
    </w:p>
    <w:p>
      <w:pPr>
        <w:rPr>
          <w:color w:val="auto"/>
          <w:kern w:val="2"/>
          <w:sz w:val="21"/>
          <w:highlight w:val="none"/>
        </w:rPr>
      </w:pPr>
    </w:p>
    <w:p>
      <w:pPr>
        <w:numPr>
          <w:ilvl w:val="1"/>
          <w:numId w:val="0"/>
        </w:numPr>
        <w:ind w:left="624" w:leftChars="0"/>
        <w:outlineLvl w:val="9"/>
        <w:rPr>
          <w:color w:val="auto"/>
          <w:highlight w:val="none"/>
        </w:rPr>
      </w:pPr>
    </w:p>
    <w:p>
      <w:pPr>
        <w:rPr>
          <w:color w:val="auto"/>
          <w:kern w:val="2"/>
          <w:sz w:val="21"/>
          <w:highlight w:val="none"/>
        </w:rPr>
      </w:pPr>
    </w:p>
    <w:p>
      <w:pPr>
        <w:pStyle w:val="3"/>
        <w:jc w:val="center"/>
        <w:rPr>
          <w:rFonts w:hint="eastAsia"/>
          <w:color w:val="auto"/>
          <w:highlight w:val="none"/>
        </w:rPr>
        <w:sectPr>
          <w:pgSz w:w="11906" w:h="16838"/>
          <w:pgMar w:top="1440" w:right="826" w:bottom="1440" w:left="880" w:header="851" w:footer="992" w:gutter="0"/>
          <w:pgNumType w:fmt="decimal"/>
          <w:cols w:space="720" w:num="1"/>
          <w:docGrid w:linePitch="312" w:charSpace="0"/>
        </w:sectPr>
      </w:pPr>
    </w:p>
    <w:p>
      <w:pPr>
        <w:pStyle w:val="3"/>
        <w:jc w:val="center"/>
        <w:rPr>
          <w:color w:val="auto"/>
          <w:highlight w:val="none"/>
        </w:rPr>
      </w:pPr>
      <w:bookmarkStart w:id="495" w:name="_Toc12546"/>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评标办法和标准</w:t>
      </w:r>
      <w:bookmarkEnd w:id="495"/>
    </w:p>
    <w:p>
      <w:pPr>
        <w:tabs>
          <w:tab w:val="left" w:pos="510"/>
        </w:tabs>
        <w:adjustRightInd/>
        <w:spacing w:line="480" w:lineRule="exact"/>
        <w:jc w:val="both"/>
        <w:textAlignment w:val="auto"/>
        <w:rPr>
          <w:b/>
          <w:color w:val="auto"/>
          <w:sz w:val="42"/>
          <w:szCs w:val="24"/>
          <w:highlight w:val="none"/>
        </w:rPr>
      </w:pPr>
      <w:r>
        <w:rPr>
          <w:rFonts w:hint="eastAsia"/>
          <w:b/>
          <w:color w:val="auto"/>
          <w:sz w:val="42"/>
          <w:szCs w:val="24"/>
          <w:highlight w:val="none"/>
        </w:rPr>
        <w:t>评标办法</w:t>
      </w:r>
    </w:p>
    <w:p>
      <w:pPr>
        <w:tabs>
          <w:tab w:val="left" w:pos="510"/>
        </w:tabs>
        <w:adjustRightInd/>
        <w:spacing w:line="5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 总则</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本招标项目评标依据《中华人民共和国招标投标法》等国家、地方政府有关招标投标的法律、法规、规章和规定。</w:t>
      </w:r>
    </w:p>
    <w:p>
      <w:pPr>
        <w:tabs>
          <w:tab w:val="left" w:pos="510"/>
        </w:tabs>
        <w:adjustRightInd/>
        <w:spacing w:line="5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二、评标委员会</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2.1.本招标项目的评标由招标人依法组建的评标委员会负责。</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2.2.评标委员会开始工作之前由评标委员会中推举产生一名评委主任，负责协调、组织评标委员会成员开展评标工作。</w:t>
      </w:r>
    </w:p>
    <w:p>
      <w:pPr>
        <w:adjustRightInd/>
        <w:spacing w:line="50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三、评标委员会在评标过程中应当遵守下列规定：</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3.1评标委员会应当根据招标文件规定的评标办法和标准，对投标文件进行系统地评审和比较。</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对投标人进行资格审查和商务文件的符合性、响应性审查进行评审应当按照招标文件规定的内容和标准。资格审查不合格或不响应招标文件要求的投标文件按废标处理。商务文件的详细评审（评分）和技术文件的评审均应由评标委员会负责。</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3.3评标应严格按照招标文件中规定的评标标准和办法进行，除了有关法律、法规以及国家标准中规定的强制性条文外，不得引用招标文件规定以外的标准和办法进行评审。</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评标委员会可以书面方式要求投标人对投标文件中含义不明确、对同类问题表述不一致或者有明显文字和计算错误的内容作必要的澄清、说明或者补正。评标委员会不接受投标人主动提出的澄清、说明或者补正。澄清、说明或者补正应以书面方式进行并不得超出投标文件的范围或者改变投标文件的实质性内容。投标人的书面澄清、说明或者补正属于投标文件的组成部分。评标委员会对投标人提交的澄清、说明或者补正有疑问的，可以要求投标人进一步澄清、说明或者补正，直至满足评标委员会的要求。投标人拒不按照要求对投标文件进行澄清、说明或者补正的，评标委员会可以否决其投标。</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3.5招标文件条款存在含义不清或者相互矛盾的，评标委员会应当针对相应条款作出有利于相应投标人的结论。</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3.6评委的评审意见不一致时，应以书面形式进行表决，并按照少数服从多数的原则处理。评审结束后，评标委员会应当对否决投标或不采信投标人说明的情况在评标报告中作详细说明。</w:t>
      </w:r>
    </w:p>
    <w:p>
      <w:pPr>
        <w:tabs>
          <w:tab w:val="left" w:pos="510"/>
        </w:tabs>
        <w:adjustRightInd/>
        <w:spacing w:line="5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四、评标过程保密</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标采用保密方式进行。公开开标后，直到宣布授予中标候选人公示为止，凡属于对投标文件的审查、澄清、评价和比较的有关资料及有关确定中标人及中标候选人的推荐情况、与评标有关的其他任何情况均应严格保密，都不应向投标人或与该过程无公务关系的其他人泄露。</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2、在投标文件的评审和比较、确定中标候选人推荐以及授予合同过程中，投标人任何试图影响或干扰招标人和评委会的评标活动，都可能导致其投标被拒绝。</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3、中标人确定后，招标人不对未中标人就评标过程以及未能中标的原因做出任何解释。未中标人不得向评委会组成人员或其他有关人员索问评标过程的情况和材料。</w:t>
      </w:r>
    </w:p>
    <w:p>
      <w:pPr>
        <w:tabs>
          <w:tab w:val="left" w:pos="510"/>
        </w:tabs>
        <w:adjustRightInd/>
        <w:spacing w:line="5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五、评标办法</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评标采用</w:t>
      </w:r>
      <w:r>
        <w:rPr>
          <w:rFonts w:hint="eastAsia" w:ascii="宋体" w:hAnsi="宋体" w:cs="宋体"/>
          <w:b/>
          <w:color w:val="auto"/>
          <w:sz w:val="24"/>
          <w:highlight w:val="none"/>
        </w:rPr>
        <w:t>综合评估法</w:t>
      </w:r>
      <w:r>
        <w:rPr>
          <w:rFonts w:hint="eastAsia" w:ascii="宋体" w:hAnsi="宋体" w:cs="宋体"/>
          <w:color w:val="auto"/>
          <w:sz w:val="24"/>
          <w:szCs w:val="24"/>
          <w:highlight w:val="none"/>
        </w:rPr>
        <w:t>推荐中标候选名次。</w:t>
      </w:r>
    </w:p>
    <w:p>
      <w:pPr>
        <w:tabs>
          <w:tab w:val="left" w:pos="510"/>
        </w:tabs>
        <w:adjustRightInd/>
        <w:spacing w:line="5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六、 评标程序</w:t>
      </w:r>
    </w:p>
    <w:p>
      <w:pPr>
        <w:spacing w:line="500" w:lineRule="exact"/>
        <w:ind w:firstLine="480" w:firstLineChars="200"/>
        <w:rPr>
          <w:rFonts w:ascii="宋体" w:hAnsi="宋体" w:cs="宋体"/>
          <w:color w:val="auto"/>
          <w:sz w:val="24"/>
          <w:szCs w:val="24"/>
          <w:highlight w:val="none"/>
        </w:rPr>
      </w:pPr>
      <w:r>
        <w:rPr>
          <w:rFonts w:ascii="宋体" w:hAnsi="宋体"/>
          <w:color w:val="auto"/>
          <w:sz w:val="24"/>
          <w:szCs w:val="24"/>
          <w:highlight w:val="none"/>
        </w:rPr>
        <w:t>分为评标准备、</w:t>
      </w:r>
      <w:r>
        <w:rPr>
          <w:rFonts w:hint="eastAsia" w:ascii="宋体" w:hAnsi="宋体"/>
          <w:color w:val="auto"/>
          <w:sz w:val="24"/>
          <w:szCs w:val="24"/>
          <w:highlight w:val="none"/>
        </w:rPr>
        <w:t>资格审查、</w:t>
      </w:r>
      <w:r>
        <w:rPr>
          <w:rFonts w:ascii="宋体" w:hAnsi="宋体"/>
          <w:color w:val="auto"/>
          <w:sz w:val="24"/>
          <w:szCs w:val="24"/>
          <w:highlight w:val="none"/>
        </w:rPr>
        <w:t>初步评审、详细评审、</w:t>
      </w:r>
      <w:r>
        <w:rPr>
          <w:rFonts w:hint="eastAsia" w:ascii="宋体" w:hAnsi="宋体"/>
          <w:color w:val="auto"/>
          <w:sz w:val="24"/>
          <w:szCs w:val="24"/>
          <w:highlight w:val="none"/>
        </w:rPr>
        <w:t>确定中标人及</w:t>
      </w:r>
      <w:r>
        <w:rPr>
          <w:rFonts w:ascii="宋体" w:hAnsi="宋体"/>
          <w:color w:val="auto"/>
          <w:sz w:val="24"/>
          <w:szCs w:val="24"/>
          <w:highlight w:val="none"/>
        </w:rPr>
        <w:t>推荐中标候选人</w:t>
      </w:r>
      <w:r>
        <w:rPr>
          <w:rFonts w:hint="eastAsia" w:ascii="宋体" w:hAnsi="宋体"/>
          <w:color w:val="auto"/>
          <w:sz w:val="24"/>
          <w:szCs w:val="24"/>
          <w:highlight w:val="none"/>
        </w:rPr>
        <w:t>、提交评标报告</w:t>
      </w:r>
      <w:r>
        <w:rPr>
          <w:rFonts w:ascii="宋体" w:hAnsi="宋体"/>
          <w:color w:val="auto"/>
          <w:sz w:val="24"/>
          <w:szCs w:val="24"/>
          <w:highlight w:val="none"/>
        </w:rPr>
        <w:t>。评标由评标委员会独立完成</w:t>
      </w:r>
      <w:r>
        <w:rPr>
          <w:rFonts w:hint="eastAsia" w:ascii="宋体" w:hAnsi="宋体" w:cs="宋体"/>
          <w:color w:val="auto"/>
          <w:sz w:val="24"/>
          <w:szCs w:val="24"/>
          <w:highlight w:val="none"/>
        </w:rPr>
        <w:t>。</w:t>
      </w:r>
    </w:p>
    <w:p>
      <w:pPr>
        <w:widowControl/>
        <w:adjustRightInd/>
        <w:spacing w:line="240" w:lineRule="auto"/>
        <w:jc w:val="left"/>
        <w:textAlignment w:val="auto"/>
        <w:rPr>
          <w:rFonts w:ascii="宋体" w:hAnsi="宋体" w:cs="宋体"/>
          <w:b/>
          <w:bCs/>
          <w:color w:val="auto"/>
          <w:kern w:val="44"/>
          <w:sz w:val="36"/>
          <w:szCs w:val="36"/>
          <w:highlight w:val="none"/>
        </w:rPr>
      </w:pPr>
      <w:bookmarkStart w:id="496" w:name="_Toc382322015"/>
      <w:bookmarkStart w:id="497" w:name="_Toc382381144"/>
      <w:r>
        <w:rPr>
          <w:rFonts w:ascii="宋体" w:hAnsi="宋体" w:cs="宋体"/>
          <w:color w:val="auto"/>
          <w:sz w:val="36"/>
          <w:szCs w:val="36"/>
          <w:highlight w:val="none"/>
        </w:rPr>
        <w:br w:type="page"/>
      </w:r>
    </w:p>
    <w:p>
      <w:pPr>
        <w:pStyle w:val="18"/>
        <w:jc w:val="both"/>
        <w:rPr>
          <w:b/>
          <w:bCs/>
          <w:color w:val="auto"/>
          <w:sz w:val="36"/>
          <w:szCs w:val="36"/>
          <w:highlight w:val="none"/>
        </w:rPr>
      </w:pPr>
      <w:r>
        <w:rPr>
          <w:rFonts w:hint="eastAsia"/>
          <w:b/>
          <w:color w:val="auto"/>
          <w:sz w:val="36"/>
          <w:szCs w:val="36"/>
          <w:highlight w:val="none"/>
        </w:rPr>
        <w:t>评标细则</w:t>
      </w:r>
      <w:bookmarkEnd w:id="496"/>
      <w:bookmarkEnd w:id="497"/>
    </w:p>
    <w:p>
      <w:pPr>
        <w:spacing w:line="5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一、总 则</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依照《中华人民共和国招标投标法》，结合本工程特点，遵循公开、公平、公正、择优和诚实信用的原则制定本办法。</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二、评标办法与分值构成</w:t>
      </w:r>
    </w:p>
    <w:p>
      <w:pPr>
        <w:spacing w:line="500" w:lineRule="exact"/>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综合评估法采用百分制进行量化，</w:t>
      </w:r>
      <w:r>
        <w:rPr>
          <w:rFonts w:hint="eastAsia" w:ascii="宋体" w:hAnsi="宋体" w:cs="宋体"/>
          <w:b/>
          <w:bCs/>
          <w:color w:val="auto"/>
          <w:sz w:val="24"/>
          <w:szCs w:val="24"/>
          <w:highlight w:val="none"/>
        </w:rPr>
        <w:t>商务分占30%，报价分占</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0%，技术分占</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0%。</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三、评标前的准备工作</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1、招标人或者其委托的招标代理机构应当向评标委员会提供评标所需的重要信息和数据。</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2、评标委员会成员在评标前应当认真研究招标文件，至少应了解和熟悉本工程招标的目标、范围、性质、主要技术要求、标准、商务条款以及评标定标程序、标准、方法和在评标过程中考虑的相关因素。</w:t>
      </w:r>
    </w:p>
    <w:p>
      <w:pPr>
        <w:adjustRightInd/>
        <w:spacing w:before="240" w:beforeLines="100" w:line="500" w:lineRule="exact"/>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四、资格审查</w:t>
      </w:r>
    </w:p>
    <w:p>
      <w:pPr>
        <w:tabs>
          <w:tab w:val="left" w:pos="510"/>
        </w:tabs>
        <w:adjustRightInd/>
        <w:spacing w:line="500" w:lineRule="exact"/>
        <w:ind w:left="360"/>
        <w:textAlignment w:val="auto"/>
        <w:rPr>
          <w:rFonts w:ascii="宋体" w:hAnsi="宋体" w:cs="宋体"/>
          <w:color w:val="auto"/>
          <w:sz w:val="24"/>
          <w:highlight w:val="none"/>
        </w:rPr>
      </w:pPr>
      <w:r>
        <w:rPr>
          <w:rFonts w:hint="eastAsia" w:ascii="宋体" w:hAnsi="宋体" w:cs="宋体"/>
          <w:color w:val="auto"/>
          <w:sz w:val="24"/>
          <w:highlight w:val="none"/>
        </w:rPr>
        <w:t xml:space="preserve"> 1、资格审查方式</w:t>
      </w:r>
    </w:p>
    <w:p>
      <w:pPr>
        <w:adjustRightInd/>
        <w:spacing w:line="5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本招标项目对投标人的资格审查方式为资格后审。</w:t>
      </w:r>
    </w:p>
    <w:p>
      <w:pPr>
        <w:tabs>
          <w:tab w:val="left" w:pos="510"/>
        </w:tabs>
        <w:adjustRightInd/>
        <w:spacing w:line="500" w:lineRule="exact"/>
        <w:ind w:left="360"/>
        <w:textAlignment w:val="auto"/>
        <w:rPr>
          <w:rFonts w:ascii="宋体" w:hAnsi="宋体" w:cs="宋体"/>
          <w:color w:val="auto"/>
          <w:sz w:val="24"/>
          <w:highlight w:val="none"/>
        </w:rPr>
      </w:pPr>
      <w:r>
        <w:rPr>
          <w:rFonts w:hint="eastAsia" w:ascii="宋体" w:hAnsi="宋体" w:cs="宋体"/>
          <w:color w:val="auto"/>
          <w:sz w:val="24"/>
          <w:highlight w:val="none"/>
        </w:rPr>
        <w:t xml:space="preserve"> 2、资格审查文件评审办法</w:t>
      </w:r>
    </w:p>
    <w:p>
      <w:pPr>
        <w:adjustRightInd/>
        <w:spacing w:line="5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按照本评标办法和标准第3款规定的“资格审查评审合格标准”对投标人进行资格审查，以确定符合招标文件规定要求的合格投标人。经资格审查合格的投标人进入下一程序的评审，经资格审查不合格的投标文件按照废标处理。</w:t>
      </w:r>
    </w:p>
    <w:p>
      <w:pPr>
        <w:tabs>
          <w:tab w:val="left" w:pos="510"/>
        </w:tabs>
        <w:adjustRightInd/>
        <w:spacing w:line="500" w:lineRule="exact"/>
        <w:ind w:left="36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3、资格审查评审合格标准</w:t>
      </w:r>
    </w:p>
    <w:p>
      <w:pPr>
        <w:pStyle w:val="6"/>
        <w:tabs>
          <w:tab w:val="left" w:pos="900"/>
        </w:tabs>
        <w:spacing w:line="500" w:lineRule="exact"/>
        <w:ind w:firstLine="472" w:firstLineChars="196"/>
        <w:rPr>
          <w:rFonts w:ascii="宋体" w:hAnsi="宋体" w:cs="宋体"/>
          <w:b/>
          <w:color w:val="auto"/>
          <w:kern w:val="0"/>
          <w:sz w:val="24"/>
          <w:highlight w:val="none"/>
        </w:rPr>
      </w:pPr>
      <w:r>
        <w:rPr>
          <w:rFonts w:hint="eastAsia" w:ascii="宋体" w:hAnsi="宋体" w:cs="宋体"/>
          <w:b/>
          <w:color w:val="auto"/>
          <w:sz w:val="24"/>
          <w:highlight w:val="none"/>
        </w:rPr>
        <w:t>只有全部满足下列资格审查文件评审标准的投标人，才能通过资格审查，否则其投标文件作废标处理。</w:t>
      </w:r>
    </w:p>
    <w:p>
      <w:pPr>
        <w:pStyle w:val="6"/>
        <w:numPr>
          <w:ilvl w:val="3"/>
          <w:numId w:val="9"/>
        </w:numPr>
        <w:tabs>
          <w:tab w:val="left" w:pos="900"/>
        </w:tabs>
        <w:spacing w:line="500" w:lineRule="exact"/>
        <w:outlineLvl w:val="9"/>
        <w:rPr>
          <w:rFonts w:ascii="宋体" w:hAnsi="宋体"/>
          <w:b/>
          <w:color w:val="auto"/>
          <w:kern w:val="0"/>
          <w:sz w:val="24"/>
          <w:highlight w:val="none"/>
        </w:rPr>
      </w:pPr>
      <w:r>
        <w:rPr>
          <w:rFonts w:hint="eastAsia" w:ascii="宋体" w:hAnsi="宋体"/>
          <w:b/>
          <w:color w:val="auto"/>
          <w:kern w:val="0"/>
          <w:sz w:val="24"/>
          <w:highlight w:val="none"/>
        </w:rPr>
        <w:t>完整提供招标文件第二章“一、投标</w:t>
      </w:r>
      <w:r>
        <w:rPr>
          <w:rFonts w:hint="eastAsia" w:ascii="宋体" w:hAnsi="宋体"/>
          <w:b/>
          <w:color w:val="auto"/>
          <w:kern w:val="0"/>
          <w:sz w:val="24"/>
          <w:highlight w:val="none"/>
          <w:lang w:eastAsia="zh-CN"/>
        </w:rPr>
        <w:t>人</w:t>
      </w:r>
      <w:r>
        <w:rPr>
          <w:rFonts w:hint="eastAsia" w:ascii="宋体" w:hAnsi="宋体"/>
          <w:b/>
          <w:color w:val="auto"/>
          <w:kern w:val="0"/>
          <w:sz w:val="24"/>
          <w:highlight w:val="none"/>
        </w:rPr>
        <w:t>须知”中“3.投标文件的编制”中规定的全部资格审查材料；</w:t>
      </w:r>
    </w:p>
    <w:p>
      <w:pPr>
        <w:pStyle w:val="6"/>
        <w:numPr>
          <w:ilvl w:val="3"/>
          <w:numId w:val="9"/>
        </w:numPr>
        <w:tabs>
          <w:tab w:val="left" w:pos="900"/>
        </w:tabs>
        <w:spacing w:line="500" w:lineRule="exact"/>
        <w:rPr>
          <w:rFonts w:ascii="宋体" w:hAnsi="宋体"/>
          <w:b/>
          <w:color w:val="auto"/>
          <w:kern w:val="0"/>
          <w:sz w:val="24"/>
          <w:highlight w:val="none"/>
        </w:rPr>
      </w:pPr>
      <w:r>
        <w:rPr>
          <w:rFonts w:hint="eastAsia" w:ascii="宋体" w:hAnsi="宋体"/>
          <w:b/>
          <w:color w:val="auto"/>
          <w:kern w:val="0"/>
          <w:sz w:val="24"/>
          <w:highlight w:val="none"/>
        </w:rPr>
        <w:t>全部资格审查申请材料符合投标须知前附表第11项的规定要求；</w:t>
      </w:r>
    </w:p>
    <w:p>
      <w:pPr>
        <w:pStyle w:val="6"/>
        <w:numPr>
          <w:ilvl w:val="3"/>
          <w:numId w:val="9"/>
        </w:numPr>
        <w:tabs>
          <w:tab w:val="left" w:pos="900"/>
        </w:tabs>
        <w:spacing w:line="500" w:lineRule="exact"/>
        <w:rPr>
          <w:rFonts w:ascii="宋体" w:hAnsi="宋体"/>
          <w:b/>
          <w:color w:val="auto"/>
          <w:kern w:val="0"/>
          <w:sz w:val="24"/>
          <w:highlight w:val="none"/>
        </w:rPr>
      </w:pPr>
      <w:r>
        <w:rPr>
          <w:rFonts w:hint="eastAsia" w:ascii="宋体" w:hAnsi="宋体"/>
          <w:b/>
          <w:color w:val="auto"/>
          <w:kern w:val="0"/>
          <w:sz w:val="24"/>
          <w:highlight w:val="none"/>
        </w:rPr>
        <w:t>符合招标文件规定的其他资格条件</w:t>
      </w:r>
      <w:r>
        <w:rPr>
          <w:rFonts w:hint="eastAsia" w:ascii="宋体" w:hAnsi="宋体"/>
          <w:b/>
          <w:color w:val="auto"/>
          <w:kern w:val="0"/>
          <w:highlight w:val="none"/>
        </w:rPr>
        <w:t>。</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五、初步评审</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1、投标文件的符合性检查和响应性确定</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在详细评标之前，评标委员会将对投标文件进行符合性检查和响应性确定。</w:t>
      </w:r>
      <w:r>
        <w:rPr>
          <w:rFonts w:hint="eastAsia" w:ascii="宋体" w:hAnsi="宋体" w:cs="宋体"/>
          <w:b/>
          <w:color w:val="auto"/>
          <w:sz w:val="24"/>
          <w:szCs w:val="24"/>
          <w:highlight w:val="none"/>
        </w:rPr>
        <w:t>当投标文件出现下列情形之一的将视为无效，按废标处理，不得进入详细评审</w:t>
      </w:r>
      <w:r>
        <w:rPr>
          <w:rFonts w:hint="eastAsia" w:ascii="宋体" w:hAnsi="宋体" w:cs="宋体"/>
          <w:color w:val="auto"/>
          <w:sz w:val="24"/>
          <w:szCs w:val="24"/>
          <w:highlight w:val="none"/>
        </w:rPr>
        <w:t>：</w:t>
      </w:r>
    </w:p>
    <w:p>
      <w:pPr>
        <w:numPr>
          <w:ilvl w:val="4"/>
          <w:numId w:val="10"/>
        </w:numPr>
        <w:tabs>
          <w:tab w:val="left" w:pos="1050"/>
        </w:tabs>
        <w:adjustRightInd/>
        <w:spacing w:line="500" w:lineRule="exact"/>
        <w:textAlignment w:val="auto"/>
        <w:rPr>
          <w:rFonts w:ascii="宋体" w:hAnsi="宋体" w:cs="Arial Unicode MS"/>
          <w:color w:val="auto"/>
          <w:sz w:val="24"/>
          <w:highlight w:val="none"/>
        </w:rPr>
      </w:pPr>
      <w:r>
        <w:rPr>
          <w:rFonts w:hint="eastAsia" w:ascii="宋体" w:hAnsi="宋体" w:cs="Arial Unicode MS"/>
          <w:color w:val="auto"/>
          <w:sz w:val="24"/>
          <w:highlight w:val="none"/>
        </w:rPr>
        <w:t>未按要求密封；</w:t>
      </w:r>
    </w:p>
    <w:p>
      <w:pPr>
        <w:numPr>
          <w:ilvl w:val="4"/>
          <w:numId w:val="10"/>
        </w:numPr>
        <w:tabs>
          <w:tab w:val="left" w:pos="1050"/>
        </w:tabs>
        <w:adjustRightInd/>
        <w:spacing w:line="500" w:lineRule="exact"/>
        <w:textAlignment w:val="auto"/>
        <w:rPr>
          <w:rFonts w:ascii="宋体" w:hAnsi="宋体" w:cs="Arial Unicode MS"/>
          <w:color w:val="auto"/>
          <w:sz w:val="24"/>
          <w:highlight w:val="none"/>
        </w:rPr>
      </w:pPr>
      <w:r>
        <w:rPr>
          <w:rFonts w:hint="eastAsia" w:ascii="宋体" w:hAnsi="宋体" w:cs="Arial Unicode MS"/>
          <w:color w:val="auto"/>
          <w:sz w:val="24"/>
          <w:highlight w:val="none"/>
        </w:rPr>
        <w:t>投标文件未按要求加盖投标人公章，未经单位负责人签字；</w:t>
      </w:r>
    </w:p>
    <w:p>
      <w:pPr>
        <w:numPr>
          <w:ilvl w:val="4"/>
          <w:numId w:val="10"/>
        </w:numPr>
        <w:tabs>
          <w:tab w:val="left" w:pos="1050"/>
        </w:tabs>
        <w:adjustRightInd/>
        <w:spacing w:line="500" w:lineRule="exact"/>
        <w:textAlignment w:val="auto"/>
        <w:rPr>
          <w:rFonts w:ascii="宋体" w:hAnsi="宋体" w:cs="Arial Unicode MS"/>
          <w:color w:val="auto"/>
          <w:sz w:val="24"/>
          <w:highlight w:val="none"/>
        </w:rPr>
      </w:pPr>
      <w:r>
        <w:rPr>
          <w:rFonts w:hint="eastAsia" w:ascii="宋体" w:hAnsi="宋体" w:cs="Arial Unicode MS"/>
          <w:color w:val="auto"/>
          <w:sz w:val="24"/>
          <w:highlight w:val="none"/>
        </w:rPr>
        <w:t>未按招标文件规定要求提交投标保证金的；</w:t>
      </w:r>
    </w:p>
    <w:p>
      <w:pPr>
        <w:numPr>
          <w:ilvl w:val="4"/>
          <w:numId w:val="10"/>
        </w:numPr>
        <w:tabs>
          <w:tab w:val="left" w:pos="1050"/>
        </w:tabs>
        <w:adjustRightInd/>
        <w:spacing w:line="500" w:lineRule="exact"/>
        <w:textAlignment w:val="auto"/>
        <w:rPr>
          <w:rFonts w:ascii="宋体" w:hAnsi="宋体" w:cs="Arial Unicode MS"/>
          <w:color w:val="auto"/>
          <w:sz w:val="24"/>
          <w:highlight w:val="none"/>
        </w:rPr>
      </w:pPr>
      <w:r>
        <w:rPr>
          <w:rFonts w:ascii="宋体" w:hAnsi="宋体" w:cs="Arial Unicode MS"/>
          <w:color w:val="auto"/>
          <w:sz w:val="24"/>
          <w:highlight w:val="none"/>
        </w:rPr>
        <w:t>投标文件</w:t>
      </w:r>
      <w:r>
        <w:rPr>
          <w:rFonts w:hint="eastAsia" w:ascii="宋体" w:hAnsi="宋体" w:cs="Arial Unicode MS"/>
          <w:color w:val="auto"/>
          <w:sz w:val="24"/>
          <w:highlight w:val="none"/>
        </w:rPr>
        <w:t>未按照招标文件规定的格式填写，内容不全或者</w:t>
      </w:r>
      <w:r>
        <w:rPr>
          <w:rFonts w:ascii="宋体" w:hAnsi="宋体" w:cs="Arial Unicode MS"/>
          <w:color w:val="auto"/>
          <w:sz w:val="24"/>
          <w:highlight w:val="none"/>
        </w:rPr>
        <w:t>关键内容字迹模糊、无法辨认的；</w:t>
      </w:r>
    </w:p>
    <w:p>
      <w:pPr>
        <w:numPr>
          <w:ilvl w:val="4"/>
          <w:numId w:val="10"/>
        </w:numPr>
        <w:tabs>
          <w:tab w:val="left" w:pos="1050"/>
        </w:tabs>
        <w:adjustRightInd/>
        <w:spacing w:line="500" w:lineRule="exact"/>
        <w:textAlignment w:val="auto"/>
        <w:rPr>
          <w:rFonts w:ascii="宋体" w:hAnsi="宋体" w:cs="Arial Unicode MS"/>
          <w:color w:val="auto"/>
          <w:sz w:val="24"/>
          <w:highlight w:val="none"/>
        </w:rPr>
      </w:pPr>
      <w:r>
        <w:rPr>
          <w:rFonts w:hint="eastAsia" w:ascii="宋体" w:hAnsi="宋体" w:cs="Arial Unicode MS"/>
          <w:color w:val="auto"/>
          <w:sz w:val="24"/>
          <w:highlight w:val="none"/>
        </w:rPr>
        <w:t>投标人递交两份或多份内容不同的投标文件，或在一份投标文件中对同一招标项目报有两个或多个报价，且未声明哪一个有效；</w:t>
      </w:r>
    </w:p>
    <w:p>
      <w:pPr>
        <w:numPr>
          <w:ilvl w:val="4"/>
          <w:numId w:val="10"/>
        </w:numPr>
        <w:tabs>
          <w:tab w:val="left" w:pos="1050"/>
        </w:tabs>
        <w:adjustRightInd/>
        <w:spacing w:line="500" w:lineRule="exact"/>
        <w:textAlignment w:val="auto"/>
        <w:rPr>
          <w:rFonts w:ascii="宋体" w:hAnsi="宋体" w:cs="Arial Unicode MS"/>
          <w:color w:val="auto"/>
          <w:sz w:val="24"/>
          <w:highlight w:val="none"/>
        </w:rPr>
      </w:pPr>
      <w:r>
        <w:rPr>
          <w:rFonts w:ascii="宋体" w:hAnsi="宋体" w:cs="Arial Unicode MS"/>
          <w:color w:val="auto"/>
          <w:sz w:val="24"/>
          <w:highlight w:val="none"/>
        </w:rPr>
        <w:t>投标文件中标明的投标人</w:t>
      </w:r>
      <w:r>
        <w:rPr>
          <w:rFonts w:hint="eastAsia" w:ascii="宋体" w:hAnsi="宋体" w:cs="Arial Unicode MS"/>
          <w:color w:val="auto"/>
          <w:sz w:val="24"/>
          <w:highlight w:val="none"/>
        </w:rPr>
        <w:t>名称或者组织结构</w:t>
      </w:r>
      <w:r>
        <w:rPr>
          <w:rFonts w:ascii="宋体" w:hAnsi="宋体" w:cs="Arial Unicode MS"/>
          <w:color w:val="auto"/>
          <w:sz w:val="24"/>
          <w:highlight w:val="none"/>
        </w:rPr>
        <w:t>与</w:t>
      </w:r>
      <w:r>
        <w:rPr>
          <w:rFonts w:hint="eastAsia" w:ascii="宋体" w:hAnsi="宋体" w:cs="Arial Unicode MS"/>
          <w:color w:val="auto"/>
          <w:sz w:val="24"/>
          <w:highlight w:val="none"/>
        </w:rPr>
        <w:t>资格审查时不一致且未提供有效证明的；</w:t>
      </w:r>
    </w:p>
    <w:p>
      <w:pPr>
        <w:numPr>
          <w:ilvl w:val="4"/>
          <w:numId w:val="10"/>
        </w:numPr>
        <w:tabs>
          <w:tab w:val="left" w:pos="1050"/>
        </w:tabs>
        <w:adjustRightInd/>
        <w:spacing w:line="500" w:lineRule="exact"/>
        <w:textAlignment w:val="auto"/>
        <w:rPr>
          <w:rFonts w:ascii="宋体" w:hAnsi="宋体" w:cs="Arial Unicode MS"/>
          <w:color w:val="auto"/>
          <w:sz w:val="24"/>
          <w:highlight w:val="none"/>
        </w:rPr>
      </w:pPr>
      <w:r>
        <w:rPr>
          <w:rFonts w:hint="eastAsia" w:ascii="宋体" w:hAnsi="宋体" w:cs="Arial Unicode MS"/>
          <w:color w:val="auto"/>
          <w:sz w:val="24"/>
          <w:highlight w:val="none"/>
        </w:rPr>
        <w:t>投标有效期不满足招标文件要求的；</w:t>
      </w:r>
    </w:p>
    <w:p>
      <w:pPr>
        <w:numPr>
          <w:ilvl w:val="4"/>
          <w:numId w:val="10"/>
        </w:numPr>
        <w:tabs>
          <w:tab w:val="left" w:pos="1050"/>
        </w:tabs>
        <w:adjustRightInd/>
        <w:spacing w:line="500" w:lineRule="exact"/>
        <w:textAlignment w:val="auto"/>
        <w:rPr>
          <w:rFonts w:ascii="宋体" w:hAnsi="宋体"/>
          <w:color w:val="auto"/>
          <w:sz w:val="24"/>
          <w:highlight w:val="none"/>
        </w:rPr>
      </w:pPr>
      <w:r>
        <w:rPr>
          <w:rFonts w:hint="eastAsia" w:ascii="宋体" w:hAnsi="宋体"/>
          <w:color w:val="auto"/>
          <w:sz w:val="24"/>
          <w:highlight w:val="none"/>
        </w:rPr>
        <w:t>投标人的投标报价未在招标人规定的投标报价</w:t>
      </w:r>
      <w:r>
        <w:rPr>
          <w:rFonts w:ascii="宋体" w:hAnsi="宋体"/>
          <w:color w:val="auto"/>
          <w:sz w:val="24"/>
          <w:highlight w:val="none"/>
        </w:rPr>
        <w:t>范围内</w:t>
      </w:r>
      <w:r>
        <w:rPr>
          <w:rFonts w:hint="eastAsia" w:ascii="宋体" w:hAnsi="宋体"/>
          <w:color w:val="auto"/>
          <w:sz w:val="24"/>
          <w:highlight w:val="none"/>
        </w:rPr>
        <w:t>的</w:t>
      </w:r>
      <w:r>
        <w:rPr>
          <w:rFonts w:hint="eastAsia" w:ascii="宋体" w:hAnsi="宋体" w:cs="宋体"/>
          <w:color w:val="auto"/>
          <w:sz w:val="24"/>
          <w:highlight w:val="none"/>
        </w:rPr>
        <w:t>或未填写的</w:t>
      </w:r>
      <w:r>
        <w:rPr>
          <w:rFonts w:hint="eastAsia" w:ascii="宋体" w:hAnsi="宋体"/>
          <w:color w:val="auto"/>
          <w:sz w:val="24"/>
          <w:highlight w:val="none"/>
        </w:rPr>
        <w:t>；</w:t>
      </w:r>
    </w:p>
    <w:p>
      <w:pPr>
        <w:numPr>
          <w:ilvl w:val="4"/>
          <w:numId w:val="10"/>
        </w:numPr>
        <w:tabs>
          <w:tab w:val="left" w:pos="1050"/>
        </w:tabs>
        <w:adjustRightInd/>
        <w:spacing w:line="500" w:lineRule="exact"/>
        <w:textAlignment w:val="auto"/>
        <w:rPr>
          <w:rFonts w:ascii="宋体" w:hAnsi="宋体"/>
          <w:color w:val="auto"/>
          <w:sz w:val="24"/>
          <w:highlight w:val="none"/>
        </w:rPr>
      </w:pPr>
      <w:r>
        <w:rPr>
          <w:rFonts w:hint="eastAsia" w:ascii="宋体" w:hAnsi="宋体"/>
          <w:color w:val="auto"/>
          <w:sz w:val="24"/>
          <w:highlight w:val="none"/>
        </w:rPr>
        <w:t>投标文件附有招标人不能接受的条件；</w:t>
      </w:r>
    </w:p>
    <w:p>
      <w:pPr>
        <w:numPr>
          <w:ilvl w:val="4"/>
          <w:numId w:val="10"/>
        </w:numPr>
        <w:tabs>
          <w:tab w:val="left" w:pos="1050"/>
        </w:tabs>
        <w:adjustRightInd/>
        <w:spacing w:line="500" w:lineRule="exact"/>
        <w:textAlignment w:val="auto"/>
        <w:rPr>
          <w:rFonts w:ascii="宋体" w:hAnsi="宋体"/>
          <w:color w:val="auto"/>
          <w:sz w:val="24"/>
          <w:highlight w:val="none"/>
        </w:rPr>
      </w:pPr>
      <w:r>
        <w:rPr>
          <w:rFonts w:hint="eastAsia" w:ascii="宋体" w:hAnsi="宋体"/>
          <w:color w:val="auto"/>
          <w:sz w:val="24"/>
          <w:highlight w:val="none"/>
        </w:rPr>
        <w:t>拟担任本项目负责人与资格审查时不一致的；</w:t>
      </w:r>
    </w:p>
    <w:p>
      <w:pPr>
        <w:numPr>
          <w:ilvl w:val="4"/>
          <w:numId w:val="10"/>
        </w:numPr>
        <w:tabs>
          <w:tab w:val="left" w:pos="1050"/>
        </w:tabs>
        <w:adjustRightInd/>
        <w:spacing w:line="500" w:lineRule="exact"/>
        <w:textAlignment w:val="auto"/>
        <w:rPr>
          <w:rFonts w:ascii="宋体" w:hAnsi="宋体"/>
          <w:color w:val="auto"/>
          <w:sz w:val="24"/>
          <w:highlight w:val="none"/>
        </w:rPr>
      </w:pPr>
      <w:r>
        <w:rPr>
          <w:rFonts w:hint="eastAsia" w:ascii="宋体" w:hAnsi="宋体"/>
          <w:color w:val="auto"/>
          <w:sz w:val="24"/>
          <w:highlight w:val="none"/>
        </w:rPr>
        <w:t>技术文件明显不符合招标文件规定合格性标准的；</w:t>
      </w:r>
    </w:p>
    <w:p>
      <w:pPr>
        <w:numPr>
          <w:ilvl w:val="4"/>
          <w:numId w:val="10"/>
        </w:numPr>
        <w:tabs>
          <w:tab w:val="left" w:pos="1050"/>
        </w:tabs>
        <w:adjustRightInd/>
        <w:spacing w:line="500" w:lineRule="exact"/>
        <w:textAlignment w:val="auto"/>
        <w:rPr>
          <w:rFonts w:ascii="宋体" w:hAnsi="宋体"/>
          <w:color w:val="auto"/>
          <w:sz w:val="24"/>
          <w:highlight w:val="none"/>
        </w:rPr>
      </w:pPr>
      <w:r>
        <w:rPr>
          <w:rFonts w:hint="eastAsia" w:ascii="宋体" w:hAnsi="宋体"/>
          <w:color w:val="auto"/>
          <w:sz w:val="24"/>
          <w:highlight w:val="none"/>
        </w:rPr>
        <w:t>投标人以他人的名义投标、串通投标、以行贿手段谋取中标或者以其他弄虚作假方式投标的；</w:t>
      </w:r>
    </w:p>
    <w:p>
      <w:pPr>
        <w:numPr>
          <w:ilvl w:val="4"/>
          <w:numId w:val="10"/>
        </w:numPr>
        <w:tabs>
          <w:tab w:val="left" w:pos="1050"/>
        </w:tabs>
        <w:adjustRightInd/>
        <w:spacing w:line="500" w:lineRule="exact"/>
        <w:textAlignment w:val="auto"/>
        <w:rPr>
          <w:rFonts w:ascii="宋体" w:hAnsi="宋体"/>
          <w:color w:val="auto"/>
          <w:sz w:val="24"/>
          <w:highlight w:val="none"/>
        </w:rPr>
      </w:pPr>
      <w:r>
        <w:rPr>
          <w:rFonts w:hint="eastAsia" w:ascii="宋体" w:hAnsi="宋体"/>
          <w:color w:val="auto"/>
          <w:sz w:val="24"/>
          <w:highlight w:val="none"/>
        </w:rPr>
        <w:t>反映投标文件个性特征的内容出现明显雷同的；</w:t>
      </w:r>
    </w:p>
    <w:p>
      <w:pPr>
        <w:numPr>
          <w:ilvl w:val="4"/>
          <w:numId w:val="10"/>
        </w:numPr>
        <w:tabs>
          <w:tab w:val="left" w:pos="1050"/>
        </w:tabs>
        <w:adjustRightInd/>
        <w:spacing w:line="500" w:lineRule="exact"/>
        <w:textAlignment w:val="auto"/>
        <w:rPr>
          <w:rFonts w:ascii="宋体" w:hAnsi="宋体"/>
          <w:color w:val="auto"/>
          <w:sz w:val="24"/>
          <w:highlight w:val="none"/>
        </w:rPr>
      </w:pPr>
      <w:r>
        <w:rPr>
          <w:rFonts w:hint="eastAsia" w:ascii="宋体" w:hAnsi="宋体"/>
          <w:color w:val="auto"/>
          <w:sz w:val="24"/>
          <w:highlight w:val="none"/>
        </w:rPr>
        <w:t>侵犯他人著作权和特许权的；</w:t>
      </w:r>
    </w:p>
    <w:p>
      <w:pPr>
        <w:numPr>
          <w:ilvl w:val="4"/>
          <w:numId w:val="10"/>
        </w:numPr>
        <w:tabs>
          <w:tab w:val="left" w:pos="1050"/>
        </w:tabs>
        <w:adjustRightInd/>
        <w:spacing w:line="500" w:lineRule="exact"/>
        <w:textAlignment w:val="auto"/>
        <w:rPr>
          <w:rFonts w:ascii="宋体" w:hAnsi="宋体"/>
          <w:color w:val="auto"/>
          <w:sz w:val="24"/>
          <w:highlight w:val="none"/>
        </w:rPr>
      </w:pPr>
      <w:r>
        <w:rPr>
          <w:rFonts w:hint="eastAsia" w:ascii="宋体" w:hAnsi="宋体" w:cs="宋体"/>
          <w:color w:val="auto"/>
          <w:sz w:val="24"/>
          <w:highlight w:val="none"/>
        </w:rPr>
        <w:t>投标文件存在虚假资料的；</w:t>
      </w:r>
    </w:p>
    <w:p>
      <w:pPr>
        <w:numPr>
          <w:ilvl w:val="4"/>
          <w:numId w:val="10"/>
        </w:numPr>
        <w:tabs>
          <w:tab w:val="left" w:pos="1050"/>
        </w:tabs>
        <w:adjustRightInd/>
        <w:spacing w:line="500" w:lineRule="exact"/>
        <w:textAlignment w:val="auto"/>
        <w:rPr>
          <w:rFonts w:ascii="宋体" w:hAnsi="宋体"/>
          <w:color w:val="auto"/>
          <w:sz w:val="24"/>
          <w:highlight w:val="none"/>
        </w:rPr>
      </w:pPr>
      <w:r>
        <w:rPr>
          <w:rFonts w:hint="eastAsia" w:ascii="宋体" w:hAnsi="宋体"/>
          <w:color w:val="auto"/>
          <w:sz w:val="24"/>
          <w:highlight w:val="none"/>
        </w:rPr>
        <w:t>招标文件规定的可以废标的实质性要求。</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六、投标文件的澄清和补正</w:t>
      </w:r>
    </w:p>
    <w:p>
      <w:pPr>
        <w:spacing w:line="500" w:lineRule="exact"/>
        <w:ind w:firstLine="360" w:firstLineChars="150"/>
        <w:rPr>
          <w:rFonts w:ascii="宋体" w:hAnsi="宋体" w:cs="宋体"/>
          <w:b/>
          <w:color w:val="auto"/>
          <w:sz w:val="28"/>
          <w:szCs w:val="28"/>
          <w:highlight w:val="none"/>
        </w:rPr>
      </w:pPr>
      <w:r>
        <w:rPr>
          <w:rFonts w:hint="eastAsia" w:ascii="宋体" w:hAnsi="宋体" w:cs="宋体"/>
          <w:color w:val="auto"/>
          <w:sz w:val="24"/>
          <w:highlight w:val="none"/>
        </w:rPr>
        <w:t>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如果投标文件实质上不响应招标文件的各项要求，评标委员会将予以拒绝，并且不允许投标人通过修改或撤消其不符合要求的差异或保留，使之成为具有响应性的投标。</w:t>
      </w:r>
    </w:p>
    <w:p>
      <w:pPr>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2、评标委员会将会对投标人报价的组成、合理性、准确性、全面性进行分析比较。</w:t>
      </w:r>
    </w:p>
    <w:p>
      <w:pPr>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3、评标委员会在对实质上响应招标文件要求的投标进行报价评估时，除招标文件</w:t>
      </w:r>
    </w:p>
    <w:p>
      <w:pPr>
        <w:spacing w:line="500" w:lineRule="exact"/>
        <w:rPr>
          <w:rFonts w:ascii="宋体" w:hAnsi="宋体" w:cs="宋体"/>
          <w:b/>
          <w:color w:val="auto"/>
          <w:sz w:val="28"/>
          <w:szCs w:val="28"/>
          <w:highlight w:val="none"/>
        </w:rPr>
      </w:pPr>
      <w:r>
        <w:rPr>
          <w:rFonts w:hint="eastAsia" w:ascii="宋体" w:hAnsi="宋体" w:cs="宋体"/>
          <w:color w:val="auto"/>
          <w:sz w:val="24"/>
          <w:highlight w:val="none"/>
        </w:rPr>
        <w:t>另有约定外，将按下述原则进行修正：</w:t>
      </w:r>
    </w:p>
    <w:p>
      <w:pPr>
        <w:spacing w:line="500" w:lineRule="exact"/>
        <w:ind w:firstLine="360" w:firstLineChars="150"/>
        <w:rPr>
          <w:rFonts w:ascii="宋体" w:hAnsi="宋体" w:cs="宋体"/>
          <w:b/>
          <w:color w:val="auto"/>
          <w:sz w:val="28"/>
          <w:szCs w:val="28"/>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数字表示的数额与用文字表示的数额不一致时，以文字数额为准。</w:t>
      </w:r>
    </w:p>
    <w:p>
      <w:pPr>
        <w:spacing w:line="500" w:lineRule="exact"/>
        <w:ind w:firstLine="360" w:firstLineChars="150"/>
        <w:rPr>
          <w:rFonts w:ascii="宋体" w:hAnsi="宋体" w:cs="宋体"/>
          <w:b/>
          <w:color w:val="auto"/>
          <w:sz w:val="28"/>
          <w:szCs w:val="28"/>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按前款规定调整后的报价经投标人的法定代表人（或其委托代理人）确认后产生约束力。</w:t>
      </w:r>
    </w:p>
    <w:p>
      <w:pPr>
        <w:spacing w:line="50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七、详细评审</w:t>
      </w:r>
    </w:p>
    <w:p>
      <w:pPr>
        <w:spacing w:line="500" w:lineRule="exact"/>
        <w:ind w:firstLine="360" w:firstLineChars="150"/>
        <w:rPr>
          <w:rFonts w:ascii="宋体" w:hAnsi="宋体" w:cs="宋体"/>
          <w:b/>
          <w:color w:val="auto"/>
          <w:sz w:val="28"/>
          <w:szCs w:val="28"/>
          <w:highlight w:val="none"/>
        </w:rPr>
      </w:pPr>
      <w:r>
        <w:rPr>
          <w:rFonts w:hint="eastAsia" w:ascii="宋体" w:hAnsi="宋体" w:cs="宋体"/>
          <w:color w:val="auto"/>
          <w:sz w:val="24"/>
          <w:highlight w:val="none"/>
        </w:rPr>
        <w:t>1、评标委员会仅对通过初步评审的投标文件进行详细评审。</w:t>
      </w:r>
    </w:p>
    <w:p>
      <w:pPr>
        <w:spacing w:line="500" w:lineRule="exact"/>
        <w:ind w:firstLine="360" w:firstLineChars="150"/>
        <w:rPr>
          <w:rFonts w:ascii="宋体" w:hAnsi="宋体" w:cs="宋体"/>
          <w:b/>
          <w:color w:val="auto"/>
          <w:sz w:val="28"/>
          <w:szCs w:val="28"/>
          <w:highlight w:val="none"/>
        </w:rPr>
      </w:pPr>
      <w:r>
        <w:rPr>
          <w:rFonts w:hint="eastAsia" w:ascii="宋体" w:hAnsi="宋体" w:cs="宋体"/>
          <w:color w:val="auto"/>
          <w:sz w:val="24"/>
          <w:highlight w:val="none"/>
        </w:rPr>
        <w:t>2、百分制综合评估法评分标准</w:t>
      </w:r>
    </w:p>
    <w:p>
      <w:pPr>
        <w:spacing w:line="500" w:lineRule="exact"/>
        <w:ind w:firstLine="720" w:firstLineChars="300"/>
        <w:rPr>
          <w:rFonts w:ascii="宋体" w:hAnsi="宋体" w:cs="宋体"/>
          <w:b/>
          <w:color w:val="auto"/>
          <w:sz w:val="28"/>
          <w:szCs w:val="28"/>
          <w:highlight w:val="none"/>
        </w:rPr>
      </w:pPr>
      <w:r>
        <w:rPr>
          <w:rFonts w:hint="eastAsia" w:ascii="宋体" w:hAnsi="宋体" w:cs="宋体"/>
          <w:color w:val="auto"/>
          <w:sz w:val="24"/>
          <w:highlight w:val="none"/>
        </w:rPr>
        <w:t>综合评估法的评分标准见附表《综合评估法评分表》。</w:t>
      </w:r>
    </w:p>
    <w:p>
      <w:pPr>
        <w:spacing w:line="500" w:lineRule="exact"/>
        <w:ind w:firstLine="360" w:firstLineChars="150"/>
        <w:rPr>
          <w:rFonts w:ascii="宋体" w:hAnsi="宋体" w:cs="宋体"/>
          <w:b/>
          <w:color w:val="auto"/>
          <w:sz w:val="28"/>
          <w:szCs w:val="28"/>
          <w:highlight w:val="none"/>
        </w:rPr>
      </w:pPr>
      <w:r>
        <w:rPr>
          <w:rFonts w:hint="eastAsia" w:ascii="宋体" w:hAnsi="宋体" w:cs="宋体"/>
          <w:color w:val="auto"/>
          <w:sz w:val="24"/>
          <w:highlight w:val="none"/>
        </w:rPr>
        <w:t>3、评标委员会按照综合评估法的评标得分的从高到低的顺序进行排名，推荐合格的中标候选人。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投标报价评审方法见《综合评估法评分标准》。</w:t>
      </w:r>
    </w:p>
    <w:p>
      <w:pPr>
        <w:spacing w:line="500" w:lineRule="exact"/>
        <w:ind w:firstLine="480" w:firstLineChars="200"/>
        <w:rPr>
          <w:rFonts w:ascii="宋体" w:hAnsi="宋体" w:cs="宋体"/>
          <w:b/>
          <w:color w:val="auto"/>
          <w:sz w:val="28"/>
          <w:szCs w:val="28"/>
          <w:highlight w:val="none"/>
        </w:rPr>
      </w:pPr>
      <w:r>
        <w:rPr>
          <w:rFonts w:hint="eastAsia" w:ascii="宋体" w:hAnsi="宋体" w:cs="宋体"/>
          <w:color w:val="auto"/>
          <w:sz w:val="24"/>
          <w:highlight w:val="none"/>
        </w:rPr>
        <w:t>4、评分细则</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本项目的评分细则分为商务部分、报价部分和技术部分。</w:t>
      </w:r>
      <w:r>
        <w:rPr>
          <w:rFonts w:hint="eastAsia" w:ascii="宋体" w:hAnsi="宋体" w:cs="宋体"/>
          <w:b w:val="0"/>
          <w:bCs w:val="0"/>
          <w:color w:val="auto"/>
          <w:sz w:val="24"/>
          <w:szCs w:val="24"/>
          <w:highlight w:val="none"/>
        </w:rPr>
        <w:t>商务部分的得分为所有评委商务评分的</w:t>
      </w:r>
      <w:r>
        <w:rPr>
          <w:rFonts w:hint="eastAsia" w:ascii="宋体" w:hAnsi="宋体" w:cs="宋体"/>
          <w:b w:val="0"/>
          <w:bCs w:val="0"/>
          <w:color w:val="auto"/>
          <w:sz w:val="24"/>
          <w:szCs w:val="24"/>
          <w:highlight w:val="none"/>
          <w:lang w:eastAsia="zh-CN"/>
        </w:rPr>
        <w:t>算术</w:t>
      </w:r>
      <w:r>
        <w:rPr>
          <w:rFonts w:hint="eastAsia" w:ascii="宋体" w:hAnsi="宋体" w:cs="宋体"/>
          <w:b w:val="0"/>
          <w:bCs w:val="0"/>
          <w:color w:val="auto"/>
          <w:sz w:val="24"/>
          <w:szCs w:val="24"/>
          <w:highlight w:val="none"/>
        </w:rPr>
        <w:t>平均值（</w:t>
      </w:r>
      <w:r>
        <w:rPr>
          <w:rFonts w:hint="eastAsia" w:ascii="宋体" w:hAnsi="宋体" w:cs="宋体"/>
          <w:b w:val="0"/>
          <w:bCs w:val="0"/>
          <w:color w:val="auto"/>
          <w:sz w:val="24"/>
          <w:highlight w:val="none"/>
        </w:rPr>
        <w:t>投标</w:t>
      </w:r>
      <w:r>
        <w:rPr>
          <w:rFonts w:hint="eastAsia" w:ascii="宋体" w:hAnsi="宋体" w:cs="宋体"/>
          <w:b w:val="0"/>
          <w:bCs w:val="0"/>
          <w:color w:val="auto"/>
          <w:sz w:val="24"/>
          <w:highlight w:val="none"/>
          <w:lang w:eastAsia="zh-CN"/>
        </w:rPr>
        <w:t>人</w:t>
      </w:r>
      <w:r>
        <w:rPr>
          <w:rFonts w:hint="eastAsia" w:ascii="宋体" w:hAnsi="宋体" w:cs="宋体"/>
          <w:b w:val="0"/>
          <w:bCs w:val="0"/>
          <w:color w:val="auto"/>
          <w:sz w:val="24"/>
          <w:highlight w:val="none"/>
        </w:rPr>
        <w:t>的最终得分</w:t>
      </w:r>
      <w:r>
        <w:rPr>
          <w:rFonts w:hint="eastAsia" w:ascii="宋体" w:hAnsi="宋体" w:cs="宋体"/>
          <w:b w:val="0"/>
          <w:bCs w:val="0"/>
          <w:color w:val="auto"/>
          <w:sz w:val="24"/>
          <w:highlight w:val="none"/>
          <w:lang w:eastAsia="zh-CN"/>
        </w:rPr>
        <w:t>，分数</w:t>
      </w:r>
      <w:r>
        <w:rPr>
          <w:rFonts w:hint="eastAsia" w:ascii="宋体" w:hAnsi="宋体" w:cs="宋体"/>
          <w:b w:val="0"/>
          <w:bCs w:val="0"/>
          <w:color w:val="auto"/>
          <w:sz w:val="24"/>
          <w:highlight w:val="none"/>
        </w:rPr>
        <w:t>出现小数点，保留小数点后二位，第三位小数四舍五入）；投标单位的报价部分得分若出现小数点，保留小数点后二位，第三位小数四舍五入；技术部分的得分所有评委</w:t>
      </w:r>
      <w:r>
        <w:rPr>
          <w:rFonts w:hint="eastAsia" w:ascii="宋体" w:hAnsi="宋体" w:cs="宋体"/>
          <w:b w:val="0"/>
          <w:bCs w:val="0"/>
          <w:color w:val="auto"/>
          <w:sz w:val="24"/>
          <w:highlight w:val="none"/>
          <w:lang w:eastAsia="zh-CN"/>
        </w:rPr>
        <w:t>技术评分</w:t>
      </w:r>
      <w:r>
        <w:rPr>
          <w:rFonts w:hint="eastAsia" w:ascii="宋体" w:hAnsi="宋体" w:cs="宋体"/>
          <w:b w:val="0"/>
          <w:bCs w:val="0"/>
          <w:color w:val="auto"/>
          <w:sz w:val="24"/>
          <w:highlight w:val="none"/>
        </w:rPr>
        <w:t>的算术平均值</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投标人的最</w:t>
      </w:r>
      <w:r>
        <w:rPr>
          <w:rFonts w:hint="eastAsia" w:ascii="宋体" w:hAnsi="宋体" w:cs="宋体"/>
          <w:color w:val="auto"/>
          <w:sz w:val="24"/>
          <w:highlight w:val="none"/>
        </w:rPr>
        <w:t>终得分，分数出现小数点，保留小数点后二位小数，第三位小数四舍五入</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5、综合得分排序</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评标委员会专家成员对满足招标文件实质性要求的投标文件，按照招标文件规定的评分标准进行独立评分，各投标人最终总得分=商务得分+报价得分+技术得分。</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八、确定中标人及中标候选人</w:t>
      </w:r>
    </w:p>
    <w:p>
      <w:pPr>
        <w:tabs>
          <w:tab w:val="left" w:pos="510"/>
        </w:tabs>
        <w:adjustRightInd/>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按最终得分由高到低顺序确定中标人及中标候选人，最终得分最高的投标人为第一中标候选人，得分</w:t>
      </w:r>
      <w:r>
        <w:rPr>
          <w:rFonts w:hint="eastAsia" w:ascii="宋体" w:hAnsi="宋体"/>
          <w:b/>
          <w:color w:val="auto"/>
          <w:sz w:val="24"/>
          <w:highlight w:val="none"/>
          <w:lang w:eastAsia="zh-CN"/>
        </w:rPr>
        <w:t>第二</w:t>
      </w:r>
      <w:r>
        <w:rPr>
          <w:rFonts w:hint="eastAsia" w:ascii="宋体" w:hAnsi="宋体"/>
          <w:b/>
          <w:color w:val="auto"/>
          <w:sz w:val="24"/>
          <w:highlight w:val="none"/>
        </w:rPr>
        <w:t>的投标人为第</w:t>
      </w:r>
      <w:r>
        <w:rPr>
          <w:rFonts w:hint="eastAsia" w:ascii="宋体" w:hAnsi="宋体"/>
          <w:b/>
          <w:color w:val="auto"/>
          <w:sz w:val="24"/>
          <w:highlight w:val="none"/>
          <w:lang w:eastAsia="zh-CN"/>
        </w:rPr>
        <w:t>二</w:t>
      </w:r>
      <w:r>
        <w:rPr>
          <w:rFonts w:hint="eastAsia" w:ascii="宋体" w:hAnsi="宋体"/>
          <w:b/>
          <w:color w:val="auto"/>
          <w:sz w:val="24"/>
          <w:highlight w:val="none"/>
        </w:rPr>
        <w:t>中标候选人</w:t>
      </w:r>
      <w:r>
        <w:rPr>
          <w:rFonts w:hint="eastAsia" w:ascii="宋体" w:hAnsi="宋体"/>
          <w:b/>
          <w:color w:val="auto"/>
          <w:sz w:val="24"/>
          <w:highlight w:val="none"/>
          <w:lang w:eastAsia="zh-CN"/>
        </w:rPr>
        <w:t>，</w:t>
      </w:r>
      <w:r>
        <w:rPr>
          <w:rFonts w:hint="eastAsia" w:ascii="宋体" w:hAnsi="宋体"/>
          <w:b/>
          <w:color w:val="auto"/>
          <w:sz w:val="24"/>
          <w:highlight w:val="none"/>
        </w:rPr>
        <w:t>以此类推</w:t>
      </w:r>
      <w:r>
        <w:rPr>
          <w:rFonts w:hint="eastAsia" w:ascii="宋体" w:hAnsi="宋体"/>
          <w:color w:val="auto"/>
          <w:sz w:val="24"/>
          <w:highlight w:val="none"/>
        </w:rPr>
        <w:t>。若总得分相同，投标报价得分高的投标人排序优先；投标报价得分也相等的，则由评委通过记名投票表决（不得弃权），以“少数服从多数”的原则排序。</w:t>
      </w:r>
    </w:p>
    <w:p>
      <w:pPr>
        <w:tabs>
          <w:tab w:val="left" w:pos="510"/>
        </w:tabs>
        <w:adjustRightInd/>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2、若有效投标单位不足三家，应当依法重新招标。评标委员会认为投标明显缺乏竞争的，可以否决全部投标。</w:t>
      </w:r>
    </w:p>
    <w:p>
      <w:pPr>
        <w:tabs>
          <w:tab w:val="left" w:pos="510"/>
        </w:tabs>
        <w:adjustRightInd/>
        <w:spacing w:line="500" w:lineRule="exact"/>
        <w:ind w:firstLine="480" w:firstLineChars="200"/>
        <w:textAlignment w:val="auto"/>
        <w:rPr>
          <w:rFonts w:ascii="宋体" w:hAnsi="宋体"/>
          <w:b/>
          <w:color w:val="auto"/>
          <w:sz w:val="28"/>
          <w:szCs w:val="28"/>
          <w:highlight w:val="none"/>
        </w:rPr>
      </w:pPr>
      <w:r>
        <w:rPr>
          <w:rFonts w:hint="eastAsia" w:ascii="宋体" w:hAnsi="宋体"/>
          <w:color w:val="auto"/>
          <w:sz w:val="24"/>
          <w:highlight w:val="none"/>
        </w:rPr>
        <w:t>3、评标委员会经评审，认为所有投标都不符合招标文件要求的，可以否决所有投标。所有投标被否决后，招标人应当依法重新招标。</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九、评标报告</w:t>
      </w:r>
    </w:p>
    <w:p>
      <w:pPr>
        <w:spacing w:line="500" w:lineRule="exact"/>
        <w:ind w:firstLine="360" w:firstLineChars="150"/>
        <w:rPr>
          <w:rFonts w:ascii="宋体" w:hAnsi="宋体"/>
          <w:color w:val="auto"/>
          <w:sz w:val="24"/>
          <w:highlight w:val="none"/>
        </w:rPr>
      </w:pPr>
      <w:r>
        <w:rPr>
          <w:rFonts w:hint="eastAsia" w:ascii="宋体" w:hAnsi="宋体"/>
          <w:color w:val="auto"/>
          <w:sz w:val="24"/>
          <w:highlight w:val="none"/>
        </w:rPr>
        <w:t>1、评标委员会完成评标后，应当向招标人提交书面评标报告：</w:t>
      </w:r>
    </w:p>
    <w:p>
      <w:pPr>
        <w:spacing w:line="500" w:lineRule="exact"/>
        <w:ind w:firstLine="360" w:firstLineChars="150"/>
        <w:rPr>
          <w:rFonts w:ascii="宋体" w:hAnsi="宋体"/>
          <w:color w:val="auto"/>
          <w:sz w:val="24"/>
          <w:highlight w:val="none"/>
        </w:rPr>
      </w:pPr>
      <w:r>
        <w:rPr>
          <w:rFonts w:hint="eastAsia" w:ascii="宋体" w:hAnsi="宋体"/>
          <w:color w:val="auto"/>
          <w:sz w:val="24"/>
          <w:highlight w:val="none"/>
        </w:rPr>
        <w:t>2、评标委员会决定否决所有投标的，应当在评标报告中说明具体理由。</w:t>
      </w:r>
    </w:p>
    <w:p>
      <w:pPr>
        <w:spacing w:line="500" w:lineRule="exact"/>
        <w:ind w:firstLine="360" w:firstLineChars="150"/>
        <w:rPr>
          <w:rFonts w:ascii="宋体" w:hAnsi="宋体"/>
          <w:color w:val="auto"/>
          <w:sz w:val="24"/>
          <w:highlight w:val="none"/>
        </w:rPr>
      </w:pPr>
      <w:r>
        <w:rPr>
          <w:rFonts w:hint="eastAsia" w:ascii="宋体" w:hAnsi="宋体"/>
          <w:color w:val="auto"/>
          <w:sz w:val="24"/>
          <w:highlight w:val="none"/>
        </w:rPr>
        <w:t>3、评标委员会应根据评标情况和结果，向招标人提交评标报告。</w:t>
      </w:r>
      <w:r>
        <w:rPr>
          <w:rFonts w:hint="eastAsia" w:ascii="宋体" w:hAnsi="宋体"/>
          <w:color w:val="auto"/>
          <w:kern w:val="2"/>
          <w:sz w:val="24"/>
          <w:szCs w:val="24"/>
          <w:highlight w:val="none"/>
        </w:rPr>
        <w:t>评标报告由评标委员会全体成员签字。对评标结论持有异议的，评标委员会成员可以书面方式阐述其不同意见和理由。评标委员会成员拒绝在评标报告上签字且不陈述其不同意见和理由的，视为同意评标结论，并由评标委员会作出书面说明并存档。</w:t>
      </w:r>
    </w:p>
    <w:p>
      <w:pPr>
        <w:adjustRightInd/>
        <w:spacing w:before="240" w:beforeLines="100" w:line="500" w:lineRule="exact"/>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十、附则</w:t>
      </w:r>
    </w:p>
    <w:p>
      <w:pPr>
        <w:spacing w:line="500" w:lineRule="exact"/>
        <w:ind w:firstLine="480" w:firstLineChars="200"/>
        <w:jc w:val="both"/>
        <w:rPr>
          <w:rFonts w:hint="eastAsia"/>
          <w:b/>
          <w:color w:val="auto"/>
          <w:sz w:val="32"/>
          <w:szCs w:val="32"/>
          <w:highlight w:val="none"/>
        </w:rPr>
      </w:pPr>
      <w:r>
        <w:rPr>
          <w:rFonts w:hint="eastAsia"/>
          <w:color w:val="auto"/>
          <w:sz w:val="24"/>
          <w:szCs w:val="24"/>
          <w:highlight w:val="none"/>
        </w:rPr>
        <w:t>投标人应对所递交的投标文件以及与投标有关的证明资料的真实性负责，若以弄虚作假骗取中标的，中标无效，给招标人造成损失的依法承担赔偿责任。</w:t>
      </w:r>
      <w:r>
        <w:rPr>
          <w:color w:val="auto"/>
          <w:sz w:val="24"/>
          <w:szCs w:val="24"/>
          <w:highlight w:val="none"/>
        </w:rPr>
        <w:br w:type="page"/>
      </w:r>
      <w:r>
        <w:rPr>
          <w:rFonts w:hint="eastAsia"/>
          <w:b/>
          <w:color w:val="auto"/>
          <w:sz w:val="32"/>
          <w:szCs w:val="32"/>
          <w:highlight w:val="none"/>
        </w:rPr>
        <w:t>综合评估法评分标准</w:t>
      </w:r>
    </w:p>
    <w:p>
      <w:pPr>
        <w:pStyle w:val="6"/>
        <w:rPr>
          <w:color w:val="auto"/>
        </w:rPr>
      </w:pPr>
    </w:p>
    <w:p>
      <w:pPr>
        <w:numPr>
          <w:ilvl w:val="0"/>
          <w:numId w:val="11"/>
        </w:numPr>
        <w:tabs>
          <w:tab w:val="left" w:pos="1440"/>
        </w:tabs>
        <w:adjustRightInd/>
        <w:spacing w:line="500" w:lineRule="exact"/>
        <w:textAlignment w:val="auto"/>
        <w:rPr>
          <w:rFonts w:hint="eastAsia" w:ascii="宋体" w:hAnsi="宋体" w:cs="宋体"/>
          <w:b/>
          <w:color w:val="auto"/>
          <w:kern w:val="2"/>
          <w:sz w:val="28"/>
          <w:szCs w:val="28"/>
          <w:highlight w:val="none"/>
        </w:rPr>
      </w:pPr>
      <w:r>
        <w:rPr>
          <w:rFonts w:hint="eastAsia" w:ascii="宋体" w:hAnsi="宋体" w:cs="宋体"/>
          <w:b/>
          <w:color w:val="auto"/>
          <w:kern w:val="2"/>
          <w:sz w:val="28"/>
          <w:szCs w:val="28"/>
          <w:highlight w:val="none"/>
        </w:rPr>
        <w:t>商务分评分标准（30分）</w:t>
      </w:r>
    </w:p>
    <w:tbl>
      <w:tblPr>
        <w:tblStyle w:val="37"/>
        <w:tblpPr w:leftFromText="180" w:rightFromText="180" w:vertAnchor="text" w:horzAnchor="margin" w:tblpXSpec="center" w:tblpY="154"/>
        <w:tblOverlap w:val="never"/>
        <w:tblW w:w="477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108" w:type="dxa"/>
          <w:bottom w:w="28" w:type="dxa"/>
          <w:right w:w="108" w:type="dxa"/>
        </w:tblCellMar>
      </w:tblPr>
      <w:tblGrid>
        <w:gridCol w:w="736"/>
        <w:gridCol w:w="780"/>
        <w:gridCol w:w="1097"/>
        <w:gridCol w:w="1111"/>
        <w:gridCol w:w="5006"/>
        <w:gridCol w:w="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558" w:hRule="atLeast"/>
        </w:trPr>
        <w:tc>
          <w:tcPr>
            <w:tcW w:w="797" w:type="pct"/>
            <w:gridSpan w:val="2"/>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cs="宋体"/>
                <w:color w:val="auto"/>
                <w:sz w:val="21"/>
                <w:szCs w:val="21"/>
              </w:rPr>
            </w:pPr>
            <w:r>
              <w:rPr>
                <w:rFonts w:hint="eastAsia" w:ascii="宋体" w:hAnsi="宋体" w:cs="宋体"/>
                <w:color w:val="auto"/>
                <w:sz w:val="21"/>
                <w:szCs w:val="21"/>
              </w:rPr>
              <w:t>序号</w:t>
            </w:r>
          </w:p>
        </w:tc>
        <w:tc>
          <w:tcPr>
            <w:tcW w:w="57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宋体" w:hAnsi="宋体" w:cs="宋体"/>
                <w:color w:val="auto"/>
                <w:sz w:val="21"/>
                <w:szCs w:val="21"/>
              </w:rPr>
            </w:pPr>
            <w:r>
              <w:rPr>
                <w:rFonts w:hint="eastAsia" w:ascii="宋体" w:hAnsi="宋体" w:cs="宋体"/>
                <w:color w:val="auto"/>
                <w:sz w:val="21"/>
                <w:szCs w:val="21"/>
              </w:rPr>
              <w:t>评审内容</w:t>
            </w:r>
          </w:p>
        </w:tc>
        <w:tc>
          <w:tcPr>
            <w:tcW w:w="584" w:type="pct"/>
            <w:tcBorders>
              <w:top w:val="single" w:color="auto" w:sz="6" w:space="0"/>
              <w:left w:val="single" w:color="auto" w:sz="6" w:space="0"/>
              <w:bottom w:val="single" w:color="auto" w:sz="6" w:space="0"/>
              <w:right w:val="single" w:color="auto" w:sz="6" w:space="0"/>
            </w:tcBorders>
            <w:noWrap w:val="0"/>
            <w:vAlign w:val="center"/>
          </w:tcPr>
          <w:p>
            <w:pPr>
              <w:tabs>
                <w:tab w:val="left" w:pos="884"/>
              </w:tabs>
              <w:spacing w:line="360" w:lineRule="exact"/>
              <w:jc w:val="center"/>
              <w:rPr>
                <w:rFonts w:ascii="宋体" w:hAnsi="宋体" w:cs="宋体"/>
                <w:color w:val="auto"/>
                <w:sz w:val="21"/>
                <w:szCs w:val="21"/>
              </w:rPr>
            </w:pPr>
            <w:r>
              <w:rPr>
                <w:rFonts w:hint="eastAsia" w:ascii="宋体" w:hAnsi="宋体" w:cs="宋体"/>
                <w:color w:val="auto"/>
                <w:sz w:val="21"/>
                <w:szCs w:val="21"/>
              </w:rPr>
              <w:t>分值分配</w:t>
            </w:r>
          </w:p>
        </w:tc>
        <w:tc>
          <w:tcPr>
            <w:tcW w:w="2632"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宋体" w:hAnsi="宋体" w:cs="宋体"/>
                <w:color w:val="auto"/>
                <w:sz w:val="21"/>
                <w:szCs w:val="21"/>
              </w:rPr>
            </w:pPr>
            <w:r>
              <w:rPr>
                <w:rFonts w:hint="eastAsia" w:ascii="宋体" w:cs="宋体"/>
                <w:color w:val="auto"/>
                <w:sz w:val="21"/>
                <w:szCs w:val="21"/>
                <w:lang w:val="zh-CN"/>
              </w:rPr>
              <w:t>内容</w:t>
            </w:r>
          </w:p>
        </w:tc>
        <w:tc>
          <w:tcPr>
            <w:tcW w:w="408" w:type="pct"/>
            <w:tcBorders>
              <w:top w:val="single" w:color="auto" w:sz="6" w:space="0"/>
              <w:left w:val="single" w:color="auto" w:sz="6" w:space="0"/>
              <w:bottom w:val="single" w:color="auto" w:sz="6" w:space="0"/>
              <w:right w:val="single" w:color="auto" w:sz="6" w:space="0"/>
            </w:tcBorders>
            <w:noWrap w:val="0"/>
            <w:vAlign w:val="center"/>
          </w:tcPr>
          <w:p>
            <w:pPr>
              <w:tabs>
                <w:tab w:val="left" w:pos="3924"/>
              </w:tabs>
              <w:spacing w:line="360" w:lineRule="exact"/>
              <w:ind w:right="-98" w:rightChars="-49"/>
              <w:jc w:val="center"/>
              <w:rPr>
                <w:rFonts w:hint="eastAsia" w:ascii="宋体" w:hAnsi="宋体" w:cs="宋体"/>
                <w:color w:val="auto"/>
                <w:sz w:val="21"/>
                <w:szCs w:val="21"/>
              </w:rPr>
            </w:pPr>
            <w:r>
              <w:rPr>
                <w:rFonts w:hint="eastAsia" w:ascii="宋体" w:hAnsi="宋体" w:cs="宋体"/>
                <w:color w:val="auto"/>
                <w:sz w:val="21"/>
                <w:szCs w:val="21"/>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1917" w:hRule="atLeast"/>
        </w:trPr>
        <w:tc>
          <w:tcPr>
            <w:tcW w:w="38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宋体" w:hAnsi="宋体"/>
                <w:color w:val="auto"/>
                <w:sz w:val="21"/>
                <w:szCs w:val="21"/>
              </w:rPr>
            </w:pPr>
            <w:r>
              <w:rPr>
                <w:rFonts w:hint="eastAsia" w:ascii="宋体" w:hAnsi="宋体"/>
                <w:color w:val="auto"/>
                <w:sz w:val="21"/>
                <w:szCs w:val="21"/>
              </w:rPr>
              <w:t>1</w:t>
            </w:r>
          </w:p>
        </w:tc>
        <w:tc>
          <w:tcPr>
            <w:tcW w:w="410" w:type="pct"/>
            <w:vMerge w:val="restart"/>
            <w:tcBorders>
              <w:top w:val="single" w:color="auto" w:sz="6" w:space="0"/>
              <w:left w:val="single" w:color="auto" w:sz="6" w:space="0"/>
              <w:right w:val="single" w:color="auto" w:sz="6" w:space="0"/>
            </w:tcBorders>
            <w:noWrap w:val="0"/>
            <w:vAlign w:val="center"/>
          </w:tcPr>
          <w:p>
            <w:pPr>
              <w:spacing w:line="360" w:lineRule="exact"/>
              <w:jc w:val="center"/>
              <w:rPr>
                <w:rFonts w:hint="eastAsia" w:ascii="宋体" w:hAnsi="宋体"/>
                <w:b/>
                <w:bCs/>
                <w:color w:val="auto"/>
                <w:sz w:val="21"/>
                <w:szCs w:val="21"/>
              </w:rPr>
            </w:pPr>
            <w:r>
              <w:rPr>
                <w:rFonts w:hint="eastAsia" w:ascii="宋体" w:hAnsi="宋体"/>
                <w:b/>
                <w:bCs/>
                <w:color w:val="auto"/>
                <w:sz w:val="21"/>
                <w:szCs w:val="21"/>
              </w:rPr>
              <w:t>投标人设计方面综合实力</w:t>
            </w:r>
          </w:p>
        </w:tc>
        <w:tc>
          <w:tcPr>
            <w:tcW w:w="57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企业荣誉</w:t>
            </w:r>
          </w:p>
        </w:tc>
        <w:tc>
          <w:tcPr>
            <w:tcW w:w="584"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分</w:t>
            </w:r>
          </w:p>
        </w:tc>
        <w:tc>
          <w:tcPr>
            <w:tcW w:w="2632" w:type="pct"/>
            <w:tcBorders>
              <w:top w:val="single" w:color="auto" w:sz="6" w:space="0"/>
              <w:left w:val="single" w:color="auto" w:sz="6" w:space="0"/>
              <w:bottom w:val="single" w:color="auto" w:sz="6" w:space="0"/>
              <w:right w:val="single" w:color="auto" w:sz="6" w:space="0"/>
            </w:tcBorders>
            <w:noWrap w:val="0"/>
            <w:vAlign w:val="center"/>
          </w:tcPr>
          <w:p>
            <w:pPr>
              <w:numPr>
                <w:ilvl w:val="0"/>
                <w:numId w:val="12"/>
              </w:numPr>
              <w:jc w:val="left"/>
              <w:rPr>
                <w:rFonts w:hint="default" w:ascii="宋体" w:hAnsi="宋体" w:eastAsia="宋体" w:cs="宋体"/>
                <w:b w:val="0"/>
                <w:bCs w:val="0"/>
                <w:color w:val="auto"/>
                <w:sz w:val="20"/>
                <w:szCs w:val="21"/>
                <w:lang w:val="en-US" w:eastAsia="zh-CN" w:bidi="ar-SA"/>
              </w:rPr>
            </w:pPr>
            <w:r>
              <w:rPr>
                <w:rFonts w:hint="eastAsia" w:ascii="宋体" w:hAnsi="宋体" w:cs="宋体"/>
                <w:color w:val="auto"/>
                <w:szCs w:val="21"/>
              </w:rPr>
              <w:t>设计单位连续</w:t>
            </w:r>
            <w:r>
              <w:rPr>
                <w:rFonts w:hint="eastAsia" w:ascii="宋体" w:hAnsi="宋体" w:cs="宋体"/>
                <w:color w:val="auto"/>
                <w:szCs w:val="21"/>
                <w:lang w:val="en-US" w:eastAsia="zh-CN"/>
              </w:rPr>
              <w:t>2</w:t>
            </w:r>
            <w:r>
              <w:rPr>
                <w:rFonts w:hint="eastAsia" w:ascii="宋体" w:hAnsi="宋体" w:cs="宋体"/>
                <w:color w:val="auto"/>
                <w:szCs w:val="21"/>
              </w:rPr>
              <w:t>年以上（含</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eastAsia="zh-CN"/>
              </w:rPr>
              <w:t>获得市级或以上工程设计企业量化评价先进单位</w:t>
            </w:r>
            <w:r>
              <w:rPr>
                <w:rFonts w:hint="eastAsia" w:ascii="宋体" w:hAnsi="宋体" w:cs="宋体"/>
                <w:color w:val="auto"/>
                <w:szCs w:val="21"/>
              </w:rPr>
              <w:t>，得</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szCs w:val="21"/>
                <w:lang w:val="en-US" w:eastAsia="zh-CN"/>
              </w:rPr>
              <w:t>1年</w:t>
            </w:r>
            <w:r>
              <w:rPr>
                <w:rFonts w:hint="eastAsia" w:ascii="宋体" w:hAnsi="宋体" w:cs="宋体"/>
                <w:color w:val="auto"/>
                <w:szCs w:val="21"/>
              </w:rPr>
              <w:t>得1分；</w:t>
            </w:r>
            <w:r>
              <w:rPr>
                <w:rFonts w:hint="eastAsia" w:ascii="宋体" w:hAnsi="宋体" w:eastAsia="宋体" w:cs="宋体"/>
                <w:b w:val="0"/>
                <w:bCs w:val="0"/>
                <w:color w:val="auto"/>
                <w:sz w:val="20"/>
                <w:szCs w:val="21"/>
                <w:lang w:val="en-US" w:eastAsia="zh-CN" w:bidi="ar-SA"/>
              </w:rPr>
              <w:t>2、设计单位获得市级或以上高新技术企业证书的，得2分；</w:t>
            </w:r>
          </w:p>
          <w:p>
            <w:pPr>
              <w:spacing w:line="360" w:lineRule="exact"/>
              <w:ind w:left="52"/>
              <w:rPr>
                <w:rFonts w:hint="eastAsia" w:ascii="宋体" w:hAnsi="宋体"/>
                <w:color w:val="auto"/>
              </w:rPr>
            </w:pPr>
            <w:r>
              <w:rPr>
                <w:rFonts w:hint="eastAsia" w:ascii="宋体" w:hAnsi="宋体"/>
                <w:color w:val="auto"/>
              </w:rPr>
              <w:t>注：提供证书复印件加盖公章。</w:t>
            </w:r>
          </w:p>
        </w:tc>
        <w:tc>
          <w:tcPr>
            <w:tcW w:w="408" w:type="pct"/>
            <w:tcBorders>
              <w:top w:val="single" w:color="auto" w:sz="6" w:space="0"/>
              <w:left w:val="single" w:color="auto" w:sz="6" w:space="0"/>
              <w:bottom w:val="single" w:color="auto" w:sz="6" w:space="0"/>
              <w:right w:val="single" w:color="auto" w:sz="6" w:space="0"/>
            </w:tcBorders>
            <w:noWrap w:val="0"/>
            <w:vAlign w:val="top"/>
          </w:tcPr>
          <w:p>
            <w:pPr>
              <w:tabs>
                <w:tab w:val="left" w:pos="3924"/>
              </w:tabs>
              <w:spacing w:line="360" w:lineRule="exact"/>
              <w:ind w:right="1046" w:rightChars="523"/>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1614" w:hRule="atLeast"/>
        </w:trPr>
        <w:tc>
          <w:tcPr>
            <w:tcW w:w="38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宋体" w:hAnsi="宋体"/>
                <w:color w:val="auto"/>
                <w:sz w:val="21"/>
                <w:szCs w:val="21"/>
              </w:rPr>
            </w:pPr>
            <w:r>
              <w:rPr>
                <w:rFonts w:ascii="宋体" w:hAnsi="宋体"/>
                <w:color w:val="auto"/>
                <w:sz w:val="21"/>
                <w:szCs w:val="21"/>
              </w:rPr>
              <w:t>2</w:t>
            </w:r>
          </w:p>
        </w:tc>
        <w:tc>
          <w:tcPr>
            <w:tcW w:w="410" w:type="pct"/>
            <w:vMerge w:val="continue"/>
            <w:tcBorders>
              <w:left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p>
        </w:tc>
        <w:tc>
          <w:tcPr>
            <w:tcW w:w="57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企业获奖</w:t>
            </w:r>
          </w:p>
        </w:tc>
        <w:tc>
          <w:tcPr>
            <w:tcW w:w="584"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分</w:t>
            </w:r>
          </w:p>
        </w:tc>
        <w:tc>
          <w:tcPr>
            <w:tcW w:w="2632" w:type="pct"/>
            <w:tcBorders>
              <w:top w:val="single" w:color="auto" w:sz="6" w:space="0"/>
              <w:left w:val="single" w:color="auto" w:sz="6" w:space="0"/>
              <w:bottom w:val="single" w:color="auto" w:sz="6" w:space="0"/>
              <w:right w:val="single" w:color="auto" w:sz="6" w:space="0"/>
            </w:tcBorders>
            <w:noWrap w:val="0"/>
            <w:vAlign w:val="center"/>
          </w:tcPr>
          <w:p>
            <w:pPr>
              <w:spacing w:line="360" w:lineRule="exact"/>
              <w:ind w:left="52"/>
              <w:rPr>
                <w:rFonts w:hint="default" w:ascii="宋体" w:hAnsi="宋体"/>
                <w:color w:val="auto"/>
                <w:lang w:val="en-US"/>
              </w:rPr>
            </w:pPr>
            <w:r>
              <w:rPr>
                <w:rFonts w:hint="eastAsia" w:hAnsi="宋体" w:cs="宋体"/>
                <w:color w:val="auto"/>
                <w:szCs w:val="21"/>
                <w:lang w:val="en-US" w:eastAsia="zh-CN"/>
              </w:rPr>
              <w:t>设计单位自2021年1月至今获得建筑工程类市级或以上勘察设计奖项，每个得2分，本项最高得4分。（以证书颁发时间为准)</w:t>
            </w:r>
          </w:p>
          <w:p>
            <w:pPr>
              <w:spacing w:line="360" w:lineRule="exact"/>
              <w:ind w:left="52"/>
              <w:rPr>
                <w:rFonts w:hint="eastAsia" w:ascii="宋体" w:hAnsi="宋体"/>
                <w:color w:val="auto"/>
              </w:rPr>
            </w:pPr>
            <w:r>
              <w:rPr>
                <w:rFonts w:hint="eastAsia" w:ascii="宋体" w:hAnsi="宋体"/>
                <w:color w:val="auto"/>
              </w:rPr>
              <w:t>注：提供相关的证书复印件</w:t>
            </w:r>
            <w:r>
              <w:rPr>
                <w:rFonts w:hint="eastAsia" w:ascii="宋体" w:hAnsi="宋体"/>
                <w:color w:val="auto"/>
                <w:szCs w:val="21"/>
              </w:rPr>
              <w:t>加盖公章</w:t>
            </w:r>
            <w:r>
              <w:rPr>
                <w:rFonts w:hint="eastAsia" w:ascii="宋体" w:hAnsi="宋体"/>
                <w:color w:val="auto"/>
              </w:rPr>
              <w:t>。</w:t>
            </w:r>
          </w:p>
        </w:tc>
        <w:tc>
          <w:tcPr>
            <w:tcW w:w="408" w:type="pct"/>
            <w:tcBorders>
              <w:top w:val="single" w:color="auto" w:sz="6" w:space="0"/>
              <w:left w:val="single" w:color="auto" w:sz="6" w:space="0"/>
              <w:bottom w:val="single" w:color="auto" w:sz="6" w:space="0"/>
              <w:right w:val="single" w:color="auto" w:sz="6" w:space="0"/>
            </w:tcBorders>
            <w:noWrap w:val="0"/>
            <w:vAlign w:val="top"/>
          </w:tcPr>
          <w:p>
            <w:pPr>
              <w:tabs>
                <w:tab w:val="left" w:pos="3924"/>
              </w:tabs>
              <w:spacing w:line="360" w:lineRule="exact"/>
              <w:ind w:right="1046" w:rightChars="523"/>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4151" w:hRule="atLeast"/>
        </w:trPr>
        <w:tc>
          <w:tcPr>
            <w:tcW w:w="38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宋体" w:hAnsi="宋体"/>
                <w:color w:val="auto"/>
                <w:sz w:val="21"/>
                <w:szCs w:val="21"/>
              </w:rPr>
            </w:pPr>
            <w:r>
              <w:rPr>
                <w:rFonts w:ascii="宋体" w:hAnsi="宋体"/>
                <w:color w:val="auto"/>
                <w:sz w:val="21"/>
                <w:szCs w:val="21"/>
              </w:rPr>
              <w:t>3</w:t>
            </w:r>
          </w:p>
        </w:tc>
        <w:tc>
          <w:tcPr>
            <w:tcW w:w="410" w:type="pct"/>
            <w:vMerge w:val="continue"/>
            <w:tcBorders>
              <w:left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p>
        </w:tc>
        <w:tc>
          <w:tcPr>
            <w:tcW w:w="57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宋体" w:hAnsi="宋体"/>
                <w:color w:val="auto"/>
                <w:sz w:val="21"/>
                <w:szCs w:val="21"/>
              </w:rPr>
            </w:pPr>
            <w:r>
              <w:rPr>
                <w:rFonts w:hint="eastAsia" w:ascii="宋体" w:hAnsi="宋体"/>
                <w:color w:val="auto"/>
                <w:sz w:val="21"/>
                <w:szCs w:val="21"/>
              </w:rPr>
              <w:t>企业业绩</w:t>
            </w:r>
          </w:p>
        </w:tc>
        <w:tc>
          <w:tcPr>
            <w:tcW w:w="584"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宋体" w:hAnsi="宋体"/>
                <w:color w:val="auto"/>
                <w:sz w:val="21"/>
                <w:szCs w:val="21"/>
              </w:rPr>
            </w:pPr>
            <w:r>
              <w:rPr>
                <w:rFonts w:hint="eastAsia" w:ascii="宋体" w:hAnsi="宋体"/>
                <w:color w:val="auto"/>
                <w:sz w:val="21"/>
                <w:szCs w:val="21"/>
                <w:lang w:val="en-US" w:eastAsia="zh-CN"/>
              </w:rPr>
              <w:t>8</w:t>
            </w:r>
            <w:r>
              <w:rPr>
                <w:rFonts w:hint="eastAsia" w:ascii="宋体" w:hAnsi="宋体"/>
                <w:color w:val="auto"/>
                <w:sz w:val="21"/>
                <w:szCs w:val="21"/>
              </w:rPr>
              <w:t>分</w:t>
            </w:r>
          </w:p>
        </w:tc>
        <w:tc>
          <w:tcPr>
            <w:tcW w:w="2632" w:type="pct"/>
            <w:tcBorders>
              <w:top w:val="single" w:color="auto" w:sz="6" w:space="0"/>
              <w:left w:val="single" w:color="auto" w:sz="6" w:space="0"/>
              <w:bottom w:val="single" w:color="auto" w:sz="6" w:space="0"/>
              <w:right w:val="single" w:color="auto" w:sz="6" w:space="0"/>
            </w:tcBorders>
            <w:noWrap w:val="0"/>
            <w:vAlign w:val="center"/>
          </w:tcPr>
          <w:p>
            <w:pPr>
              <w:spacing w:line="360" w:lineRule="exact"/>
              <w:ind w:left="52"/>
              <w:rPr>
                <w:rFonts w:ascii="宋体" w:hAnsi="宋体"/>
                <w:color w:val="auto"/>
              </w:rPr>
            </w:pPr>
            <w:r>
              <w:rPr>
                <w:rFonts w:ascii="宋体" w:hAnsi="宋体"/>
                <w:color w:val="auto"/>
              </w:rPr>
              <w:t>自201</w:t>
            </w:r>
            <w:r>
              <w:rPr>
                <w:rFonts w:hint="eastAsia" w:ascii="宋体" w:hAnsi="宋体"/>
                <w:color w:val="auto"/>
                <w:lang w:val="en-US" w:eastAsia="zh-CN"/>
              </w:rPr>
              <w:t>9</w:t>
            </w:r>
            <w:r>
              <w:rPr>
                <w:rFonts w:ascii="宋体" w:hAnsi="宋体"/>
                <w:color w:val="auto"/>
              </w:rPr>
              <w:t>年1月1日至投标截止时间（以合同签订时间为准）</w:t>
            </w:r>
            <w:r>
              <w:rPr>
                <w:rFonts w:hint="eastAsia" w:ascii="宋体" w:hAnsi="宋体"/>
                <w:color w:val="auto"/>
              </w:rPr>
              <w:t>，投标人</w:t>
            </w:r>
            <w:r>
              <w:rPr>
                <w:rFonts w:ascii="宋体" w:hAnsi="宋体"/>
                <w:color w:val="auto"/>
              </w:rPr>
              <w:t>承担过的</w:t>
            </w:r>
            <w:r>
              <w:rPr>
                <w:rFonts w:hint="eastAsia" w:ascii="宋体" w:hAnsi="宋体"/>
                <w:color w:val="auto"/>
              </w:rPr>
              <w:t>类似市政</w:t>
            </w:r>
            <w:r>
              <w:rPr>
                <w:rFonts w:ascii="宋体" w:hAnsi="宋体"/>
                <w:color w:val="auto"/>
              </w:rPr>
              <w:t>工程</w:t>
            </w:r>
            <w:r>
              <w:rPr>
                <w:rFonts w:hint="eastAsia" w:ascii="宋体" w:hAnsi="宋体"/>
                <w:color w:val="auto"/>
                <w:lang w:eastAsia="zh-CN"/>
              </w:rPr>
              <w:t>和人防工程</w:t>
            </w:r>
            <w:r>
              <w:rPr>
                <w:rFonts w:ascii="宋体" w:hAnsi="宋体"/>
                <w:color w:val="auto"/>
              </w:rPr>
              <w:t>设计业绩：（本项最高得</w:t>
            </w:r>
            <w:r>
              <w:rPr>
                <w:rFonts w:hint="eastAsia" w:ascii="宋体" w:hAnsi="宋体"/>
                <w:color w:val="auto"/>
                <w:lang w:val="en-US" w:eastAsia="zh-CN"/>
              </w:rPr>
              <w:t>8</w:t>
            </w:r>
            <w:r>
              <w:rPr>
                <w:rFonts w:ascii="宋体" w:hAnsi="宋体"/>
                <w:color w:val="auto"/>
              </w:rPr>
              <w:t>分）</w:t>
            </w:r>
          </w:p>
          <w:p>
            <w:pPr>
              <w:spacing w:line="360" w:lineRule="exact"/>
              <w:ind w:left="52"/>
              <w:rPr>
                <w:rFonts w:hint="eastAsia" w:ascii="宋体" w:hAnsi="宋体"/>
                <w:color w:val="auto"/>
              </w:rPr>
            </w:pPr>
            <w:r>
              <w:rPr>
                <w:rFonts w:hint="eastAsia" w:ascii="宋体" w:hAnsi="宋体"/>
                <w:color w:val="auto"/>
              </w:rPr>
              <w:t>1、</w:t>
            </w:r>
            <w:r>
              <w:rPr>
                <w:rFonts w:hint="eastAsia" w:ascii="宋体" w:hAnsi="宋体"/>
                <w:color w:val="auto"/>
                <w:lang w:val="en-US" w:eastAsia="zh-CN"/>
              </w:rPr>
              <w:t>10</w:t>
            </w:r>
            <w:r>
              <w:rPr>
                <w:rFonts w:hint="eastAsia" w:ascii="宋体" w:hAnsi="宋体"/>
                <w:color w:val="auto"/>
              </w:rPr>
              <w:t>00万元</w:t>
            </w:r>
            <w:r>
              <w:rPr>
                <w:rFonts w:ascii="宋体" w:hAnsi="宋体"/>
                <w:color w:val="auto"/>
              </w:rPr>
              <w:t>≤</w:t>
            </w:r>
            <w:r>
              <w:rPr>
                <w:rFonts w:hint="eastAsia" w:ascii="宋体" w:hAnsi="宋体"/>
                <w:color w:val="auto"/>
              </w:rPr>
              <w:t>R</w:t>
            </w:r>
            <w:r>
              <w:rPr>
                <w:rFonts w:hint="eastAsia" w:ascii="宋体" w:hAnsi="宋体"/>
                <w:color w:val="auto"/>
                <w:lang w:eastAsia="zh-CN"/>
              </w:rPr>
              <w:t>（市政工程设计合同金额）</w:t>
            </w:r>
            <w:r>
              <w:rPr>
                <w:rFonts w:hint="eastAsia" w:ascii="宋体" w:hAnsi="宋体"/>
                <w:color w:val="auto"/>
              </w:rPr>
              <w:t>，</w:t>
            </w:r>
            <w:r>
              <w:rPr>
                <w:rFonts w:ascii="宋体" w:hAnsi="宋体"/>
                <w:color w:val="auto"/>
              </w:rPr>
              <w:t>每项得</w:t>
            </w:r>
            <w:r>
              <w:rPr>
                <w:rFonts w:hint="eastAsia" w:ascii="宋体" w:hAnsi="宋体"/>
                <w:color w:val="auto"/>
                <w:lang w:val="en-US" w:eastAsia="zh-CN"/>
              </w:rPr>
              <w:t>3</w:t>
            </w:r>
            <w:r>
              <w:rPr>
                <w:rFonts w:ascii="宋体" w:hAnsi="宋体"/>
                <w:color w:val="auto"/>
              </w:rPr>
              <w:t>分</w:t>
            </w:r>
            <w:r>
              <w:rPr>
                <w:rFonts w:hint="eastAsia" w:ascii="宋体" w:hAnsi="宋体"/>
                <w:color w:val="auto"/>
              </w:rPr>
              <w:t>，</w:t>
            </w:r>
            <w:r>
              <w:rPr>
                <w:rFonts w:ascii="宋体" w:hAnsi="宋体"/>
                <w:color w:val="auto"/>
              </w:rPr>
              <w:t>本分项最</w:t>
            </w:r>
            <w:r>
              <w:rPr>
                <w:rFonts w:hint="eastAsia" w:ascii="宋体" w:hAnsi="宋体"/>
                <w:color w:val="auto"/>
              </w:rPr>
              <w:t>高</w:t>
            </w:r>
            <w:r>
              <w:rPr>
                <w:rFonts w:ascii="宋体" w:hAnsi="宋体"/>
                <w:color w:val="auto"/>
              </w:rPr>
              <w:t>得</w:t>
            </w:r>
            <w:r>
              <w:rPr>
                <w:rFonts w:hint="eastAsia" w:ascii="宋体" w:hAnsi="宋体"/>
                <w:color w:val="auto"/>
                <w:lang w:val="en-US" w:eastAsia="zh-CN"/>
              </w:rPr>
              <w:t>3</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lang w:val="en-US" w:eastAsia="zh-CN"/>
              </w:rPr>
              <w:t>8</w:t>
            </w:r>
            <w:r>
              <w:rPr>
                <w:rFonts w:hint="eastAsia" w:ascii="宋体" w:hAnsi="宋体"/>
                <w:color w:val="auto"/>
              </w:rPr>
              <w:t>00万元</w:t>
            </w:r>
            <w:r>
              <w:rPr>
                <w:rFonts w:ascii="宋体" w:hAnsi="宋体"/>
                <w:color w:val="auto"/>
              </w:rPr>
              <w:t>≤</w:t>
            </w:r>
            <w:r>
              <w:rPr>
                <w:rFonts w:hint="eastAsia" w:ascii="宋体" w:hAnsi="宋体"/>
                <w:color w:val="auto"/>
              </w:rPr>
              <w:t>R</w:t>
            </w:r>
            <w:r>
              <w:rPr>
                <w:rFonts w:hint="eastAsia" w:ascii="宋体" w:hAnsi="宋体"/>
                <w:color w:val="auto"/>
                <w:lang w:eastAsia="zh-CN"/>
              </w:rPr>
              <w:t>（市政工程设计合同金额）</w:t>
            </w:r>
            <w:r>
              <w:rPr>
                <w:rFonts w:hint="eastAsia" w:ascii="宋体" w:hAnsi="宋体"/>
                <w:color w:val="auto"/>
              </w:rPr>
              <w:t>，</w:t>
            </w:r>
            <w:r>
              <w:rPr>
                <w:rFonts w:ascii="宋体" w:hAnsi="宋体"/>
                <w:color w:val="auto"/>
              </w:rPr>
              <w:t>每项得</w:t>
            </w:r>
            <w:r>
              <w:rPr>
                <w:rFonts w:hint="eastAsia" w:ascii="宋体" w:hAnsi="宋体"/>
                <w:color w:val="auto"/>
                <w:lang w:val="en-US" w:eastAsia="zh-CN"/>
              </w:rPr>
              <w:t>1</w:t>
            </w:r>
            <w:r>
              <w:rPr>
                <w:rFonts w:ascii="宋体" w:hAnsi="宋体"/>
                <w:color w:val="auto"/>
              </w:rPr>
              <w:t>分</w:t>
            </w:r>
            <w:r>
              <w:rPr>
                <w:rFonts w:hint="eastAsia" w:ascii="宋体" w:hAnsi="宋体"/>
                <w:color w:val="auto"/>
              </w:rPr>
              <w:t>，</w:t>
            </w:r>
            <w:r>
              <w:rPr>
                <w:rFonts w:ascii="宋体" w:hAnsi="宋体"/>
                <w:color w:val="auto"/>
              </w:rPr>
              <w:t>本分项最</w:t>
            </w:r>
            <w:r>
              <w:rPr>
                <w:rFonts w:hint="eastAsia" w:ascii="宋体" w:hAnsi="宋体"/>
                <w:color w:val="auto"/>
              </w:rPr>
              <w:t>高</w:t>
            </w:r>
            <w:r>
              <w:rPr>
                <w:rFonts w:ascii="宋体" w:hAnsi="宋体"/>
                <w:color w:val="auto"/>
              </w:rPr>
              <w:t>得</w:t>
            </w:r>
            <w:r>
              <w:rPr>
                <w:rFonts w:hint="eastAsia" w:ascii="宋体" w:hAnsi="宋体"/>
                <w:color w:val="auto"/>
                <w:lang w:val="en-US" w:eastAsia="zh-CN"/>
              </w:rPr>
              <w:t>1</w:t>
            </w:r>
            <w:r>
              <w:rPr>
                <w:rFonts w:ascii="宋体" w:hAnsi="宋体"/>
                <w:color w:val="auto"/>
              </w:rPr>
              <w:t>分。</w:t>
            </w:r>
          </w:p>
          <w:p>
            <w:pPr>
              <w:pStyle w:val="18"/>
              <w:rPr>
                <w:rFonts w:hint="eastAsia" w:eastAsia="宋体"/>
                <w:color w:val="auto"/>
                <w:lang w:val="en-US" w:eastAsia="zh-CN"/>
              </w:rPr>
            </w:pPr>
            <w:r>
              <w:rPr>
                <w:rFonts w:hint="eastAsia" w:hAnsi="宋体"/>
                <w:color w:val="auto"/>
                <w:lang w:val="en-US" w:eastAsia="zh-CN"/>
              </w:rPr>
              <w:t>3，人防设计工程，</w:t>
            </w:r>
            <w:r>
              <w:rPr>
                <w:rFonts w:ascii="宋体" w:hAnsi="宋体"/>
                <w:color w:val="auto"/>
              </w:rPr>
              <w:t>每项得</w:t>
            </w:r>
            <w:r>
              <w:rPr>
                <w:rFonts w:hint="eastAsia" w:ascii="宋体" w:hAnsi="宋体"/>
                <w:color w:val="auto"/>
                <w:lang w:val="en-US" w:eastAsia="zh-CN"/>
              </w:rPr>
              <w:t>2</w:t>
            </w:r>
            <w:r>
              <w:rPr>
                <w:rFonts w:ascii="宋体" w:hAnsi="宋体"/>
                <w:color w:val="auto"/>
              </w:rPr>
              <w:t>分</w:t>
            </w:r>
            <w:r>
              <w:rPr>
                <w:rFonts w:hint="eastAsia" w:hAnsi="宋体"/>
                <w:color w:val="auto"/>
                <w:lang w:eastAsia="zh-CN"/>
              </w:rPr>
              <w:t>，</w:t>
            </w:r>
            <w:r>
              <w:rPr>
                <w:rFonts w:ascii="宋体" w:hAnsi="宋体"/>
                <w:color w:val="auto"/>
              </w:rPr>
              <w:t>本分项最</w:t>
            </w:r>
            <w:r>
              <w:rPr>
                <w:rFonts w:hint="eastAsia" w:ascii="宋体" w:hAnsi="宋体"/>
                <w:color w:val="auto"/>
              </w:rPr>
              <w:t>高</w:t>
            </w:r>
            <w:r>
              <w:rPr>
                <w:rFonts w:ascii="宋体" w:hAnsi="宋体"/>
                <w:color w:val="auto"/>
              </w:rPr>
              <w:t>得</w:t>
            </w:r>
            <w:r>
              <w:rPr>
                <w:rFonts w:hint="eastAsia" w:hAnsi="宋体"/>
                <w:color w:val="auto"/>
                <w:lang w:val="en-US" w:eastAsia="zh-CN"/>
              </w:rPr>
              <w:t>4</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注： 业绩证明材料须提供中标通知书</w:t>
            </w:r>
            <w:r>
              <w:rPr>
                <w:rFonts w:hint="eastAsia" w:ascii="宋体" w:hAnsi="宋体"/>
                <w:color w:val="auto"/>
                <w:lang w:eastAsia="zh-CN"/>
              </w:rPr>
              <w:t>或</w:t>
            </w:r>
            <w:r>
              <w:rPr>
                <w:rFonts w:hint="eastAsia" w:ascii="宋体" w:hAnsi="宋体"/>
                <w:color w:val="auto"/>
              </w:rPr>
              <w:t>合同关键页复印件</w:t>
            </w:r>
            <w:r>
              <w:rPr>
                <w:rFonts w:ascii="宋体" w:hAnsi="宋体"/>
                <w:color w:val="auto"/>
              </w:rPr>
              <w:t>加盖公章</w:t>
            </w:r>
            <w:r>
              <w:rPr>
                <w:rFonts w:hint="eastAsia" w:ascii="宋体" w:hAnsi="宋体"/>
                <w:color w:val="auto"/>
              </w:rPr>
              <w:t>。</w:t>
            </w:r>
            <w:r>
              <w:rPr>
                <w:rFonts w:ascii="宋体" w:hAnsi="宋体"/>
                <w:color w:val="auto"/>
              </w:rPr>
              <w:t>具体</w:t>
            </w:r>
            <w:r>
              <w:rPr>
                <w:rFonts w:hint="eastAsia" w:ascii="宋体" w:hAnsi="宋体"/>
                <w:color w:val="auto"/>
              </w:rPr>
              <w:t>金额</w:t>
            </w:r>
            <w:r>
              <w:rPr>
                <w:rFonts w:hint="eastAsia" w:ascii="宋体" w:hAnsi="宋体"/>
                <w:color w:val="auto"/>
                <w:lang w:eastAsia="zh-CN"/>
              </w:rPr>
              <w:t>（</w:t>
            </w:r>
            <w:r>
              <w:rPr>
                <w:rFonts w:hint="eastAsia" w:ascii="宋体" w:hAnsi="宋体"/>
                <w:color w:val="auto"/>
                <w:lang w:val="en-US" w:eastAsia="zh-CN"/>
              </w:rPr>
              <w:t>R</w:t>
            </w:r>
            <w:r>
              <w:rPr>
                <w:rFonts w:hint="eastAsia" w:ascii="宋体" w:hAnsi="宋体"/>
                <w:color w:val="auto"/>
                <w:lang w:eastAsia="zh-CN"/>
              </w:rPr>
              <w:t>）</w:t>
            </w:r>
            <w:r>
              <w:rPr>
                <w:rFonts w:ascii="宋体" w:hAnsi="宋体"/>
                <w:color w:val="auto"/>
              </w:rPr>
              <w:t>以中标通知书或设计合同载明的</w:t>
            </w:r>
            <w:r>
              <w:rPr>
                <w:rFonts w:hint="eastAsia" w:ascii="宋体" w:hAnsi="宋体"/>
                <w:color w:val="auto"/>
              </w:rPr>
              <w:t>金额</w:t>
            </w:r>
            <w:r>
              <w:rPr>
                <w:rFonts w:ascii="宋体" w:hAnsi="宋体"/>
                <w:color w:val="auto"/>
              </w:rPr>
              <w:t>为准，不提供不得分</w:t>
            </w:r>
            <w:r>
              <w:rPr>
                <w:rFonts w:hint="eastAsia" w:ascii="宋体" w:hAnsi="宋体"/>
                <w:color w:val="auto"/>
              </w:rPr>
              <w:t>。</w:t>
            </w:r>
          </w:p>
        </w:tc>
        <w:tc>
          <w:tcPr>
            <w:tcW w:w="408" w:type="pct"/>
            <w:tcBorders>
              <w:top w:val="single" w:color="auto" w:sz="6" w:space="0"/>
              <w:left w:val="single" w:color="auto" w:sz="6" w:space="0"/>
              <w:bottom w:val="single" w:color="auto" w:sz="6" w:space="0"/>
              <w:right w:val="single" w:color="auto" w:sz="6" w:space="0"/>
            </w:tcBorders>
            <w:noWrap w:val="0"/>
            <w:vAlign w:val="top"/>
          </w:tcPr>
          <w:p>
            <w:pPr>
              <w:tabs>
                <w:tab w:val="left" w:pos="3924"/>
              </w:tabs>
              <w:spacing w:line="360" w:lineRule="exact"/>
              <w:ind w:right="1046" w:rightChars="523"/>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3279" w:hRule="atLeast"/>
        </w:trPr>
        <w:tc>
          <w:tcPr>
            <w:tcW w:w="387" w:type="pct"/>
            <w:tcBorders>
              <w:top w:val="single" w:color="auto" w:sz="6" w:space="0"/>
              <w:left w:val="single" w:color="auto" w:sz="6" w:space="0"/>
              <w:right w:val="single" w:color="auto" w:sz="6" w:space="0"/>
            </w:tcBorders>
            <w:noWrap w:val="0"/>
            <w:vAlign w:val="center"/>
          </w:tcPr>
          <w:p>
            <w:pPr>
              <w:spacing w:line="360" w:lineRule="exact"/>
              <w:jc w:val="center"/>
              <w:rPr>
                <w:rFonts w:ascii="宋体" w:hAnsi="宋体"/>
                <w:color w:val="auto"/>
                <w:sz w:val="21"/>
                <w:szCs w:val="21"/>
              </w:rPr>
            </w:pPr>
            <w:r>
              <w:rPr>
                <w:rFonts w:hint="eastAsia" w:ascii="宋体" w:hAnsi="宋体"/>
                <w:color w:val="auto"/>
                <w:sz w:val="21"/>
                <w:szCs w:val="21"/>
              </w:rPr>
              <w:t>4</w:t>
            </w:r>
          </w:p>
        </w:tc>
        <w:tc>
          <w:tcPr>
            <w:tcW w:w="410" w:type="pct"/>
            <w:vMerge w:val="continue"/>
            <w:tcBorders>
              <w:left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p>
        </w:tc>
        <w:tc>
          <w:tcPr>
            <w:tcW w:w="577" w:type="pct"/>
            <w:tcBorders>
              <w:top w:val="single" w:color="auto" w:sz="6" w:space="0"/>
              <w:left w:val="single" w:color="auto" w:sz="6" w:space="0"/>
              <w:right w:val="single" w:color="auto" w:sz="6" w:space="0"/>
            </w:tcBorders>
            <w:noWrap w:val="0"/>
            <w:vAlign w:val="center"/>
          </w:tcPr>
          <w:p>
            <w:pPr>
              <w:spacing w:line="360" w:lineRule="exact"/>
              <w:jc w:val="center"/>
              <w:rPr>
                <w:rFonts w:ascii="宋体" w:hAnsi="宋体"/>
                <w:color w:val="auto"/>
                <w:sz w:val="21"/>
                <w:szCs w:val="21"/>
              </w:rPr>
            </w:pPr>
            <w:r>
              <w:rPr>
                <w:rFonts w:hint="eastAsia" w:ascii="宋体" w:hAnsi="宋体"/>
                <w:color w:val="auto"/>
                <w:sz w:val="21"/>
                <w:szCs w:val="21"/>
                <w:lang w:eastAsia="zh-CN"/>
              </w:rPr>
              <w:t>企业实力</w:t>
            </w:r>
          </w:p>
        </w:tc>
        <w:tc>
          <w:tcPr>
            <w:tcW w:w="584" w:type="pct"/>
            <w:tcBorders>
              <w:top w:val="single" w:color="auto" w:sz="6" w:space="0"/>
              <w:left w:val="single" w:color="auto" w:sz="6" w:space="0"/>
              <w:bottom w:val="single" w:color="auto" w:sz="4" w:space="0"/>
              <w:right w:val="single" w:color="auto" w:sz="6" w:space="0"/>
            </w:tcBorders>
            <w:noWrap w:val="0"/>
            <w:vAlign w:val="center"/>
          </w:tcPr>
          <w:p>
            <w:pPr>
              <w:spacing w:line="360" w:lineRule="exact"/>
              <w:jc w:val="center"/>
              <w:rPr>
                <w:rFonts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分</w:t>
            </w:r>
          </w:p>
        </w:tc>
        <w:tc>
          <w:tcPr>
            <w:tcW w:w="2632" w:type="pct"/>
            <w:tcBorders>
              <w:top w:val="single" w:color="auto" w:sz="6" w:space="0"/>
              <w:left w:val="single" w:color="auto" w:sz="6" w:space="0"/>
              <w:bottom w:val="single" w:color="auto" w:sz="4" w:space="0"/>
              <w:right w:val="single" w:color="auto" w:sz="6" w:space="0"/>
            </w:tcBorders>
            <w:noWrap w:val="0"/>
            <w:vAlign w:val="center"/>
          </w:tcPr>
          <w:p>
            <w:pPr>
              <w:numPr>
                <w:ilvl w:val="0"/>
                <w:numId w:val="13"/>
              </w:numPr>
              <w:spacing w:line="400" w:lineRule="exact"/>
              <w:rPr>
                <w:rFonts w:hint="eastAsia" w:ascii="宋体" w:hAnsi="宋体" w:cs="宋体"/>
                <w:color w:val="auto"/>
                <w:szCs w:val="21"/>
              </w:rPr>
            </w:pPr>
            <w:r>
              <w:rPr>
                <w:rFonts w:hint="eastAsia" w:ascii="宋体" w:hAnsi="宋体" w:cs="宋体"/>
                <w:color w:val="auto"/>
                <w:szCs w:val="21"/>
              </w:rPr>
              <w:t>设计负责人同时具有一级注册建筑师证书及建筑类高级职称证书得</w:t>
            </w:r>
            <w:r>
              <w:rPr>
                <w:rFonts w:hint="eastAsia" w:ascii="宋体" w:hAnsi="宋体" w:cs="宋体"/>
                <w:color w:val="auto"/>
                <w:szCs w:val="21"/>
                <w:lang w:val="en-US" w:eastAsia="zh-CN"/>
              </w:rPr>
              <w:t>2</w:t>
            </w:r>
            <w:r>
              <w:rPr>
                <w:rFonts w:hint="eastAsia" w:ascii="宋体" w:hAnsi="宋体" w:cs="宋体"/>
                <w:color w:val="auto"/>
                <w:szCs w:val="21"/>
              </w:rPr>
              <w:t>分。</w:t>
            </w:r>
          </w:p>
          <w:p>
            <w:pPr>
              <w:pStyle w:val="18"/>
              <w:numPr>
                <w:ilvl w:val="0"/>
                <w:numId w:val="13"/>
              </w:numPr>
              <w:rPr>
                <w:color w:val="auto"/>
              </w:rPr>
            </w:pPr>
            <w:r>
              <w:rPr>
                <w:rFonts w:hint="eastAsia"/>
                <w:color w:val="auto"/>
                <w:lang w:eastAsia="zh-CN"/>
              </w:rPr>
              <w:t>建筑防护设计工程师或以上职称证书得</w:t>
            </w:r>
            <w:r>
              <w:rPr>
                <w:rFonts w:hint="eastAsia"/>
                <w:color w:val="auto"/>
                <w:lang w:val="en-US" w:eastAsia="zh-CN"/>
              </w:rPr>
              <w:t>1分。</w:t>
            </w:r>
          </w:p>
          <w:p>
            <w:pPr>
              <w:pStyle w:val="18"/>
              <w:numPr>
                <w:ilvl w:val="0"/>
                <w:numId w:val="13"/>
              </w:numPr>
              <w:rPr>
                <w:color w:val="auto"/>
              </w:rPr>
            </w:pPr>
            <w:r>
              <w:rPr>
                <w:rFonts w:hint="eastAsia"/>
                <w:color w:val="auto"/>
                <w:lang w:eastAsia="zh-CN"/>
              </w:rPr>
              <w:t>建筑防化设计工程师或以上职称证书得</w:t>
            </w:r>
            <w:r>
              <w:rPr>
                <w:rFonts w:hint="eastAsia"/>
                <w:color w:val="auto"/>
                <w:lang w:val="en-US" w:eastAsia="zh-CN"/>
              </w:rPr>
              <w:t>1分。</w:t>
            </w:r>
          </w:p>
          <w:p>
            <w:pPr>
              <w:spacing w:line="360" w:lineRule="exact"/>
              <w:ind w:left="52"/>
              <w:rPr>
                <w:rFonts w:ascii="宋体" w:hAnsi="宋体"/>
                <w:color w:val="auto"/>
              </w:rPr>
            </w:pPr>
            <w:r>
              <w:rPr>
                <w:rFonts w:hint="eastAsia" w:ascii="宋体" w:hAnsi="宋体"/>
                <w:color w:val="auto"/>
              </w:rPr>
              <w:t>注：提供注册证书及职称证书</w:t>
            </w:r>
            <w:r>
              <w:rPr>
                <w:rFonts w:hint="eastAsia" w:ascii="宋体" w:hAnsi="宋体"/>
                <w:color w:val="auto"/>
                <w:lang w:eastAsia="zh-CN"/>
              </w:rPr>
              <w:t>、认证证书</w:t>
            </w:r>
            <w:r>
              <w:rPr>
                <w:rFonts w:hint="eastAsia" w:ascii="宋体" w:hAnsi="宋体"/>
                <w:color w:val="auto"/>
              </w:rPr>
              <w:t>复印件加盖公章。</w:t>
            </w:r>
          </w:p>
        </w:tc>
        <w:tc>
          <w:tcPr>
            <w:tcW w:w="408" w:type="pct"/>
            <w:tcBorders>
              <w:top w:val="single" w:color="auto" w:sz="6" w:space="0"/>
              <w:left w:val="single" w:color="auto" w:sz="6" w:space="0"/>
              <w:bottom w:val="single" w:color="auto" w:sz="4" w:space="0"/>
              <w:right w:val="single" w:color="auto" w:sz="6" w:space="0"/>
            </w:tcBorders>
            <w:noWrap w:val="0"/>
            <w:vAlign w:val="top"/>
          </w:tcPr>
          <w:p>
            <w:pPr>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1359" w:hRule="atLeast"/>
        </w:trPr>
        <w:tc>
          <w:tcPr>
            <w:tcW w:w="38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5</w:t>
            </w:r>
          </w:p>
        </w:tc>
        <w:tc>
          <w:tcPr>
            <w:tcW w:w="410" w:type="pct"/>
            <w:vMerge w:val="restart"/>
            <w:tcBorders>
              <w:left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b/>
                <w:bCs/>
                <w:color w:val="auto"/>
                <w:sz w:val="21"/>
                <w:szCs w:val="21"/>
              </w:rPr>
              <w:t>投标人勘察方面综合实力</w:t>
            </w:r>
          </w:p>
        </w:tc>
        <w:tc>
          <w:tcPr>
            <w:tcW w:w="57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olor w:val="auto"/>
                <w:sz w:val="21"/>
                <w:szCs w:val="21"/>
                <w:lang w:eastAsia="zh-CN"/>
              </w:rPr>
            </w:pPr>
            <w:r>
              <w:rPr>
                <w:rFonts w:hint="eastAsia" w:ascii="宋体" w:hAnsi="宋体"/>
                <w:color w:val="auto"/>
                <w:sz w:val="21"/>
                <w:szCs w:val="21"/>
              </w:rPr>
              <w:t>企业</w:t>
            </w:r>
            <w:r>
              <w:rPr>
                <w:rFonts w:hint="eastAsia" w:ascii="宋体" w:hAnsi="宋体"/>
                <w:color w:val="auto"/>
                <w:sz w:val="21"/>
                <w:szCs w:val="21"/>
                <w:lang w:eastAsia="zh-CN"/>
              </w:rPr>
              <w:t>实力</w:t>
            </w:r>
          </w:p>
        </w:tc>
        <w:tc>
          <w:tcPr>
            <w:tcW w:w="584"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4</w:t>
            </w:r>
          </w:p>
        </w:tc>
        <w:tc>
          <w:tcPr>
            <w:tcW w:w="2632" w:type="pct"/>
            <w:tcBorders>
              <w:top w:val="single" w:color="auto" w:sz="6" w:space="0"/>
              <w:left w:val="single" w:color="auto" w:sz="6" w:space="0"/>
              <w:bottom w:val="single" w:color="auto" w:sz="6" w:space="0"/>
              <w:right w:val="single" w:color="auto" w:sz="6" w:space="0"/>
            </w:tcBorders>
            <w:noWrap w:val="0"/>
            <w:vAlign w:val="top"/>
          </w:tcPr>
          <w:p>
            <w:pPr>
              <w:numPr>
                <w:ilvl w:val="0"/>
                <w:numId w:val="14"/>
              </w:numPr>
              <w:spacing w:line="360" w:lineRule="exact"/>
              <w:ind w:left="52"/>
              <w:rPr>
                <w:rFonts w:hint="eastAsia" w:ascii="宋体" w:hAnsi="宋体"/>
                <w:color w:val="auto"/>
              </w:rPr>
            </w:pPr>
            <w:r>
              <w:rPr>
                <w:rFonts w:hint="eastAsia" w:ascii="宋体" w:hAnsi="宋体"/>
                <w:color w:val="auto"/>
              </w:rPr>
              <w:t>投标人获得ISO9001质量管理体系认证、ISO14001环境管理体系认证；若有</w:t>
            </w:r>
            <w:r>
              <w:rPr>
                <w:rFonts w:hint="eastAsia" w:ascii="宋体" w:hAnsi="宋体"/>
                <w:color w:val="auto"/>
                <w:lang w:val="en-US" w:eastAsia="zh-CN"/>
              </w:rPr>
              <w:t>2</w:t>
            </w:r>
            <w:r>
              <w:rPr>
                <w:rFonts w:hint="eastAsia" w:ascii="宋体" w:hAnsi="宋体"/>
                <w:color w:val="auto"/>
              </w:rPr>
              <w:t>项符合条件，得</w:t>
            </w:r>
            <w:r>
              <w:rPr>
                <w:rFonts w:hint="eastAsia" w:ascii="宋体" w:hAnsi="宋体"/>
                <w:color w:val="auto"/>
                <w:lang w:val="en-US" w:eastAsia="zh-CN"/>
              </w:rPr>
              <w:t>2</w:t>
            </w:r>
            <w:r>
              <w:rPr>
                <w:rFonts w:hint="eastAsia" w:ascii="宋体" w:hAnsi="宋体"/>
                <w:color w:val="auto"/>
              </w:rPr>
              <w:t>分；若为</w:t>
            </w:r>
            <w:r>
              <w:rPr>
                <w:rFonts w:hint="eastAsia" w:ascii="宋体" w:hAnsi="宋体"/>
                <w:color w:val="auto"/>
                <w:lang w:val="en-US" w:eastAsia="zh-CN"/>
              </w:rPr>
              <w:t>1</w:t>
            </w:r>
            <w:r>
              <w:rPr>
                <w:rFonts w:hint="eastAsia" w:ascii="宋体" w:hAnsi="宋体"/>
                <w:color w:val="auto"/>
              </w:rPr>
              <w:t>项符合条件，得</w:t>
            </w:r>
            <w:r>
              <w:rPr>
                <w:rFonts w:hint="eastAsia" w:ascii="宋体" w:hAnsi="宋体"/>
                <w:color w:val="auto"/>
                <w:lang w:val="en-US" w:eastAsia="zh-CN"/>
              </w:rPr>
              <w:t>1</w:t>
            </w:r>
            <w:r>
              <w:rPr>
                <w:rFonts w:hint="eastAsia" w:ascii="宋体" w:hAnsi="宋体"/>
                <w:color w:val="auto"/>
              </w:rPr>
              <w:t>分；不提供不得分。</w:t>
            </w:r>
          </w:p>
          <w:p>
            <w:pPr>
              <w:spacing w:line="360" w:lineRule="exact"/>
              <w:ind w:left="52"/>
              <w:rPr>
                <w:color w:val="auto"/>
              </w:rPr>
            </w:pPr>
            <w:r>
              <w:rPr>
                <w:rFonts w:hint="eastAsia" w:ascii="宋体" w:hAnsi="宋体"/>
                <w:color w:val="auto"/>
                <w:lang w:val="en-US" w:eastAsia="zh-CN"/>
              </w:rPr>
              <w:t>2、</w:t>
            </w:r>
            <w:r>
              <w:rPr>
                <w:rFonts w:hint="eastAsia" w:ascii="宋体" w:hAnsi="宋体"/>
                <w:color w:val="auto"/>
              </w:rPr>
              <w:t>投标人具有省级或以上主管部门颁发的检验检测机构资质认定证书的得</w:t>
            </w:r>
            <w:r>
              <w:rPr>
                <w:rFonts w:hint="eastAsia" w:ascii="宋体" w:hAnsi="宋体"/>
                <w:color w:val="auto"/>
                <w:lang w:val="en-US" w:eastAsia="zh-CN"/>
              </w:rPr>
              <w:t>2</w:t>
            </w:r>
            <w:r>
              <w:rPr>
                <w:rFonts w:hint="eastAsia" w:ascii="宋体" w:hAnsi="宋体"/>
                <w:color w:val="auto"/>
              </w:rPr>
              <w:t>分，不提供则不得分。</w:t>
            </w:r>
          </w:p>
          <w:p>
            <w:pPr>
              <w:spacing w:line="360" w:lineRule="exact"/>
              <w:ind w:left="52"/>
              <w:rPr>
                <w:rFonts w:hint="eastAsia" w:ascii="宋体" w:hAnsi="宋体" w:cs="宋体"/>
                <w:color w:val="auto"/>
              </w:rPr>
            </w:pPr>
            <w:r>
              <w:rPr>
                <w:rFonts w:hint="eastAsia" w:ascii="宋体" w:hAnsi="宋体"/>
                <w:color w:val="auto"/>
              </w:rPr>
              <w:t>注：提供证书复印件加盖公章。</w:t>
            </w:r>
          </w:p>
        </w:tc>
        <w:tc>
          <w:tcPr>
            <w:tcW w:w="408"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3945" w:hRule="atLeast"/>
        </w:trPr>
        <w:tc>
          <w:tcPr>
            <w:tcW w:w="38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6</w:t>
            </w:r>
          </w:p>
        </w:tc>
        <w:tc>
          <w:tcPr>
            <w:tcW w:w="410" w:type="pct"/>
            <w:vMerge w:val="continue"/>
            <w:tcBorders>
              <w:left w:val="single" w:color="auto" w:sz="6" w:space="0"/>
              <w:right w:val="single" w:color="auto" w:sz="6" w:space="0"/>
            </w:tcBorders>
            <w:noWrap w:val="0"/>
            <w:vAlign w:val="center"/>
          </w:tcPr>
          <w:p>
            <w:pPr>
              <w:spacing w:line="360" w:lineRule="exact"/>
              <w:jc w:val="center"/>
              <w:rPr>
                <w:rFonts w:hint="eastAsia" w:ascii="宋体" w:hAnsi="宋体"/>
                <w:b/>
                <w:bCs/>
                <w:color w:val="auto"/>
                <w:sz w:val="21"/>
                <w:szCs w:val="21"/>
              </w:rPr>
            </w:pPr>
          </w:p>
        </w:tc>
        <w:tc>
          <w:tcPr>
            <w:tcW w:w="57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企业业绩</w:t>
            </w:r>
          </w:p>
        </w:tc>
        <w:tc>
          <w:tcPr>
            <w:tcW w:w="584"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2</w:t>
            </w:r>
          </w:p>
        </w:tc>
        <w:tc>
          <w:tcPr>
            <w:tcW w:w="2632" w:type="pct"/>
            <w:tcBorders>
              <w:top w:val="single" w:color="auto" w:sz="6" w:space="0"/>
              <w:left w:val="single" w:color="auto" w:sz="6" w:space="0"/>
              <w:bottom w:val="single" w:color="auto" w:sz="6" w:space="0"/>
              <w:right w:val="single" w:color="auto" w:sz="6" w:space="0"/>
            </w:tcBorders>
            <w:noWrap w:val="0"/>
            <w:vAlign w:val="top"/>
          </w:tcPr>
          <w:p>
            <w:pPr>
              <w:spacing w:line="360" w:lineRule="exact"/>
              <w:ind w:left="52"/>
              <w:rPr>
                <w:rFonts w:ascii="宋体" w:hAnsi="宋体"/>
                <w:color w:val="auto"/>
              </w:rPr>
            </w:pPr>
            <w:r>
              <w:rPr>
                <w:rFonts w:ascii="宋体" w:hAnsi="宋体"/>
                <w:color w:val="auto"/>
              </w:rPr>
              <w:t>自201</w:t>
            </w:r>
            <w:r>
              <w:rPr>
                <w:rFonts w:hint="eastAsia" w:ascii="宋体" w:hAnsi="宋体"/>
                <w:color w:val="auto"/>
              </w:rPr>
              <w:t>6</w:t>
            </w:r>
            <w:r>
              <w:rPr>
                <w:rFonts w:ascii="宋体" w:hAnsi="宋体"/>
                <w:color w:val="auto"/>
              </w:rPr>
              <w:t>年1月1日至投标截止时间（以合同签订时间为准）</w:t>
            </w:r>
            <w:r>
              <w:rPr>
                <w:rFonts w:hint="eastAsia" w:ascii="宋体" w:hAnsi="宋体"/>
                <w:color w:val="auto"/>
              </w:rPr>
              <w:t>，投标人</w:t>
            </w:r>
            <w:r>
              <w:rPr>
                <w:rFonts w:ascii="宋体" w:hAnsi="宋体"/>
                <w:color w:val="auto"/>
              </w:rPr>
              <w:t>承担过的</w:t>
            </w:r>
            <w:r>
              <w:rPr>
                <w:rFonts w:hint="eastAsia" w:ascii="宋体" w:hAnsi="宋体"/>
                <w:color w:val="auto"/>
              </w:rPr>
              <w:t>类似市政道路</w:t>
            </w:r>
            <w:r>
              <w:rPr>
                <w:rFonts w:ascii="宋体" w:hAnsi="宋体"/>
                <w:color w:val="auto"/>
              </w:rPr>
              <w:t>工程</w:t>
            </w:r>
            <w:r>
              <w:rPr>
                <w:rFonts w:hint="eastAsia" w:ascii="宋体" w:hAnsi="宋体"/>
                <w:color w:val="auto"/>
              </w:rPr>
              <w:t>勘察</w:t>
            </w:r>
            <w:r>
              <w:rPr>
                <w:rFonts w:ascii="宋体" w:hAnsi="宋体"/>
                <w:color w:val="auto"/>
              </w:rPr>
              <w:t>业绩：（本项最高得</w:t>
            </w:r>
            <w:r>
              <w:rPr>
                <w:rFonts w:hint="eastAsia" w:ascii="宋体" w:hAnsi="宋体"/>
                <w:color w:val="auto"/>
              </w:rPr>
              <w:t>2</w:t>
            </w:r>
            <w:r>
              <w:rPr>
                <w:rFonts w:ascii="宋体" w:hAnsi="宋体"/>
                <w:color w:val="auto"/>
              </w:rPr>
              <w:t>分）</w:t>
            </w:r>
          </w:p>
          <w:p>
            <w:pPr>
              <w:spacing w:line="360" w:lineRule="exact"/>
              <w:ind w:left="52"/>
              <w:rPr>
                <w:rFonts w:hint="eastAsia" w:ascii="宋体" w:hAnsi="宋体"/>
                <w:color w:val="auto"/>
              </w:rPr>
            </w:pPr>
            <w:r>
              <w:rPr>
                <w:rFonts w:hint="eastAsia" w:ascii="宋体" w:hAnsi="宋体"/>
                <w:color w:val="auto"/>
              </w:rPr>
              <w:t>1、100万元＜R</w:t>
            </w:r>
            <w:r>
              <w:rPr>
                <w:rFonts w:ascii="宋体" w:hAnsi="宋体"/>
                <w:color w:val="auto"/>
              </w:rPr>
              <w:t>≤</w:t>
            </w:r>
            <w:r>
              <w:rPr>
                <w:rFonts w:hint="eastAsia" w:ascii="宋体" w:hAnsi="宋体"/>
                <w:color w:val="auto"/>
              </w:rPr>
              <w:t>200万元，</w:t>
            </w:r>
            <w:r>
              <w:rPr>
                <w:rFonts w:ascii="宋体" w:hAnsi="宋体"/>
                <w:color w:val="auto"/>
              </w:rPr>
              <w:t>每项得</w:t>
            </w:r>
            <w:r>
              <w:rPr>
                <w:rFonts w:hint="eastAsia" w:ascii="宋体" w:hAnsi="宋体"/>
                <w:color w:val="auto"/>
              </w:rPr>
              <w:t>1</w:t>
            </w:r>
            <w:r>
              <w:rPr>
                <w:rFonts w:ascii="宋体" w:hAnsi="宋体"/>
                <w:color w:val="auto"/>
              </w:rPr>
              <w:t>分</w:t>
            </w:r>
            <w:r>
              <w:rPr>
                <w:rFonts w:hint="eastAsia" w:ascii="宋体" w:hAnsi="宋体"/>
                <w:color w:val="auto"/>
              </w:rPr>
              <w:t>，</w:t>
            </w:r>
            <w:r>
              <w:rPr>
                <w:rFonts w:ascii="宋体" w:hAnsi="宋体"/>
                <w:color w:val="auto"/>
              </w:rPr>
              <w:t>本分项最</w:t>
            </w:r>
            <w:r>
              <w:rPr>
                <w:rFonts w:hint="eastAsia" w:ascii="宋体" w:hAnsi="宋体"/>
                <w:color w:val="auto"/>
              </w:rPr>
              <w:t>高</w:t>
            </w:r>
            <w:r>
              <w:rPr>
                <w:rFonts w:ascii="宋体" w:hAnsi="宋体"/>
                <w:color w:val="auto"/>
              </w:rPr>
              <w:t>得</w:t>
            </w:r>
            <w:r>
              <w:rPr>
                <w:rFonts w:hint="eastAsia" w:ascii="宋体" w:hAnsi="宋体"/>
                <w:color w:val="auto"/>
              </w:rPr>
              <w:t>2</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50万元＜R</w:t>
            </w:r>
            <w:r>
              <w:rPr>
                <w:rFonts w:ascii="宋体" w:hAnsi="宋体"/>
                <w:color w:val="auto"/>
              </w:rPr>
              <w:t>≤</w:t>
            </w:r>
            <w:r>
              <w:rPr>
                <w:rFonts w:hint="eastAsia" w:ascii="宋体" w:hAnsi="宋体"/>
                <w:color w:val="auto"/>
              </w:rPr>
              <w:t>100万元，</w:t>
            </w:r>
            <w:r>
              <w:rPr>
                <w:rFonts w:ascii="宋体" w:hAnsi="宋体"/>
                <w:color w:val="auto"/>
              </w:rPr>
              <w:t>每项得</w:t>
            </w:r>
            <w:r>
              <w:rPr>
                <w:rFonts w:hint="eastAsia" w:ascii="宋体" w:hAnsi="宋体"/>
                <w:color w:val="auto"/>
              </w:rPr>
              <w:t>0.5</w:t>
            </w:r>
            <w:r>
              <w:rPr>
                <w:rFonts w:ascii="宋体" w:hAnsi="宋体"/>
                <w:color w:val="auto"/>
              </w:rPr>
              <w:t>分</w:t>
            </w:r>
            <w:r>
              <w:rPr>
                <w:rFonts w:hint="eastAsia" w:ascii="宋体" w:hAnsi="宋体"/>
                <w:color w:val="auto"/>
              </w:rPr>
              <w:t>，</w:t>
            </w:r>
            <w:r>
              <w:rPr>
                <w:rFonts w:ascii="宋体" w:hAnsi="宋体"/>
                <w:color w:val="auto"/>
              </w:rPr>
              <w:t>本分项最</w:t>
            </w:r>
            <w:r>
              <w:rPr>
                <w:rFonts w:hint="eastAsia" w:ascii="宋体" w:hAnsi="宋体"/>
                <w:color w:val="auto"/>
              </w:rPr>
              <w:t>高</w:t>
            </w:r>
            <w:r>
              <w:rPr>
                <w:rFonts w:ascii="宋体" w:hAnsi="宋体"/>
                <w:color w:val="auto"/>
              </w:rPr>
              <w:t>得</w:t>
            </w:r>
            <w:r>
              <w:rPr>
                <w:rFonts w:hint="eastAsia" w:ascii="宋体" w:hAnsi="宋体"/>
                <w:color w:val="auto"/>
              </w:rPr>
              <w:t>2</w:t>
            </w:r>
            <w:r>
              <w:rPr>
                <w:rFonts w:ascii="宋体" w:hAnsi="宋体"/>
                <w:color w:val="auto"/>
              </w:rPr>
              <w:t>分。</w:t>
            </w:r>
          </w:p>
          <w:p>
            <w:pPr>
              <w:spacing w:line="360" w:lineRule="exact"/>
              <w:ind w:left="52"/>
              <w:rPr>
                <w:rFonts w:hint="eastAsia" w:ascii="宋体" w:hAnsi="宋体"/>
                <w:color w:val="auto"/>
              </w:rPr>
            </w:pPr>
            <w:r>
              <w:rPr>
                <w:rFonts w:hint="eastAsia" w:ascii="宋体" w:hAnsi="宋体"/>
                <w:color w:val="auto"/>
              </w:rPr>
              <w:t>注： 业绩证明材料须提供中标通知书或合同关键页复印件</w:t>
            </w:r>
            <w:r>
              <w:rPr>
                <w:rFonts w:ascii="宋体" w:hAnsi="宋体"/>
                <w:color w:val="auto"/>
              </w:rPr>
              <w:t>加盖公章</w:t>
            </w:r>
            <w:r>
              <w:rPr>
                <w:rFonts w:hint="eastAsia" w:ascii="宋体" w:hAnsi="宋体"/>
                <w:color w:val="auto"/>
              </w:rPr>
              <w:t>。</w:t>
            </w:r>
            <w:r>
              <w:rPr>
                <w:rFonts w:ascii="宋体" w:hAnsi="宋体"/>
                <w:color w:val="auto"/>
              </w:rPr>
              <w:t>具体</w:t>
            </w:r>
            <w:r>
              <w:rPr>
                <w:rFonts w:hint="eastAsia" w:ascii="宋体" w:hAnsi="宋体"/>
                <w:color w:val="auto"/>
              </w:rPr>
              <w:t>金额</w:t>
            </w:r>
            <w:r>
              <w:rPr>
                <w:rFonts w:ascii="宋体" w:hAnsi="宋体"/>
                <w:color w:val="auto"/>
              </w:rPr>
              <w:t>以中标通知书或</w:t>
            </w:r>
            <w:r>
              <w:rPr>
                <w:rFonts w:hint="eastAsia" w:ascii="宋体" w:hAnsi="宋体"/>
                <w:color w:val="auto"/>
              </w:rPr>
              <w:t>勘察</w:t>
            </w:r>
            <w:r>
              <w:rPr>
                <w:rFonts w:ascii="宋体" w:hAnsi="宋体"/>
                <w:color w:val="auto"/>
              </w:rPr>
              <w:t>合同载明的</w:t>
            </w:r>
            <w:r>
              <w:rPr>
                <w:rFonts w:hint="eastAsia" w:ascii="宋体" w:hAnsi="宋体"/>
                <w:color w:val="auto"/>
              </w:rPr>
              <w:t>金额</w:t>
            </w:r>
            <w:r>
              <w:rPr>
                <w:rFonts w:ascii="宋体" w:hAnsi="宋体"/>
                <w:color w:val="auto"/>
              </w:rPr>
              <w:t>为准，</w:t>
            </w:r>
            <w:r>
              <w:rPr>
                <w:rFonts w:hint="eastAsia" w:ascii="宋体" w:hAnsi="宋体"/>
                <w:color w:val="auto"/>
              </w:rPr>
              <w:t>项目数量以合同签订数为准，包含EPC项目模式业绩，</w:t>
            </w:r>
            <w:r>
              <w:rPr>
                <w:rFonts w:ascii="宋体" w:hAnsi="宋体"/>
                <w:color w:val="auto"/>
              </w:rPr>
              <w:t>不提供不得分</w:t>
            </w:r>
            <w:r>
              <w:rPr>
                <w:rFonts w:hint="eastAsia" w:ascii="宋体" w:hAnsi="宋体"/>
                <w:color w:val="auto"/>
              </w:rPr>
              <w:t>。</w:t>
            </w:r>
          </w:p>
        </w:tc>
        <w:tc>
          <w:tcPr>
            <w:tcW w:w="408"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673" w:hRule="atLeast"/>
        </w:trPr>
        <w:tc>
          <w:tcPr>
            <w:tcW w:w="38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7</w:t>
            </w:r>
          </w:p>
        </w:tc>
        <w:tc>
          <w:tcPr>
            <w:tcW w:w="410" w:type="pct"/>
            <w:vMerge w:val="continue"/>
            <w:tcBorders>
              <w:left w:val="single" w:color="auto" w:sz="6" w:space="0"/>
              <w:right w:val="single" w:color="auto" w:sz="6" w:space="0"/>
            </w:tcBorders>
            <w:noWrap w:val="0"/>
            <w:vAlign w:val="center"/>
          </w:tcPr>
          <w:p>
            <w:pPr>
              <w:spacing w:line="360" w:lineRule="exact"/>
              <w:jc w:val="center"/>
              <w:rPr>
                <w:rFonts w:hint="eastAsia" w:ascii="宋体" w:hAnsi="宋体"/>
                <w:b/>
                <w:bCs/>
                <w:color w:val="auto"/>
                <w:sz w:val="21"/>
                <w:szCs w:val="21"/>
              </w:rPr>
            </w:pPr>
          </w:p>
        </w:tc>
        <w:tc>
          <w:tcPr>
            <w:tcW w:w="577" w:type="pct"/>
            <w:tcBorders>
              <w:top w:val="single" w:color="auto" w:sz="6" w:space="0"/>
              <w:left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企业荣誉</w:t>
            </w:r>
          </w:p>
        </w:tc>
        <w:tc>
          <w:tcPr>
            <w:tcW w:w="584"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2</w:t>
            </w:r>
          </w:p>
        </w:tc>
        <w:tc>
          <w:tcPr>
            <w:tcW w:w="2632" w:type="pct"/>
            <w:tcBorders>
              <w:top w:val="single" w:color="auto" w:sz="6" w:space="0"/>
              <w:left w:val="single" w:color="auto" w:sz="6" w:space="0"/>
              <w:bottom w:val="single" w:color="auto" w:sz="6" w:space="0"/>
              <w:right w:val="single" w:color="auto" w:sz="6" w:space="0"/>
            </w:tcBorders>
            <w:noWrap w:val="0"/>
            <w:vAlign w:val="top"/>
          </w:tcPr>
          <w:p>
            <w:pPr>
              <w:spacing w:line="360" w:lineRule="exact"/>
              <w:ind w:left="52"/>
              <w:rPr>
                <w:rFonts w:ascii="宋体" w:hAnsi="宋体"/>
                <w:color w:val="auto"/>
              </w:rPr>
            </w:pPr>
            <w:r>
              <w:rPr>
                <w:rFonts w:hint="eastAsia" w:ascii="宋体" w:hAnsi="宋体"/>
                <w:color w:val="auto"/>
              </w:rPr>
              <w:t>投标人曾经</w:t>
            </w:r>
            <w:r>
              <w:rPr>
                <w:rFonts w:ascii="宋体" w:hAnsi="宋体"/>
                <w:color w:val="auto"/>
              </w:rPr>
              <w:t>连续获得省级或以上“守合同重信用企业”荣誉：</w:t>
            </w:r>
          </w:p>
          <w:p>
            <w:pPr>
              <w:spacing w:line="360" w:lineRule="exact"/>
              <w:ind w:left="52"/>
              <w:rPr>
                <w:rFonts w:ascii="宋体" w:hAnsi="宋体"/>
                <w:color w:val="auto"/>
              </w:rPr>
            </w:pPr>
            <w:r>
              <w:rPr>
                <w:rFonts w:ascii="宋体" w:hAnsi="宋体"/>
                <w:color w:val="auto"/>
              </w:rPr>
              <w:t>1、连续</w:t>
            </w:r>
            <w:r>
              <w:rPr>
                <w:rFonts w:hint="eastAsia" w:ascii="宋体" w:hAnsi="宋体"/>
                <w:color w:val="auto"/>
              </w:rPr>
              <w:t>3</w:t>
            </w:r>
            <w:r>
              <w:rPr>
                <w:rFonts w:ascii="宋体" w:hAnsi="宋体"/>
                <w:color w:val="auto"/>
              </w:rPr>
              <w:t>年（含</w:t>
            </w:r>
            <w:r>
              <w:rPr>
                <w:rFonts w:hint="eastAsia" w:ascii="宋体" w:hAnsi="宋体"/>
                <w:color w:val="auto"/>
              </w:rPr>
              <w:t>3</w:t>
            </w:r>
            <w:r>
              <w:rPr>
                <w:rFonts w:ascii="宋体" w:hAnsi="宋体"/>
                <w:color w:val="auto"/>
              </w:rPr>
              <w:t>年）以上的得</w:t>
            </w:r>
            <w:r>
              <w:rPr>
                <w:rFonts w:hint="eastAsia" w:ascii="宋体" w:hAnsi="宋体"/>
                <w:color w:val="auto"/>
              </w:rPr>
              <w:t>2</w:t>
            </w:r>
            <w:r>
              <w:rPr>
                <w:rFonts w:ascii="宋体" w:hAnsi="宋体"/>
                <w:color w:val="auto"/>
              </w:rPr>
              <w:t>分；</w:t>
            </w:r>
          </w:p>
          <w:p>
            <w:pPr>
              <w:spacing w:line="360" w:lineRule="exact"/>
              <w:ind w:left="52"/>
              <w:rPr>
                <w:rFonts w:ascii="宋体" w:hAnsi="宋体"/>
                <w:color w:val="auto"/>
              </w:rPr>
            </w:pPr>
            <w:r>
              <w:rPr>
                <w:rFonts w:ascii="宋体" w:hAnsi="宋体"/>
                <w:color w:val="auto"/>
              </w:rPr>
              <w:t>2、连续</w:t>
            </w:r>
            <w:r>
              <w:rPr>
                <w:rFonts w:hint="eastAsia" w:ascii="宋体" w:hAnsi="宋体"/>
                <w:color w:val="auto"/>
              </w:rPr>
              <w:t>2</w:t>
            </w:r>
            <w:r>
              <w:rPr>
                <w:rFonts w:ascii="宋体" w:hAnsi="宋体"/>
                <w:color w:val="auto"/>
              </w:rPr>
              <w:t>年（含</w:t>
            </w:r>
            <w:r>
              <w:rPr>
                <w:rFonts w:hint="eastAsia" w:ascii="宋体" w:hAnsi="宋体"/>
                <w:color w:val="auto"/>
              </w:rPr>
              <w:t>2</w:t>
            </w:r>
            <w:r>
              <w:rPr>
                <w:rFonts w:ascii="宋体" w:hAnsi="宋体"/>
                <w:color w:val="auto"/>
              </w:rPr>
              <w:t>年）的得</w:t>
            </w:r>
            <w:r>
              <w:rPr>
                <w:rFonts w:hint="eastAsia" w:ascii="宋体" w:hAnsi="宋体"/>
                <w:color w:val="auto"/>
              </w:rPr>
              <w:t>1</w:t>
            </w:r>
            <w:r>
              <w:rPr>
                <w:rFonts w:ascii="宋体" w:hAnsi="宋体"/>
                <w:color w:val="auto"/>
              </w:rPr>
              <w:t>分；</w:t>
            </w:r>
          </w:p>
          <w:p>
            <w:pPr>
              <w:spacing w:line="360" w:lineRule="exact"/>
              <w:ind w:left="52"/>
              <w:rPr>
                <w:rFonts w:ascii="宋体" w:hAnsi="宋体"/>
                <w:color w:val="auto"/>
              </w:rPr>
            </w:pPr>
            <w:r>
              <w:rPr>
                <w:rFonts w:ascii="宋体" w:hAnsi="宋体"/>
                <w:color w:val="auto"/>
              </w:rPr>
              <w:t>3、连续1年（含1年）的得</w:t>
            </w:r>
            <w:r>
              <w:rPr>
                <w:rFonts w:hint="eastAsia" w:ascii="宋体" w:hAnsi="宋体"/>
                <w:color w:val="auto"/>
              </w:rPr>
              <w:t>0.5</w:t>
            </w:r>
            <w:r>
              <w:rPr>
                <w:rFonts w:ascii="宋体" w:hAnsi="宋体"/>
                <w:color w:val="auto"/>
              </w:rPr>
              <w:t>分；</w:t>
            </w:r>
          </w:p>
          <w:p>
            <w:pPr>
              <w:spacing w:line="360" w:lineRule="exact"/>
              <w:ind w:left="52"/>
              <w:rPr>
                <w:rFonts w:hint="eastAsia" w:ascii="宋体" w:hAnsi="宋体"/>
                <w:color w:val="auto"/>
              </w:rPr>
            </w:pPr>
            <w:r>
              <w:rPr>
                <w:rFonts w:hint="eastAsia" w:ascii="宋体" w:hAnsi="宋体"/>
                <w:color w:val="auto"/>
              </w:rPr>
              <w:t>其他不得分，本项最高得2分。</w:t>
            </w:r>
          </w:p>
          <w:p>
            <w:pPr>
              <w:spacing w:line="360" w:lineRule="exact"/>
              <w:ind w:left="52"/>
              <w:rPr>
                <w:rFonts w:ascii="宋体" w:hAnsi="宋体" w:cs="宋体"/>
                <w:color w:val="auto"/>
              </w:rPr>
            </w:pPr>
            <w:r>
              <w:rPr>
                <w:rFonts w:hint="eastAsia" w:ascii="宋体" w:hAnsi="宋体"/>
                <w:color w:val="auto"/>
              </w:rPr>
              <w:t>注：年度中须包含</w:t>
            </w:r>
            <w:r>
              <w:rPr>
                <w:rFonts w:hint="eastAsia" w:ascii="宋体" w:hAnsi="宋体"/>
                <w:color w:val="auto"/>
                <w:lang w:eastAsia="zh-CN"/>
              </w:rPr>
              <w:t>最新评审</w:t>
            </w:r>
            <w:r>
              <w:rPr>
                <w:rFonts w:hint="eastAsia" w:ascii="宋体" w:hAnsi="宋体"/>
                <w:color w:val="auto"/>
              </w:rPr>
              <w:t>年度，否则不得分；需</w:t>
            </w:r>
            <w:r>
              <w:rPr>
                <w:rFonts w:ascii="宋体" w:hAnsi="宋体"/>
                <w:color w:val="auto"/>
              </w:rPr>
              <w:t>提供</w:t>
            </w:r>
            <w:r>
              <w:rPr>
                <w:rFonts w:hint="eastAsia" w:ascii="宋体" w:hAnsi="宋体"/>
                <w:color w:val="auto"/>
              </w:rPr>
              <w:t>相关</w:t>
            </w:r>
            <w:r>
              <w:rPr>
                <w:rFonts w:ascii="宋体" w:hAnsi="宋体"/>
                <w:color w:val="auto"/>
              </w:rPr>
              <w:t>证书复印件</w:t>
            </w:r>
            <w:r>
              <w:rPr>
                <w:rFonts w:hint="eastAsia" w:ascii="宋体" w:hAnsi="宋体"/>
                <w:color w:val="auto"/>
              </w:rPr>
              <w:t>或附守合同重信用企业公示系统网页相关查询截图并</w:t>
            </w:r>
            <w:r>
              <w:rPr>
                <w:rFonts w:ascii="宋体" w:hAnsi="宋体"/>
                <w:color w:val="auto"/>
              </w:rPr>
              <w:t>加盖公章</w:t>
            </w:r>
            <w:r>
              <w:rPr>
                <w:rFonts w:hint="eastAsia" w:ascii="宋体" w:hAnsi="宋体"/>
                <w:color w:val="auto"/>
              </w:rPr>
              <w:t>。</w:t>
            </w:r>
          </w:p>
        </w:tc>
        <w:tc>
          <w:tcPr>
            <w:tcW w:w="408"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808" w:hRule="atLeast"/>
        </w:trPr>
        <w:tc>
          <w:tcPr>
            <w:tcW w:w="387"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p>
        </w:tc>
        <w:tc>
          <w:tcPr>
            <w:tcW w:w="410" w:type="pct"/>
            <w:vMerge w:val="continue"/>
            <w:tcBorders>
              <w:left w:val="single" w:color="auto" w:sz="6" w:space="0"/>
              <w:right w:val="single" w:color="auto" w:sz="6" w:space="0"/>
            </w:tcBorders>
            <w:noWrap w:val="0"/>
            <w:vAlign w:val="center"/>
          </w:tcPr>
          <w:p>
            <w:pPr>
              <w:spacing w:line="360" w:lineRule="exact"/>
              <w:jc w:val="center"/>
              <w:rPr>
                <w:rFonts w:hint="eastAsia" w:ascii="宋体" w:hAnsi="宋体"/>
                <w:b/>
                <w:bCs/>
                <w:color w:val="auto"/>
                <w:sz w:val="21"/>
                <w:szCs w:val="21"/>
              </w:rPr>
            </w:pPr>
          </w:p>
        </w:tc>
        <w:tc>
          <w:tcPr>
            <w:tcW w:w="577" w:type="pct"/>
            <w:tcBorders>
              <w:top w:val="single" w:color="auto" w:sz="6" w:space="0"/>
              <w:left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勘察项目负责人能力</w:t>
            </w:r>
          </w:p>
        </w:tc>
        <w:tc>
          <w:tcPr>
            <w:tcW w:w="584" w:type="pct"/>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color w:val="auto"/>
                <w:sz w:val="21"/>
                <w:szCs w:val="21"/>
              </w:rPr>
            </w:pPr>
            <w:r>
              <w:rPr>
                <w:rFonts w:hint="eastAsia" w:ascii="宋体" w:hAnsi="宋体"/>
                <w:color w:val="auto"/>
                <w:sz w:val="21"/>
                <w:szCs w:val="21"/>
              </w:rPr>
              <w:t>2</w:t>
            </w:r>
          </w:p>
        </w:tc>
        <w:tc>
          <w:tcPr>
            <w:tcW w:w="2632" w:type="pct"/>
            <w:tcBorders>
              <w:top w:val="single" w:color="auto" w:sz="6" w:space="0"/>
              <w:left w:val="single" w:color="auto" w:sz="6" w:space="0"/>
              <w:bottom w:val="single" w:color="auto" w:sz="6" w:space="0"/>
              <w:right w:val="single" w:color="auto" w:sz="6" w:space="0"/>
            </w:tcBorders>
            <w:noWrap w:val="0"/>
            <w:vAlign w:val="top"/>
          </w:tcPr>
          <w:p>
            <w:pPr>
              <w:spacing w:line="360" w:lineRule="exact"/>
              <w:ind w:left="52"/>
              <w:rPr>
                <w:rFonts w:hint="eastAsia" w:ascii="宋体" w:hAnsi="宋体"/>
                <w:color w:val="auto"/>
              </w:rPr>
            </w:pPr>
            <w:r>
              <w:rPr>
                <w:rFonts w:hint="eastAsia" w:ascii="宋体" w:hAnsi="宋体"/>
                <w:color w:val="auto"/>
              </w:rPr>
              <w:t>1、</w:t>
            </w:r>
            <w:r>
              <w:rPr>
                <w:rFonts w:ascii="宋体" w:hAnsi="宋体"/>
                <w:color w:val="auto"/>
              </w:rPr>
              <w:t>勘察项目负责人具备注册土木工程师（岩土）执业资格</w:t>
            </w:r>
            <w:r>
              <w:rPr>
                <w:rFonts w:hint="eastAsia" w:ascii="宋体" w:hAnsi="宋体"/>
                <w:color w:val="auto"/>
              </w:rPr>
              <w:t>，</w:t>
            </w:r>
            <w:r>
              <w:rPr>
                <w:rFonts w:ascii="宋体" w:hAnsi="宋体"/>
                <w:color w:val="auto"/>
              </w:rPr>
              <w:t>且同时具有</w:t>
            </w:r>
            <w:r>
              <w:rPr>
                <w:rFonts w:hint="eastAsia" w:ascii="宋体" w:hAnsi="宋体"/>
                <w:color w:val="auto"/>
              </w:rPr>
              <w:t>岩土工程相关</w:t>
            </w:r>
            <w:r>
              <w:rPr>
                <w:rFonts w:ascii="宋体" w:hAnsi="宋体"/>
                <w:color w:val="auto"/>
              </w:rPr>
              <w:t>专业高级工程师</w:t>
            </w:r>
            <w:r>
              <w:rPr>
                <w:rFonts w:hint="eastAsia" w:ascii="宋体" w:hAnsi="宋体"/>
                <w:color w:val="auto"/>
              </w:rPr>
              <w:t>或以上</w:t>
            </w:r>
            <w:r>
              <w:rPr>
                <w:rFonts w:ascii="宋体" w:hAnsi="宋体"/>
                <w:color w:val="auto"/>
              </w:rPr>
              <w:t>职称</w:t>
            </w:r>
            <w:r>
              <w:rPr>
                <w:rFonts w:hint="eastAsia" w:ascii="宋体" w:hAnsi="宋体"/>
                <w:color w:val="auto"/>
              </w:rPr>
              <w:t>的</w:t>
            </w:r>
            <w:r>
              <w:rPr>
                <w:rFonts w:ascii="宋体" w:hAnsi="宋体"/>
                <w:color w:val="auto"/>
              </w:rPr>
              <w:t>得</w:t>
            </w:r>
            <w:r>
              <w:rPr>
                <w:rFonts w:hint="eastAsia" w:ascii="宋体" w:hAnsi="宋体"/>
                <w:color w:val="auto"/>
              </w:rPr>
              <w:t>2</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2、</w:t>
            </w:r>
            <w:r>
              <w:rPr>
                <w:rFonts w:ascii="宋体" w:hAnsi="宋体"/>
                <w:color w:val="auto"/>
              </w:rPr>
              <w:t>勘察项目负责人具备注册土木工程师（岩土）执业资格，同时具有岩土工程</w:t>
            </w:r>
            <w:r>
              <w:rPr>
                <w:rFonts w:hint="eastAsia" w:ascii="宋体" w:hAnsi="宋体"/>
                <w:color w:val="auto"/>
              </w:rPr>
              <w:t>相关</w:t>
            </w:r>
            <w:r>
              <w:rPr>
                <w:rFonts w:ascii="宋体" w:hAnsi="宋体"/>
                <w:color w:val="auto"/>
              </w:rPr>
              <w:t>专业工程师职称证的得</w:t>
            </w:r>
            <w:r>
              <w:rPr>
                <w:rFonts w:hint="eastAsia" w:ascii="宋体" w:hAnsi="宋体"/>
                <w:color w:val="auto"/>
              </w:rPr>
              <w:t>1</w:t>
            </w:r>
            <w:r>
              <w:rPr>
                <w:rFonts w:ascii="宋体" w:hAnsi="宋体"/>
                <w:color w:val="auto"/>
              </w:rPr>
              <w:t>分；</w:t>
            </w:r>
          </w:p>
          <w:p>
            <w:pPr>
              <w:spacing w:line="360" w:lineRule="exact"/>
              <w:ind w:left="52"/>
              <w:rPr>
                <w:rFonts w:ascii="宋体" w:hAnsi="宋体" w:cs="宋体"/>
                <w:color w:val="auto"/>
              </w:rPr>
            </w:pPr>
            <w:r>
              <w:rPr>
                <w:rFonts w:hint="eastAsia" w:ascii="宋体" w:hAnsi="宋体"/>
                <w:color w:val="auto"/>
              </w:rPr>
              <w:t>注：</w:t>
            </w:r>
            <w:r>
              <w:rPr>
                <w:rFonts w:ascii="宋体" w:hAnsi="宋体"/>
                <w:color w:val="auto"/>
              </w:rPr>
              <w:t>提供</w:t>
            </w:r>
            <w:r>
              <w:rPr>
                <w:rFonts w:hint="eastAsia" w:ascii="宋体" w:hAnsi="宋体"/>
                <w:color w:val="auto"/>
              </w:rPr>
              <w:t>注册证书、职称证书复印件加盖公章。</w:t>
            </w:r>
          </w:p>
        </w:tc>
        <w:tc>
          <w:tcPr>
            <w:tcW w:w="408"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color w:val="auto"/>
                <w:sz w:val="21"/>
                <w:szCs w:val="21"/>
              </w:rPr>
            </w:pPr>
          </w:p>
        </w:tc>
      </w:tr>
    </w:tbl>
    <w:p>
      <w:pPr>
        <w:shd w:val="clear" w:color="auto" w:fill="FFFFFF"/>
        <w:tabs>
          <w:tab w:val="left" w:pos="373"/>
        </w:tabs>
        <w:snapToGrid w:val="0"/>
        <w:spacing w:line="360" w:lineRule="auto"/>
        <w:rPr>
          <w:rFonts w:hint="eastAsia" w:ascii="宋体" w:hAnsi="宋体"/>
          <w:color w:val="auto"/>
          <w:sz w:val="21"/>
          <w:szCs w:val="21"/>
        </w:rPr>
      </w:pPr>
      <w:r>
        <w:rPr>
          <w:rFonts w:hint="eastAsia" w:ascii="宋体" w:hAnsi="宋体" w:cs="宋体"/>
          <w:b/>
          <w:color w:val="auto"/>
          <w:sz w:val="22"/>
          <w:szCs w:val="22"/>
          <w:lang w:eastAsia="zh-CN"/>
        </w:rPr>
        <w:t>注明：</w:t>
      </w:r>
      <w:r>
        <w:rPr>
          <w:rFonts w:hint="eastAsia" w:ascii="宋体" w:hAnsi="宋体"/>
          <w:color w:val="auto"/>
          <w:sz w:val="21"/>
          <w:szCs w:val="21"/>
          <w:lang w:val="en-US" w:eastAsia="zh-CN"/>
        </w:rPr>
        <w:t>1</w:t>
      </w:r>
      <w:r>
        <w:rPr>
          <w:rFonts w:hint="eastAsia" w:ascii="宋体" w:hAnsi="宋体"/>
          <w:color w:val="auto"/>
          <w:sz w:val="21"/>
          <w:szCs w:val="21"/>
        </w:rPr>
        <w:t>、商务评分为客观评分，所有评委对同一投标人的商务评分均应保持一致。</w:t>
      </w:r>
    </w:p>
    <w:p>
      <w:pPr>
        <w:spacing w:line="360" w:lineRule="auto"/>
        <w:ind w:firstLine="210" w:firstLineChars="100"/>
        <w:jc w:val="left"/>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、投标人如是联合体投标，以上评分分别对应联合体成员中勘察、设计单位评分。</w:t>
      </w:r>
    </w:p>
    <w:p>
      <w:pPr>
        <w:spacing w:line="360" w:lineRule="auto"/>
        <w:ind w:firstLine="210" w:firstLineChars="100"/>
        <w:jc w:val="left"/>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、提供的所有复印件需加盖公章，如为联合体的，</w:t>
      </w:r>
      <w:r>
        <w:rPr>
          <w:rFonts w:ascii="宋体" w:hAnsi="宋体"/>
          <w:color w:val="auto"/>
          <w:sz w:val="21"/>
          <w:szCs w:val="21"/>
        </w:rPr>
        <w:t>应盖联合体牵头人单位公章</w:t>
      </w:r>
      <w:r>
        <w:rPr>
          <w:rFonts w:hint="eastAsia" w:ascii="宋体" w:hAnsi="宋体"/>
          <w:color w:val="auto"/>
          <w:sz w:val="21"/>
          <w:szCs w:val="21"/>
        </w:rPr>
        <w:t>。</w:t>
      </w:r>
    </w:p>
    <w:p>
      <w:pPr>
        <w:pStyle w:val="4"/>
        <w:numPr>
          <w:ilvl w:val="1"/>
          <w:numId w:val="0"/>
        </w:numPr>
        <w:rPr>
          <w:rFonts w:hint="eastAsia"/>
          <w:color w:val="auto"/>
        </w:rPr>
      </w:pPr>
    </w:p>
    <w:p>
      <w:pPr>
        <w:numPr>
          <w:ilvl w:val="0"/>
          <w:numId w:val="15"/>
        </w:numPr>
        <w:tabs>
          <w:tab w:val="left" w:pos="1440"/>
        </w:tabs>
        <w:adjustRightInd/>
        <w:spacing w:line="240" w:lineRule="auto"/>
        <w:textAlignment w:val="auto"/>
        <w:rPr>
          <w:rFonts w:ascii="宋体" w:hAnsi="宋体" w:cs="宋体"/>
          <w:b/>
          <w:color w:val="auto"/>
          <w:kern w:val="2"/>
          <w:sz w:val="22"/>
          <w:szCs w:val="22"/>
          <w:highlight w:val="none"/>
        </w:rPr>
      </w:pPr>
      <w:r>
        <w:rPr>
          <w:rFonts w:hint="eastAsia" w:ascii="宋体" w:hAnsi="宋体" w:cs="宋体"/>
          <w:b/>
          <w:color w:val="auto"/>
          <w:kern w:val="2"/>
          <w:sz w:val="22"/>
          <w:szCs w:val="22"/>
          <w:highlight w:val="none"/>
          <w:lang w:eastAsia="zh-CN"/>
        </w:rPr>
        <w:t>勘察、</w:t>
      </w:r>
      <w:r>
        <w:rPr>
          <w:rFonts w:hint="eastAsia" w:ascii="宋体" w:hAnsi="宋体" w:cs="宋体"/>
          <w:b/>
          <w:color w:val="auto"/>
          <w:kern w:val="2"/>
          <w:sz w:val="22"/>
          <w:szCs w:val="22"/>
          <w:highlight w:val="none"/>
        </w:rPr>
        <w:t>设计费报价评分标准（</w:t>
      </w:r>
      <w:r>
        <w:rPr>
          <w:rFonts w:hint="eastAsia" w:ascii="宋体" w:hAnsi="宋体" w:cs="宋体"/>
          <w:b/>
          <w:color w:val="auto"/>
          <w:kern w:val="2"/>
          <w:sz w:val="22"/>
          <w:szCs w:val="22"/>
          <w:highlight w:val="none"/>
          <w:lang w:val="en-US" w:eastAsia="zh-CN"/>
        </w:rPr>
        <w:t>1</w:t>
      </w:r>
      <w:r>
        <w:rPr>
          <w:rFonts w:hint="eastAsia" w:ascii="宋体" w:hAnsi="宋体" w:cs="宋体"/>
          <w:b/>
          <w:color w:val="auto"/>
          <w:kern w:val="2"/>
          <w:sz w:val="22"/>
          <w:szCs w:val="22"/>
          <w:highlight w:val="none"/>
        </w:rPr>
        <w:t>0分）</w:t>
      </w:r>
    </w:p>
    <w:p>
      <w:pPr>
        <w:tabs>
          <w:tab w:val="left" w:pos="1440"/>
        </w:tabs>
        <w:adjustRightInd/>
        <w:spacing w:line="240" w:lineRule="auto"/>
        <w:textAlignment w:val="auto"/>
        <w:rPr>
          <w:rFonts w:ascii="宋体" w:hAnsi="宋体" w:cs="宋体"/>
          <w:b/>
          <w:color w:val="auto"/>
          <w:kern w:val="2"/>
          <w:sz w:val="22"/>
          <w:szCs w:val="22"/>
          <w:highlight w:val="none"/>
        </w:rPr>
      </w:pPr>
    </w:p>
    <w:tbl>
      <w:tblPr>
        <w:tblStyle w:val="37"/>
        <w:tblW w:w="99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6"/>
        <w:gridCol w:w="1510"/>
        <w:gridCol w:w="5534"/>
        <w:gridCol w:w="14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6" w:hRule="atLeast"/>
          <w:jc w:val="center"/>
        </w:trPr>
        <w:tc>
          <w:tcPr>
            <w:tcW w:w="1506" w:type="dxa"/>
            <w:tcBorders>
              <w:left w:val="single" w:color="auto" w:sz="12" w:space="0"/>
              <w:bottom w:val="single" w:color="auto" w:sz="12" w:space="0"/>
              <w:right w:val="single" w:color="auto" w:sz="4" w:space="0"/>
            </w:tcBorders>
            <w:vAlign w:val="center"/>
          </w:tcPr>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评分项目</w:t>
            </w:r>
          </w:p>
        </w:tc>
        <w:tc>
          <w:tcPr>
            <w:tcW w:w="1510" w:type="dxa"/>
            <w:tcBorders>
              <w:top w:val="single" w:color="auto" w:sz="2" w:space="0"/>
              <w:left w:val="single" w:color="auto" w:sz="4" w:space="0"/>
              <w:bottom w:val="single" w:color="auto" w:sz="12" w:space="0"/>
              <w:right w:val="single" w:color="auto" w:sz="2" w:space="0"/>
            </w:tcBorders>
            <w:vAlign w:val="center"/>
          </w:tcPr>
          <w:p>
            <w:pPr>
              <w:spacing w:line="240" w:lineRule="auto"/>
              <w:jc w:val="center"/>
              <w:rPr>
                <w:rFonts w:ascii="宋体" w:hAnsi="宋体" w:cs="宋体"/>
                <w:color w:val="auto"/>
                <w:sz w:val="22"/>
                <w:szCs w:val="22"/>
                <w:highlight w:val="none"/>
              </w:rPr>
            </w:pPr>
            <w:r>
              <w:rPr>
                <w:rFonts w:hint="eastAsia" w:ascii="宋体" w:hAnsi="宋体" w:cs="宋体"/>
                <w:b/>
                <w:color w:val="auto"/>
                <w:sz w:val="22"/>
                <w:szCs w:val="22"/>
                <w:highlight w:val="none"/>
              </w:rPr>
              <w:t>评审内容</w:t>
            </w:r>
          </w:p>
        </w:tc>
        <w:tc>
          <w:tcPr>
            <w:tcW w:w="5534" w:type="dxa"/>
            <w:tcBorders>
              <w:top w:val="single" w:color="auto" w:sz="2" w:space="0"/>
              <w:left w:val="single" w:color="auto" w:sz="2" w:space="0"/>
              <w:bottom w:val="single" w:color="auto" w:sz="12" w:space="0"/>
              <w:right w:val="single" w:color="auto" w:sz="4" w:space="0"/>
            </w:tcBorders>
            <w:vAlign w:val="center"/>
          </w:tcPr>
          <w:p>
            <w:pPr>
              <w:spacing w:line="240" w:lineRule="auto"/>
              <w:jc w:val="center"/>
              <w:rPr>
                <w:rFonts w:ascii="宋体" w:hAnsi="宋体" w:cs="宋体"/>
                <w:color w:val="auto"/>
                <w:sz w:val="22"/>
                <w:szCs w:val="22"/>
                <w:highlight w:val="none"/>
              </w:rPr>
            </w:pPr>
            <w:r>
              <w:rPr>
                <w:rFonts w:hint="eastAsia" w:ascii="宋体" w:hAnsi="宋体" w:cs="宋体"/>
                <w:b/>
                <w:color w:val="auto"/>
                <w:sz w:val="22"/>
                <w:szCs w:val="22"/>
                <w:highlight w:val="none"/>
              </w:rPr>
              <w:t>评分标准</w:t>
            </w:r>
          </w:p>
        </w:tc>
        <w:tc>
          <w:tcPr>
            <w:tcW w:w="1408" w:type="dxa"/>
            <w:tcBorders>
              <w:top w:val="single" w:color="auto" w:sz="2" w:space="0"/>
              <w:left w:val="single" w:color="auto" w:sz="2" w:space="0"/>
              <w:bottom w:val="single" w:color="auto" w:sz="12" w:space="0"/>
              <w:right w:val="single" w:color="auto" w:sz="4" w:space="0"/>
            </w:tcBorders>
            <w:vAlign w:val="center"/>
          </w:tcPr>
          <w:p>
            <w:pPr>
              <w:spacing w:line="24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分值（分）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53" w:hRule="atLeast"/>
          <w:jc w:val="center"/>
        </w:trPr>
        <w:tc>
          <w:tcPr>
            <w:tcW w:w="1506" w:type="dxa"/>
            <w:vMerge w:val="restart"/>
            <w:tcBorders>
              <w:left w:val="single" w:color="auto" w:sz="12" w:space="0"/>
              <w:right w:val="single" w:color="auto" w:sz="4" w:space="0"/>
            </w:tcBorders>
            <w:vAlign w:val="center"/>
          </w:tcPr>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勘察设计费报价（</w:t>
            </w:r>
            <w:r>
              <w:rPr>
                <w:rFonts w:hint="eastAsia" w:ascii="宋体" w:hAnsi="宋体" w:cs="宋体"/>
                <w:b/>
                <w:color w:val="auto"/>
                <w:sz w:val="22"/>
                <w:szCs w:val="22"/>
                <w:highlight w:val="none"/>
                <w:lang w:val="en-US" w:eastAsia="zh-CN"/>
              </w:rPr>
              <w:t>1</w:t>
            </w:r>
            <w:r>
              <w:rPr>
                <w:rFonts w:hint="eastAsia" w:ascii="宋体" w:hAnsi="宋体" w:cs="宋体"/>
                <w:b/>
                <w:color w:val="auto"/>
                <w:sz w:val="22"/>
                <w:szCs w:val="22"/>
                <w:highlight w:val="none"/>
              </w:rPr>
              <w:t>0分）</w:t>
            </w:r>
          </w:p>
        </w:tc>
        <w:tc>
          <w:tcPr>
            <w:tcW w:w="1510" w:type="dxa"/>
            <w:tcBorders>
              <w:top w:val="single" w:color="auto" w:sz="2" w:space="0"/>
              <w:left w:val="single" w:color="auto" w:sz="4" w:space="0"/>
              <w:right w:val="single" w:color="auto" w:sz="2" w:space="0"/>
            </w:tcBorders>
            <w:vAlign w:val="center"/>
          </w:tcPr>
          <w:p>
            <w:pPr>
              <w:spacing w:line="240" w:lineRule="auto"/>
              <w:jc w:val="center"/>
              <w:rPr>
                <w:rFonts w:hint="eastAsia" w:ascii="宋体" w:hAnsi="宋体" w:cs="宋体"/>
                <w:b/>
                <w:bCs/>
                <w:color w:val="auto"/>
                <w:sz w:val="22"/>
                <w:szCs w:val="22"/>
                <w:highlight w:val="none"/>
                <w:lang w:eastAsia="zh-CN"/>
              </w:rPr>
            </w:pPr>
            <w:r>
              <w:rPr>
                <w:rFonts w:hint="eastAsia" w:ascii="宋体" w:hAnsi="宋体" w:cs="宋体"/>
                <w:b/>
                <w:bCs/>
                <w:color w:val="auto"/>
                <w:sz w:val="22"/>
                <w:szCs w:val="22"/>
                <w:highlight w:val="none"/>
                <w:lang w:eastAsia="zh-CN"/>
              </w:rPr>
              <w:t>勘察报价</w:t>
            </w:r>
          </w:p>
          <w:p>
            <w:pPr>
              <w:spacing w:line="240" w:lineRule="auto"/>
              <w:jc w:val="center"/>
              <w:rPr>
                <w:rFonts w:ascii="宋体" w:hAnsi="宋体" w:cs="宋体"/>
                <w:color w:val="auto"/>
                <w:sz w:val="22"/>
                <w:szCs w:val="22"/>
                <w:highlight w:val="none"/>
              </w:rPr>
            </w:pPr>
          </w:p>
        </w:tc>
        <w:tc>
          <w:tcPr>
            <w:tcW w:w="5534" w:type="dxa"/>
            <w:tcBorders>
              <w:top w:val="single" w:color="auto" w:sz="2" w:space="0"/>
              <w:left w:val="single" w:color="auto" w:sz="2" w:space="0"/>
              <w:bottom w:val="single" w:color="auto" w:sz="4" w:space="0"/>
              <w:right w:val="single" w:color="auto" w:sz="4" w:space="0"/>
            </w:tcBorders>
            <w:vAlign w:val="center"/>
          </w:tcPr>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投标人在投标函中填报投标下浮率</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评标基准系数的确定：当有效报价小于或等于5家时，评标基准系数等于所有有效报价的算术平均值；当有效报价大于5家时，评标基准系数为所有有效报价去掉一个最高和一个最低后的算术平均值（保留四位小数）。</w:t>
            </w:r>
          </w:p>
          <w:p>
            <w:pPr>
              <w:spacing w:line="240" w:lineRule="auto"/>
              <w:jc w:val="left"/>
              <w:rPr>
                <w:rFonts w:hint="eastAsia" w:ascii="宋体" w:hAnsi="宋体"/>
                <w:color w:val="auto"/>
                <w:sz w:val="22"/>
                <w:szCs w:val="22"/>
                <w:highlight w:val="none"/>
              </w:rPr>
            </w:pP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lang w:eastAsia="zh-CN"/>
              </w:rPr>
              <w:t>勘察</w:t>
            </w:r>
            <w:r>
              <w:rPr>
                <w:rFonts w:hint="eastAsia" w:ascii="宋体" w:hAnsi="宋体"/>
                <w:color w:val="auto"/>
                <w:sz w:val="22"/>
                <w:szCs w:val="22"/>
                <w:highlight w:val="none"/>
              </w:rPr>
              <w:t>投标报价得分S1满分5分；</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S1=5-｜Ai-B｜×100÷B×C；</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S1—投标报价得分；</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Ai--投标人所报下浮率；</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B—评标基准系数；</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C—调整系数；</w:t>
            </w:r>
          </w:p>
          <w:p>
            <w:pPr>
              <w:spacing w:line="240" w:lineRule="auto"/>
              <w:jc w:val="left"/>
              <w:rPr>
                <w:rFonts w:ascii="宋体" w:hAnsi="宋体" w:cs="宋体"/>
                <w:color w:val="auto"/>
                <w:sz w:val="22"/>
                <w:szCs w:val="22"/>
                <w:highlight w:val="none"/>
              </w:rPr>
            </w:pPr>
            <w:r>
              <w:rPr>
                <w:rFonts w:hint="eastAsia" w:ascii="宋体" w:hAnsi="宋体"/>
                <w:color w:val="auto"/>
                <w:sz w:val="22"/>
                <w:szCs w:val="22"/>
                <w:highlight w:val="none"/>
              </w:rPr>
              <w:t>当Ai&gt;B时，C=0.05；当Ai＜B时，C=0.1；</w:t>
            </w:r>
          </w:p>
        </w:tc>
        <w:tc>
          <w:tcPr>
            <w:tcW w:w="1408" w:type="dxa"/>
            <w:tcBorders>
              <w:top w:val="single" w:color="auto" w:sz="2" w:space="0"/>
              <w:left w:val="single" w:color="auto" w:sz="2" w:space="0"/>
              <w:bottom w:val="single" w:color="auto" w:sz="4" w:space="0"/>
              <w:right w:val="single" w:color="auto" w:sz="4" w:space="0"/>
            </w:tcBorders>
            <w:vAlign w:val="center"/>
          </w:tcPr>
          <w:p>
            <w:pPr>
              <w:spacing w:line="24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8" w:hRule="atLeast"/>
          <w:jc w:val="center"/>
        </w:trPr>
        <w:tc>
          <w:tcPr>
            <w:tcW w:w="1506" w:type="dxa"/>
            <w:vMerge w:val="continue"/>
            <w:tcBorders>
              <w:left w:val="single" w:color="auto" w:sz="12" w:space="0"/>
              <w:bottom w:val="single" w:color="auto" w:sz="12" w:space="0"/>
              <w:right w:val="single" w:color="auto" w:sz="4" w:space="0"/>
            </w:tcBorders>
            <w:vAlign w:val="center"/>
          </w:tcPr>
          <w:p>
            <w:pPr>
              <w:spacing w:line="240" w:lineRule="auto"/>
              <w:jc w:val="center"/>
              <w:rPr>
                <w:rFonts w:hint="eastAsia" w:ascii="宋体" w:hAnsi="宋体" w:cs="宋体"/>
                <w:b/>
                <w:color w:val="auto"/>
                <w:sz w:val="22"/>
                <w:szCs w:val="22"/>
                <w:highlight w:val="none"/>
              </w:rPr>
            </w:pPr>
          </w:p>
        </w:tc>
        <w:tc>
          <w:tcPr>
            <w:tcW w:w="1510" w:type="dxa"/>
            <w:tcBorders>
              <w:left w:val="single" w:color="auto" w:sz="4" w:space="0"/>
              <w:bottom w:val="single" w:color="auto" w:sz="12" w:space="0"/>
              <w:right w:val="single" w:color="auto" w:sz="2" w:space="0"/>
            </w:tcBorders>
            <w:vAlign w:val="center"/>
          </w:tcPr>
          <w:p>
            <w:pPr>
              <w:spacing w:line="240" w:lineRule="auto"/>
              <w:jc w:val="center"/>
              <w:rPr>
                <w:rFonts w:hint="eastAsia" w:ascii="宋体" w:hAnsi="宋体" w:cs="宋体"/>
                <w:b/>
                <w:bCs/>
                <w:color w:val="auto"/>
                <w:sz w:val="22"/>
                <w:szCs w:val="22"/>
                <w:highlight w:val="none"/>
                <w:lang w:eastAsia="zh-CN"/>
              </w:rPr>
            </w:pPr>
            <w:r>
              <w:rPr>
                <w:rFonts w:hint="eastAsia" w:ascii="宋体" w:hAnsi="宋体" w:cs="宋体"/>
                <w:b/>
                <w:bCs/>
                <w:color w:val="auto"/>
                <w:sz w:val="22"/>
                <w:szCs w:val="22"/>
                <w:highlight w:val="none"/>
                <w:lang w:eastAsia="zh-CN"/>
              </w:rPr>
              <w:t>设计报价</w:t>
            </w:r>
          </w:p>
          <w:p>
            <w:pPr>
              <w:spacing w:line="240" w:lineRule="auto"/>
              <w:jc w:val="center"/>
              <w:rPr>
                <w:rFonts w:hint="eastAsia" w:ascii="宋体" w:hAnsi="宋体" w:cs="宋体"/>
                <w:color w:val="auto"/>
                <w:sz w:val="22"/>
                <w:szCs w:val="22"/>
                <w:highlight w:val="none"/>
              </w:rPr>
            </w:pPr>
          </w:p>
        </w:tc>
        <w:tc>
          <w:tcPr>
            <w:tcW w:w="5534" w:type="dxa"/>
            <w:tcBorders>
              <w:top w:val="single" w:color="auto" w:sz="4" w:space="0"/>
              <w:left w:val="single" w:color="auto" w:sz="2" w:space="0"/>
              <w:bottom w:val="single" w:color="auto" w:sz="12" w:space="0"/>
              <w:right w:val="single" w:color="auto" w:sz="4" w:space="0"/>
            </w:tcBorders>
            <w:vAlign w:val="center"/>
          </w:tcPr>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投标人在投标函中填报投标下浮率。</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评标基准系数的确定：当有效报价小于或等于5家时，评标基准系数等于所有有效报价的算术平均值；当有效报价大于5家时，评标基准系数为所有有效报价去掉一个最高和一个最低后的算术平均值（保留四位小数）。</w:t>
            </w:r>
          </w:p>
          <w:p>
            <w:pPr>
              <w:spacing w:line="240" w:lineRule="auto"/>
              <w:jc w:val="left"/>
              <w:rPr>
                <w:rFonts w:hint="eastAsia" w:ascii="宋体" w:hAnsi="宋体"/>
                <w:color w:val="auto"/>
                <w:sz w:val="22"/>
                <w:szCs w:val="22"/>
                <w:highlight w:val="none"/>
              </w:rPr>
            </w:pP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lang w:eastAsia="zh-CN"/>
              </w:rPr>
              <w:t>设计</w:t>
            </w:r>
            <w:r>
              <w:rPr>
                <w:rFonts w:hint="eastAsia" w:ascii="宋体" w:hAnsi="宋体"/>
                <w:color w:val="auto"/>
                <w:sz w:val="22"/>
                <w:szCs w:val="22"/>
                <w:highlight w:val="none"/>
              </w:rPr>
              <w:t>投标报价得分S2满分5分；</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S2=5-｜Ai-B｜×100÷B×C；</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S2—投标报价得分；</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Ai--投标人所报下浮率；</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B—评标基准系数；</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C—调整系数；</w:t>
            </w:r>
          </w:p>
          <w:p>
            <w:pPr>
              <w:spacing w:line="240" w:lineRule="auto"/>
              <w:jc w:val="left"/>
              <w:rPr>
                <w:rFonts w:hint="eastAsia" w:ascii="宋体" w:hAnsi="宋体"/>
                <w:color w:val="auto"/>
                <w:sz w:val="22"/>
                <w:szCs w:val="22"/>
                <w:highlight w:val="none"/>
              </w:rPr>
            </w:pPr>
            <w:r>
              <w:rPr>
                <w:rFonts w:hint="eastAsia" w:ascii="宋体" w:hAnsi="宋体"/>
                <w:color w:val="auto"/>
                <w:sz w:val="22"/>
                <w:szCs w:val="22"/>
                <w:highlight w:val="none"/>
              </w:rPr>
              <w:t>当Ai&gt;B时，C=0.05；当Ai＜B时，C=0.1；</w:t>
            </w:r>
          </w:p>
        </w:tc>
        <w:tc>
          <w:tcPr>
            <w:tcW w:w="1408" w:type="dxa"/>
            <w:tcBorders>
              <w:top w:val="single" w:color="auto" w:sz="4" w:space="0"/>
              <w:left w:val="single" w:color="auto" w:sz="2" w:space="0"/>
              <w:bottom w:val="single" w:color="auto" w:sz="12" w:space="0"/>
              <w:right w:val="single" w:color="auto" w:sz="4" w:space="0"/>
            </w:tcBorders>
            <w:vAlign w:val="center"/>
          </w:tcPr>
          <w:p>
            <w:pPr>
              <w:spacing w:line="24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r>
    </w:tbl>
    <w:p>
      <w:pPr>
        <w:numPr>
          <w:ilvl w:val="0"/>
          <w:numId w:val="15"/>
        </w:numPr>
        <w:tabs>
          <w:tab w:val="left" w:pos="1440"/>
        </w:tabs>
        <w:adjustRightInd/>
        <w:spacing w:after="240" w:afterLines="100" w:line="240" w:lineRule="auto"/>
        <w:ind w:left="0" w:leftChars="0" w:firstLine="0" w:firstLineChars="0"/>
        <w:textAlignment w:val="auto"/>
        <w:rPr>
          <w:rFonts w:hint="eastAsia" w:ascii="宋体" w:hAnsi="宋体" w:cs="宋体"/>
          <w:b/>
          <w:color w:val="auto"/>
          <w:kern w:val="2"/>
          <w:sz w:val="22"/>
          <w:szCs w:val="22"/>
          <w:highlight w:val="none"/>
        </w:rPr>
      </w:pPr>
      <w:r>
        <w:rPr>
          <w:rFonts w:ascii="宋体" w:hAnsi="宋体" w:cs="宋体"/>
          <w:b/>
          <w:color w:val="auto"/>
          <w:kern w:val="2"/>
          <w:sz w:val="22"/>
          <w:szCs w:val="22"/>
          <w:highlight w:val="none"/>
        </w:rPr>
        <w:br w:type="page"/>
      </w:r>
      <w:r>
        <w:rPr>
          <w:rFonts w:hint="eastAsia" w:ascii="宋体" w:hAnsi="宋体" w:cs="宋体"/>
          <w:b/>
          <w:color w:val="auto"/>
          <w:kern w:val="2"/>
          <w:sz w:val="22"/>
          <w:szCs w:val="22"/>
          <w:highlight w:val="none"/>
        </w:rPr>
        <w:t>技术分评分标准（</w:t>
      </w:r>
      <w:r>
        <w:rPr>
          <w:rFonts w:hint="eastAsia" w:ascii="宋体" w:hAnsi="宋体" w:cs="宋体"/>
          <w:b/>
          <w:color w:val="auto"/>
          <w:kern w:val="2"/>
          <w:sz w:val="22"/>
          <w:szCs w:val="22"/>
          <w:highlight w:val="none"/>
          <w:lang w:val="en-US" w:eastAsia="zh-CN"/>
        </w:rPr>
        <w:t>6</w:t>
      </w:r>
      <w:r>
        <w:rPr>
          <w:rFonts w:hint="eastAsia" w:ascii="宋体" w:hAnsi="宋体" w:cs="宋体"/>
          <w:b/>
          <w:color w:val="auto"/>
          <w:kern w:val="2"/>
          <w:sz w:val="22"/>
          <w:szCs w:val="22"/>
          <w:highlight w:val="none"/>
        </w:rPr>
        <w:t>0分）</w:t>
      </w:r>
    </w:p>
    <w:tbl>
      <w:tblPr>
        <w:tblStyle w:val="37"/>
        <w:tblpPr w:leftFromText="180" w:rightFromText="180" w:vertAnchor="text" w:tblpY="1"/>
        <w:tblOverlap w:val="never"/>
        <w:tblW w:w="979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1"/>
        <w:gridCol w:w="1153"/>
        <w:gridCol w:w="865"/>
        <w:gridCol w:w="6500"/>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7" w:hRule="atLeast"/>
        </w:trPr>
        <w:tc>
          <w:tcPr>
            <w:tcW w:w="711" w:type="dxa"/>
            <w:tcBorders>
              <w:top w:val="single" w:color="auto" w:sz="12" w:space="0"/>
              <w:left w:val="single" w:color="auto" w:sz="12" w:space="0"/>
              <w:right w:val="single" w:color="auto" w:sz="4" w:space="0"/>
            </w:tcBorders>
            <w:noWrap w:val="0"/>
            <w:vAlign w:val="center"/>
          </w:tcPr>
          <w:p>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评分项目</w:t>
            </w:r>
          </w:p>
        </w:tc>
        <w:tc>
          <w:tcPr>
            <w:tcW w:w="1153" w:type="dxa"/>
            <w:tcBorders>
              <w:top w:val="single" w:color="auto" w:sz="12" w:space="0"/>
              <w:left w:val="single" w:color="auto" w:sz="4" w:space="0"/>
            </w:tcBorders>
            <w:noWrap w:val="0"/>
            <w:vAlign w:val="center"/>
          </w:tcPr>
          <w:p>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评审内容</w:t>
            </w:r>
          </w:p>
        </w:tc>
        <w:tc>
          <w:tcPr>
            <w:tcW w:w="865" w:type="dxa"/>
            <w:tcBorders>
              <w:top w:val="single" w:color="auto" w:sz="12" w:space="0"/>
              <w:right w:val="single" w:color="auto" w:sz="4" w:space="0"/>
            </w:tcBorders>
            <w:noWrap w:val="0"/>
            <w:vAlign w:val="center"/>
          </w:tcPr>
          <w:p>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分值（分）</w:t>
            </w:r>
          </w:p>
        </w:tc>
        <w:tc>
          <w:tcPr>
            <w:tcW w:w="6500" w:type="dxa"/>
            <w:tcBorders>
              <w:top w:val="single" w:color="auto" w:sz="12" w:space="0"/>
              <w:right w:val="single" w:color="auto" w:sz="4" w:space="0"/>
            </w:tcBorders>
            <w:noWrap w:val="0"/>
            <w:vAlign w:val="center"/>
          </w:tcPr>
          <w:p>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评分标准</w:t>
            </w:r>
          </w:p>
        </w:tc>
        <w:tc>
          <w:tcPr>
            <w:tcW w:w="566" w:type="dxa"/>
            <w:tcBorders>
              <w:top w:val="single" w:color="auto" w:sz="12" w:space="0"/>
              <w:right w:val="single" w:color="auto" w:sz="4" w:space="0"/>
            </w:tcBorders>
            <w:noWrap w:val="0"/>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711" w:type="dxa"/>
            <w:vMerge w:val="restart"/>
            <w:tcBorders>
              <w:left w:val="single" w:color="auto" w:sz="12" w:space="0"/>
              <w:right w:val="single" w:color="auto" w:sz="4" w:space="0"/>
            </w:tcBorders>
            <w:noWrap w:val="0"/>
            <w:vAlign w:val="center"/>
          </w:tcPr>
          <w:p>
            <w:pPr>
              <w:spacing w:line="360" w:lineRule="auto"/>
              <w:jc w:val="center"/>
              <w:rPr>
                <w:rFonts w:hint="eastAsia" w:ascii="宋体" w:hAnsi="宋体" w:cs="宋体"/>
                <w:b/>
                <w:color w:val="auto"/>
                <w:sz w:val="21"/>
                <w:szCs w:val="21"/>
              </w:rPr>
            </w:pPr>
            <w:r>
              <w:rPr>
                <w:rFonts w:hint="eastAsia" w:ascii="宋体" w:hAnsi="宋体" w:cs="宋体"/>
                <w:b/>
                <w:color w:val="auto"/>
                <w:sz w:val="21"/>
                <w:szCs w:val="21"/>
              </w:rPr>
              <w:t>技术评审（</w:t>
            </w:r>
            <w:r>
              <w:rPr>
                <w:rFonts w:hint="eastAsia" w:ascii="宋体" w:hAnsi="宋体" w:cs="宋体"/>
                <w:b/>
                <w:color w:val="auto"/>
                <w:sz w:val="21"/>
                <w:szCs w:val="21"/>
                <w:lang w:val="en-US" w:eastAsia="zh-CN"/>
              </w:rPr>
              <w:t>60</w:t>
            </w:r>
            <w:r>
              <w:rPr>
                <w:rFonts w:hint="eastAsia" w:ascii="宋体" w:hAnsi="宋体" w:cs="宋体"/>
                <w:b/>
                <w:color w:val="auto"/>
                <w:sz w:val="21"/>
                <w:szCs w:val="21"/>
              </w:rPr>
              <w:t>分）</w:t>
            </w:r>
          </w:p>
        </w:tc>
        <w:tc>
          <w:tcPr>
            <w:tcW w:w="1153" w:type="dxa"/>
            <w:tcBorders>
              <w:left w:val="single" w:color="auto" w:sz="4" w:space="0"/>
              <w:bottom w:val="single" w:color="auto" w:sz="4" w:space="0"/>
            </w:tcBorders>
            <w:noWrap w:val="0"/>
            <w:vAlign w:val="center"/>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对工程项目</w:t>
            </w:r>
            <w:r>
              <w:rPr>
                <w:rFonts w:hint="eastAsia" w:ascii="宋体" w:hAnsi="宋体" w:cs="宋体"/>
                <w:color w:val="auto"/>
                <w:sz w:val="21"/>
                <w:szCs w:val="21"/>
                <w:lang w:eastAsia="zh-CN"/>
              </w:rPr>
              <w:t>背景</w:t>
            </w:r>
            <w:r>
              <w:rPr>
                <w:rFonts w:hint="eastAsia" w:ascii="宋体" w:hAnsi="宋体" w:cs="宋体"/>
                <w:color w:val="auto"/>
                <w:sz w:val="21"/>
                <w:szCs w:val="21"/>
              </w:rPr>
              <w:t>理解及工作目的的认知</w:t>
            </w:r>
          </w:p>
        </w:tc>
        <w:tc>
          <w:tcPr>
            <w:tcW w:w="865" w:type="dxa"/>
            <w:tcBorders>
              <w:bottom w:val="single" w:color="auto" w:sz="4" w:space="0"/>
              <w:right w:val="single" w:color="auto" w:sz="4" w:space="0"/>
            </w:tcBorders>
            <w:noWrap w:val="0"/>
            <w:vAlign w:val="center"/>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10</w:t>
            </w:r>
            <w:r>
              <w:rPr>
                <w:rFonts w:hint="eastAsia" w:ascii="宋体" w:hAnsi="宋体" w:cs="宋体"/>
                <w:color w:val="auto"/>
                <w:sz w:val="21"/>
                <w:szCs w:val="21"/>
              </w:rPr>
              <w:t>分</w:t>
            </w:r>
          </w:p>
        </w:tc>
        <w:tc>
          <w:tcPr>
            <w:tcW w:w="6500" w:type="dxa"/>
            <w:tcBorders>
              <w:bottom w:val="single" w:color="auto" w:sz="4" w:space="0"/>
              <w:right w:val="single" w:color="auto" w:sz="4" w:space="0"/>
            </w:tcBorders>
            <w:noWrap w:val="0"/>
            <w:vAlign w:val="top"/>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1）对工程项目</w:t>
            </w:r>
            <w:r>
              <w:rPr>
                <w:rFonts w:hint="eastAsia" w:ascii="宋体" w:hAnsi="宋体" w:cs="宋体"/>
                <w:color w:val="auto"/>
                <w:sz w:val="21"/>
                <w:szCs w:val="21"/>
                <w:lang w:eastAsia="zh-CN"/>
              </w:rPr>
              <w:t>背景</w:t>
            </w:r>
            <w:r>
              <w:rPr>
                <w:rFonts w:hint="eastAsia" w:ascii="宋体" w:hAnsi="宋体" w:cs="宋体"/>
                <w:color w:val="auto"/>
                <w:sz w:val="21"/>
                <w:szCs w:val="21"/>
              </w:rPr>
              <w:t>的研究准确到位，对工程目标、工作重点难度等的认识准确、合理、深入，得</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2）对工程项目</w:t>
            </w:r>
            <w:r>
              <w:rPr>
                <w:rFonts w:hint="eastAsia" w:ascii="宋体" w:hAnsi="宋体" w:cs="宋体"/>
                <w:color w:val="auto"/>
                <w:sz w:val="21"/>
                <w:szCs w:val="21"/>
                <w:lang w:eastAsia="zh-CN"/>
              </w:rPr>
              <w:t>背景</w:t>
            </w:r>
            <w:r>
              <w:rPr>
                <w:rFonts w:hint="eastAsia" w:ascii="宋体" w:hAnsi="宋体" w:cs="宋体"/>
                <w:color w:val="auto"/>
                <w:sz w:val="21"/>
                <w:szCs w:val="21"/>
              </w:rPr>
              <w:t>的研究比较准确，对工程目标、工作重点难度等的认识比较深入，得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3）对工程项目</w:t>
            </w:r>
            <w:r>
              <w:rPr>
                <w:rFonts w:hint="eastAsia" w:ascii="宋体" w:hAnsi="宋体" w:cs="宋体"/>
                <w:color w:val="auto"/>
                <w:sz w:val="21"/>
                <w:szCs w:val="21"/>
                <w:lang w:eastAsia="zh-CN"/>
              </w:rPr>
              <w:t>背景</w:t>
            </w:r>
            <w:r>
              <w:rPr>
                <w:rFonts w:hint="eastAsia" w:ascii="宋体" w:hAnsi="宋体" w:cs="宋体"/>
                <w:color w:val="auto"/>
                <w:sz w:val="21"/>
                <w:szCs w:val="21"/>
              </w:rPr>
              <w:t>的研究一般，对工程目标、工作重点难度等有一定的认识，得</w:t>
            </w:r>
            <w:r>
              <w:rPr>
                <w:rFonts w:hint="eastAsia" w:ascii="宋体" w:hAnsi="宋体" w:cs="宋体"/>
                <w:color w:val="auto"/>
                <w:sz w:val="21"/>
                <w:szCs w:val="21"/>
                <w:lang w:val="en-US" w:eastAsia="zh-CN"/>
              </w:rPr>
              <w:t>1</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4）对工程项目</w:t>
            </w:r>
            <w:r>
              <w:rPr>
                <w:rFonts w:hint="eastAsia" w:ascii="宋体" w:hAnsi="宋体" w:cs="宋体"/>
                <w:color w:val="auto"/>
                <w:sz w:val="21"/>
                <w:szCs w:val="21"/>
                <w:lang w:eastAsia="zh-CN"/>
              </w:rPr>
              <w:t>背景</w:t>
            </w:r>
            <w:r>
              <w:rPr>
                <w:rFonts w:hint="eastAsia" w:ascii="宋体" w:hAnsi="宋体" w:cs="宋体"/>
                <w:color w:val="auto"/>
                <w:sz w:val="21"/>
                <w:szCs w:val="21"/>
              </w:rPr>
              <w:t>不了解，对工程目标、工作重点难度等的认识不到位，得</w:t>
            </w:r>
            <w:r>
              <w:rPr>
                <w:rFonts w:hint="eastAsia" w:ascii="宋体" w:hAnsi="宋体" w:cs="宋体"/>
                <w:color w:val="auto"/>
                <w:sz w:val="21"/>
                <w:szCs w:val="21"/>
                <w:lang w:val="en-US" w:eastAsia="zh-CN"/>
              </w:rPr>
              <w:t>1</w:t>
            </w:r>
            <w:r>
              <w:rPr>
                <w:rFonts w:hint="eastAsia" w:ascii="宋体" w:hAnsi="宋体" w:cs="宋体"/>
                <w:color w:val="auto"/>
                <w:sz w:val="21"/>
                <w:szCs w:val="21"/>
              </w:rPr>
              <w:t>分。</w:t>
            </w:r>
          </w:p>
        </w:tc>
        <w:tc>
          <w:tcPr>
            <w:tcW w:w="566" w:type="dxa"/>
            <w:tcBorders>
              <w:bottom w:val="single" w:color="auto" w:sz="4" w:space="0"/>
              <w:right w:val="single" w:color="auto" w:sz="4" w:space="0"/>
            </w:tcBorders>
            <w:noWrap w:val="0"/>
            <w:vAlign w:val="top"/>
          </w:tcPr>
          <w:p>
            <w:pPr>
              <w:widowControl/>
              <w:adjustRightInd/>
              <w:spacing w:line="360" w:lineRule="auto"/>
              <w:jc w:val="left"/>
              <w:textAlignment w:val="auto"/>
              <w:rPr>
                <w:rFonts w:hint="eastAsia" w:ascii="宋体" w:hAnsi="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711"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cs="宋体"/>
                <w:b/>
                <w:color w:val="auto"/>
                <w:sz w:val="21"/>
                <w:szCs w:val="21"/>
              </w:rPr>
            </w:pPr>
          </w:p>
        </w:tc>
        <w:tc>
          <w:tcPr>
            <w:tcW w:w="1153" w:type="dxa"/>
            <w:tcBorders>
              <w:top w:val="single" w:color="auto" w:sz="4" w:space="0"/>
              <w:left w:val="single" w:color="auto" w:sz="4" w:space="0"/>
              <w:bottom w:val="single" w:color="auto" w:sz="4" w:space="0"/>
            </w:tcBorders>
            <w:noWrap w:val="0"/>
            <w:vAlign w:val="center"/>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现状了解和相关问题解决方案</w:t>
            </w:r>
          </w:p>
        </w:tc>
        <w:tc>
          <w:tcPr>
            <w:tcW w:w="865" w:type="dxa"/>
            <w:tcBorders>
              <w:top w:val="single" w:color="auto" w:sz="4" w:space="0"/>
              <w:bottom w:val="single" w:color="auto" w:sz="4" w:space="0"/>
              <w:right w:val="single" w:color="auto" w:sz="4" w:space="0"/>
            </w:tcBorders>
            <w:noWrap w:val="0"/>
            <w:vAlign w:val="center"/>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10</w:t>
            </w:r>
            <w:r>
              <w:rPr>
                <w:rFonts w:hint="eastAsia" w:ascii="宋体" w:hAnsi="宋体" w:cs="宋体"/>
                <w:color w:val="auto"/>
                <w:sz w:val="21"/>
                <w:szCs w:val="21"/>
              </w:rPr>
              <w:t>分</w:t>
            </w:r>
          </w:p>
        </w:tc>
        <w:tc>
          <w:tcPr>
            <w:tcW w:w="6500" w:type="dxa"/>
            <w:tcBorders>
              <w:top w:val="single" w:color="auto" w:sz="4" w:space="0"/>
              <w:bottom w:val="single" w:color="auto" w:sz="4" w:space="0"/>
              <w:right w:val="single" w:color="auto" w:sz="4" w:space="0"/>
            </w:tcBorders>
            <w:noWrap w:val="0"/>
            <w:vAlign w:val="top"/>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1）对工程项目现状情况的了解和对项目实施地现状问题的认识准确到位，对工程相关问题的提出全面合理的解决方案，得</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2）对工程项目现状情况的了解和对项目实施地现状问题的认识比较到位，对工程相关问题的解决方案比较合理，得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3）对工程项目现状情况的了解和对项目实施地现状问题的认识一般，对工程相关问题的有一定办法，得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4）对工程项目现状情况的了解和对项目实施地现状问题的认识较差，对工程相关问题的解决办法不到位，得1分。</w:t>
            </w:r>
          </w:p>
        </w:tc>
        <w:tc>
          <w:tcPr>
            <w:tcW w:w="566" w:type="dxa"/>
            <w:tcBorders>
              <w:top w:val="single" w:color="auto" w:sz="4" w:space="0"/>
              <w:bottom w:val="single" w:color="auto" w:sz="4" w:space="0"/>
              <w:right w:val="single" w:color="auto" w:sz="4" w:space="0"/>
            </w:tcBorders>
            <w:noWrap w:val="0"/>
            <w:vAlign w:val="top"/>
          </w:tcPr>
          <w:p>
            <w:pPr>
              <w:widowControl/>
              <w:adjustRightInd/>
              <w:spacing w:line="360" w:lineRule="auto"/>
              <w:jc w:val="left"/>
              <w:textAlignment w:val="auto"/>
              <w:rPr>
                <w:rFonts w:hint="eastAsia" w:ascii="宋体" w:hAnsi="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711"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cs="宋体"/>
                <w:b/>
                <w:color w:val="auto"/>
                <w:sz w:val="21"/>
                <w:szCs w:val="21"/>
              </w:rPr>
            </w:pPr>
          </w:p>
        </w:tc>
        <w:tc>
          <w:tcPr>
            <w:tcW w:w="1153" w:type="dxa"/>
            <w:tcBorders>
              <w:top w:val="single" w:color="auto" w:sz="4" w:space="0"/>
              <w:left w:val="single" w:color="auto" w:sz="4" w:space="0"/>
              <w:bottom w:val="single" w:color="auto" w:sz="4" w:space="0"/>
            </w:tcBorders>
            <w:noWrap w:val="0"/>
            <w:vAlign w:val="center"/>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设计图纸、勘</w:t>
            </w:r>
            <w:r>
              <w:rPr>
                <w:rFonts w:hint="eastAsia" w:ascii="宋体" w:hAnsi="宋体" w:cs="宋体"/>
                <w:color w:val="auto"/>
                <w:sz w:val="21"/>
                <w:szCs w:val="21"/>
                <w:lang w:eastAsia="zh-CN"/>
              </w:rPr>
              <w:t>察</w:t>
            </w:r>
            <w:r>
              <w:rPr>
                <w:rFonts w:hint="eastAsia" w:ascii="宋体" w:hAnsi="宋体" w:cs="宋体"/>
                <w:color w:val="auto"/>
                <w:sz w:val="21"/>
                <w:szCs w:val="21"/>
              </w:rPr>
              <w:t>工作方案的完善程度</w:t>
            </w:r>
          </w:p>
        </w:tc>
        <w:tc>
          <w:tcPr>
            <w:tcW w:w="865" w:type="dxa"/>
            <w:tcBorders>
              <w:top w:val="single" w:color="auto" w:sz="4" w:space="0"/>
              <w:bottom w:val="single" w:color="auto" w:sz="4" w:space="0"/>
              <w:right w:val="single" w:color="auto" w:sz="4" w:space="0"/>
            </w:tcBorders>
            <w:noWrap w:val="0"/>
            <w:vAlign w:val="center"/>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30</w:t>
            </w:r>
            <w:r>
              <w:rPr>
                <w:rFonts w:hint="eastAsia" w:ascii="宋体" w:hAnsi="宋体" w:cs="宋体"/>
                <w:color w:val="auto"/>
                <w:sz w:val="21"/>
                <w:szCs w:val="21"/>
              </w:rPr>
              <w:t>分</w:t>
            </w:r>
          </w:p>
        </w:tc>
        <w:tc>
          <w:tcPr>
            <w:tcW w:w="6500" w:type="dxa"/>
            <w:tcBorders>
              <w:top w:val="single" w:color="auto" w:sz="4" w:space="0"/>
              <w:bottom w:val="single" w:color="auto" w:sz="4" w:space="0"/>
              <w:right w:val="single" w:color="auto" w:sz="4" w:space="0"/>
            </w:tcBorders>
            <w:noWrap w:val="0"/>
            <w:vAlign w:val="top"/>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设计图纸、勘</w:t>
            </w:r>
            <w:r>
              <w:rPr>
                <w:rFonts w:hint="eastAsia" w:ascii="宋体" w:hAnsi="宋体" w:cs="宋体"/>
                <w:color w:val="auto"/>
                <w:sz w:val="21"/>
                <w:szCs w:val="21"/>
                <w:lang w:eastAsia="zh-CN"/>
              </w:rPr>
              <w:t>察</w:t>
            </w:r>
            <w:r>
              <w:rPr>
                <w:rFonts w:hint="eastAsia" w:ascii="宋体" w:hAnsi="宋体" w:cs="宋体"/>
                <w:color w:val="auto"/>
                <w:sz w:val="21"/>
                <w:szCs w:val="21"/>
              </w:rPr>
              <w:t>,工作方案满足招标文件提出的技术条件及深度要求的完善程度：</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1)设计图纸完善合理、抓住重点、切实可行，勘</w:t>
            </w:r>
            <w:r>
              <w:rPr>
                <w:rFonts w:hint="eastAsia" w:ascii="宋体" w:hAnsi="宋体" w:cs="宋体"/>
                <w:color w:val="auto"/>
                <w:sz w:val="21"/>
                <w:szCs w:val="21"/>
                <w:lang w:eastAsia="zh-CN"/>
              </w:rPr>
              <w:t>察</w:t>
            </w:r>
            <w:r>
              <w:rPr>
                <w:rFonts w:hint="eastAsia" w:ascii="宋体" w:hAnsi="宋体" w:cs="宋体"/>
                <w:color w:val="auto"/>
                <w:sz w:val="21"/>
                <w:szCs w:val="21"/>
              </w:rPr>
              <w:t>和工作方案详细，可操作性强得</w:t>
            </w:r>
            <w:r>
              <w:rPr>
                <w:rFonts w:hint="eastAsia" w:ascii="宋体" w:hAnsi="宋体" w:cs="宋体"/>
                <w:color w:val="auto"/>
                <w:sz w:val="21"/>
                <w:szCs w:val="21"/>
                <w:lang w:val="en-US" w:eastAsia="zh-CN"/>
              </w:rPr>
              <w:t>30</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2)设计图纸较完整合理、较能抓住重点、较可行，勘</w:t>
            </w:r>
            <w:r>
              <w:rPr>
                <w:rFonts w:hint="eastAsia" w:ascii="宋体" w:hAnsi="宋体" w:cs="宋体"/>
                <w:color w:val="auto"/>
                <w:sz w:val="21"/>
                <w:szCs w:val="21"/>
                <w:lang w:eastAsia="zh-CN"/>
              </w:rPr>
              <w:t>察</w:t>
            </w:r>
            <w:r>
              <w:rPr>
                <w:rFonts w:hint="eastAsia" w:ascii="宋体" w:hAnsi="宋体" w:cs="宋体"/>
                <w:color w:val="auto"/>
                <w:sz w:val="21"/>
                <w:szCs w:val="21"/>
              </w:rPr>
              <w:t>和工作方案较细，操作性较可行得</w:t>
            </w:r>
            <w:r>
              <w:rPr>
                <w:rFonts w:hint="eastAsia" w:ascii="宋体" w:hAnsi="宋体" w:cs="宋体"/>
                <w:color w:val="auto"/>
                <w:sz w:val="21"/>
                <w:szCs w:val="21"/>
                <w:lang w:val="en-US" w:eastAsia="zh-CN"/>
              </w:rPr>
              <w:t>22</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3)设计图纸基本合理、基本能抓住重点、基本可行，勘</w:t>
            </w:r>
            <w:r>
              <w:rPr>
                <w:rFonts w:hint="eastAsia" w:ascii="宋体" w:hAnsi="宋体" w:cs="宋体"/>
                <w:color w:val="auto"/>
                <w:sz w:val="21"/>
                <w:szCs w:val="21"/>
                <w:lang w:eastAsia="zh-CN"/>
              </w:rPr>
              <w:t>察</w:t>
            </w:r>
            <w:r>
              <w:rPr>
                <w:rFonts w:hint="eastAsia" w:ascii="宋体" w:hAnsi="宋体" w:cs="宋体"/>
                <w:color w:val="auto"/>
                <w:sz w:val="21"/>
                <w:szCs w:val="21"/>
              </w:rPr>
              <w:t>和工作方案基本可行，可操作性一般得</w:t>
            </w:r>
            <w:r>
              <w:rPr>
                <w:rFonts w:hint="eastAsia" w:ascii="宋体" w:hAnsi="宋体" w:cs="宋体"/>
                <w:color w:val="auto"/>
                <w:sz w:val="21"/>
                <w:szCs w:val="21"/>
                <w:lang w:val="en-US" w:eastAsia="zh-CN"/>
              </w:rPr>
              <w:t>14</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4)设计图纸有缺陷、较不可行，勘</w:t>
            </w:r>
            <w:r>
              <w:rPr>
                <w:rFonts w:hint="eastAsia" w:ascii="宋体" w:hAnsi="宋体" w:cs="宋体"/>
                <w:color w:val="auto"/>
                <w:sz w:val="21"/>
                <w:szCs w:val="21"/>
                <w:lang w:eastAsia="zh-CN"/>
              </w:rPr>
              <w:t>察</w:t>
            </w:r>
            <w:r>
              <w:rPr>
                <w:rFonts w:hint="eastAsia" w:ascii="宋体" w:hAnsi="宋体" w:cs="宋体"/>
                <w:color w:val="auto"/>
                <w:sz w:val="21"/>
                <w:szCs w:val="21"/>
              </w:rPr>
              <w:t>和工作方案不完善，可操作性较差得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tc>
        <w:tc>
          <w:tcPr>
            <w:tcW w:w="566" w:type="dxa"/>
            <w:tcBorders>
              <w:top w:val="single" w:color="auto" w:sz="4" w:space="0"/>
              <w:bottom w:val="single" w:color="auto" w:sz="4" w:space="0"/>
              <w:right w:val="single" w:color="auto" w:sz="4" w:space="0"/>
            </w:tcBorders>
            <w:noWrap w:val="0"/>
            <w:vAlign w:val="top"/>
          </w:tcPr>
          <w:p>
            <w:pPr>
              <w:widowControl/>
              <w:adjustRightInd/>
              <w:spacing w:line="360" w:lineRule="auto"/>
              <w:jc w:val="left"/>
              <w:textAlignment w:val="auto"/>
              <w:rPr>
                <w:rFonts w:hint="eastAsia" w:ascii="宋体" w:hAnsi="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7" w:hRule="atLeast"/>
        </w:trPr>
        <w:tc>
          <w:tcPr>
            <w:tcW w:w="711"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cs="宋体"/>
                <w:b/>
                <w:color w:val="auto"/>
                <w:sz w:val="21"/>
                <w:szCs w:val="21"/>
              </w:rPr>
            </w:pPr>
          </w:p>
        </w:tc>
        <w:tc>
          <w:tcPr>
            <w:tcW w:w="1153" w:type="dxa"/>
            <w:tcBorders>
              <w:top w:val="single" w:color="auto" w:sz="4" w:space="0"/>
              <w:left w:val="single" w:color="auto" w:sz="4" w:space="0"/>
              <w:bottom w:val="single" w:color="auto" w:sz="4" w:space="0"/>
            </w:tcBorders>
            <w:noWrap w:val="0"/>
            <w:vAlign w:val="center"/>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工作计划及进度安排</w:t>
            </w:r>
          </w:p>
        </w:tc>
        <w:tc>
          <w:tcPr>
            <w:tcW w:w="865" w:type="dxa"/>
            <w:tcBorders>
              <w:top w:val="single" w:color="auto" w:sz="4" w:space="0"/>
              <w:bottom w:val="single" w:color="auto" w:sz="4" w:space="0"/>
              <w:right w:val="single" w:color="auto" w:sz="4" w:space="0"/>
            </w:tcBorders>
            <w:noWrap w:val="0"/>
            <w:vAlign w:val="center"/>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10</w:t>
            </w:r>
            <w:r>
              <w:rPr>
                <w:rFonts w:hint="eastAsia" w:ascii="宋体" w:hAnsi="宋体" w:cs="宋体"/>
                <w:color w:val="auto"/>
                <w:sz w:val="21"/>
                <w:szCs w:val="21"/>
              </w:rPr>
              <w:t>分</w:t>
            </w:r>
          </w:p>
        </w:tc>
        <w:tc>
          <w:tcPr>
            <w:tcW w:w="6500" w:type="dxa"/>
            <w:tcBorders>
              <w:top w:val="single" w:color="auto" w:sz="4" w:space="0"/>
              <w:bottom w:val="single" w:color="auto" w:sz="4" w:space="0"/>
              <w:right w:val="single" w:color="auto" w:sz="4" w:space="0"/>
            </w:tcBorders>
            <w:noWrap w:val="0"/>
            <w:vAlign w:val="top"/>
          </w:tcPr>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1)工作计划详实，可操作性强，工作时间与进度计划合理，满足项目要求，得</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2)工作计划比较详实，可操作性比较强，工作时间与进度计划比较合理，比较满足项目要求，得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3)工作计划简单，工作时间与进度计划基本满足项目要求，得</w:t>
            </w:r>
            <w:r>
              <w:rPr>
                <w:rFonts w:hint="eastAsia" w:ascii="宋体" w:hAnsi="宋体" w:cs="宋体"/>
                <w:color w:val="auto"/>
                <w:sz w:val="21"/>
                <w:szCs w:val="21"/>
                <w:lang w:val="en-US" w:eastAsia="zh-CN"/>
              </w:rPr>
              <w:t>3</w:t>
            </w:r>
            <w:r>
              <w:rPr>
                <w:rFonts w:hint="eastAsia" w:ascii="宋体" w:hAnsi="宋体" w:cs="宋体"/>
                <w:color w:val="auto"/>
                <w:sz w:val="21"/>
                <w:szCs w:val="21"/>
              </w:rPr>
              <w:t>分；</w:t>
            </w:r>
          </w:p>
          <w:p>
            <w:pPr>
              <w:widowControl/>
              <w:adjustRightInd/>
              <w:spacing w:line="360" w:lineRule="auto"/>
              <w:jc w:val="left"/>
              <w:textAlignment w:val="auto"/>
              <w:rPr>
                <w:rFonts w:hint="eastAsia" w:ascii="宋体" w:hAnsi="宋体" w:cs="宋体"/>
                <w:color w:val="auto"/>
                <w:sz w:val="21"/>
                <w:szCs w:val="21"/>
              </w:rPr>
            </w:pPr>
            <w:r>
              <w:rPr>
                <w:rFonts w:hint="eastAsia" w:ascii="宋体" w:hAnsi="宋体" w:cs="宋体"/>
                <w:color w:val="auto"/>
                <w:sz w:val="21"/>
                <w:szCs w:val="21"/>
              </w:rPr>
              <w:t>4)工作计划不合理，工作时间与进度计划不满足项目要求，得</w:t>
            </w:r>
            <w:r>
              <w:rPr>
                <w:rFonts w:hint="eastAsia" w:ascii="宋体" w:hAnsi="宋体" w:cs="宋体"/>
                <w:color w:val="auto"/>
                <w:sz w:val="21"/>
                <w:szCs w:val="21"/>
                <w:lang w:val="en-US" w:eastAsia="zh-CN"/>
              </w:rPr>
              <w:t>1</w:t>
            </w:r>
            <w:r>
              <w:rPr>
                <w:rFonts w:hint="eastAsia" w:ascii="宋体" w:hAnsi="宋体" w:cs="宋体"/>
                <w:color w:val="auto"/>
                <w:sz w:val="21"/>
                <w:szCs w:val="21"/>
              </w:rPr>
              <w:t>分。</w:t>
            </w:r>
          </w:p>
        </w:tc>
        <w:tc>
          <w:tcPr>
            <w:tcW w:w="566" w:type="dxa"/>
            <w:tcBorders>
              <w:top w:val="single" w:color="auto" w:sz="4" w:space="0"/>
              <w:bottom w:val="single" w:color="auto" w:sz="4" w:space="0"/>
              <w:right w:val="single" w:color="auto" w:sz="4" w:space="0"/>
            </w:tcBorders>
            <w:noWrap w:val="0"/>
            <w:vAlign w:val="top"/>
          </w:tcPr>
          <w:p>
            <w:pPr>
              <w:widowControl/>
              <w:adjustRightInd/>
              <w:spacing w:line="360" w:lineRule="auto"/>
              <w:jc w:val="left"/>
              <w:textAlignment w:val="auto"/>
              <w:rPr>
                <w:rFonts w:hint="eastAsia" w:ascii="宋体" w:hAnsi="宋体" w:cs="宋体"/>
                <w:color w:val="auto"/>
                <w:sz w:val="21"/>
                <w:szCs w:val="21"/>
              </w:rPr>
            </w:pPr>
          </w:p>
        </w:tc>
      </w:tr>
    </w:tbl>
    <w:p>
      <w:pPr>
        <w:pStyle w:val="6"/>
        <w:numPr>
          <w:ilvl w:val="0"/>
          <w:numId w:val="0"/>
        </w:numPr>
        <w:ind w:leftChars="0"/>
        <w:rPr>
          <w:color w:val="auto"/>
        </w:rPr>
      </w:pPr>
    </w:p>
    <w:p>
      <w:pPr>
        <w:tabs>
          <w:tab w:val="left" w:pos="1440"/>
        </w:tabs>
        <w:adjustRightInd/>
        <w:spacing w:after="240" w:afterLines="100" w:line="240" w:lineRule="auto"/>
        <w:textAlignment w:val="auto"/>
        <w:rPr>
          <w:rFonts w:ascii="宋体" w:hAnsi="宋体" w:cs="宋体"/>
          <w:b w:val="0"/>
          <w:bCs/>
          <w:color w:val="auto"/>
          <w:kern w:val="2"/>
          <w:sz w:val="22"/>
          <w:szCs w:val="22"/>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cs="宋体"/>
          <w:b w:val="0"/>
          <w:bCs/>
          <w:color w:val="auto"/>
          <w:kern w:val="2"/>
          <w:sz w:val="22"/>
          <w:szCs w:val="22"/>
          <w:highlight w:val="none"/>
        </w:rPr>
        <w:t>注：所有评委的算术平均值为投标人的最终得分，分数出现小数点，保留小数点后二位小数，第三位小数四舍五入。</w:t>
      </w:r>
    </w:p>
    <w:p>
      <w:pPr>
        <w:pStyle w:val="3"/>
        <w:jc w:val="center"/>
        <w:rPr>
          <w:rFonts w:hint="eastAsia"/>
          <w:color w:val="auto"/>
          <w:highlight w:val="none"/>
        </w:rPr>
      </w:pPr>
      <w:bookmarkStart w:id="498" w:name="_Toc21240"/>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p>
      <w:pPr>
        <w:pStyle w:val="3"/>
        <w:jc w:val="center"/>
        <w:rPr>
          <w:rFonts w:hint="eastAsia"/>
          <w:color w:val="auto"/>
          <w:highlight w:val="none"/>
        </w:rPr>
      </w:pPr>
    </w:p>
    <w:p>
      <w:pPr>
        <w:pStyle w:val="3"/>
        <w:jc w:val="center"/>
        <w:rPr>
          <w:color w:val="auto"/>
          <w:highlight w:val="none"/>
        </w:rPr>
      </w:pPr>
      <w:r>
        <w:rPr>
          <w:rFonts w:hint="eastAsia"/>
          <w:color w:val="auto"/>
          <w:highlight w:val="none"/>
        </w:rPr>
        <w:t>第四章</w:t>
      </w:r>
      <w:r>
        <w:rPr>
          <w:rFonts w:hint="eastAsia"/>
          <w:color w:val="auto"/>
          <w:highlight w:val="none"/>
          <w:lang w:val="en-US" w:eastAsia="zh-CN"/>
        </w:rPr>
        <w:t xml:space="preserve"> </w:t>
      </w:r>
      <w:r>
        <w:rPr>
          <w:rFonts w:hint="eastAsia"/>
          <w:color w:val="auto"/>
          <w:highlight w:val="none"/>
        </w:rPr>
        <w:t>合同条款</w:t>
      </w:r>
      <w:bookmarkEnd w:id="498"/>
    </w:p>
    <w:p>
      <w:pPr>
        <w:ind w:firstLine="354" w:firstLineChars="147"/>
        <w:rPr>
          <w:b/>
          <w:bCs/>
          <w:color w:val="auto"/>
          <w:sz w:val="24"/>
          <w:szCs w:val="24"/>
          <w:highlight w:val="none"/>
        </w:rPr>
      </w:pPr>
      <w:r>
        <w:rPr>
          <w:rFonts w:hint="eastAsia"/>
          <w:b/>
          <w:color w:val="auto"/>
          <w:sz w:val="24"/>
          <w:szCs w:val="24"/>
          <w:highlight w:val="none"/>
          <w:shd w:val="clear" w:color="auto" w:fill="FFFFFF"/>
        </w:rPr>
        <w:t>（注：由招标人与中标人根据招标文件、中标人投标文件协商确定合同条款）</w:t>
      </w: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ascii="宋体" w:hAnsi="宋体" w:cs="宋体"/>
          <w:color w:val="auto"/>
          <w:kern w:val="2"/>
          <w:sz w:val="21"/>
          <w:szCs w:val="21"/>
          <w:highlight w:val="none"/>
        </w:rPr>
      </w:pPr>
    </w:p>
    <w:p>
      <w:pPr>
        <w:rPr>
          <w:rFonts w:hint="eastAsia" w:ascii="宋体" w:hAnsi="宋体" w:cs="宋体"/>
          <w:color w:val="auto"/>
          <w:kern w:val="2"/>
          <w:sz w:val="21"/>
          <w:szCs w:val="21"/>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cs="宋体"/>
          <w:color w:val="auto"/>
          <w:kern w:val="2"/>
          <w:sz w:val="21"/>
          <w:szCs w:val="21"/>
          <w:highlight w:val="none"/>
        </w:rPr>
        <w:br w:type="page"/>
      </w:r>
    </w:p>
    <w:p>
      <w:pPr>
        <w:pStyle w:val="79"/>
        <w:jc w:val="both"/>
        <w:outlineLvl w:val="9"/>
        <w:rPr>
          <w:bCs w:val="0"/>
          <w:snapToGrid/>
          <w:color w:val="auto"/>
          <w:highlight w:val="none"/>
        </w:rPr>
      </w:pPr>
    </w:p>
    <w:p>
      <w:pPr>
        <w:pStyle w:val="79"/>
        <w:jc w:val="both"/>
        <w:outlineLvl w:val="9"/>
        <w:rPr>
          <w:bCs w:val="0"/>
          <w:snapToGrid/>
          <w:color w:val="auto"/>
          <w:highlight w:val="none"/>
        </w:rPr>
      </w:pPr>
    </w:p>
    <w:p>
      <w:pPr>
        <w:pStyle w:val="3"/>
        <w:jc w:val="center"/>
        <w:rPr>
          <w:color w:val="auto"/>
          <w:highlight w:val="none"/>
        </w:rPr>
      </w:pPr>
      <w:bookmarkStart w:id="499" w:name="_Toc26905"/>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技术标准和</w:t>
      </w:r>
      <w:bookmarkStart w:id="500" w:name="_Toc219773086"/>
      <w:r>
        <w:rPr>
          <w:rFonts w:hint="eastAsia"/>
          <w:color w:val="auto"/>
          <w:highlight w:val="none"/>
        </w:rPr>
        <w:t>设计任务书</w:t>
      </w:r>
      <w:bookmarkEnd w:id="499"/>
      <w:bookmarkEnd w:id="500"/>
    </w:p>
    <w:p>
      <w:pPr>
        <w:pStyle w:val="3"/>
        <w:jc w:val="center"/>
        <w:rPr>
          <w:color w:val="auto"/>
          <w:sz w:val="32"/>
          <w:szCs w:val="32"/>
          <w:highlight w:val="none"/>
          <w:lang w:val="zh-CN"/>
        </w:rPr>
        <w:sectPr>
          <w:pgSz w:w="11906" w:h="16838"/>
          <w:pgMar w:top="1440" w:right="1080" w:bottom="1440" w:left="1080" w:header="851" w:footer="992" w:gutter="0"/>
          <w:pgNumType w:fmt="decimal"/>
          <w:cols w:space="720" w:num="1"/>
          <w:docGrid w:linePitch="312" w:charSpace="0"/>
        </w:sectPr>
      </w:pPr>
    </w:p>
    <w:p>
      <w:pP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一、技术标准</w:t>
      </w:r>
    </w:p>
    <w:p>
      <w:pPr>
        <w:spacing w:line="480" w:lineRule="exact"/>
        <w:rPr>
          <w:rFonts w:ascii="宋体" w:hAnsi="宋体" w:cs="宋体"/>
          <w:b/>
          <w:bCs/>
          <w:color w:val="auto"/>
          <w:sz w:val="24"/>
          <w:szCs w:val="24"/>
          <w:highlight w:val="none"/>
        </w:rPr>
      </w:pPr>
      <w:bookmarkStart w:id="501" w:name="_Toc63675976"/>
      <w:r>
        <w:rPr>
          <w:rFonts w:hint="eastAsia" w:ascii="宋体" w:hAnsi="宋体" w:cs="宋体"/>
          <w:b/>
          <w:bCs/>
          <w:color w:val="auto"/>
          <w:sz w:val="24"/>
          <w:szCs w:val="24"/>
          <w:highlight w:val="none"/>
        </w:rPr>
        <w:t>（一）主要设计依据</w:t>
      </w:r>
      <w:bookmarkEnd w:id="501"/>
    </w:p>
    <w:p>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1、已批准的项目可行性研究报告；</w:t>
      </w:r>
    </w:p>
    <w:p>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2、用地规划设计条件；</w:t>
      </w:r>
    </w:p>
    <w:p>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3、各有关专业现行规划、设计规范、规程、规定等。</w:t>
      </w:r>
    </w:p>
    <w:p>
      <w:pPr>
        <w:tabs>
          <w:tab w:val="left" w:pos="0"/>
        </w:tabs>
        <w:autoSpaceDE w:val="0"/>
        <w:autoSpaceDN w:val="0"/>
        <w:spacing w:line="540" w:lineRule="exact"/>
        <w:jc w:val="left"/>
        <w:rPr>
          <w:rFonts w:ascii="宋体" w:hAnsi="宋体" w:cs="宋体"/>
          <w:b/>
          <w:bCs/>
          <w:color w:val="auto"/>
          <w:sz w:val="24"/>
          <w:highlight w:val="none"/>
        </w:rPr>
      </w:pPr>
      <w:bookmarkStart w:id="502" w:name="_Toc63675977"/>
      <w:r>
        <w:rPr>
          <w:rFonts w:hint="eastAsia" w:ascii="宋体" w:hAnsi="宋体" w:cs="宋体"/>
          <w:b/>
          <w:bCs/>
          <w:color w:val="auto"/>
          <w:sz w:val="24"/>
          <w:highlight w:val="none"/>
        </w:rPr>
        <w:t>（二）设计规范</w:t>
      </w:r>
      <w:bookmarkEnd w:id="502"/>
    </w:p>
    <w:p>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rPr>
        <w:t>1、技术规范：</w:t>
      </w:r>
    </w:p>
    <w:p>
      <w:pPr>
        <w:autoSpaceDE w:val="0"/>
        <w:autoSpaceDN w:val="0"/>
        <w:spacing w:line="5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设计规范以国家现行设计规范为准，如有变更以最新发布的为准。</w:t>
      </w:r>
    </w:p>
    <w:p>
      <w:pPr>
        <w:spacing w:line="520" w:lineRule="exact"/>
        <w:rPr>
          <w:rFonts w:ascii="宋体" w:hAnsi="宋体" w:cs="宋体"/>
          <w:b/>
          <w:color w:val="auto"/>
          <w:sz w:val="24"/>
          <w:szCs w:val="24"/>
          <w:highlight w:val="none"/>
        </w:rPr>
      </w:pPr>
      <w:r>
        <w:rPr>
          <w:rFonts w:hint="eastAsia" w:ascii="宋体" w:hAnsi="宋体" w:cs="宋体"/>
          <w:b/>
          <w:color w:val="auto"/>
          <w:sz w:val="24"/>
          <w:szCs w:val="24"/>
          <w:highlight w:val="none"/>
        </w:rPr>
        <w:t>2、其它相关法律法规和技术标准。</w:t>
      </w:r>
    </w:p>
    <w:p>
      <w:pPr>
        <w:pStyle w:val="18"/>
        <w:snapToGrid w:val="0"/>
        <w:spacing w:line="360" w:lineRule="exact"/>
        <w:jc w:val="center"/>
        <w:rPr>
          <w:rFonts w:hAnsi="宋体" w:cs="宋体"/>
          <w:b/>
          <w:color w:val="auto"/>
          <w:sz w:val="36"/>
          <w:highlight w:val="none"/>
        </w:rPr>
      </w:pPr>
    </w:p>
    <w:p>
      <w:pPr>
        <w:pStyle w:val="18"/>
        <w:numPr>
          <w:ilvl w:val="0"/>
          <w:numId w:val="16"/>
        </w:numPr>
        <w:snapToGrid w:val="0"/>
        <w:spacing w:line="360" w:lineRule="auto"/>
        <w:jc w:val="center"/>
        <w:rPr>
          <w:rFonts w:hAnsi="宋体" w:cs="宋体"/>
          <w:b/>
          <w:color w:val="auto"/>
          <w:sz w:val="36"/>
          <w:highlight w:val="none"/>
        </w:rPr>
      </w:pPr>
      <w:r>
        <w:rPr>
          <w:rFonts w:hint="eastAsia" w:hAnsi="宋体" w:cs="宋体"/>
          <w:b/>
          <w:color w:val="auto"/>
          <w:sz w:val="36"/>
          <w:highlight w:val="none"/>
        </w:rPr>
        <w:t>设计任务书</w:t>
      </w:r>
    </w:p>
    <w:p>
      <w:pPr>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（一）项目概况</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大埔县白云大桥停车场及周边道路附属设施建设工程(勘察、设计)</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2、建设地点：</w:t>
      </w:r>
      <w:r>
        <w:rPr>
          <w:rFonts w:hint="eastAsia" w:ascii="宋体" w:hAnsi="宋体" w:cs="宋体"/>
          <w:color w:val="auto"/>
          <w:sz w:val="24"/>
          <w:szCs w:val="24"/>
          <w:highlight w:val="none"/>
          <w:lang w:eastAsia="zh-CN"/>
        </w:rPr>
        <w:t>大埔县湖寮镇</w:t>
      </w:r>
      <w:r>
        <w:rPr>
          <w:rFonts w:hint="eastAsia" w:ascii="宋体" w:hAnsi="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3、项目规模：</w:t>
      </w:r>
      <w:r>
        <w:rPr>
          <w:rFonts w:hint="eastAsia" w:ascii="宋体" w:hAnsi="宋体" w:cs="宋体"/>
          <w:color w:val="auto"/>
          <w:sz w:val="24"/>
          <w:szCs w:val="24"/>
          <w:highlight w:val="none"/>
          <w:lang w:val="en-US" w:eastAsia="zh-CN"/>
        </w:rPr>
        <w:t>新建停车场、升级改造周边道路及新建人行天桥，具体如下：新建停车场、建筑面积约为19150平方米，其中地下室建筑面积约9035平方米、地上建筑面积约为10115平方米。地下部分规划平时为停车库，战时为核六级、常六级人防工程；地上部分包括生活垃圾中转站、架空停车场、公共卫生间、休闲茶室、农贸市场等；改造道路总长33000米，其中县城主路长约15000米，巷道约18000米，包含道路工程、供排水工程、绿化工程及停车位设置；新建大埔大道及环城大道各设1座人行天桥。</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4、项目建设单位：</w:t>
      </w:r>
      <w:r>
        <w:rPr>
          <w:rFonts w:hint="eastAsia" w:ascii="宋体" w:hAnsi="宋体" w:cs="宋体"/>
          <w:color w:val="auto"/>
          <w:sz w:val="24"/>
          <w:szCs w:val="24"/>
          <w:highlight w:val="none"/>
          <w:lang w:eastAsia="zh-CN"/>
        </w:rPr>
        <w:t>大埔县城市管理和综合执法局</w:t>
      </w:r>
    </w:p>
    <w:p>
      <w:pPr>
        <w:pStyle w:val="36"/>
        <w:rPr>
          <w:rFonts w:hint="eastAsia"/>
          <w:color w:val="auto"/>
          <w:lang w:eastAsia="zh-CN"/>
        </w:rPr>
      </w:pP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（二）招标范围和内容</w:t>
      </w:r>
    </w:p>
    <w:p>
      <w:pPr>
        <w:keepNext w:val="0"/>
        <w:keepLines w:val="0"/>
        <w:pageBreakBefore w:val="0"/>
        <w:tabs>
          <w:tab w:val="left" w:pos="1800"/>
        </w:tabs>
        <w:kinsoku/>
        <w:wordWrap/>
        <w:overflowPunct/>
        <w:topLinePunct w:val="0"/>
        <w:autoSpaceDE/>
        <w:autoSpaceDN/>
        <w:bidi w:val="0"/>
        <w:spacing w:line="360" w:lineRule="auto"/>
        <w:ind w:firstLine="480" w:firstLineChars="200"/>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rPr>
        <w:t>招标范围：</w:t>
      </w:r>
      <w:r>
        <w:rPr>
          <w:rFonts w:hint="eastAsia" w:ascii="宋体" w:hAnsi="宋体" w:cs="宋体"/>
          <w:color w:val="auto"/>
          <w:sz w:val="24"/>
          <w:szCs w:val="24"/>
          <w:highlight w:val="none"/>
          <w:lang w:eastAsia="zh-CN"/>
        </w:rPr>
        <w:t>大埔县城区</w:t>
      </w:r>
      <w:r>
        <w:rPr>
          <w:rFonts w:hint="eastAsia" w:ascii="宋体" w:hAnsi="宋体" w:cs="宋体"/>
          <w:bCs/>
          <w:color w:val="auto"/>
          <w:sz w:val="24"/>
          <w:szCs w:val="24"/>
          <w:highlight w:val="none"/>
          <w:lang w:val="en-US" w:eastAsia="zh-CN"/>
        </w:rPr>
        <w:t>。</w:t>
      </w:r>
    </w:p>
    <w:p>
      <w:pPr>
        <w:spacing w:line="5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完成大埔县城区范围内的勘察工作（含详细勘察、技术资料、后期服务等）、设计工作（含方案设计、初步设计、施工图设计、施工图预算编制，施工过程中的设计变更，提供与本合同工作勘察、设计至工程竣工各阶段的相关服务），最终的勘察、设计成果必须达到满足正常审图、施工和验收的要求。</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（三）勘察要求：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1、初步勘察：应符合设计的要求，其主要任务是：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a．初步查明场址地层岩性、构造、岩土的物理力学性质、水文地质条件及冻结层深度；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b．查明场地不良地质现象的成因类型、分布范围、对场地稳定性的影响程度及其发展趋势；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c．对设计地震裂度为七级及其以上的建筑物，应判定场地和地基的地震效应；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d.对水工建筑物场地区附近的天然建筑材料进行初查。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2、详细勘察：应符合施工图设计的要求，其主要任务是：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a．查明场地内的地层结构、岩土的物理力学性质，并对地基的稳定性、压缩性及容许承载力作出评价；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b．查明地下水类型、埋藏条件和侵蚀性，必要时还需查明地层的渗透性、水位变化幅度及其规律；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c．提供不良地质现象的整、防治工程所需资料和数据；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d．判定和查明地基岩土和地下水在建筑物施工和使用中可能产生的变化和影响及其防治所需的资料；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e．对水工建筑区附近的天然建筑材料进行详查。 </w:t>
      </w:r>
    </w:p>
    <w:p>
      <w:pPr>
        <w:spacing w:line="500" w:lineRule="exac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（四）设计要求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1、设计应按照科学发展观，全面贯彻适用、经济，在可能条件下注意美观的原则。工程设计要与当地经济发展水平相适应，积极鼓励采用节能、节地、节水、节材、环保技术的工程设计。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2、建筑工程设计应严格执行《建设工程质量管理条例》、《建设工程勘察勘察、设计管理条例》和国家强制性标准条文；满足现行的建筑工程建设标准、设计规范（规程）和招标文件规定的相应设计文件编制深度要求。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3、提交的设计文件应符合有关主管部门制定的设计标准、规范、规程、定额和办法的要求，并能够通过相关部门审查。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4、设计应符合本项目可行性研究报告等前期工作文件有关规定和规划设计条件的有关要求。 </w:t>
      </w:r>
    </w:p>
    <w:p>
      <w:pPr>
        <w:spacing w:line="500" w:lineRule="exact"/>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（五）服务要求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1、设计单位应将设计及相关技术工程的工作大纲、实施计划等，提前报送业主审批。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2、设计单位应按设计合同规定的时间和要求，根据业主使用功能要求重新进行平面布置，对设计方案作规范性和合理性审查提出合理意见并负责优化和修改，业主确认后进行方案设计、施工图设计（含预算）。 </w:t>
      </w:r>
    </w:p>
    <w:p>
      <w:pPr>
        <w:spacing w:line="50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设计单位应主动配合业主，提供向政府主管部门申报施工图设计（含预算）。 </w:t>
      </w:r>
    </w:p>
    <w:p>
      <w:pPr>
        <w:numPr>
          <w:ilvl w:val="0"/>
          <w:numId w:val="17"/>
        </w:numPr>
        <w:spacing w:line="500" w:lineRule="exac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勘察、设计周期： </w:t>
      </w:r>
    </w:p>
    <w:p>
      <w:pPr>
        <w:pStyle w:val="6"/>
        <w:keepNext w:val="0"/>
        <w:keepLines w:val="0"/>
        <w:pageBreakBefore w:val="0"/>
        <w:kinsoku/>
        <w:wordWrap/>
        <w:overflowPunct/>
        <w:topLinePunct w:val="0"/>
        <w:autoSpaceDE/>
        <w:autoSpaceDN/>
        <w:bidi w:val="0"/>
        <w:snapToGrid w:val="0"/>
        <w:spacing w:line="288" w:lineRule="auto"/>
        <w:ind w:left="0" w:leftChars="0" w:firstLine="480" w:firstLineChars="200"/>
        <w:rPr>
          <w:rFonts w:ascii="宋体" w:hAnsi="宋体" w:cs="宋体"/>
          <w:bCs/>
          <w:color w:val="auto"/>
          <w:kern w:val="0"/>
          <w:sz w:val="24"/>
          <w:szCs w:val="24"/>
          <w:highlight w:val="none"/>
        </w:rPr>
      </w:pPr>
      <w:r>
        <w:rPr>
          <w:rFonts w:hint="eastAsia" w:ascii="宋体" w:hAnsi="宋体" w:cs="宋体"/>
          <w:b w:val="0"/>
          <w:bCs/>
          <w:color w:val="auto"/>
          <w:sz w:val="24"/>
          <w:szCs w:val="24"/>
          <w:highlight w:val="none"/>
          <w:lang w:val="en-US" w:eastAsia="zh-CN"/>
        </w:rPr>
        <w:t>总工期30天，</w:t>
      </w:r>
      <w:r>
        <w:rPr>
          <w:rFonts w:hint="eastAsia" w:ascii="宋体" w:hAnsi="宋体" w:cs="宋体"/>
          <w:color w:val="auto"/>
          <w:sz w:val="24"/>
          <w:szCs w:val="24"/>
          <w:highlight w:val="none"/>
          <w:lang w:val="en-US" w:eastAsia="zh-CN"/>
        </w:rPr>
        <w:t>其中，</w:t>
      </w:r>
      <w:r>
        <w:rPr>
          <w:rFonts w:hint="eastAsia" w:ascii="宋体" w:hAnsi="宋体" w:cs="宋体"/>
          <w:color w:val="auto"/>
          <w:sz w:val="24"/>
          <w:szCs w:val="24"/>
          <w:highlight w:val="none"/>
        </w:rPr>
        <w:t>勘察：合同签订后</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个日历天内完成。设计：（1）方案设计：合同签订后10个日历天内；（2）施工图设计：建设工程规划许可证核发后</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个日历天内</w:t>
      </w:r>
      <w:r>
        <w:rPr>
          <w:rFonts w:hint="eastAsia" w:ascii="宋体" w:hAnsi="宋体" w:cs="宋体"/>
          <w:bCs/>
          <w:color w:val="auto"/>
          <w:kern w:val="0"/>
          <w:sz w:val="24"/>
          <w:szCs w:val="24"/>
          <w:highlight w:val="none"/>
        </w:rPr>
        <w:t>。</w:t>
      </w:r>
    </w:p>
    <w:p>
      <w:pPr>
        <w:pStyle w:val="6"/>
        <w:keepNext w:val="0"/>
        <w:keepLines w:val="0"/>
        <w:pageBreakBefore w:val="0"/>
        <w:kinsoku/>
        <w:wordWrap/>
        <w:overflowPunct/>
        <w:topLinePunct w:val="0"/>
        <w:autoSpaceDE/>
        <w:autoSpaceDN/>
        <w:bidi w:val="0"/>
        <w:snapToGrid w:val="0"/>
        <w:spacing w:line="288" w:lineRule="auto"/>
        <w:ind w:left="0" w:leftChars="0" w:firstLine="480" w:firstLineChars="200"/>
        <w:rPr>
          <w:rFonts w:hint="eastAsia" w:ascii="宋体" w:hAnsi="宋体" w:cs="宋体"/>
          <w:b w:val="0"/>
          <w:bCs/>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en-US" w:eastAsia="zh-CN"/>
        </w:rPr>
      </w:pPr>
    </w:p>
    <w:p>
      <w:pPr>
        <w:pStyle w:val="36"/>
        <w:rPr>
          <w:rFonts w:hint="eastAsia" w:ascii="宋体" w:hAnsi="宋体" w:cs="宋体"/>
          <w:b/>
          <w:color w:val="auto"/>
          <w:sz w:val="24"/>
          <w:szCs w:val="24"/>
          <w:highlight w:val="none"/>
          <w:lang w:val="zh-CN" w:eastAsia="zh-CN"/>
        </w:rPr>
      </w:pPr>
    </w:p>
    <w:p>
      <w:pPr>
        <w:spacing w:line="520" w:lineRule="exact"/>
        <w:ind w:firstLine="640" w:firstLineChars="200"/>
        <w:rPr>
          <w:rFonts w:ascii="宋体" w:hAnsi="宋体" w:cs="宋体"/>
          <w:color w:val="auto"/>
          <w:sz w:val="32"/>
          <w:szCs w:val="32"/>
          <w:highlight w:val="none"/>
          <w:lang w:val="zh-CN"/>
        </w:rPr>
      </w:pPr>
    </w:p>
    <w:p>
      <w:pPr>
        <w:spacing w:line="520" w:lineRule="exact"/>
        <w:rPr>
          <w:rFonts w:ascii="宋体" w:hAnsi="宋体" w:cs="宋体"/>
          <w:color w:val="auto"/>
          <w:sz w:val="24"/>
          <w:szCs w:val="24"/>
          <w:highlight w:val="none"/>
        </w:rPr>
      </w:pPr>
    </w:p>
    <w:p>
      <w:pPr>
        <w:spacing w:line="520" w:lineRule="exact"/>
        <w:rPr>
          <w:rFonts w:ascii="宋体" w:hAnsi="宋体" w:cs="宋体"/>
          <w:color w:val="auto"/>
          <w:sz w:val="24"/>
          <w:szCs w:val="24"/>
          <w:highlight w:val="none"/>
        </w:rPr>
      </w:pPr>
    </w:p>
    <w:p>
      <w:pPr>
        <w:spacing w:line="520" w:lineRule="exact"/>
        <w:rPr>
          <w:rFonts w:ascii="宋体" w:hAnsi="宋体" w:cs="宋体"/>
          <w:color w:val="auto"/>
          <w:sz w:val="24"/>
          <w:szCs w:val="24"/>
          <w:highlight w:val="none"/>
        </w:rPr>
      </w:pPr>
    </w:p>
    <w:p>
      <w:pPr>
        <w:spacing w:line="520" w:lineRule="exact"/>
        <w:rPr>
          <w:rFonts w:ascii="宋体" w:hAnsi="宋体" w:cs="宋体"/>
          <w:color w:val="auto"/>
          <w:sz w:val="24"/>
          <w:szCs w:val="24"/>
          <w:highlight w:val="none"/>
        </w:rPr>
      </w:pPr>
    </w:p>
    <w:p>
      <w:pPr>
        <w:spacing w:line="520" w:lineRule="exact"/>
        <w:rPr>
          <w:rFonts w:ascii="宋体" w:hAnsi="宋体" w:cs="宋体"/>
          <w:color w:val="auto"/>
          <w:sz w:val="24"/>
          <w:szCs w:val="24"/>
          <w:highlight w:val="none"/>
        </w:rPr>
      </w:pPr>
    </w:p>
    <w:p>
      <w:pPr>
        <w:spacing w:line="520" w:lineRule="exact"/>
        <w:rPr>
          <w:rFonts w:ascii="宋体" w:hAnsi="宋体" w:cs="宋体"/>
          <w:color w:val="auto"/>
          <w:sz w:val="24"/>
          <w:szCs w:val="24"/>
          <w:highlight w:val="none"/>
        </w:rPr>
      </w:pPr>
    </w:p>
    <w:p>
      <w:pPr>
        <w:spacing w:line="520" w:lineRule="exact"/>
        <w:rPr>
          <w:rFonts w:ascii="宋体" w:hAnsi="宋体" w:cs="宋体"/>
          <w:color w:val="auto"/>
          <w:sz w:val="24"/>
          <w:szCs w:val="24"/>
          <w:highlight w:val="none"/>
        </w:rPr>
      </w:pPr>
    </w:p>
    <w:p>
      <w:pPr>
        <w:spacing w:line="520" w:lineRule="exact"/>
        <w:rPr>
          <w:rFonts w:ascii="宋体" w:hAnsi="宋体" w:cs="宋体"/>
          <w:color w:val="auto"/>
          <w:sz w:val="24"/>
          <w:szCs w:val="24"/>
          <w:highlight w:val="none"/>
        </w:rPr>
      </w:pPr>
    </w:p>
    <w:p>
      <w:pPr>
        <w:pStyle w:val="36"/>
        <w:rPr>
          <w:rFonts w:ascii="宋体" w:hAnsi="宋体" w:cs="宋体"/>
          <w:color w:val="auto"/>
          <w:sz w:val="24"/>
          <w:szCs w:val="24"/>
          <w:highlight w:val="none"/>
        </w:rPr>
      </w:pPr>
    </w:p>
    <w:p>
      <w:pPr>
        <w:pStyle w:val="36"/>
        <w:rPr>
          <w:rFonts w:ascii="宋体" w:hAnsi="宋体" w:cs="宋体"/>
          <w:color w:val="auto"/>
          <w:sz w:val="24"/>
          <w:szCs w:val="24"/>
          <w:highlight w:val="none"/>
        </w:rPr>
      </w:pPr>
    </w:p>
    <w:p>
      <w:pPr>
        <w:pStyle w:val="36"/>
        <w:rPr>
          <w:rFonts w:ascii="宋体" w:hAnsi="宋体" w:cs="宋体"/>
          <w:color w:val="auto"/>
          <w:sz w:val="24"/>
          <w:szCs w:val="24"/>
          <w:highlight w:val="none"/>
        </w:rPr>
      </w:pPr>
    </w:p>
    <w:p>
      <w:pPr>
        <w:pStyle w:val="36"/>
        <w:rPr>
          <w:rFonts w:ascii="宋体" w:hAnsi="宋体" w:cs="宋体"/>
          <w:color w:val="auto"/>
          <w:sz w:val="24"/>
          <w:szCs w:val="24"/>
          <w:highlight w:val="none"/>
        </w:rPr>
      </w:pPr>
    </w:p>
    <w:p>
      <w:pPr>
        <w:pStyle w:val="36"/>
        <w:rPr>
          <w:rFonts w:ascii="宋体" w:hAnsi="宋体" w:cs="宋体"/>
          <w:color w:val="auto"/>
          <w:sz w:val="24"/>
          <w:szCs w:val="24"/>
          <w:highlight w:val="none"/>
        </w:rPr>
      </w:pPr>
    </w:p>
    <w:p>
      <w:pPr>
        <w:pStyle w:val="36"/>
        <w:rPr>
          <w:rFonts w:ascii="宋体" w:hAnsi="宋体" w:cs="宋体"/>
          <w:color w:val="auto"/>
          <w:sz w:val="24"/>
          <w:szCs w:val="24"/>
          <w:highlight w:val="none"/>
        </w:rPr>
      </w:pPr>
    </w:p>
    <w:p>
      <w:pPr>
        <w:pStyle w:val="36"/>
        <w:rPr>
          <w:rFonts w:ascii="宋体" w:hAnsi="宋体" w:cs="宋体"/>
          <w:color w:val="auto"/>
          <w:sz w:val="24"/>
          <w:szCs w:val="24"/>
          <w:highlight w:val="none"/>
        </w:rPr>
      </w:pPr>
    </w:p>
    <w:p>
      <w:pPr>
        <w:pStyle w:val="36"/>
        <w:rPr>
          <w:rFonts w:ascii="宋体" w:hAnsi="宋体" w:cs="宋体"/>
          <w:color w:val="auto"/>
          <w:sz w:val="24"/>
          <w:szCs w:val="24"/>
          <w:highlight w:val="none"/>
        </w:rPr>
      </w:pPr>
    </w:p>
    <w:p>
      <w:pPr>
        <w:pStyle w:val="3"/>
        <w:jc w:val="center"/>
        <w:rPr>
          <w:color w:val="auto"/>
          <w:highlight w:val="none"/>
        </w:rPr>
      </w:pPr>
      <w:bookmarkStart w:id="503" w:name="_Toc2334"/>
      <w:r>
        <w:rPr>
          <w:rFonts w:hint="eastAsia"/>
          <w:color w:val="auto"/>
          <w:highlight w:val="none"/>
        </w:rPr>
        <w:t>第六章 设计有关资料（另附）</w:t>
      </w:r>
      <w:bookmarkEnd w:id="503"/>
    </w:p>
    <w:p>
      <w:pPr>
        <w:pStyle w:val="79"/>
        <w:jc w:val="both"/>
        <w:outlineLvl w:val="9"/>
        <w:rPr>
          <w:bCs w:val="0"/>
          <w:snapToGrid/>
          <w:color w:val="auto"/>
          <w:sz w:val="32"/>
          <w:szCs w:val="32"/>
          <w:highlight w:val="none"/>
        </w:rPr>
      </w:pPr>
    </w:p>
    <w:p>
      <w:pPr>
        <w:jc w:val="center"/>
        <w:rPr>
          <w:rFonts w:ascii="宋体" w:hAnsi="宋体" w:cs="宋体"/>
          <w:b/>
          <w:color w:val="auto"/>
          <w:kern w:val="2"/>
          <w:sz w:val="28"/>
          <w:szCs w:val="28"/>
          <w:highlight w:val="none"/>
        </w:rPr>
      </w:pPr>
    </w:p>
    <w:p>
      <w:pPr>
        <w:pStyle w:val="79"/>
        <w:ind w:left="1770"/>
        <w:jc w:val="both"/>
        <w:outlineLvl w:val="9"/>
        <w:rPr>
          <w:b w:val="0"/>
          <w:color w:val="auto"/>
          <w:sz w:val="28"/>
          <w:szCs w:val="28"/>
          <w:highlight w:val="none"/>
        </w:rPr>
      </w:pPr>
      <w:r>
        <w:rPr>
          <w:rFonts w:hint="eastAsia"/>
          <w:b w:val="0"/>
          <w:color w:val="auto"/>
          <w:sz w:val="28"/>
          <w:szCs w:val="28"/>
          <w:highlight w:val="none"/>
        </w:rPr>
        <w:br w:type="page"/>
      </w:r>
    </w:p>
    <w:p>
      <w:pPr>
        <w:pStyle w:val="79"/>
        <w:ind w:left="1770"/>
        <w:jc w:val="both"/>
        <w:outlineLvl w:val="9"/>
        <w:rPr>
          <w:b w:val="0"/>
          <w:color w:val="auto"/>
          <w:sz w:val="28"/>
          <w:szCs w:val="28"/>
          <w:highlight w:val="none"/>
        </w:rPr>
      </w:pPr>
    </w:p>
    <w:p>
      <w:pPr>
        <w:pStyle w:val="79"/>
        <w:ind w:left="1770"/>
        <w:jc w:val="both"/>
        <w:outlineLvl w:val="9"/>
        <w:rPr>
          <w:b w:val="0"/>
          <w:color w:val="auto"/>
          <w:sz w:val="28"/>
          <w:szCs w:val="28"/>
          <w:highlight w:val="none"/>
        </w:rPr>
      </w:pPr>
    </w:p>
    <w:p>
      <w:pPr>
        <w:pStyle w:val="3"/>
        <w:jc w:val="center"/>
        <w:rPr>
          <w:rFonts w:hint="eastAsia"/>
          <w:color w:val="auto"/>
          <w:highlight w:val="none"/>
        </w:rPr>
      </w:pPr>
      <w:bookmarkStart w:id="504" w:name="_Toc16008"/>
    </w:p>
    <w:p>
      <w:pPr>
        <w:pStyle w:val="3"/>
        <w:jc w:val="center"/>
        <w:rPr>
          <w:color w:val="auto"/>
          <w:highlight w:val="none"/>
        </w:rPr>
      </w:pPr>
      <w:r>
        <w:rPr>
          <w:rFonts w:hint="eastAsia"/>
          <w:color w:val="auto"/>
          <w:highlight w:val="none"/>
        </w:rPr>
        <w:t>第七章 投标文件格式</w:t>
      </w:r>
      <w:bookmarkEnd w:id="504"/>
    </w:p>
    <w:p>
      <w:pPr>
        <w:pStyle w:val="3"/>
        <w:jc w:val="center"/>
        <w:rPr>
          <w:rFonts w:ascii="宋体" w:hAnsi="宋体" w:cs="宋体"/>
          <w:color w:val="auto"/>
          <w:kern w:val="2"/>
          <w:sz w:val="21"/>
          <w:szCs w:val="21"/>
          <w:highlight w:val="none"/>
        </w:rPr>
        <w:sectPr>
          <w:headerReference r:id="rId7" w:type="default"/>
          <w:pgSz w:w="11906" w:h="16838"/>
          <w:pgMar w:top="1440" w:right="1080" w:bottom="1440" w:left="1080" w:header="851" w:footer="992" w:gutter="0"/>
          <w:pgNumType w:fmt="decimal"/>
          <w:cols w:space="720" w:num="1"/>
          <w:docGrid w:linePitch="312" w:charSpace="0"/>
        </w:sectPr>
      </w:pPr>
    </w:p>
    <w:p>
      <w:pPr>
        <w:outlineLvl w:val="1"/>
        <w:rPr>
          <w:b/>
          <w:color w:val="auto"/>
          <w:sz w:val="32"/>
          <w:szCs w:val="32"/>
          <w:highlight w:val="none"/>
        </w:rPr>
      </w:pPr>
      <w:bookmarkStart w:id="505" w:name="_Toc26572"/>
      <w:bookmarkStart w:id="506" w:name="_Toc382322021"/>
      <w:bookmarkStart w:id="507" w:name="_Toc382381150"/>
      <w:bookmarkStart w:id="508" w:name="_Toc219773167"/>
      <w:r>
        <w:rPr>
          <w:rFonts w:hint="eastAsia"/>
          <w:b/>
          <w:color w:val="auto"/>
          <w:sz w:val="32"/>
          <w:szCs w:val="32"/>
          <w:highlight w:val="none"/>
        </w:rPr>
        <w:t>一、投标文件封套格式</w:t>
      </w:r>
      <w:bookmarkEnd w:id="505"/>
      <w:bookmarkEnd w:id="506"/>
      <w:bookmarkEnd w:id="507"/>
    </w:p>
    <w:tbl>
      <w:tblPr>
        <w:tblStyle w:val="37"/>
        <w:tblW w:w="9962" w:type="dxa"/>
        <w:tblInd w:w="0" w:type="dxa"/>
        <w:tblLayout w:type="fixed"/>
        <w:tblCellMar>
          <w:top w:w="0" w:type="dxa"/>
          <w:left w:w="108" w:type="dxa"/>
          <w:bottom w:w="0" w:type="dxa"/>
          <w:right w:w="108" w:type="dxa"/>
        </w:tblCellMar>
      </w:tblPr>
      <w:tblGrid>
        <w:gridCol w:w="635"/>
        <w:gridCol w:w="335"/>
        <w:gridCol w:w="8992"/>
      </w:tblGrid>
      <w:tr>
        <w:trPr>
          <w:trHeight w:val="724" w:hRule="exact"/>
        </w:trPr>
        <w:tc>
          <w:tcPr>
            <w:tcW w:w="9962" w:type="dxa"/>
            <w:gridSpan w:val="3"/>
            <w:tcBorders>
              <w:top w:val="nil"/>
              <w:left w:val="nil"/>
              <w:bottom w:val="single" w:color="auto" w:sz="18" w:space="0"/>
              <w:right w:val="nil"/>
            </w:tcBorders>
            <w:vAlign w:val="center"/>
          </w:tcPr>
          <w:p>
            <w:pPr>
              <w:widowControl/>
              <w:jc w:val="center"/>
              <w:rPr>
                <w:rFonts w:ascii="宋体" w:hAnsi="宋体" w:cs="宋体"/>
                <w:b/>
                <w:color w:val="auto"/>
                <w:sz w:val="48"/>
                <w:szCs w:val="48"/>
                <w:highlight w:val="none"/>
              </w:rPr>
            </w:pPr>
            <w:r>
              <w:rPr>
                <w:rFonts w:hint="eastAsia" w:ascii="宋体" w:hAnsi="宋体" w:cs="宋体"/>
                <w:b/>
                <w:color w:val="auto"/>
                <w:sz w:val="48"/>
                <w:szCs w:val="48"/>
                <w:highlight w:val="none"/>
              </w:rPr>
              <w:t>投标文件封套</w:t>
            </w:r>
          </w:p>
        </w:tc>
      </w:tr>
      <w:tr>
        <w:tblPrEx>
          <w:tblCellMar>
            <w:top w:w="0" w:type="dxa"/>
            <w:left w:w="108" w:type="dxa"/>
            <w:bottom w:w="0" w:type="dxa"/>
            <w:right w:w="108" w:type="dxa"/>
          </w:tblCellMar>
        </w:tblPrEx>
        <w:trPr>
          <w:trHeight w:val="1207" w:hRule="exact"/>
        </w:trPr>
        <w:tc>
          <w:tcPr>
            <w:tcW w:w="9962" w:type="dxa"/>
            <w:gridSpan w:val="3"/>
            <w:tcBorders>
              <w:top w:val="single" w:color="auto" w:sz="18" w:space="0"/>
              <w:left w:val="single" w:color="auto" w:sz="18" w:space="0"/>
              <w:bottom w:val="nil"/>
              <w:right w:val="single" w:color="auto" w:sz="18" w:space="0"/>
            </w:tcBorders>
            <w:vAlign w:val="center"/>
          </w:tcPr>
          <w:p>
            <w:pPr>
              <w:widowControl/>
              <w:ind w:left="1960" w:hanging="1960" w:hangingChars="700"/>
              <w:rPr>
                <w:rFonts w:ascii="宋体" w:hAnsi="宋体" w:cs="宋体"/>
                <w:color w:val="auto"/>
                <w:sz w:val="28"/>
                <w:szCs w:val="28"/>
                <w:highlight w:val="none"/>
              </w:rPr>
            </w:pPr>
          </w:p>
          <w:p>
            <w:pPr>
              <w:widowControl/>
              <w:ind w:left="1960" w:hanging="1960" w:hangingChars="7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投标项目名称：</w:t>
            </w:r>
            <w:r>
              <w:rPr>
                <w:rFonts w:hint="eastAsia" w:ascii="宋体" w:hAnsi="宋体" w:cs="宋体"/>
                <w:b/>
                <w:color w:val="auto"/>
                <w:sz w:val="28"/>
                <w:szCs w:val="28"/>
                <w:highlight w:val="none"/>
                <w:u w:val="single"/>
                <w:lang w:eastAsia="zh-CN"/>
              </w:rPr>
              <w:t>大埔县白云大桥停车场及周边道路附属设施建设工程(勘察、设计)</w:t>
            </w:r>
          </w:p>
        </w:tc>
      </w:tr>
      <w:tr>
        <w:tblPrEx>
          <w:tblCellMar>
            <w:top w:w="0" w:type="dxa"/>
            <w:left w:w="108" w:type="dxa"/>
            <w:bottom w:w="0" w:type="dxa"/>
            <w:right w:w="108" w:type="dxa"/>
          </w:tblCellMar>
        </w:tblPrEx>
        <w:trPr>
          <w:trHeight w:val="1207" w:hRule="exact"/>
        </w:trPr>
        <w:tc>
          <w:tcPr>
            <w:tcW w:w="9962" w:type="dxa"/>
            <w:gridSpan w:val="3"/>
            <w:tcBorders>
              <w:top w:val="nil"/>
              <w:left w:val="single" w:color="auto" w:sz="18" w:space="0"/>
              <w:bottom w:val="nil"/>
              <w:right w:val="single" w:color="auto" w:sz="18" w:space="0"/>
            </w:tcBorders>
            <w:vAlign w:val="center"/>
          </w:tcPr>
          <w:p>
            <w:pPr>
              <w:widowControl/>
              <w:ind w:left="1960" w:hanging="1960" w:hangingChars="700"/>
              <w:rPr>
                <w:rFonts w:ascii="宋体" w:hAnsi="宋体" w:cs="宋体"/>
                <w:color w:val="auto"/>
                <w:sz w:val="28"/>
                <w:szCs w:val="28"/>
                <w:highlight w:val="none"/>
              </w:rPr>
            </w:pPr>
          </w:p>
          <w:p>
            <w:pPr>
              <w:widowControl/>
              <w:ind w:left="1960" w:hanging="1960" w:hangingChars="700"/>
              <w:rPr>
                <w:rFonts w:ascii="宋体" w:hAnsi="宋体" w:cs="宋体"/>
                <w:color w:val="auto"/>
                <w:sz w:val="28"/>
                <w:szCs w:val="28"/>
                <w:highlight w:val="none"/>
                <w:u w:val="single"/>
              </w:rPr>
            </w:pPr>
            <w:r>
              <w:rPr>
                <w:rFonts w:hint="eastAsia" w:ascii="宋体" w:hAnsi="宋体" w:cs="宋体"/>
                <w:color w:val="auto"/>
                <w:sz w:val="28"/>
                <w:szCs w:val="28"/>
                <w:highlight w:val="none"/>
              </w:rPr>
              <w:t>投标文件内容：</w:t>
            </w:r>
            <w:r>
              <w:rPr>
                <w:rFonts w:hint="eastAsia" w:ascii="宋体" w:hAnsi="宋体" w:cs="宋体"/>
                <w:color w:val="auto"/>
                <w:sz w:val="28"/>
                <w:szCs w:val="28"/>
                <w:highlight w:val="none"/>
                <w:u w:val="single"/>
              </w:rPr>
              <w:t xml:space="preserve">【 】资格审查文件  【 】商务标书  【 】技术标书      </w:t>
            </w:r>
          </w:p>
          <w:p>
            <w:pPr>
              <w:widowControl/>
              <w:rPr>
                <w:rFonts w:ascii="宋体" w:hAnsi="宋体" w:cs="宋体"/>
                <w:color w:val="auto"/>
                <w:sz w:val="28"/>
                <w:szCs w:val="28"/>
                <w:highlight w:val="none"/>
              </w:rPr>
            </w:pPr>
          </w:p>
        </w:tc>
      </w:tr>
      <w:tr>
        <w:tblPrEx>
          <w:tblCellMar>
            <w:top w:w="0" w:type="dxa"/>
            <w:left w:w="108" w:type="dxa"/>
            <w:bottom w:w="0" w:type="dxa"/>
            <w:right w:w="108" w:type="dxa"/>
          </w:tblCellMar>
        </w:tblPrEx>
        <w:trPr>
          <w:trHeight w:val="1207" w:hRule="exact"/>
        </w:trPr>
        <w:tc>
          <w:tcPr>
            <w:tcW w:w="9962" w:type="dxa"/>
            <w:gridSpan w:val="3"/>
            <w:tcBorders>
              <w:top w:val="nil"/>
              <w:left w:val="single" w:color="auto" w:sz="18" w:space="0"/>
              <w:bottom w:val="nil"/>
              <w:right w:val="single" w:color="auto" w:sz="18" w:space="0"/>
            </w:tcBorders>
            <w:vAlign w:val="center"/>
          </w:tcPr>
          <w:p>
            <w:pPr>
              <w:widowControl/>
              <w:rPr>
                <w:rFonts w:ascii="宋体" w:hAnsi="宋体" w:cs="宋体"/>
                <w:color w:val="auto"/>
                <w:sz w:val="28"/>
                <w:szCs w:val="28"/>
                <w:highlight w:val="none"/>
                <w:u w:val="single"/>
              </w:rPr>
            </w:pPr>
            <w:r>
              <w:rPr>
                <w:rFonts w:hint="eastAsia" w:ascii="宋体" w:hAnsi="宋体" w:cs="宋体"/>
                <w:color w:val="auto"/>
                <w:sz w:val="28"/>
                <w:szCs w:val="28"/>
                <w:highlight w:val="none"/>
              </w:rPr>
              <w:t>投标人全称（公章）：</w:t>
            </w:r>
            <w:r>
              <w:rPr>
                <w:rFonts w:hint="eastAsia" w:ascii="宋体" w:hAnsi="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1207" w:hRule="exact"/>
        </w:trPr>
        <w:tc>
          <w:tcPr>
            <w:tcW w:w="9962" w:type="dxa"/>
            <w:gridSpan w:val="3"/>
            <w:tcBorders>
              <w:top w:val="nil"/>
              <w:left w:val="single" w:color="auto" w:sz="18" w:space="0"/>
              <w:bottom w:val="nil"/>
              <w:right w:val="single" w:color="auto" w:sz="18" w:space="0"/>
            </w:tcBorders>
            <w:vAlign w:val="center"/>
          </w:tcPr>
          <w:p>
            <w:pPr>
              <w:widowControl/>
              <w:rPr>
                <w:rFonts w:ascii="宋体" w:hAnsi="宋体" w:cs="宋体"/>
                <w:color w:val="auto"/>
                <w:sz w:val="28"/>
                <w:szCs w:val="28"/>
                <w:highlight w:val="none"/>
                <w:u w:val="single"/>
              </w:rPr>
            </w:pPr>
            <w:r>
              <w:rPr>
                <w:rFonts w:hint="eastAsia" w:hAnsi="宋体" w:cs="宋体"/>
                <w:color w:val="auto"/>
                <w:sz w:val="28"/>
                <w:szCs w:val="28"/>
                <w:highlight w:val="none"/>
              </w:rPr>
              <w:t>法定代表人或其委托代理人</w:t>
            </w:r>
            <w:r>
              <w:rPr>
                <w:rFonts w:hint="eastAsia" w:ascii="宋体" w:hAnsi="宋体" w:cs="宋体"/>
                <w:color w:val="auto"/>
                <w:sz w:val="28"/>
                <w:szCs w:val="28"/>
                <w:highlight w:val="none"/>
              </w:rPr>
              <w:t>签字：</w:t>
            </w:r>
            <w:r>
              <w:rPr>
                <w:rFonts w:hint="eastAsia" w:ascii="宋体" w:hAnsi="宋体" w:cs="宋体"/>
                <w:color w:val="auto"/>
                <w:sz w:val="28"/>
                <w:szCs w:val="28"/>
                <w:highlight w:val="none"/>
                <w:u w:val="single"/>
              </w:rPr>
              <w:t xml:space="preserve">                                        </w:t>
            </w:r>
          </w:p>
          <w:p>
            <w:pPr>
              <w:widowControl/>
              <w:rPr>
                <w:rFonts w:ascii="宋体" w:hAnsi="宋体" w:cs="宋体"/>
                <w:color w:val="auto"/>
                <w:sz w:val="28"/>
                <w:szCs w:val="28"/>
                <w:highlight w:val="none"/>
              </w:rPr>
            </w:pPr>
          </w:p>
          <w:p>
            <w:pPr>
              <w:widowControl/>
              <w:rPr>
                <w:rFonts w:ascii="宋体" w:hAnsi="宋体" w:cs="宋体"/>
                <w:color w:val="auto"/>
                <w:sz w:val="28"/>
                <w:szCs w:val="28"/>
                <w:highlight w:val="none"/>
              </w:rPr>
            </w:pPr>
          </w:p>
          <w:p>
            <w:pPr>
              <w:widowControl/>
              <w:rPr>
                <w:rFonts w:ascii="宋体" w:hAnsi="宋体" w:cs="宋体"/>
                <w:color w:val="auto"/>
                <w:sz w:val="28"/>
                <w:szCs w:val="28"/>
                <w:highlight w:val="none"/>
              </w:rPr>
            </w:pPr>
          </w:p>
        </w:tc>
      </w:tr>
      <w:tr>
        <w:trPr>
          <w:trHeight w:val="1207" w:hRule="exact"/>
        </w:trPr>
        <w:tc>
          <w:tcPr>
            <w:tcW w:w="9962" w:type="dxa"/>
            <w:gridSpan w:val="3"/>
            <w:tcBorders>
              <w:top w:val="nil"/>
              <w:left w:val="single" w:color="auto" w:sz="18" w:space="0"/>
              <w:bottom w:val="nil"/>
              <w:right w:val="single" w:color="auto" w:sz="18" w:space="0"/>
            </w:tcBorders>
            <w:vAlign w:val="center"/>
          </w:tcPr>
          <w:p>
            <w:pPr>
              <w:widowControl/>
              <w:rPr>
                <w:rFonts w:ascii="宋体" w:hAnsi="宋体" w:cs="宋体"/>
                <w:color w:val="auto"/>
                <w:sz w:val="28"/>
                <w:szCs w:val="28"/>
                <w:highlight w:val="none"/>
                <w:u w:val="single"/>
              </w:rPr>
            </w:pPr>
            <w:r>
              <w:rPr>
                <w:rFonts w:hint="eastAsia" w:ascii="宋体" w:hAnsi="宋体" w:cs="宋体"/>
                <w:color w:val="auto"/>
                <w:sz w:val="28"/>
                <w:szCs w:val="28"/>
                <w:highlight w:val="none"/>
              </w:rPr>
              <w:t>投标人地址：</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single"/>
              </w:rPr>
              <w:t xml:space="preserve">               </w:t>
            </w:r>
          </w:p>
          <w:p>
            <w:pPr>
              <w:widowControl/>
              <w:rPr>
                <w:rFonts w:ascii="宋体" w:hAnsi="宋体" w:cs="宋体"/>
                <w:color w:val="auto"/>
                <w:sz w:val="28"/>
                <w:szCs w:val="28"/>
                <w:highlight w:val="none"/>
                <w:u w:val="single"/>
              </w:rPr>
            </w:pPr>
          </w:p>
          <w:p>
            <w:pPr>
              <w:widowControl/>
              <w:rPr>
                <w:rFonts w:ascii="宋体" w:hAnsi="宋体" w:cs="宋体"/>
                <w:color w:val="auto"/>
                <w:sz w:val="28"/>
                <w:szCs w:val="28"/>
                <w:highlight w:val="none"/>
                <w:u w:val="single"/>
              </w:rPr>
            </w:pPr>
          </w:p>
          <w:p>
            <w:pPr>
              <w:widowControl/>
              <w:rPr>
                <w:rFonts w:ascii="宋体" w:hAnsi="宋体" w:cs="宋体"/>
                <w:color w:val="auto"/>
                <w:sz w:val="28"/>
                <w:szCs w:val="28"/>
                <w:highlight w:val="none"/>
                <w:u w:val="single"/>
              </w:rPr>
            </w:pPr>
          </w:p>
          <w:p>
            <w:pPr>
              <w:widowControl/>
              <w:rPr>
                <w:rFonts w:ascii="宋体" w:hAnsi="宋体" w:cs="宋体"/>
                <w:color w:val="auto"/>
                <w:sz w:val="28"/>
                <w:szCs w:val="28"/>
                <w:highlight w:val="none"/>
                <w:u w:val="single"/>
              </w:rPr>
            </w:pPr>
          </w:p>
        </w:tc>
      </w:tr>
      <w:tr>
        <w:trPr>
          <w:trHeight w:val="1207" w:hRule="exact"/>
        </w:trPr>
        <w:tc>
          <w:tcPr>
            <w:tcW w:w="9962" w:type="dxa"/>
            <w:gridSpan w:val="3"/>
            <w:tcBorders>
              <w:top w:val="nil"/>
              <w:left w:val="single" w:color="auto" w:sz="18" w:space="0"/>
              <w:bottom w:val="nil"/>
              <w:right w:val="single" w:color="auto" w:sz="18" w:space="0"/>
            </w:tcBorders>
            <w:vAlign w:val="center"/>
          </w:tcPr>
          <w:p>
            <w:pPr>
              <w:widowControl/>
              <w:rPr>
                <w:rFonts w:ascii="宋体" w:hAnsi="宋体" w:cs="宋体"/>
                <w:color w:val="auto"/>
                <w:sz w:val="28"/>
                <w:szCs w:val="28"/>
                <w:highlight w:val="none"/>
                <w:u w:val="single"/>
              </w:rPr>
            </w:pPr>
            <w:r>
              <w:rPr>
                <w:rFonts w:hint="eastAsia" w:ascii="宋体" w:hAnsi="宋体" w:cs="宋体"/>
                <w:color w:val="auto"/>
                <w:sz w:val="28"/>
                <w:szCs w:val="28"/>
                <w:highlight w:val="none"/>
              </w:rPr>
              <w:t>投标联系人：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xml:space="preserve">                  </w:t>
            </w:r>
          </w:p>
          <w:p>
            <w:pPr>
              <w:widowControl/>
              <w:rPr>
                <w:rFonts w:ascii="宋体" w:hAnsi="宋体" w:cs="宋体"/>
                <w:color w:val="auto"/>
                <w:sz w:val="28"/>
                <w:szCs w:val="28"/>
                <w:highlight w:val="none"/>
                <w:u w:val="single"/>
              </w:rPr>
            </w:pPr>
          </w:p>
          <w:p>
            <w:pPr>
              <w:widowControl/>
              <w:rPr>
                <w:rFonts w:ascii="宋体" w:hAnsi="宋体" w:cs="宋体"/>
                <w:color w:val="auto"/>
                <w:sz w:val="28"/>
                <w:szCs w:val="28"/>
                <w:highlight w:val="none"/>
                <w:u w:val="single"/>
              </w:rPr>
            </w:pPr>
          </w:p>
        </w:tc>
      </w:tr>
      <w:tr>
        <w:trPr>
          <w:trHeight w:val="760" w:hRule="exact"/>
        </w:trPr>
        <w:tc>
          <w:tcPr>
            <w:tcW w:w="635" w:type="dxa"/>
            <w:tcBorders>
              <w:top w:val="nil"/>
              <w:left w:val="single" w:color="auto" w:sz="18" w:space="0"/>
              <w:bottom w:val="nil"/>
              <w:right w:val="nil"/>
            </w:tcBorders>
            <w:vAlign w:val="center"/>
          </w:tcPr>
          <w:p>
            <w:pPr>
              <w:widowControl/>
              <w:rPr>
                <w:rFonts w:ascii="宋体" w:hAnsi="宋体" w:cs="宋体"/>
                <w:color w:val="auto"/>
                <w:sz w:val="28"/>
                <w:szCs w:val="28"/>
                <w:highlight w:val="none"/>
              </w:rPr>
            </w:pPr>
          </w:p>
        </w:tc>
        <w:tc>
          <w:tcPr>
            <w:tcW w:w="9327" w:type="dxa"/>
            <w:gridSpan w:val="2"/>
            <w:tcBorders>
              <w:top w:val="nil"/>
              <w:left w:val="nil"/>
              <w:bottom w:val="nil"/>
              <w:right w:val="single" w:color="auto" w:sz="18" w:space="0"/>
            </w:tcBorders>
            <w:vAlign w:val="center"/>
          </w:tcPr>
          <w:p>
            <w:pPr>
              <w:widowControl/>
              <w:rPr>
                <w:rFonts w:ascii="宋体" w:hAnsi="宋体" w:cs="宋体"/>
                <w:b/>
                <w:snapToGrid w:val="0"/>
                <w:color w:val="auto"/>
                <w:sz w:val="28"/>
                <w:szCs w:val="28"/>
                <w:highlight w:val="none"/>
                <w:u w:val="single"/>
              </w:rPr>
            </w:pPr>
            <w:r>
              <w:rPr>
                <w:rFonts w:hint="eastAsia" w:ascii="宋体" w:hAnsi="宋体" w:cs="宋体"/>
                <w:b/>
                <w:snapToGrid w:val="0"/>
                <w:color w:val="auto"/>
                <w:sz w:val="28"/>
                <w:szCs w:val="28"/>
                <w:highlight w:val="none"/>
                <w:u w:val="single"/>
              </w:rPr>
              <w:t xml:space="preserve">　　　年　　月　　日　　时　　分以前不得开封 </w:t>
            </w:r>
          </w:p>
          <w:p>
            <w:pPr>
              <w:widowControl/>
              <w:rPr>
                <w:rFonts w:ascii="宋体" w:hAnsi="宋体" w:cs="宋体"/>
                <w:b/>
                <w:snapToGrid w:val="0"/>
                <w:color w:val="auto"/>
                <w:sz w:val="28"/>
                <w:szCs w:val="28"/>
                <w:highlight w:val="none"/>
                <w:u w:val="single"/>
              </w:rPr>
            </w:pPr>
          </w:p>
          <w:p>
            <w:pPr>
              <w:widowControl/>
              <w:rPr>
                <w:rFonts w:ascii="宋体" w:hAnsi="宋体" w:cs="宋体"/>
                <w:b/>
                <w:snapToGrid w:val="0"/>
                <w:color w:val="auto"/>
                <w:sz w:val="28"/>
                <w:szCs w:val="28"/>
                <w:highlight w:val="none"/>
                <w:u w:val="single"/>
              </w:rPr>
            </w:pPr>
          </w:p>
          <w:p>
            <w:pPr>
              <w:widowControl/>
              <w:rPr>
                <w:rFonts w:ascii="宋体" w:hAnsi="宋体" w:cs="宋体"/>
                <w:b/>
                <w:snapToGrid w:val="0"/>
                <w:color w:val="auto"/>
                <w:sz w:val="28"/>
                <w:szCs w:val="28"/>
                <w:highlight w:val="none"/>
                <w:u w:val="single"/>
              </w:rPr>
            </w:pPr>
          </w:p>
          <w:p>
            <w:pPr>
              <w:widowControl/>
              <w:rPr>
                <w:rFonts w:ascii="宋体" w:hAnsi="宋体" w:cs="宋体"/>
                <w:color w:val="auto"/>
                <w:sz w:val="28"/>
                <w:szCs w:val="28"/>
                <w:highlight w:val="none"/>
              </w:rPr>
            </w:pPr>
          </w:p>
          <w:p>
            <w:pPr>
              <w:widowControl/>
              <w:rPr>
                <w:rFonts w:ascii="宋体" w:hAnsi="宋体" w:cs="宋体"/>
                <w:color w:val="auto"/>
                <w:sz w:val="28"/>
                <w:szCs w:val="28"/>
                <w:highlight w:val="none"/>
              </w:rPr>
            </w:pPr>
          </w:p>
          <w:p>
            <w:pPr>
              <w:widowControl/>
              <w:rPr>
                <w:rFonts w:ascii="宋体" w:hAnsi="宋体" w:cs="宋体"/>
                <w:color w:val="auto"/>
                <w:sz w:val="28"/>
                <w:szCs w:val="28"/>
                <w:highlight w:val="none"/>
              </w:rPr>
            </w:pPr>
          </w:p>
        </w:tc>
      </w:tr>
      <w:tr>
        <w:trPr>
          <w:trHeight w:val="611" w:hRule="exact"/>
        </w:trPr>
        <w:tc>
          <w:tcPr>
            <w:tcW w:w="970" w:type="dxa"/>
            <w:gridSpan w:val="2"/>
            <w:vMerge w:val="restart"/>
            <w:tcBorders>
              <w:top w:val="single" w:color="auto" w:sz="4" w:space="0"/>
              <w:left w:val="single" w:color="auto" w:sz="18" w:space="0"/>
              <w:bottom w:val="single" w:color="000000" w:sz="4" w:space="0"/>
              <w:right w:val="single" w:color="auto" w:sz="4" w:space="0"/>
            </w:tcBorders>
            <w:vAlign w:val="center"/>
          </w:tcPr>
          <w:p>
            <w:pPr>
              <w:widowControl/>
              <w:jc w:val="center"/>
              <w:rPr>
                <w:rFonts w:ascii="宋体" w:hAnsi="宋体" w:cs="宋体"/>
                <w:color w:val="auto"/>
                <w:sz w:val="28"/>
                <w:szCs w:val="28"/>
                <w:highlight w:val="none"/>
              </w:rPr>
            </w:pPr>
            <w:r>
              <w:rPr>
                <w:rFonts w:hint="eastAsia" w:ascii="宋体" w:hAnsi="宋体" w:cs="宋体"/>
                <w:color w:val="auto"/>
                <w:sz w:val="28"/>
                <w:szCs w:val="28"/>
                <w:highlight w:val="none"/>
              </w:rPr>
              <w:t>说    明</w:t>
            </w:r>
          </w:p>
        </w:tc>
        <w:tc>
          <w:tcPr>
            <w:tcW w:w="8992" w:type="dxa"/>
            <w:tcBorders>
              <w:top w:val="single" w:color="auto" w:sz="4" w:space="0"/>
              <w:left w:val="single" w:color="auto" w:sz="4" w:space="0"/>
              <w:bottom w:val="nil"/>
              <w:right w:val="single" w:color="auto" w:sz="18" w:space="0"/>
            </w:tcBorders>
            <w:vAlign w:val="center"/>
          </w:tcPr>
          <w:p>
            <w:pPr>
              <w:widowControl/>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1.投标文件封面必须用永久性笔迹详细填写或打印；</w:t>
            </w:r>
          </w:p>
        </w:tc>
      </w:tr>
      <w:tr>
        <w:trPr>
          <w:trHeight w:val="564" w:hRule="exact"/>
        </w:trPr>
        <w:tc>
          <w:tcPr>
            <w:tcW w:w="970" w:type="dxa"/>
            <w:gridSpan w:val="2"/>
            <w:vMerge w:val="continue"/>
            <w:tcBorders>
              <w:top w:val="nil"/>
              <w:left w:val="single" w:color="auto" w:sz="18" w:space="0"/>
              <w:bottom w:val="single" w:color="000000" w:sz="4" w:space="0"/>
              <w:right w:val="single" w:color="auto" w:sz="4" w:space="0"/>
            </w:tcBorders>
            <w:vAlign w:val="center"/>
          </w:tcPr>
          <w:p>
            <w:pPr>
              <w:widowControl/>
              <w:rPr>
                <w:rFonts w:ascii="宋体" w:hAnsi="宋体" w:cs="宋体"/>
                <w:color w:val="auto"/>
                <w:sz w:val="28"/>
                <w:szCs w:val="28"/>
                <w:highlight w:val="none"/>
              </w:rPr>
            </w:pPr>
          </w:p>
        </w:tc>
        <w:tc>
          <w:tcPr>
            <w:tcW w:w="8992" w:type="dxa"/>
            <w:tcBorders>
              <w:top w:val="nil"/>
              <w:left w:val="single" w:color="auto" w:sz="4" w:space="0"/>
              <w:bottom w:val="nil"/>
              <w:right w:val="single" w:color="auto" w:sz="18" w:space="0"/>
            </w:tcBorders>
            <w:vAlign w:val="center"/>
          </w:tcPr>
          <w:p>
            <w:pPr>
              <w:widowControl/>
              <w:numPr>
                <w:ilvl w:val="0"/>
                <w:numId w:val="18"/>
              </w:num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本封面复印或打印有效；</w:t>
            </w:r>
          </w:p>
          <w:p>
            <w:pPr>
              <w:widowControl/>
              <w:numPr>
                <w:ilvl w:val="0"/>
                <w:numId w:val="18"/>
              </w:numPr>
              <w:spacing w:line="360" w:lineRule="auto"/>
              <w:rPr>
                <w:rFonts w:ascii="宋体" w:hAnsi="宋体" w:cs="宋体"/>
                <w:color w:val="auto"/>
                <w:sz w:val="28"/>
                <w:szCs w:val="28"/>
                <w:highlight w:val="none"/>
              </w:rPr>
            </w:pPr>
          </w:p>
        </w:tc>
      </w:tr>
      <w:tr>
        <w:trPr>
          <w:trHeight w:val="1733" w:hRule="exact"/>
        </w:trPr>
        <w:tc>
          <w:tcPr>
            <w:tcW w:w="970" w:type="dxa"/>
            <w:gridSpan w:val="2"/>
            <w:vMerge w:val="continue"/>
            <w:tcBorders>
              <w:top w:val="nil"/>
              <w:left w:val="single" w:color="auto" w:sz="18" w:space="0"/>
              <w:bottom w:val="single" w:color="000000" w:sz="4" w:space="0"/>
              <w:right w:val="single" w:color="auto" w:sz="4" w:space="0"/>
            </w:tcBorders>
            <w:vAlign w:val="center"/>
          </w:tcPr>
          <w:p>
            <w:pPr>
              <w:widowControl/>
              <w:rPr>
                <w:rFonts w:ascii="宋体" w:hAnsi="宋体" w:cs="宋体"/>
                <w:color w:val="auto"/>
                <w:sz w:val="28"/>
                <w:szCs w:val="28"/>
                <w:highlight w:val="none"/>
              </w:rPr>
            </w:pPr>
          </w:p>
        </w:tc>
        <w:tc>
          <w:tcPr>
            <w:tcW w:w="8992" w:type="dxa"/>
            <w:tcBorders>
              <w:top w:val="nil"/>
              <w:left w:val="single" w:color="auto" w:sz="4" w:space="0"/>
              <w:bottom w:val="nil"/>
              <w:right w:val="single" w:color="auto" w:sz="18" w:space="0"/>
            </w:tcBorders>
            <w:vAlign w:val="center"/>
          </w:tcPr>
          <w:p>
            <w:pPr>
              <w:widowControl/>
              <w:numPr>
                <w:ilvl w:val="0"/>
                <w:numId w:val="19"/>
              </w:num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在确定的‘资格审查文件’‘商务标书’ ‘技术标书’前打‘√’；</w:t>
            </w:r>
          </w:p>
          <w:p>
            <w:pPr>
              <w:widowControl/>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4.投标文件密封及各封口处须加盖投标人公章。</w:t>
            </w:r>
            <w:r>
              <w:rPr>
                <w:rFonts w:hint="eastAsia" w:ascii="宋体" w:hAnsi="宋体"/>
                <w:color w:val="auto"/>
                <w:sz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投标，加盖联合体牵头</w:t>
            </w:r>
            <w:r>
              <w:rPr>
                <w:rFonts w:hint="eastAsia" w:ascii="宋体" w:hAnsi="宋体" w:cs="宋体"/>
                <w:color w:val="auto"/>
                <w:sz w:val="24"/>
                <w:szCs w:val="24"/>
                <w:highlight w:val="none"/>
              </w:rPr>
              <w:t>方</w:t>
            </w:r>
            <w:r>
              <w:rPr>
                <w:rFonts w:hint="eastAsia" w:ascii="宋体" w:hAnsi="宋体" w:cs="宋体"/>
                <w:color w:val="auto"/>
                <w:sz w:val="24"/>
                <w:szCs w:val="24"/>
                <w:highlight w:val="none"/>
                <w:lang w:eastAsia="zh-CN"/>
              </w:rPr>
              <w:t>公章</w:t>
            </w:r>
            <w:r>
              <w:rPr>
                <w:rFonts w:hint="eastAsia" w:ascii="宋体" w:hAnsi="宋体"/>
                <w:color w:val="auto"/>
                <w:sz w:val="24"/>
                <w:highlight w:val="none"/>
              </w:rPr>
              <w:t>）</w:t>
            </w:r>
          </w:p>
          <w:p>
            <w:pPr>
              <w:widowControl/>
              <w:spacing w:line="360" w:lineRule="auto"/>
              <w:rPr>
                <w:rFonts w:ascii="宋体" w:hAnsi="宋体" w:cs="宋体"/>
                <w:color w:val="auto"/>
                <w:sz w:val="28"/>
                <w:szCs w:val="28"/>
                <w:highlight w:val="none"/>
              </w:rPr>
            </w:pPr>
          </w:p>
        </w:tc>
      </w:tr>
      <w:tr>
        <w:trPr>
          <w:trHeight w:val="860" w:hRule="exact"/>
        </w:trPr>
        <w:tc>
          <w:tcPr>
            <w:tcW w:w="970" w:type="dxa"/>
            <w:gridSpan w:val="2"/>
            <w:vMerge w:val="continue"/>
            <w:tcBorders>
              <w:top w:val="nil"/>
              <w:left w:val="single" w:color="auto" w:sz="18" w:space="0"/>
              <w:bottom w:val="single" w:color="auto" w:sz="18" w:space="0"/>
              <w:right w:val="single" w:color="auto" w:sz="4" w:space="0"/>
            </w:tcBorders>
            <w:vAlign w:val="center"/>
          </w:tcPr>
          <w:p>
            <w:pPr>
              <w:widowControl/>
              <w:rPr>
                <w:rFonts w:ascii="宋体" w:hAnsi="宋体" w:cs="宋体"/>
                <w:color w:val="auto"/>
                <w:sz w:val="28"/>
                <w:szCs w:val="28"/>
                <w:highlight w:val="none"/>
              </w:rPr>
            </w:pPr>
          </w:p>
        </w:tc>
        <w:tc>
          <w:tcPr>
            <w:tcW w:w="8992" w:type="dxa"/>
            <w:tcBorders>
              <w:top w:val="nil"/>
              <w:left w:val="single" w:color="auto" w:sz="4" w:space="0"/>
              <w:bottom w:val="single" w:color="auto" w:sz="18" w:space="0"/>
              <w:right w:val="single" w:color="auto" w:sz="18" w:space="0"/>
            </w:tcBorders>
            <w:vAlign w:val="center"/>
          </w:tcPr>
          <w:p>
            <w:pPr>
              <w:widowControl/>
              <w:spacing w:line="360" w:lineRule="auto"/>
              <w:rPr>
                <w:rFonts w:ascii="宋体" w:hAnsi="宋体" w:cs="宋体"/>
                <w:color w:val="auto"/>
                <w:sz w:val="28"/>
                <w:szCs w:val="28"/>
                <w:highlight w:val="none"/>
              </w:rPr>
            </w:pPr>
          </w:p>
          <w:p>
            <w:pPr>
              <w:widowControl/>
              <w:spacing w:line="360" w:lineRule="auto"/>
              <w:rPr>
                <w:rFonts w:ascii="宋体" w:hAnsi="宋体" w:cs="宋体"/>
                <w:color w:val="auto"/>
                <w:sz w:val="28"/>
                <w:szCs w:val="28"/>
                <w:highlight w:val="none"/>
              </w:rPr>
            </w:pPr>
          </w:p>
        </w:tc>
      </w:tr>
    </w:tbl>
    <w:p>
      <w:pPr>
        <w:snapToGrid w:val="0"/>
        <w:spacing w:line="240" w:lineRule="exact"/>
        <w:rPr>
          <w:rFonts w:ascii="宋体" w:hAnsi="宋体" w:cs="宋体"/>
          <w:color w:val="auto"/>
          <w:sz w:val="21"/>
          <w:szCs w:val="21"/>
          <w:highlight w:val="none"/>
        </w:rPr>
      </w:pP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注：用于投标文件外层包封封面</w:t>
      </w: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p>
    <w:p>
      <w:pPr>
        <w:jc w:val="center"/>
        <w:outlineLvl w:val="1"/>
        <w:rPr>
          <w:b/>
          <w:color w:val="auto"/>
          <w:sz w:val="48"/>
          <w:szCs w:val="48"/>
          <w:highlight w:val="none"/>
        </w:rPr>
      </w:pPr>
      <w:bookmarkStart w:id="509" w:name="_Toc12710"/>
      <w:r>
        <w:rPr>
          <w:rFonts w:hint="eastAsia"/>
          <w:b/>
          <w:color w:val="auto"/>
          <w:sz w:val="48"/>
          <w:szCs w:val="48"/>
          <w:highlight w:val="none"/>
        </w:rPr>
        <w:t>二、资格审查文件格式</w:t>
      </w:r>
      <w:bookmarkEnd w:id="509"/>
    </w:p>
    <w:p>
      <w:pPr>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tabs>
          <w:tab w:val="left" w:pos="986"/>
        </w:tabs>
        <w:jc w:val="left"/>
        <w:rPr>
          <w:rFonts w:ascii="宋体" w:hAnsi="宋体" w:cs="宋体"/>
          <w:color w:val="auto"/>
          <w:sz w:val="21"/>
          <w:szCs w:val="21"/>
          <w:highlight w:val="none"/>
        </w:rPr>
      </w:pPr>
    </w:p>
    <w:p>
      <w:pPr>
        <w:tabs>
          <w:tab w:val="left" w:pos="986"/>
        </w:tabs>
        <w:jc w:val="left"/>
        <w:rPr>
          <w:rFonts w:ascii="宋体" w:hAnsi="宋体" w:cs="宋体"/>
          <w:color w:val="auto"/>
          <w:sz w:val="21"/>
          <w:szCs w:val="21"/>
          <w:highlight w:val="none"/>
        </w:rPr>
      </w:pPr>
    </w:p>
    <w:p>
      <w:pPr>
        <w:tabs>
          <w:tab w:val="left" w:pos="986"/>
        </w:tabs>
        <w:jc w:val="left"/>
        <w:rPr>
          <w:rFonts w:ascii="宋体" w:hAnsi="宋体" w:cs="宋体"/>
          <w:color w:val="auto"/>
          <w:sz w:val="21"/>
          <w:szCs w:val="21"/>
          <w:highlight w:val="none"/>
        </w:rPr>
      </w:pPr>
    </w:p>
    <w:p>
      <w:pPr>
        <w:tabs>
          <w:tab w:val="left" w:pos="986"/>
        </w:tabs>
        <w:jc w:val="left"/>
        <w:rPr>
          <w:rFonts w:ascii="宋体" w:hAnsi="宋体" w:cs="宋体"/>
          <w:color w:val="auto"/>
          <w:sz w:val="21"/>
          <w:szCs w:val="21"/>
          <w:highlight w:val="none"/>
        </w:rPr>
      </w:pPr>
    </w:p>
    <w:p>
      <w:pPr>
        <w:pStyle w:val="18"/>
        <w:tabs>
          <w:tab w:val="left" w:pos="285"/>
          <w:tab w:val="center" w:pos="4320"/>
        </w:tabs>
        <w:spacing w:line="264" w:lineRule="auto"/>
        <w:rPr>
          <w:rFonts w:hAnsi="宋体" w:cs="宋体"/>
          <w:color w:val="auto"/>
          <w:sz w:val="24"/>
          <w:szCs w:val="24"/>
          <w:highlight w:val="none"/>
        </w:rPr>
      </w:pPr>
    </w:p>
    <w:p>
      <w:pPr>
        <w:pStyle w:val="18"/>
        <w:tabs>
          <w:tab w:val="left" w:pos="285"/>
          <w:tab w:val="center" w:pos="4320"/>
        </w:tabs>
        <w:spacing w:line="264" w:lineRule="auto"/>
        <w:rPr>
          <w:rFonts w:hAnsi="宋体" w:cs="宋体"/>
          <w:color w:val="auto"/>
          <w:sz w:val="24"/>
          <w:szCs w:val="24"/>
          <w:highlight w:val="none"/>
        </w:rPr>
      </w:pPr>
    </w:p>
    <w:p>
      <w:pPr>
        <w:pStyle w:val="18"/>
        <w:tabs>
          <w:tab w:val="left" w:pos="285"/>
          <w:tab w:val="center" w:pos="4320"/>
        </w:tabs>
        <w:spacing w:line="264" w:lineRule="auto"/>
        <w:rPr>
          <w:rFonts w:hAnsi="宋体" w:cs="宋体"/>
          <w:color w:val="auto"/>
          <w:sz w:val="24"/>
          <w:szCs w:val="24"/>
          <w:highlight w:val="none"/>
        </w:rPr>
      </w:pPr>
    </w:p>
    <w:p>
      <w:pPr>
        <w:pStyle w:val="18"/>
        <w:tabs>
          <w:tab w:val="left" w:pos="285"/>
          <w:tab w:val="center" w:pos="4320"/>
        </w:tabs>
        <w:spacing w:line="264" w:lineRule="auto"/>
        <w:rPr>
          <w:rFonts w:hAnsi="宋体" w:cs="宋体"/>
          <w:color w:val="auto"/>
          <w:sz w:val="24"/>
          <w:szCs w:val="24"/>
          <w:highlight w:val="none"/>
        </w:rPr>
      </w:pPr>
    </w:p>
    <w:p>
      <w:pPr>
        <w:pStyle w:val="18"/>
        <w:tabs>
          <w:tab w:val="left" w:pos="285"/>
          <w:tab w:val="center" w:pos="4320"/>
        </w:tabs>
        <w:spacing w:line="264" w:lineRule="auto"/>
        <w:rPr>
          <w:rFonts w:hAnsi="宋体" w:cs="宋体"/>
          <w:color w:val="auto"/>
          <w:sz w:val="24"/>
          <w:szCs w:val="24"/>
          <w:highlight w:val="none"/>
        </w:rPr>
      </w:pPr>
    </w:p>
    <w:p>
      <w:pPr>
        <w:pStyle w:val="18"/>
        <w:tabs>
          <w:tab w:val="left" w:pos="285"/>
          <w:tab w:val="center" w:pos="4320"/>
        </w:tabs>
        <w:spacing w:line="264" w:lineRule="auto"/>
        <w:rPr>
          <w:rFonts w:hAnsi="宋体" w:cs="宋体"/>
          <w:color w:val="auto"/>
          <w:sz w:val="24"/>
          <w:szCs w:val="24"/>
          <w:highlight w:val="none"/>
        </w:rPr>
      </w:pPr>
    </w:p>
    <w:p>
      <w:pPr>
        <w:widowControl/>
        <w:adjustRightInd/>
        <w:spacing w:line="240" w:lineRule="auto"/>
        <w:jc w:val="left"/>
        <w:textAlignment w:val="auto"/>
        <w:rPr>
          <w:rFonts w:ascii="宋体" w:hAnsi="宋体" w:cs="宋体"/>
          <w:color w:val="auto"/>
          <w:kern w:val="2"/>
          <w:sz w:val="24"/>
          <w:szCs w:val="24"/>
          <w:highlight w:val="none"/>
        </w:rPr>
      </w:pPr>
      <w:r>
        <w:rPr>
          <w:rFonts w:hAnsi="宋体" w:cs="宋体"/>
          <w:color w:val="auto"/>
          <w:sz w:val="24"/>
          <w:szCs w:val="24"/>
          <w:highlight w:val="none"/>
        </w:rPr>
        <w:br w:type="page"/>
      </w:r>
    </w:p>
    <w:p>
      <w:pPr>
        <w:pStyle w:val="18"/>
        <w:tabs>
          <w:tab w:val="left" w:pos="285"/>
          <w:tab w:val="center" w:pos="4320"/>
        </w:tabs>
        <w:spacing w:line="264" w:lineRule="auto"/>
        <w:rPr>
          <w:rFonts w:hAnsi="宋体" w:cs="宋体"/>
          <w:color w:val="auto"/>
          <w:sz w:val="24"/>
          <w:szCs w:val="24"/>
          <w:highlight w:val="none"/>
        </w:rPr>
      </w:pPr>
    </w:p>
    <w:p>
      <w:pPr>
        <w:pStyle w:val="18"/>
        <w:tabs>
          <w:tab w:val="left" w:pos="285"/>
          <w:tab w:val="center" w:pos="4320"/>
        </w:tabs>
        <w:spacing w:line="264" w:lineRule="auto"/>
        <w:rPr>
          <w:rFonts w:hAnsi="宋体" w:cs="宋体"/>
          <w:color w:val="auto"/>
          <w:sz w:val="24"/>
          <w:szCs w:val="24"/>
          <w:highlight w:val="none"/>
        </w:rPr>
      </w:pPr>
      <w:r>
        <w:rPr>
          <w:rFonts w:hint="eastAsia" w:hAnsi="宋体" w:cs="宋体"/>
          <w:color w:val="auto"/>
          <w:sz w:val="24"/>
          <w:szCs w:val="24"/>
          <w:highlight w:val="none"/>
        </w:rPr>
        <w:t>（用于资格审查文件封面）</w:t>
      </w:r>
    </w:p>
    <w:p>
      <w:pPr>
        <w:pStyle w:val="18"/>
        <w:spacing w:line="264" w:lineRule="auto"/>
        <w:jc w:val="center"/>
        <w:rPr>
          <w:rFonts w:hAnsi="宋体" w:cs="宋体"/>
          <w:color w:val="auto"/>
          <w:sz w:val="36"/>
          <w:highlight w:val="none"/>
        </w:rPr>
      </w:pPr>
    </w:p>
    <w:p>
      <w:pPr>
        <w:pStyle w:val="18"/>
        <w:spacing w:line="264" w:lineRule="auto"/>
        <w:jc w:val="center"/>
        <w:rPr>
          <w:rFonts w:hAnsi="宋体" w:cs="宋体"/>
          <w:color w:val="auto"/>
          <w:sz w:val="36"/>
          <w:highlight w:val="none"/>
        </w:rPr>
      </w:pPr>
    </w:p>
    <w:p>
      <w:pPr>
        <w:pStyle w:val="18"/>
        <w:spacing w:line="264" w:lineRule="auto"/>
        <w:jc w:val="center"/>
        <w:rPr>
          <w:rFonts w:hint="eastAsia" w:hAnsi="宋体" w:eastAsia="宋体" w:cs="宋体"/>
          <w:color w:val="auto"/>
          <w:sz w:val="36"/>
          <w:szCs w:val="36"/>
          <w:highlight w:val="none"/>
          <w:lang w:eastAsia="zh-CN"/>
        </w:rPr>
      </w:pPr>
      <w:r>
        <w:rPr>
          <w:rFonts w:hint="eastAsia" w:hAnsi="宋体" w:cs="宋体"/>
          <w:color w:val="auto"/>
          <w:sz w:val="36"/>
          <w:szCs w:val="36"/>
          <w:highlight w:val="none"/>
        </w:rPr>
        <w:t>项目名称：</w:t>
      </w:r>
      <w:r>
        <w:rPr>
          <w:rFonts w:hint="eastAsia" w:hAnsi="宋体" w:cs="宋体"/>
          <w:color w:val="auto"/>
          <w:sz w:val="36"/>
          <w:szCs w:val="36"/>
          <w:highlight w:val="none"/>
          <w:u w:val="none"/>
          <w:lang w:eastAsia="zh-CN"/>
        </w:rPr>
        <w:t>大埔县白云大桥停车场及周边道路附属设施建设工程(勘察、设计)</w:t>
      </w:r>
    </w:p>
    <w:p>
      <w:pPr>
        <w:pStyle w:val="18"/>
        <w:spacing w:before="240" w:beforeLines="100" w:after="240" w:afterLines="100" w:line="264" w:lineRule="auto"/>
        <w:jc w:val="center"/>
        <w:rPr>
          <w:rFonts w:hAnsi="宋体" w:cs="宋体"/>
          <w:color w:val="auto"/>
          <w:sz w:val="36"/>
          <w:highlight w:val="none"/>
        </w:rPr>
      </w:pPr>
      <w:r>
        <w:rPr>
          <w:rFonts w:hint="eastAsia" w:hAnsi="宋体" w:cs="宋体"/>
          <w:b/>
          <w:color w:val="auto"/>
          <w:sz w:val="32"/>
          <w:highlight w:val="none"/>
        </w:rPr>
        <w:br w:type="textWrapping"/>
      </w:r>
    </w:p>
    <w:p>
      <w:pPr>
        <w:pStyle w:val="18"/>
        <w:spacing w:line="264" w:lineRule="auto"/>
        <w:jc w:val="center"/>
        <w:rPr>
          <w:rFonts w:hAnsi="宋体" w:cs="宋体"/>
          <w:b/>
          <w:color w:val="auto"/>
          <w:sz w:val="84"/>
          <w:highlight w:val="none"/>
        </w:rPr>
      </w:pPr>
    </w:p>
    <w:p>
      <w:pPr>
        <w:pStyle w:val="18"/>
        <w:spacing w:line="264" w:lineRule="auto"/>
        <w:jc w:val="center"/>
        <w:rPr>
          <w:rFonts w:hAnsi="宋体" w:cs="宋体"/>
          <w:color w:val="auto"/>
          <w:sz w:val="28"/>
          <w:highlight w:val="none"/>
        </w:rPr>
      </w:pPr>
      <w:r>
        <w:rPr>
          <w:rFonts w:hint="eastAsia" w:hAnsi="宋体" w:cs="宋体"/>
          <w:b/>
          <w:color w:val="auto"/>
          <w:sz w:val="84"/>
          <w:highlight w:val="none"/>
        </w:rPr>
        <w:t>投 标 文 件</w:t>
      </w:r>
    </w:p>
    <w:p>
      <w:pPr>
        <w:pStyle w:val="18"/>
        <w:spacing w:line="264" w:lineRule="auto"/>
        <w:jc w:val="center"/>
        <w:rPr>
          <w:rFonts w:hAnsi="宋体" w:cs="宋体"/>
          <w:color w:val="auto"/>
          <w:sz w:val="72"/>
          <w:highlight w:val="none"/>
        </w:rPr>
      </w:pPr>
    </w:p>
    <w:p>
      <w:pPr>
        <w:pStyle w:val="18"/>
        <w:spacing w:line="264" w:lineRule="auto"/>
        <w:jc w:val="center"/>
        <w:rPr>
          <w:rFonts w:hAnsi="宋体" w:cs="宋体"/>
          <w:color w:val="auto"/>
          <w:sz w:val="72"/>
          <w:highlight w:val="none"/>
        </w:rPr>
      </w:pPr>
    </w:p>
    <w:p>
      <w:pPr>
        <w:pStyle w:val="18"/>
        <w:spacing w:line="264" w:lineRule="auto"/>
        <w:jc w:val="center"/>
        <w:rPr>
          <w:rFonts w:hAnsi="宋体" w:cs="宋体"/>
          <w:color w:val="auto"/>
          <w:sz w:val="72"/>
          <w:highlight w:val="none"/>
        </w:rPr>
      </w:pPr>
    </w:p>
    <w:p>
      <w:pPr>
        <w:pStyle w:val="18"/>
        <w:spacing w:before="240" w:after="240" w:line="500" w:lineRule="exact"/>
        <w:ind w:firstLine="560"/>
        <w:rPr>
          <w:rFonts w:hAnsi="宋体" w:cs="宋体"/>
          <w:color w:val="auto"/>
          <w:sz w:val="30"/>
          <w:szCs w:val="30"/>
          <w:highlight w:val="none"/>
        </w:rPr>
      </w:pPr>
      <w:r>
        <w:rPr>
          <w:rFonts w:hint="eastAsia" w:hAnsi="宋体" w:cs="宋体"/>
          <w:color w:val="auto"/>
          <w:sz w:val="30"/>
          <w:szCs w:val="30"/>
          <w:highlight w:val="none"/>
        </w:rPr>
        <w:t>投标文件内容：</w:t>
      </w:r>
      <w:r>
        <w:rPr>
          <w:rFonts w:hint="eastAsia" w:hAnsi="宋体" w:cs="宋体"/>
          <w:color w:val="auto"/>
          <w:sz w:val="30"/>
          <w:szCs w:val="30"/>
          <w:highlight w:val="none"/>
          <w:u w:val="single"/>
        </w:rPr>
        <w:t xml:space="preserve">               资格审查文件              </w:t>
      </w:r>
    </w:p>
    <w:p>
      <w:pPr>
        <w:pStyle w:val="18"/>
        <w:spacing w:before="240" w:after="240" w:line="500" w:lineRule="exact"/>
        <w:ind w:left="630"/>
        <w:jc w:val="left"/>
        <w:rPr>
          <w:rFonts w:hAnsi="宋体" w:cs="宋体"/>
          <w:color w:val="auto"/>
          <w:sz w:val="30"/>
          <w:szCs w:val="30"/>
          <w:highlight w:val="none"/>
        </w:rPr>
      </w:pPr>
      <w:r>
        <w:rPr>
          <w:rFonts w:hint="eastAsia" w:hAnsi="宋体" w:cs="宋体"/>
          <w:color w:val="auto"/>
          <w:sz w:val="30"/>
          <w:szCs w:val="30"/>
          <w:highlight w:val="none"/>
        </w:rPr>
        <w:t>投  标  人:</w:t>
      </w:r>
      <w:r>
        <w:rPr>
          <w:rFonts w:hint="eastAsia" w:hAnsi="宋体" w:cs="宋体"/>
          <w:color w:val="auto"/>
          <w:sz w:val="30"/>
          <w:szCs w:val="30"/>
          <w:highlight w:val="none"/>
          <w:u w:val="single"/>
        </w:rPr>
        <w:t xml:space="preserve">         （盖投标人单位公章）               </w:t>
      </w:r>
    </w:p>
    <w:p>
      <w:pPr>
        <w:pStyle w:val="18"/>
        <w:spacing w:before="240" w:after="240" w:line="500" w:lineRule="exact"/>
        <w:ind w:left="630"/>
        <w:rPr>
          <w:rFonts w:hAnsi="宋体" w:cs="宋体"/>
          <w:color w:val="auto"/>
          <w:sz w:val="30"/>
          <w:szCs w:val="30"/>
          <w:highlight w:val="none"/>
          <w:u w:val="none"/>
        </w:rPr>
      </w:pPr>
      <w:r>
        <w:rPr>
          <w:rFonts w:hint="eastAsia" w:hAnsi="宋体" w:cs="宋体"/>
          <w:color w:val="auto"/>
          <w:sz w:val="30"/>
          <w:szCs w:val="30"/>
          <w:highlight w:val="none"/>
        </w:rPr>
        <w:t>法定代表人或其委托代理人：</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none"/>
        </w:rPr>
        <w:t>（签字）</w:t>
      </w:r>
    </w:p>
    <w:p>
      <w:pPr>
        <w:pStyle w:val="18"/>
        <w:spacing w:line="500" w:lineRule="exact"/>
        <w:ind w:firstLine="600" w:firstLineChars="200"/>
        <w:rPr>
          <w:rFonts w:hAnsi="宋体" w:cs="宋体"/>
          <w:color w:val="auto"/>
          <w:sz w:val="30"/>
          <w:szCs w:val="30"/>
          <w:highlight w:val="none"/>
        </w:rPr>
      </w:pPr>
      <w:r>
        <w:rPr>
          <w:rFonts w:hint="eastAsia" w:hAnsi="宋体" w:cs="宋体"/>
          <w:color w:val="auto"/>
          <w:sz w:val="30"/>
          <w:szCs w:val="30"/>
          <w:highlight w:val="none"/>
        </w:rPr>
        <w:t>日      期：</w:t>
      </w:r>
      <w:r>
        <w:rPr>
          <w:rFonts w:hint="eastAsia" w:hAnsi="宋体" w:cs="宋体"/>
          <w:color w:val="auto"/>
          <w:sz w:val="30"/>
          <w:szCs w:val="30"/>
          <w:highlight w:val="none"/>
          <w:u w:val="single"/>
        </w:rPr>
        <w:t>________</w:t>
      </w:r>
      <w:r>
        <w:rPr>
          <w:rFonts w:hint="eastAsia" w:hAnsi="宋体" w:cs="宋体"/>
          <w:color w:val="auto"/>
          <w:sz w:val="30"/>
          <w:szCs w:val="30"/>
          <w:highlight w:val="none"/>
        </w:rPr>
        <w:t>年</w:t>
      </w:r>
      <w:r>
        <w:rPr>
          <w:rFonts w:hint="eastAsia" w:hAnsi="宋体" w:cs="宋体"/>
          <w:color w:val="auto"/>
          <w:sz w:val="30"/>
          <w:szCs w:val="30"/>
          <w:highlight w:val="none"/>
          <w:u w:val="single"/>
        </w:rPr>
        <w:t>_____</w:t>
      </w:r>
      <w:r>
        <w:rPr>
          <w:rFonts w:hint="eastAsia" w:hAnsi="宋体" w:cs="宋体"/>
          <w:color w:val="auto"/>
          <w:sz w:val="30"/>
          <w:szCs w:val="30"/>
          <w:highlight w:val="none"/>
        </w:rPr>
        <w:t>月</w:t>
      </w:r>
      <w:r>
        <w:rPr>
          <w:rFonts w:hint="eastAsia" w:hAnsi="宋体" w:cs="宋体"/>
          <w:color w:val="auto"/>
          <w:sz w:val="30"/>
          <w:szCs w:val="30"/>
          <w:highlight w:val="none"/>
          <w:u w:val="single"/>
        </w:rPr>
        <w:t>_____</w:t>
      </w:r>
      <w:r>
        <w:rPr>
          <w:rFonts w:hint="eastAsia" w:hAnsi="宋体" w:cs="宋体"/>
          <w:color w:val="auto"/>
          <w:sz w:val="30"/>
          <w:szCs w:val="30"/>
          <w:highlight w:val="none"/>
        </w:rPr>
        <w:t>日</w:t>
      </w:r>
    </w:p>
    <w:p>
      <w:pPr>
        <w:spacing w:line="400" w:lineRule="exact"/>
        <w:ind w:right="482" w:firstLine="300" w:firstLineChars="100"/>
        <w:jc w:val="center"/>
        <w:rPr>
          <w:rFonts w:ascii="宋体" w:hAnsi="宋体" w:cs="宋体"/>
          <w:color w:val="auto"/>
          <w:sz w:val="30"/>
          <w:szCs w:val="30"/>
          <w:highlight w:val="none"/>
          <w:u w:val="single"/>
        </w:rPr>
      </w:pPr>
    </w:p>
    <w:p>
      <w:pPr>
        <w:pStyle w:val="18"/>
        <w:spacing w:before="960" w:beforeLines="400" w:line="360" w:lineRule="auto"/>
        <w:jc w:val="center"/>
        <w:rPr>
          <w:rFonts w:hAnsi="宋体" w:cs="宋体"/>
          <w:b/>
          <w:color w:val="auto"/>
          <w:sz w:val="32"/>
          <w:szCs w:val="32"/>
          <w:highlight w:val="none"/>
        </w:rPr>
      </w:pPr>
    </w:p>
    <w:p>
      <w:pPr>
        <w:pStyle w:val="18"/>
        <w:spacing w:line="360" w:lineRule="auto"/>
        <w:ind w:firstLine="643" w:firstLineChars="200"/>
        <w:jc w:val="center"/>
        <w:outlineLvl w:val="2"/>
        <w:rPr>
          <w:rFonts w:hAnsi="宋体" w:cs="宋体"/>
          <w:b/>
          <w:color w:val="auto"/>
          <w:sz w:val="32"/>
          <w:szCs w:val="32"/>
          <w:highlight w:val="none"/>
        </w:rPr>
      </w:pPr>
      <w:bookmarkStart w:id="510" w:name="_Toc23698"/>
      <w:r>
        <w:rPr>
          <w:rFonts w:hint="eastAsia" w:hAnsi="宋体" w:cs="宋体"/>
          <w:b/>
          <w:color w:val="auto"/>
          <w:sz w:val="32"/>
          <w:szCs w:val="32"/>
          <w:highlight w:val="none"/>
        </w:rPr>
        <w:t>目  录</w:t>
      </w:r>
      <w:bookmarkEnd w:id="510"/>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资格审查文件包含以下内容：</w:t>
      </w:r>
    </w:p>
    <w:p>
      <w:pPr>
        <w:pStyle w:val="6"/>
        <w:tabs>
          <w:tab w:val="left" w:pos="100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（一）法定代表人资格证明书原件及其授权委托书原件；</w:t>
      </w:r>
      <w:r>
        <w:rPr>
          <w:rFonts w:hint="eastAsia" w:ascii="宋体" w:hAnsi="宋体"/>
          <w:color w:val="auto"/>
          <w:sz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联合体牵头</w:t>
      </w:r>
      <w:r>
        <w:rPr>
          <w:rFonts w:hint="eastAsia" w:ascii="宋体" w:hAnsi="宋体" w:cs="宋体"/>
          <w:color w:val="auto"/>
          <w:sz w:val="24"/>
          <w:szCs w:val="24"/>
          <w:highlight w:val="none"/>
        </w:rPr>
        <w:t>方提供</w:t>
      </w:r>
      <w:r>
        <w:rPr>
          <w:rFonts w:hint="eastAsia" w:ascii="宋体" w:hAnsi="宋体"/>
          <w:color w:val="auto"/>
          <w:sz w:val="24"/>
          <w:highlight w:val="none"/>
        </w:rPr>
        <w:t>）</w:t>
      </w:r>
    </w:p>
    <w:p>
      <w:pPr>
        <w:pStyle w:val="6"/>
        <w:tabs>
          <w:tab w:val="left" w:pos="100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（二）企业营业执照副本；</w:t>
      </w:r>
      <w:r>
        <w:rPr>
          <w:rFonts w:hint="eastAsia" w:ascii="宋体" w:hAnsi="宋体"/>
          <w:color w:val="auto"/>
          <w:sz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联合体各</w:t>
      </w:r>
      <w:r>
        <w:rPr>
          <w:rFonts w:hint="eastAsia" w:ascii="宋体" w:hAnsi="宋体" w:cs="宋体"/>
          <w:color w:val="auto"/>
          <w:sz w:val="24"/>
          <w:szCs w:val="24"/>
          <w:highlight w:val="none"/>
        </w:rPr>
        <w:t>方提供</w:t>
      </w:r>
      <w:r>
        <w:rPr>
          <w:rFonts w:hint="eastAsia" w:ascii="宋体" w:hAnsi="宋体"/>
          <w:color w:val="auto"/>
          <w:sz w:val="24"/>
          <w:highlight w:val="none"/>
        </w:rPr>
        <w:t>）</w:t>
      </w:r>
    </w:p>
    <w:p>
      <w:pPr>
        <w:pStyle w:val="6"/>
        <w:tabs>
          <w:tab w:val="left" w:pos="100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（三）资质证书副本；</w:t>
      </w:r>
      <w:r>
        <w:rPr>
          <w:rFonts w:hint="eastAsia" w:ascii="宋体" w:hAnsi="宋体"/>
          <w:color w:val="auto"/>
          <w:sz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联合体各</w:t>
      </w:r>
      <w:r>
        <w:rPr>
          <w:rFonts w:hint="eastAsia" w:ascii="宋体" w:hAnsi="宋体" w:cs="宋体"/>
          <w:color w:val="auto"/>
          <w:sz w:val="24"/>
          <w:szCs w:val="24"/>
          <w:highlight w:val="none"/>
        </w:rPr>
        <w:t>方提供</w:t>
      </w:r>
      <w:r>
        <w:rPr>
          <w:rFonts w:hint="eastAsia" w:ascii="宋体" w:hAnsi="宋体"/>
          <w:color w:val="auto"/>
          <w:sz w:val="24"/>
          <w:highlight w:val="none"/>
        </w:rPr>
        <w:t>）</w:t>
      </w:r>
    </w:p>
    <w:p>
      <w:pPr>
        <w:pStyle w:val="6"/>
        <w:tabs>
          <w:tab w:val="left" w:pos="100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olor w:val="auto"/>
          <w:sz w:val="24"/>
          <w:highlight w:val="none"/>
        </w:rPr>
        <w:t>联合体协议书</w:t>
      </w:r>
      <w:r>
        <w:rPr>
          <w:rFonts w:hint="eastAsia" w:ascii="宋体" w:hAnsi="宋体" w:cs="宋体"/>
          <w:color w:val="auto"/>
          <w:sz w:val="24"/>
          <w:szCs w:val="24"/>
          <w:highlight w:val="none"/>
        </w:rPr>
        <w:t>原件</w:t>
      </w:r>
      <w:r>
        <w:rPr>
          <w:rFonts w:hint="eastAsia" w:ascii="宋体" w:hAnsi="宋体"/>
          <w:color w:val="auto"/>
          <w:sz w:val="24"/>
          <w:highlight w:val="none"/>
        </w:rPr>
        <w:t>（联合体投标提供）；</w:t>
      </w:r>
    </w:p>
    <w:p>
      <w:pPr>
        <w:pStyle w:val="6"/>
        <w:tabs>
          <w:tab w:val="left" w:pos="100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勘察、设计</w:t>
      </w:r>
      <w:r>
        <w:rPr>
          <w:rFonts w:hint="eastAsia" w:ascii="宋体" w:hAnsi="宋体" w:cs="宋体"/>
          <w:color w:val="auto"/>
          <w:sz w:val="24"/>
          <w:szCs w:val="24"/>
          <w:highlight w:val="none"/>
        </w:rPr>
        <w:t>项目负责人职称证书；</w:t>
      </w:r>
      <w:r>
        <w:rPr>
          <w:rFonts w:hint="eastAsia" w:ascii="宋体" w:hAnsi="宋体"/>
          <w:color w:val="auto"/>
          <w:sz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联合体各</w:t>
      </w:r>
      <w:r>
        <w:rPr>
          <w:rFonts w:hint="eastAsia" w:ascii="宋体" w:hAnsi="宋体" w:cs="宋体"/>
          <w:color w:val="auto"/>
          <w:sz w:val="24"/>
          <w:szCs w:val="24"/>
          <w:highlight w:val="none"/>
        </w:rPr>
        <w:t>方提供</w:t>
      </w:r>
      <w:r>
        <w:rPr>
          <w:rFonts w:hint="eastAsia" w:ascii="宋体" w:hAnsi="宋体"/>
          <w:color w:val="auto"/>
          <w:sz w:val="24"/>
          <w:highlight w:val="none"/>
        </w:rPr>
        <w:t>）</w:t>
      </w:r>
    </w:p>
    <w:p>
      <w:pPr>
        <w:pStyle w:val="6"/>
        <w:tabs>
          <w:tab w:val="left" w:pos="100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勘察、设计</w:t>
      </w:r>
      <w:r>
        <w:rPr>
          <w:rFonts w:hint="eastAsia" w:ascii="宋体" w:hAnsi="宋体" w:cs="宋体"/>
          <w:color w:val="auto"/>
          <w:sz w:val="24"/>
          <w:szCs w:val="24"/>
          <w:highlight w:val="none"/>
        </w:rPr>
        <w:t>项目负责人二代身份证；</w:t>
      </w:r>
      <w:r>
        <w:rPr>
          <w:rFonts w:hint="eastAsia" w:ascii="宋体" w:hAnsi="宋体"/>
          <w:color w:val="auto"/>
          <w:sz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联合体各</w:t>
      </w:r>
      <w:r>
        <w:rPr>
          <w:rFonts w:hint="eastAsia" w:ascii="宋体" w:hAnsi="宋体" w:cs="宋体"/>
          <w:color w:val="auto"/>
          <w:sz w:val="24"/>
          <w:szCs w:val="24"/>
          <w:highlight w:val="none"/>
        </w:rPr>
        <w:t>方提供</w:t>
      </w:r>
      <w:r>
        <w:rPr>
          <w:rFonts w:hint="eastAsia" w:ascii="宋体" w:hAnsi="宋体"/>
          <w:color w:val="auto"/>
          <w:sz w:val="24"/>
          <w:highlight w:val="none"/>
        </w:rPr>
        <w:t>）</w:t>
      </w:r>
    </w:p>
    <w:p>
      <w:pPr>
        <w:pStyle w:val="6"/>
        <w:tabs>
          <w:tab w:val="left" w:pos="1000"/>
        </w:tabs>
        <w:spacing w:line="360" w:lineRule="auto"/>
        <w:rPr>
          <w:rFonts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勘察、设计</w:t>
      </w:r>
      <w:r>
        <w:rPr>
          <w:rFonts w:hint="eastAsia" w:ascii="宋体" w:hAnsi="宋体" w:cs="宋体"/>
          <w:color w:val="auto"/>
          <w:sz w:val="24"/>
          <w:szCs w:val="24"/>
          <w:highlight w:val="none"/>
        </w:rPr>
        <w:t>项目负责人近三个月</w:t>
      </w:r>
      <w:r>
        <w:rPr>
          <w:rFonts w:hint="eastAsia" w:ascii="宋体" w:hAnsi="宋体" w:cs="宋体"/>
          <w:color w:val="auto"/>
          <w:sz w:val="24"/>
          <w:szCs w:val="24"/>
          <w:highlight w:val="none"/>
          <w:lang w:eastAsia="zh-CN"/>
        </w:rPr>
        <w:t>之一</w:t>
      </w:r>
      <w:r>
        <w:rPr>
          <w:rFonts w:hint="eastAsia" w:ascii="宋体" w:hAnsi="宋体"/>
          <w:color w:val="auto"/>
          <w:sz w:val="24"/>
          <w:highlight w:val="none"/>
        </w:rPr>
        <w:t>（202</w:t>
      </w:r>
      <w:r>
        <w:rPr>
          <w:rFonts w:hint="eastAsia" w:ascii="宋体" w:hAnsi="宋体"/>
          <w:color w:val="auto"/>
          <w:sz w:val="24"/>
          <w:highlight w:val="none"/>
          <w:lang w:val="en-US" w:eastAsia="zh-CN"/>
        </w:rPr>
        <w:t>1</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s="宋体"/>
          <w:color w:val="auto"/>
          <w:sz w:val="24"/>
          <w:szCs w:val="24"/>
          <w:highlight w:val="none"/>
        </w:rPr>
        <w:t>的社会保险凭证</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联合体各</w:t>
      </w:r>
      <w:r>
        <w:rPr>
          <w:rFonts w:hint="eastAsia" w:ascii="宋体" w:hAnsi="宋体" w:cs="宋体"/>
          <w:color w:val="auto"/>
          <w:sz w:val="24"/>
          <w:szCs w:val="24"/>
          <w:highlight w:val="none"/>
        </w:rPr>
        <w:t>方提供</w:t>
      </w:r>
      <w:r>
        <w:rPr>
          <w:rFonts w:hint="eastAsia" w:ascii="宋体" w:hAnsi="宋体"/>
          <w:color w:val="auto"/>
          <w:sz w:val="24"/>
          <w:highlight w:val="none"/>
        </w:rPr>
        <w:t>）</w:t>
      </w:r>
    </w:p>
    <w:p>
      <w:pPr>
        <w:pStyle w:val="6"/>
        <w:tabs>
          <w:tab w:val="left" w:pos="1000"/>
        </w:tabs>
        <w:spacing w:line="360" w:lineRule="auto"/>
        <w:rPr>
          <w:rFonts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w:t>
      </w:r>
      <w:r>
        <w:rPr>
          <w:rFonts w:hint="eastAsia" w:ascii="宋体" w:hAnsi="宋体"/>
          <w:color w:val="auto"/>
          <w:sz w:val="24"/>
          <w:highlight w:val="none"/>
        </w:rPr>
        <w:t>在“梅州市建筑市场诚信管理平台”办理企业登记的相关证明材料；省外企业提供已按要求在“进粤企业和人员诚信信息登记平台”录入相关信息的相关证明文件（提供网站截图</w:t>
      </w:r>
      <w:r>
        <w:rPr>
          <w:rFonts w:hint="eastAsia" w:ascii="宋体" w:hAnsi="宋体" w:cs="宋体"/>
          <w:color w:val="auto"/>
          <w:sz w:val="24"/>
          <w:szCs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联合体各</w:t>
      </w:r>
      <w:r>
        <w:rPr>
          <w:rFonts w:hint="eastAsia" w:ascii="宋体" w:hAnsi="宋体" w:cs="宋体"/>
          <w:color w:val="auto"/>
          <w:sz w:val="24"/>
          <w:szCs w:val="24"/>
          <w:highlight w:val="none"/>
        </w:rPr>
        <w:t>方提供</w:t>
      </w:r>
      <w:r>
        <w:rPr>
          <w:rFonts w:hint="eastAsia" w:ascii="宋体" w:hAnsi="宋体"/>
          <w:color w:val="auto"/>
          <w:sz w:val="24"/>
          <w:highlight w:val="none"/>
        </w:rPr>
        <w:t>）</w:t>
      </w:r>
      <w:r>
        <w:rPr>
          <w:rFonts w:hint="eastAsia" w:ascii="宋体" w:hAnsi="宋体" w:cs="宋体"/>
          <w:color w:val="auto"/>
          <w:sz w:val="24"/>
          <w:highlight w:val="none"/>
        </w:rPr>
        <w:t>；</w:t>
      </w:r>
    </w:p>
    <w:p>
      <w:pPr>
        <w:pStyle w:val="6"/>
        <w:tabs>
          <w:tab w:val="left" w:pos="1000"/>
        </w:tabs>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w:t>
      </w:r>
      <w:r>
        <w:rPr>
          <w:rFonts w:hint="eastAsia" w:ascii="宋体" w:hAnsi="宋体" w:cs="宋体"/>
          <w:color w:val="auto"/>
          <w:sz w:val="24"/>
          <w:highlight w:val="none"/>
        </w:rPr>
        <w:t>自20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至本项目投标登记截止时间止（以处罚或通报日期为准），企业和项目负责人在国家住房和城乡建设部“全国建筑市场监管公共服务平台”、“广东省建筑市场监管公共服务平台”、“梅州市住建局建筑市场诚信管理平台”上未有被限制参与投标的信息，提供</w:t>
      </w:r>
      <w:r>
        <w:rPr>
          <w:rFonts w:hint="eastAsia" w:ascii="宋体" w:hAnsi="宋体" w:cs="宋体"/>
          <w:b/>
          <w:bCs/>
          <w:color w:val="auto"/>
          <w:sz w:val="24"/>
          <w:highlight w:val="none"/>
        </w:rPr>
        <w:t>承诺书</w:t>
      </w:r>
      <w:r>
        <w:rPr>
          <w:rFonts w:hint="eastAsia" w:ascii="宋体" w:hAnsi="宋体" w:cs="宋体"/>
          <w:color w:val="auto"/>
          <w:sz w:val="24"/>
          <w:highlight w:val="none"/>
        </w:rPr>
        <w:t>；</w:t>
      </w:r>
      <w:r>
        <w:rPr>
          <w:rFonts w:hint="eastAsia" w:ascii="宋体" w:hAnsi="宋体"/>
          <w:color w:val="auto"/>
          <w:sz w:val="24"/>
          <w:highlight w:val="none"/>
          <w:lang w:val="en-US" w:eastAsia="zh-CN"/>
        </w:rPr>
        <w:t xml:space="preserve"> </w:t>
      </w:r>
    </w:p>
    <w:p>
      <w:pPr>
        <w:pStyle w:val="6"/>
        <w:tabs>
          <w:tab w:val="left" w:pos="1000"/>
        </w:tabs>
        <w:spacing w:line="360" w:lineRule="auto"/>
        <w:ind w:firstLine="0"/>
        <w:rPr>
          <w:rFonts w:ascii="宋体" w:hAnsi="宋体" w:cs="宋体"/>
          <w:b/>
          <w:color w:val="auto"/>
          <w:sz w:val="24"/>
          <w:highlight w:val="none"/>
        </w:rPr>
      </w:pPr>
    </w:p>
    <w:p>
      <w:pPr>
        <w:pStyle w:val="6"/>
        <w:tabs>
          <w:tab w:val="left" w:pos="1000"/>
        </w:tabs>
        <w:spacing w:line="360" w:lineRule="auto"/>
        <w:ind w:firstLine="0"/>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b/>
          <w:color w:val="auto"/>
          <w:sz w:val="24"/>
          <w:highlight w:val="none"/>
          <w:lang w:eastAsia="zh-CN"/>
        </w:rPr>
        <w:t>除（一）、（四）资料提供原件外，其它</w:t>
      </w:r>
      <w:r>
        <w:rPr>
          <w:rFonts w:hint="eastAsia" w:ascii="宋体" w:hAnsi="宋体" w:cs="宋体"/>
          <w:b/>
          <w:color w:val="auto"/>
          <w:sz w:val="24"/>
          <w:highlight w:val="none"/>
        </w:rPr>
        <w:t>资料提供复印件，加盖投标单位公章。</w:t>
      </w:r>
      <w:r>
        <w:rPr>
          <w:rFonts w:hint="eastAsia" w:ascii="宋体" w:hAnsi="宋体"/>
          <w:color w:val="auto"/>
          <w:sz w:val="24"/>
          <w:highlight w:val="none"/>
        </w:rPr>
        <w:t>（</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投标，盖联合体</w:t>
      </w:r>
      <w:r>
        <w:rPr>
          <w:rFonts w:hint="eastAsia" w:ascii="宋体" w:hAnsi="宋体" w:cs="宋体"/>
          <w:b/>
          <w:bCs/>
          <w:color w:val="auto"/>
          <w:sz w:val="24"/>
          <w:szCs w:val="24"/>
          <w:highlight w:val="none"/>
          <w:lang w:eastAsia="zh-CN"/>
        </w:rPr>
        <w:t>牵头</w:t>
      </w:r>
      <w:r>
        <w:rPr>
          <w:rFonts w:hint="eastAsia" w:ascii="宋体" w:hAnsi="宋体" w:cs="宋体"/>
          <w:b/>
          <w:bCs/>
          <w:color w:val="auto"/>
          <w:sz w:val="24"/>
          <w:szCs w:val="24"/>
          <w:highlight w:val="none"/>
        </w:rPr>
        <w:t>方</w:t>
      </w:r>
      <w:r>
        <w:rPr>
          <w:rFonts w:hint="eastAsia" w:ascii="宋体" w:hAnsi="宋体" w:cs="宋体"/>
          <w:color w:val="auto"/>
          <w:sz w:val="24"/>
          <w:szCs w:val="24"/>
          <w:highlight w:val="none"/>
          <w:lang w:eastAsia="zh-CN"/>
        </w:rPr>
        <w:t>公章</w:t>
      </w:r>
      <w:r>
        <w:rPr>
          <w:rFonts w:hint="eastAsia" w:ascii="宋体" w:hAnsi="宋体"/>
          <w:color w:val="auto"/>
          <w:sz w:val="24"/>
          <w:highlight w:val="none"/>
        </w:rPr>
        <w:t>）</w:t>
      </w:r>
    </w:p>
    <w:p>
      <w:pPr>
        <w:spacing w:after="100" w:afterAutospacing="1" w:line="360" w:lineRule="auto"/>
        <w:rPr>
          <w:rFonts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附表1：法定代表人资格证明书格式</w:t>
      </w:r>
    </w:p>
    <w:p>
      <w:pPr>
        <w:spacing w:after="100" w:afterAutospacing="1" w:line="360" w:lineRule="auto"/>
        <w:jc w:val="center"/>
        <w:outlineLvl w:val="2"/>
        <w:rPr>
          <w:rFonts w:ascii="宋体" w:hAnsi="宋体"/>
          <w:color w:val="auto"/>
          <w:sz w:val="32"/>
          <w:szCs w:val="32"/>
          <w:highlight w:val="none"/>
        </w:rPr>
      </w:pPr>
      <w:bookmarkStart w:id="511" w:name="_Toc30226"/>
      <w:r>
        <w:rPr>
          <w:rFonts w:hint="eastAsia" w:ascii="宋体" w:hAnsi="宋体" w:cs="宋体"/>
          <w:b/>
          <w:color w:val="auto"/>
          <w:sz w:val="32"/>
          <w:szCs w:val="32"/>
          <w:highlight w:val="none"/>
        </w:rPr>
        <w:t>法定代表人资格证明书</w:t>
      </w:r>
      <w:bookmarkEnd w:id="511"/>
    </w:p>
    <w:p>
      <w:pPr>
        <w:spacing w:line="60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单</w:t>
      </w:r>
      <w:r>
        <w:rPr>
          <w:rFonts w:hint="eastAsia" w:ascii="宋体" w:hAnsi="宋体"/>
          <w:color w:val="auto"/>
          <w:sz w:val="24"/>
          <w:szCs w:val="24"/>
          <w:highlight w:val="none"/>
        </w:rPr>
        <w:t>位名称：</w:t>
      </w:r>
    </w:p>
    <w:p>
      <w:pPr>
        <w:spacing w:line="6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w:t>
      </w:r>
    </w:p>
    <w:p>
      <w:pPr>
        <w:spacing w:line="6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姓    名：       性</w:t>
      </w:r>
      <w:r>
        <w:rPr>
          <w:rFonts w:hint="eastAsia" w:ascii="宋体" w:hAnsi="宋体" w:cs="宋体"/>
          <w:color w:val="auto"/>
          <w:sz w:val="24"/>
          <w:szCs w:val="24"/>
          <w:highlight w:val="none"/>
        </w:rPr>
        <w:t>别</w:t>
      </w:r>
      <w:r>
        <w:rPr>
          <w:rFonts w:hint="eastAsia" w:ascii="宋体" w:hAnsi="宋体"/>
          <w:color w:val="auto"/>
          <w:sz w:val="24"/>
          <w:szCs w:val="24"/>
          <w:highlight w:val="none"/>
        </w:rPr>
        <w:t>：       年</w:t>
      </w:r>
      <w:r>
        <w:rPr>
          <w:rFonts w:hint="eastAsia" w:ascii="宋体" w:hAnsi="宋体" w:cs="宋体"/>
          <w:color w:val="auto"/>
          <w:sz w:val="24"/>
          <w:szCs w:val="24"/>
          <w:highlight w:val="none"/>
        </w:rPr>
        <w:t>龄</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职务</w:t>
      </w:r>
      <w:r>
        <w:rPr>
          <w:rFonts w:hint="eastAsia" w:ascii="宋体" w:hAnsi="宋体"/>
          <w:color w:val="auto"/>
          <w:sz w:val="24"/>
          <w:szCs w:val="24"/>
          <w:highlight w:val="none"/>
        </w:rPr>
        <w:t>：</w:t>
      </w:r>
    </w:p>
    <w:p>
      <w:pPr>
        <w:spacing w:line="6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的法定代表人。</w:t>
      </w:r>
      <w:r>
        <w:rPr>
          <w:rFonts w:hint="eastAsia" w:ascii="宋体" w:hAnsi="宋体" w:cs="宋体"/>
          <w:color w:val="auto"/>
          <w:sz w:val="24"/>
          <w:szCs w:val="24"/>
          <w:highlight w:val="none"/>
        </w:rPr>
        <w:t>为</w:t>
      </w:r>
      <w:r>
        <w:rPr>
          <w:rFonts w:hint="eastAsia" w:ascii="宋体" w:hAnsi="宋体" w:cs="宋体"/>
          <w:b/>
          <w:color w:val="auto"/>
          <w:sz w:val="24"/>
          <w:szCs w:val="24"/>
          <w:highlight w:val="none"/>
          <w:u w:val="single"/>
          <w:lang w:eastAsia="zh-CN"/>
        </w:rPr>
        <w:t>大埔县白云大桥停车场及周边道路附属设施建设工程(勘察、设计)</w:t>
      </w:r>
      <w:r>
        <w:rPr>
          <w:rFonts w:hint="eastAsia" w:ascii="宋体" w:hAnsi="宋体" w:cs="宋体"/>
          <w:color w:val="auto"/>
          <w:sz w:val="24"/>
          <w:szCs w:val="24"/>
          <w:highlight w:val="none"/>
        </w:rPr>
        <w:t>签</w:t>
      </w:r>
      <w:r>
        <w:rPr>
          <w:rFonts w:hint="eastAsia" w:ascii="宋体" w:hAnsi="宋体"/>
          <w:color w:val="auto"/>
          <w:sz w:val="24"/>
          <w:szCs w:val="24"/>
          <w:highlight w:val="none"/>
        </w:rPr>
        <w:t>署上述投</w:t>
      </w:r>
      <w:r>
        <w:rPr>
          <w:rFonts w:hint="eastAsia" w:ascii="宋体" w:hAnsi="宋体" w:cs="宋体"/>
          <w:color w:val="auto"/>
          <w:sz w:val="24"/>
          <w:szCs w:val="24"/>
          <w:highlight w:val="none"/>
        </w:rPr>
        <w:t>标</w:t>
      </w:r>
      <w:r>
        <w:rPr>
          <w:rFonts w:hint="eastAsia" w:ascii="宋体" w:hAnsi="宋体"/>
          <w:color w:val="auto"/>
          <w:sz w:val="24"/>
          <w:szCs w:val="24"/>
          <w:highlight w:val="none"/>
        </w:rPr>
        <w:t>文件、</w:t>
      </w:r>
      <w:r>
        <w:rPr>
          <w:rFonts w:hint="eastAsia" w:ascii="宋体" w:hAnsi="宋体" w:cs="宋体"/>
          <w:color w:val="auto"/>
          <w:sz w:val="24"/>
          <w:szCs w:val="24"/>
          <w:highlight w:val="none"/>
        </w:rPr>
        <w:t>进</w:t>
      </w:r>
      <w:r>
        <w:rPr>
          <w:rFonts w:hint="eastAsia" w:ascii="宋体" w:hAnsi="宋体"/>
          <w:color w:val="auto"/>
          <w:sz w:val="24"/>
          <w:szCs w:val="24"/>
          <w:highlight w:val="none"/>
        </w:rPr>
        <w:t>行合同</w:t>
      </w:r>
      <w:r>
        <w:rPr>
          <w:rFonts w:hint="eastAsia" w:ascii="宋体" w:hAnsi="宋体" w:cs="宋体"/>
          <w:color w:val="auto"/>
          <w:sz w:val="24"/>
          <w:szCs w:val="24"/>
          <w:highlight w:val="none"/>
        </w:rPr>
        <w:t>谈</w:t>
      </w:r>
      <w:r>
        <w:rPr>
          <w:rFonts w:hint="eastAsia" w:ascii="宋体" w:hAnsi="宋体"/>
          <w:color w:val="auto"/>
          <w:sz w:val="24"/>
          <w:szCs w:val="24"/>
          <w:highlight w:val="none"/>
        </w:rPr>
        <w:t>判、</w:t>
      </w:r>
      <w:r>
        <w:rPr>
          <w:rFonts w:hint="eastAsia" w:ascii="宋体" w:hAnsi="宋体" w:cs="宋体"/>
          <w:color w:val="auto"/>
          <w:sz w:val="24"/>
          <w:szCs w:val="24"/>
          <w:highlight w:val="none"/>
        </w:rPr>
        <w:t>签</w:t>
      </w:r>
      <w:r>
        <w:rPr>
          <w:rFonts w:hint="eastAsia" w:ascii="宋体" w:hAnsi="宋体"/>
          <w:color w:val="auto"/>
          <w:sz w:val="24"/>
          <w:szCs w:val="24"/>
          <w:highlight w:val="none"/>
        </w:rPr>
        <w:t>署合同和</w:t>
      </w:r>
      <w:r>
        <w:rPr>
          <w:rFonts w:hint="eastAsia" w:ascii="宋体" w:hAnsi="宋体" w:cs="宋体"/>
          <w:color w:val="auto"/>
          <w:sz w:val="24"/>
          <w:szCs w:val="24"/>
          <w:highlight w:val="none"/>
        </w:rPr>
        <w:t>处</w:t>
      </w:r>
      <w:r>
        <w:rPr>
          <w:rFonts w:hint="eastAsia" w:ascii="宋体" w:hAnsi="宋体"/>
          <w:color w:val="auto"/>
          <w:sz w:val="24"/>
          <w:szCs w:val="24"/>
          <w:highlight w:val="none"/>
        </w:rPr>
        <w:t>理与之有</w:t>
      </w:r>
      <w:r>
        <w:rPr>
          <w:rFonts w:hint="eastAsia" w:ascii="宋体" w:hAnsi="宋体" w:cs="宋体"/>
          <w:color w:val="auto"/>
          <w:sz w:val="24"/>
          <w:szCs w:val="24"/>
          <w:highlight w:val="none"/>
        </w:rPr>
        <w:t>关</w:t>
      </w:r>
      <w:r>
        <w:rPr>
          <w:rFonts w:hint="eastAsia" w:ascii="宋体" w:hAnsi="宋体"/>
          <w:color w:val="auto"/>
          <w:sz w:val="24"/>
          <w:szCs w:val="24"/>
          <w:highlight w:val="none"/>
        </w:rPr>
        <w:t>的一切事</w:t>
      </w:r>
      <w:r>
        <w:rPr>
          <w:rFonts w:hint="eastAsia" w:ascii="宋体" w:hAnsi="宋体" w:cs="宋体"/>
          <w:color w:val="auto"/>
          <w:sz w:val="24"/>
          <w:szCs w:val="24"/>
          <w:highlight w:val="none"/>
        </w:rPr>
        <w:t>务</w:t>
      </w:r>
      <w:r>
        <w:rPr>
          <w:rFonts w:hint="eastAsia" w:ascii="宋体" w:hAnsi="宋体"/>
          <w:color w:val="auto"/>
          <w:sz w:val="24"/>
          <w:szCs w:val="24"/>
          <w:highlight w:val="none"/>
        </w:rPr>
        <w:t>。</w:t>
      </w:r>
    </w:p>
    <w:p>
      <w:pPr>
        <w:spacing w:line="6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w:t>
      </w:r>
      <w:r>
        <w:rPr>
          <w:rFonts w:hint="eastAsia" w:ascii="宋体" w:hAnsi="宋体" w:cs="宋体"/>
          <w:color w:val="auto"/>
          <w:sz w:val="24"/>
          <w:szCs w:val="24"/>
          <w:highlight w:val="none"/>
        </w:rPr>
        <w:t>证</w:t>
      </w:r>
      <w:r>
        <w:rPr>
          <w:rFonts w:hint="eastAsia" w:ascii="宋体" w:hAnsi="宋体"/>
          <w:color w:val="auto"/>
          <w:sz w:val="24"/>
          <w:szCs w:val="24"/>
          <w:highlight w:val="none"/>
        </w:rPr>
        <w:t>明。</w:t>
      </w:r>
    </w:p>
    <w:p>
      <w:pPr>
        <w:spacing w:line="6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备注：附法定代表人身份证复印件。</w:t>
      </w:r>
    </w:p>
    <w:p>
      <w:pPr>
        <w:spacing w:line="600" w:lineRule="exact"/>
        <w:ind w:firstLine="2760" w:firstLineChars="1150"/>
        <w:rPr>
          <w:rFonts w:ascii="宋体" w:hAnsi="宋体"/>
          <w:color w:val="auto"/>
          <w:sz w:val="24"/>
          <w:szCs w:val="24"/>
          <w:highlight w:val="none"/>
        </w:rPr>
      </w:pPr>
    </w:p>
    <w:p>
      <w:pPr>
        <w:spacing w:line="360" w:lineRule="auto"/>
        <w:ind w:firstLine="2760" w:firstLineChars="1150"/>
        <w:rPr>
          <w:rFonts w:ascii="宋体" w:hAnsi="宋体"/>
          <w:color w:val="auto"/>
          <w:sz w:val="24"/>
          <w:szCs w:val="24"/>
          <w:highlight w:val="none"/>
        </w:rPr>
      </w:pPr>
    </w:p>
    <w:p>
      <w:pPr>
        <w:spacing w:line="360" w:lineRule="auto"/>
        <w:ind w:firstLine="2760" w:firstLineChars="1150"/>
        <w:rPr>
          <w:rFonts w:ascii="宋体" w:hAnsi="宋体"/>
          <w:color w:val="auto"/>
          <w:sz w:val="24"/>
          <w:szCs w:val="24"/>
          <w:highlight w:val="none"/>
        </w:rPr>
      </w:pPr>
    </w:p>
    <w:p>
      <w:pPr>
        <w:spacing w:line="360" w:lineRule="auto"/>
        <w:ind w:firstLine="2760" w:firstLineChars="1150"/>
        <w:rPr>
          <w:rFonts w:ascii="宋体" w:hAnsi="宋体"/>
          <w:color w:val="auto"/>
          <w:sz w:val="24"/>
          <w:szCs w:val="24"/>
          <w:highlight w:val="none"/>
        </w:rPr>
      </w:pPr>
      <w:r>
        <w:rPr>
          <w:rFonts w:hint="eastAsia" w:ascii="宋体" w:hAnsi="宋体"/>
          <w:color w:val="auto"/>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eastAsia="zh-CN"/>
        </w:rPr>
        <w:t>人</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rPr>
        <w:t xml:space="preserve"> （盖单位公章） </w:t>
      </w:r>
    </w:p>
    <w:p>
      <w:pPr>
        <w:spacing w:line="360" w:lineRule="auto"/>
        <w:ind w:firstLine="2760" w:firstLineChars="1150"/>
        <w:rPr>
          <w:rFonts w:ascii="宋体" w:hAnsi="宋体"/>
          <w:color w:val="auto"/>
          <w:sz w:val="24"/>
          <w:szCs w:val="24"/>
          <w:highlight w:val="none"/>
        </w:rPr>
      </w:pPr>
    </w:p>
    <w:p>
      <w:pPr>
        <w:spacing w:line="360" w:lineRule="auto"/>
        <w:ind w:firstLine="2760" w:firstLineChars="1150"/>
        <w:rPr>
          <w:rFonts w:ascii="宋体" w:hAnsi="宋体"/>
          <w:color w:val="auto"/>
          <w:kern w:val="2"/>
          <w:sz w:val="24"/>
          <w:szCs w:val="24"/>
          <w:highlight w:val="none"/>
        </w:rPr>
      </w:pPr>
      <w:r>
        <w:rPr>
          <w:rFonts w:hint="eastAsia" w:ascii="宋体" w:hAnsi="宋体"/>
          <w:color w:val="auto"/>
          <w:sz w:val="24"/>
          <w:szCs w:val="24"/>
          <w:highlight w:val="none"/>
        </w:rPr>
        <w:t>日期：     年     月     日</w:t>
      </w:r>
    </w:p>
    <w:p>
      <w:pPr>
        <w:pStyle w:val="6"/>
        <w:tabs>
          <w:tab w:val="left" w:pos="1000"/>
        </w:tabs>
        <w:spacing w:line="360" w:lineRule="auto"/>
        <w:rPr>
          <w:rFonts w:ascii="宋体" w:hAnsi="宋体"/>
          <w:color w:val="auto"/>
          <w:szCs w:val="21"/>
          <w:highlight w:val="none"/>
        </w:rPr>
      </w:pPr>
    </w:p>
    <w:p>
      <w:pPr>
        <w:pStyle w:val="6"/>
        <w:tabs>
          <w:tab w:val="left" w:pos="1000"/>
        </w:tabs>
        <w:spacing w:line="360" w:lineRule="auto"/>
        <w:rPr>
          <w:rFonts w:ascii="宋体" w:hAnsi="宋体"/>
          <w:color w:val="auto"/>
          <w:szCs w:val="21"/>
          <w:highlight w:val="none"/>
        </w:rPr>
      </w:pPr>
    </w:p>
    <w:p>
      <w:pPr>
        <w:pStyle w:val="6"/>
        <w:tabs>
          <w:tab w:val="left" w:pos="1000"/>
        </w:tabs>
        <w:spacing w:line="360" w:lineRule="auto"/>
        <w:rPr>
          <w:rFonts w:ascii="宋体" w:hAnsi="宋体"/>
          <w:color w:val="auto"/>
          <w:szCs w:val="21"/>
          <w:highlight w:val="none"/>
        </w:rPr>
      </w:pPr>
    </w:p>
    <w:p>
      <w:pPr>
        <w:pStyle w:val="6"/>
        <w:tabs>
          <w:tab w:val="left" w:pos="1000"/>
        </w:tabs>
        <w:spacing w:line="360" w:lineRule="auto"/>
        <w:rPr>
          <w:rFonts w:ascii="宋体" w:hAnsi="宋体"/>
          <w:color w:val="auto"/>
          <w:szCs w:val="21"/>
          <w:highlight w:val="none"/>
        </w:rPr>
      </w:pPr>
    </w:p>
    <w:p>
      <w:pPr>
        <w:pStyle w:val="6"/>
        <w:tabs>
          <w:tab w:val="left" w:pos="1000"/>
        </w:tabs>
        <w:spacing w:line="360" w:lineRule="auto"/>
        <w:rPr>
          <w:rFonts w:ascii="宋体" w:hAnsi="宋体"/>
          <w:color w:val="auto"/>
          <w:szCs w:val="21"/>
          <w:highlight w:val="none"/>
        </w:rPr>
      </w:pPr>
    </w:p>
    <w:p>
      <w:pPr>
        <w:pStyle w:val="6"/>
        <w:tabs>
          <w:tab w:val="left" w:pos="1000"/>
        </w:tabs>
        <w:spacing w:line="360" w:lineRule="auto"/>
        <w:rPr>
          <w:rFonts w:ascii="宋体" w:hAnsi="宋体"/>
          <w:color w:val="auto"/>
          <w:szCs w:val="21"/>
          <w:highlight w:val="none"/>
        </w:rPr>
      </w:pPr>
    </w:p>
    <w:p>
      <w:pPr>
        <w:pStyle w:val="6"/>
        <w:tabs>
          <w:tab w:val="left" w:pos="1000"/>
        </w:tabs>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注：</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联合体</w:t>
      </w:r>
      <w:r>
        <w:rPr>
          <w:rFonts w:hint="eastAsia" w:ascii="宋体" w:hAnsi="宋体" w:cs="宋体"/>
          <w:b/>
          <w:bCs/>
          <w:color w:val="auto"/>
          <w:sz w:val="24"/>
          <w:szCs w:val="24"/>
          <w:highlight w:val="none"/>
          <w:lang w:eastAsia="zh-CN"/>
        </w:rPr>
        <w:t>牵头</w:t>
      </w:r>
      <w:r>
        <w:rPr>
          <w:rFonts w:hint="eastAsia" w:ascii="宋体" w:hAnsi="宋体" w:cs="宋体"/>
          <w:b/>
          <w:bCs/>
          <w:color w:val="auto"/>
          <w:sz w:val="24"/>
          <w:szCs w:val="24"/>
          <w:highlight w:val="none"/>
        </w:rPr>
        <w:t>方</w:t>
      </w: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eastAsia="zh-CN"/>
        </w:rPr>
        <w:t>。</w:t>
      </w:r>
    </w:p>
    <w:p>
      <w:pPr>
        <w:pStyle w:val="6"/>
        <w:tabs>
          <w:tab w:val="left" w:pos="1000"/>
        </w:tabs>
        <w:spacing w:line="360" w:lineRule="auto"/>
        <w:rPr>
          <w:rFonts w:ascii="宋体" w:hAnsi="宋体"/>
          <w:color w:val="auto"/>
          <w:szCs w:val="21"/>
          <w:highlight w:val="none"/>
        </w:rPr>
      </w:pPr>
    </w:p>
    <w:p>
      <w:pPr>
        <w:pStyle w:val="6"/>
        <w:tabs>
          <w:tab w:val="left" w:pos="1000"/>
        </w:tabs>
        <w:spacing w:line="360" w:lineRule="auto"/>
        <w:rPr>
          <w:rFonts w:ascii="宋体" w:hAnsi="宋体"/>
          <w:color w:val="auto"/>
          <w:szCs w:val="21"/>
          <w:highlight w:val="none"/>
        </w:rPr>
      </w:pPr>
    </w:p>
    <w:p>
      <w:pPr>
        <w:pStyle w:val="6"/>
        <w:tabs>
          <w:tab w:val="left" w:pos="1000"/>
        </w:tabs>
        <w:spacing w:line="360" w:lineRule="auto"/>
        <w:rPr>
          <w:rFonts w:ascii="宋体" w:hAnsi="宋体"/>
          <w:color w:val="auto"/>
          <w:szCs w:val="21"/>
          <w:highlight w:val="none"/>
        </w:rPr>
      </w:pPr>
    </w:p>
    <w:p>
      <w:pPr>
        <w:pStyle w:val="6"/>
        <w:tabs>
          <w:tab w:val="left" w:pos="1000"/>
        </w:tabs>
        <w:spacing w:line="360" w:lineRule="auto"/>
        <w:rPr>
          <w:rFonts w:ascii="宋体" w:hAnsi="宋体"/>
          <w:color w:val="auto"/>
          <w:szCs w:val="21"/>
          <w:highlight w:val="none"/>
        </w:rPr>
        <w:sectPr>
          <w:pgSz w:w="11906" w:h="16838"/>
          <w:pgMar w:top="1440" w:right="1080" w:bottom="1440" w:left="1080" w:header="851" w:footer="992" w:gutter="0"/>
          <w:pgNumType w:fmt="decimal"/>
          <w:cols w:space="720" w:num="1"/>
          <w:docGrid w:linePitch="312" w:charSpace="0"/>
        </w:sectPr>
      </w:pPr>
    </w:p>
    <w:p>
      <w:pPr>
        <w:spacing w:after="100" w:afterAutospacing="1" w:line="360" w:lineRule="auto"/>
        <w:rPr>
          <w:rFonts w:ascii="宋体" w:hAnsi="宋体"/>
          <w:color w:val="auto"/>
          <w:sz w:val="36"/>
          <w:szCs w:val="36"/>
          <w:highlight w:val="none"/>
        </w:rPr>
      </w:pPr>
      <w:r>
        <w:rPr>
          <w:rFonts w:hint="eastAsia" w:ascii="宋体" w:hAnsi="宋体" w:cs="宋体"/>
          <w:b/>
          <w:color w:val="auto"/>
          <w:sz w:val="24"/>
          <w:highlight w:val="none"/>
        </w:rPr>
        <w:t>附表2：授 权 委 托 书 格 式</w:t>
      </w:r>
    </w:p>
    <w:p>
      <w:pPr>
        <w:spacing w:after="100" w:afterAutospacing="1" w:line="360" w:lineRule="auto"/>
        <w:jc w:val="center"/>
        <w:outlineLvl w:val="2"/>
        <w:rPr>
          <w:rFonts w:ascii="宋体" w:hAnsi="宋体" w:cs="宋体"/>
          <w:b/>
          <w:color w:val="auto"/>
          <w:sz w:val="32"/>
          <w:szCs w:val="32"/>
          <w:highlight w:val="none"/>
        </w:rPr>
      </w:pPr>
      <w:bookmarkStart w:id="512" w:name="_Toc32695"/>
      <w:r>
        <w:rPr>
          <w:rFonts w:hint="eastAsia" w:ascii="宋体" w:hAnsi="宋体" w:cs="宋体"/>
          <w:b/>
          <w:color w:val="auto"/>
          <w:sz w:val="32"/>
          <w:szCs w:val="32"/>
          <w:highlight w:val="none"/>
        </w:rPr>
        <w:t>授 权 委 托 书</w:t>
      </w:r>
      <w:bookmarkEnd w:id="512"/>
    </w:p>
    <w:p>
      <w:pPr>
        <w:spacing w:line="60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大埔县城市管理和综合执法局</w:t>
      </w:r>
    </w:p>
    <w:p>
      <w:pPr>
        <w:spacing w:line="6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本授</w:t>
      </w:r>
      <w:r>
        <w:rPr>
          <w:rFonts w:hint="eastAsia" w:ascii="宋体" w:hAnsi="宋体" w:cs="宋体"/>
          <w:color w:val="auto"/>
          <w:sz w:val="24"/>
          <w:szCs w:val="24"/>
          <w:highlight w:val="none"/>
        </w:rPr>
        <w:t>权书</w:t>
      </w:r>
      <w:r>
        <w:rPr>
          <w:rFonts w:hint="eastAsia" w:ascii="宋体" w:hAnsi="宋体"/>
          <w:color w:val="auto"/>
          <w:sz w:val="24"/>
          <w:szCs w:val="24"/>
          <w:highlight w:val="none"/>
        </w:rPr>
        <w:t>宣告，在下面</w:t>
      </w:r>
      <w:r>
        <w:rPr>
          <w:rFonts w:hint="eastAsia" w:ascii="宋体" w:hAnsi="宋体" w:cs="宋体"/>
          <w:color w:val="auto"/>
          <w:sz w:val="24"/>
          <w:szCs w:val="24"/>
          <w:highlight w:val="none"/>
        </w:rPr>
        <w:t>签</w:t>
      </w:r>
      <w:r>
        <w:rPr>
          <w:rFonts w:hint="eastAsia" w:ascii="宋体" w:hAnsi="宋体"/>
          <w:color w:val="auto"/>
          <w:sz w:val="24"/>
          <w:szCs w:val="24"/>
          <w:highlight w:val="none"/>
        </w:rPr>
        <w:t>字的</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（法定代表人姓名）以法定代表人身份代表本</w:t>
      </w:r>
      <w:r>
        <w:rPr>
          <w:rFonts w:hint="eastAsia" w:ascii="宋体" w:hAnsi="宋体" w:cs="宋体"/>
          <w:color w:val="auto"/>
          <w:sz w:val="24"/>
          <w:szCs w:val="24"/>
          <w:highlight w:val="none"/>
        </w:rPr>
        <w:t>单</w:t>
      </w:r>
      <w:r>
        <w:rPr>
          <w:rFonts w:hint="eastAsia" w:ascii="宋体" w:hAnsi="宋体"/>
          <w:color w:val="auto"/>
          <w:sz w:val="24"/>
          <w:szCs w:val="24"/>
          <w:highlight w:val="none"/>
        </w:rPr>
        <w:t>位授</w:t>
      </w:r>
      <w:r>
        <w:rPr>
          <w:rFonts w:hint="eastAsia" w:ascii="宋体" w:hAnsi="宋体" w:cs="宋体"/>
          <w:color w:val="auto"/>
          <w:sz w:val="24"/>
          <w:szCs w:val="24"/>
          <w:highlight w:val="none"/>
        </w:rPr>
        <w:t>权；</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（授权委托人姓名），其身份证号码为</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，作为</w:t>
      </w:r>
      <w:r>
        <w:rPr>
          <w:rFonts w:hint="eastAsia" w:ascii="宋体" w:hAnsi="宋体"/>
          <w:color w:val="auto"/>
          <w:sz w:val="24"/>
          <w:szCs w:val="24"/>
          <w:highlight w:val="none"/>
        </w:rPr>
        <w:t>本</w:t>
      </w:r>
      <w:r>
        <w:rPr>
          <w:rFonts w:hint="eastAsia" w:ascii="宋体" w:hAnsi="宋体" w:cs="宋体"/>
          <w:color w:val="auto"/>
          <w:sz w:val="24"/>
          <w:szCs w:val="24"/>
          <w:highlight w:val="none"/>
        </w:rPr>
        <w:t>单</w:t>
      </w:r>
      <w:r>
        <w:rPr>
          <w:rFonts w:hint="eastAsia" w:ascii="宋体" w:hAnsi="宋体"/>
          <w:color w:val="auto"/>
          <w:sz w:val="24"/>
          <w:szCs w:val="24"/>
          <w:highlight w:val="none"/>
        </w:rPr>
        <w:t>位的合法授</w:t>
      </w:r>
      <w:r>
        <w:rPr>
          <w:rFonts w:hint="eastAsia" w:ascii="宋体" w:hAnsi="宋体" w:cs="宋体"/>
          <w:color w:val="auto"/>
          <w:sz w:val="24"/>
          <w:szCs w:val="24"/>
          <w:highlight w:val="none"/>
        </w:rPr>
        <w:t>权</w:t>
      </w:r>
      <w:r>
        <w:rPr>
          <w:rFonts w:hint="eastAsia" w:ascii="宋体" w:hAnsi="宋体"/>
          <w:color w:val="auto"/>
          <w:sz w:val="24"/>
          <w:szCs w:val="24"/>
          <w:highlight w:val="none"/>
        </w:rPr>
        <w:t>代表，授</w:t>
      </w:r>
      <w:r>
        <w:rPr>
          <w:rFonts w:hint="eastAsia" w:ascii="宋体" w:hAnsi="宋体" w:cs="宋体"/>
          <w:color w:val="auto"/>
          <w:sz w:val="24"/>
          <w:szCs w:val="24"/>
          <w:highlight w:val="none"/>
        </w:rPr>
        <w:t>权</w:t>
      </w:r>
      <w:r>
        <w:rPr>
          <w:rFonts w:hint="eastAsia" w:ascii="宋体" w:hAnsi="宋体"/>
          <w:color w:val="auto"/>
          <w:sz w:val="24"/>
          <w:szCs w:val="24"/>
          <w:highlight w:val="none"/>
        </w:rPr>
        <w:t>其在</w:t>
      </w:r>
      <w:r>
        <w:rPr>
          <w:rFonts w:hint="eastAsia" w:ascii="宋体" w:hAnsi="宋体"/>
          <w:b/>
          <w:color w:val="auto"/>
          <w:sz w:val="24"/>
          <w:szCs w:val="24"/>
          <w:highlight w:val="none"/>
          <w:u w:val="single"/>
          <w:lang w:eastAsia="zh-CN"/>
        </w:rPr>
        <w:t>大埔县白云大桥停车场及周边道路附属设施建设工程(勘察、设计)</w:t>
      </w:r>
      <w:r>
        <w:rPr>
          <w:rFonts w:hint="eastAsia" w:ascii="宋体" w:hAnsi="宋体"/>
          <w:color w:val="auto"/>
          <w:sz w:val="24"/>
          <w:szCs w:val="24"/>
          <w:highlight w:val="none"/>
        </w:rPr>
        <w:t>招</w:t>
      </w:r>
      <w:r>
        <w:rPr>
          <w:rFonts w:hint="eastAsia" w:ascii="宋体" w:hAnsi="宋体" w:cs="宋体"/>
          <w:color w:val="auto"/>
          <w:sz w:val="24"/>
          <w:szCs w:val="24"/>
          <w:highlight w:val="none"/>
        </w:rPr>
        <w:t>标</w:t>
      </w:r>
      <w:r>
        <w:rPr>
          <w:rFonts w:hint="eastAsia" w:ascii="宋体" w:hAnsi="宋体"/>
          <w:color w:val="auto"/>
          <w:sz w:val="24"/>
          <w:szCs w:val="24"/>
          <w:highlight w:val="none"/>
        </w:rPr>
        <w:t>活</w:t>
      </w:r>
      <w:r>
        <w:rPr>
          <w:rFonts w:hint="eastAsia" w:ascii="宋体" w:hAnsi="宋体" w:cs="宋体"/>
          <w:color w:val="auto"/>
          <w:sz w:val="24"/>
          <w:szCs w:val="24"/>
          <w:highlight w:val="none"/>
        </w:rPr>
        <w:t>动</w:t>
      </w:r>
      <w:r>
        <w:rPr>
          <w:rFonts w:hint="eastAsia" w:ascii="宋体" w:hAnsi="宋体"/>
          <w:color w:val="auto"/>
          <w:sz w:val="24"/>
          <w:szCs w:val="24"/>
          <w:highlight w:val="none"/>
        </w:rPr>
        <w:t>中，以本</w:t>
      </w:r>
      <w:r>
        <w:rPr>
          <w:rFonts w:hint="eastAsia" w:ascii="宋体" w:hAnsi="宋体" w:cs="宋体"/>
          <w:color w:val="auto"/>
          <w:sz w:val="24"/>
          <w:szCs w:val="24"/>
          <w:highlight w:val="none"/>
        </w:rPr>
        <w:t>单</w:t>
      </w:r>
      <w:r>
        <w:rPr>
          <w:rFonts w:hint="eastAsia" w:ascii="宋体" w:hAnsi="宋体"/>
          <w:color w:val="auto"/>
          <w:sz w:val="24"/>
          <w:szCs w:val="24"/>
          <w:highlight w:val="none"/>
        </w:rPr>
        <w:t>位的名</w:t>
      </w:r>
      <w:r>
        <w:rPr>
          <w:rFonts w:hint="eastAsia" w:ascii="宋体" w:hAnsi="宋体" w:cs="宋体"/>
          <w:color w:val="auto"/>
          <w:sz w:val="24"/>
          <w:szCs w:val="24"/>
          <w:highlight w:val="none"/>
        </w:rPr>
        <w:t>义</w:t>
      </w:r>
      <w:r>
        <w:rPr>
          <w:rFonts w:hint="eastAsia" w:ascii="宋体" w:hAnsi="宋体"/>
          <w:color w:val="auto"/>
          <w:sz w:val="24"/>
          <w:szCs w:val="24"/>
          <w:highlight w:val="none"/>
        </w:rPr>
        <w:t>，并代表本人与你</w:t>
      </w:r>
      <w:r>
        <w:rPr>
          <w:rFonts w:hint="eastAsia" w:ascii="宋体" w:hAnsi="宋体" w:cs="宋体"/>
          <w:color w:val="auto"/>
          <w:sz w:val="24"/>
          <w:szCs w:val="24"/>
          <w:highlight w:val="none"/>
        </w:rPr>
        <w:t>们进</w:t>
      </w:r>
      <w:r>
        <w:rPr>
          <w:rFonts w:hint="eastAsia" w:ascii="宋体" w:hAnsi="宋体"/>
          <w:color w:val="auto"/>
          <w:sz w:val="24"/>
          <w:szCs w:val="24"/>
          <w:highlight w:val="none"/>
        </w:rPr>
        <w:t>行磋商、</w:t>
      </w:r>
      <w:r>
        <w:rPr>
          <w:rFonts w:hint="eastAsia" w:ascii="宋体" w:hAnsi="宋体" w:cs="宋体"/>
          <w:color w:val="auto"/>
          <w:sz w:val="24"/>
          <w:szCs w:val="24"/>
          <w:highlight w:val="none"/>
        </w:rPr>
        <w:t>签</w:t>
      </w:r>
      <w:r>
        <w:rPr>
          <w:rFonts w:hint="eastAsia" w:ascii="宋体" w:hAnsi="宋体"/>
          <w:color w:val="auto"/>
          <w:sz w:val="24"/>
          <w:szCs w:val="24"/>
          <w:highlight w:val="none"/>
        </w:rPr>
        <w:t>署文件和</w:t>
      </w:r>
      <w:r>
        <w:rPr>
          <w:rFonts w:hint="eastAsia" w:ascii="宋体" w:hAnsi="宋体" w:cs="宋体"/>
          <w:color w:val="auto"/>
          <w:sz w:val="24"/>
          <w:szCs w:val="24"/>
          <w:highlight w:val="none"/>
        </w:rPr>
        <w:t>处</w:t>
      </w:r>
      <w:r>
        <w:rPr>
          <w:rFonts w:hint="eastAsia" w:ascii="宋体" w:hAnsi="宋体"/>
          <w:color w:val="auto"/>
          <w:sz w:val="24"/>
          <w:szCs w:val="24"/>
          <w:highlight w:val="none"/>
        </w:rPr>
        <w:t>理一切与此事有</w:t>
      </w:r>
      <w:r>
        <w:rPr>
          <w:rFonts w:hint="eastAsia" w:ascii="宋体" w:hAnsi="宋体" w:cs="宋体"/>
          <w:color w:val="auto"/>
          <w:sz w:val="24"/>
          <w:szCs w:val="24"/>
          <w:highlight w:val="none"/>
        </w:rPr>
        <w:t>关</w:t>
      </w:r>
      <w:r>
        <w:rPr>
          <w:rFonts w:hint="eastAsia" w:ascii="宋体" w:hAnsi="宋体"/>
          <w:color w:val="auto"/>
          <w:sz w:val="24"/>
          <w:szCs w:val="24"/>
          <w:highlight w:val="none"/>
        </w:rPr>
        <w:t>的事</w:t>
      </w:r>
      <w:r>
        <w:rPr>
          <w:rFonts w:hint="eastAsia" w:ascii="宋体" w:hAnsi="宋体" w:cs="宋体"/>
          <w:color w:val="auto"/>
          <w:sz w:val="24"/>
          <w:szCs w:val="24"/>
          <w:highlight w:val="none"/>
        </w:rPr>
        <w:t>务</w:t>
      </w:r>
      <w:r>
        <w:rPr>
          <w:rFonts w:hint="eastAsia" w:ascii="宋体" w:hAnsi="宋体"/>
          <w:color w:val="auto"/>
          <w:sz w:val="24"/>
          <w:szCs w:val="24"/>
          <w:highlight w:val="none"/>
        </w:rPr>
        <w:t>。授</w:t>
      </w:r>
      <w:r>
        <w:rPr>
          <w:rFonts w:hint="eastAsia" w:ascii="宋体" w:hAnsi="宋体" w:cs="宋体"/>
          <w:color w:val="auto"/>
          <w:sz w:val="24"/>
          <w:szCs w:val="24"/>
          <w:highlight w:val="none"/>
        </w:rPr>
        <w:t>权</w:t>
      </w:r>
      <w:r>
        <w:rPr>
          <w:rFonts w:hint="eastAsia" w:ascii="宋体" w:hAnsi="宋体"/>
          <w:color w:val="auto"/>
          <w:sz w:val="24"/>
          <w:szCs w:val="24"/>
          <w:highlight w:val="none"/>
        </w:rPr>
        <w:t>代表的一切行</w:t>
      </w:r>
      <w:r>
        <w:rPr>
          <w:rFonts w:hint="eastAsia" w:ascii="宋体" w:hAnsi="宋体" w:cs="宋体"/>
          <w:color w:val="auto"/>
          <w:sz w:val="24"/>
          <w:szCs w:val="24"/>
          <w:highlight w:val="none"/>
        </w:rPr>
        <w:t>为</w:t>
      </w:r>
      <w:r>
        <w:rPr>
          <w:rFonts w:hint="eastAsia" w:ascii="宋体" w:hAnsi="宋体"/>
          <w:color w:val="auto"/>
          <w:sz w:val="24"/>
          <w:szCs w:val="24"/>
          <w:highlight w:val="none"/>
        </w:rPr>
        <w:t>均代表本</w:t>
      </w:r>
      <w:r>
        <w:rPr>
          <w:rFonts w:hint="eastAsia" w:ascii="宋体" w:hAnsi="宋体" w:cs="宋体"/>
          <w:color w:val="auto"/>
          <w:sz w:val="24"/>
          <w:szCs w:val="24"/>
          <w:highlight w:val="none"/>
        </w:rPr>
        <w:t>单</w:t>
      </w:r>
      <w:r>
        <w:rPr>
          <w:rFonts w:hint="eastAsia" w:ascii="宋体" w:hAnsi="宋体"/>
          <w:color w:val="auto"/>
          <w:sz w:val="24"/>
          <w:szCs w:val="24"/>
          <w:highlight w:val="none"/>
        </w:rPr>
        <w:t>位，与本人的行</w:t>
      </w:r>
      <w:r>
        <w:rPr>
          <w:rFonts w:hint="eastAsia" w:ascii="宋体" w:hAnsi="宋体" w:cs="宋体"/>
          <w:color w:val="auto"/>
          <w:sz w:val="24"/>
          <w:szCs w:val="24"/>
          <w:highlight w:val="none"/>
        </w:rPr>
        <w:t>为</w:t>
      </w:r>
      <w:r>
        <w:rPr>
          <w:rFonts w:hint="eastAsia" w:ascii="宋体" w:hAnsi="宋体"/>
          <w:color w:val="auto"/>
          <w:sz w:val="24"/>
          <w:szCs w:val="24"/>
          <w:highlight w:val="none"/>
        </w:rPr>
        <w:t>具有同等法律效力。本</w:t>
      </w:r>
      <w:r>
        <w:rPr>
          <w:rFonts w:hint="eastAsia" w:ascii="宋体" w:hAnsi="宋体" w:cs="宋体"/>
          <w:color w:val="auto"/>
          <w:sz w:val="24"/>
          <w:szCs w:val="24"/>
          <w:highlight w:val="none"/>
        </w:rPr>
        <w:t>单</w:t>
      </w:r>
      <w:r>
        <w:rPr>
          <w:rFonts w:hint="eastAsia" w:ascii="宋体" w:hAnsi="宋体"/>
          <w:color w:val="auto"/>
          <w:sz w:val="24"/>
          <w:szCs w:val="24"/>
          <w:highlight w:val="none"/>
        </w:rPr>
        <w:t>位将承担授</w:t>
      </w:r>
      <w:r>
        <w:rPr>
          <w:rFonts w:hint="eastAsia" w:ascii="宋体" w:hAnsi="宋体" w:cs="宋体"/>
          <w:color w:val="auto"/>
          <w:sz w:val="24"/>
          <w:szCs w:val="24"/>
          <w:highlight w:val="none"/>
        </w:rPr>
        <w:t>权</w:t>
      </w:r>
      <w:r>
        <w:rPr>
          <w:rFonts w:hint="eastAsia" w:ascii="宋体" w:hAnsi="宋体"/>
          <w:color w:val="auto"/>
          <w:sz w:val="24"/>
          <w:szCs w:val="24"/>
          <w:highlight w:val="none"/>
        </w:rPr>
        <w:t>代表行</w:t>
      </w:r>
      <w:r>
        <w:rPr>
          <w:rFonts w:hint="eastAsia" w:ascii="宋体" w:hAnsi="宋体" w:cs="宋体"/>
          <w:color w:val="auto"/>
          <w:sz w:val="24"/>
          <w:szCs w:val="24"/>
          <w:highlight w:val="none"/>
        </w:rPr>
        <w:t>为</w:t>
      </w:r>
      <w:r>
        <w:rPr>
          <w:rFonts w:hint="eastAsia" w:ascii="宋体" w:hAnsi="宋体"/>
          <w:color w:val="auto"/>
          <w:sz w:val="24"/>
          <w:szCs w:val="24"/>
          <w:highlight w:val="none"/>
        </w:rPr>
        <w:t>的全部法律</w:t>
      </w:r>
      <w:r>
        <w:rPr>
          <w:rFonts w:hint="eastAsia" w:ascii="宋体" w:hAnsi="宋体" w:cs="宋体"/>
          <w:color w:val="auto"/>
          <w:sz w:val="24"/>
          <w:szCs w:val="24"/>
          <w:highlight w:val="none"/>
        </w:rPr>
        <w:t>责</w:t>
      </w:r>
      <w:r>
        <w:rPr>
          <w:rFonts w:hint="eastAsia" w:ascii="宋体" w:hAnsi="宋体"/>
          <w:color w:val="auto"/>
          <w:sz w:val="24"/>
          <w:szCs w:val="24"/>
          <w:highlight w:val="none"/>
        </w:rPr>
        <w:t>任和后果。</w:t>
      </w:r>
    </w:p>
    <w:p>
      <w:pPr>
        <w:spacing w:line="600" w:lineRule="exact"/>
        <w:rPr>
          <w:rFonts w:ascii="宋体" w:hAnsi="宋体"/>
          <w:color w:val="auto"/>
          <w:sz w:val="24"/>
          <w:szCs w:val="24"/>
          <w:highlight w:val="none"/>
        </w:rPr>
      </w:pPr>
      <w:r>
        <w:rPr>
          <w:rFonts w:hint="eastAsia" w:ascii="宋体" w:hAnsi="宋体"/>
          <w:color w:val="auto"/>
          <w:sz w:val="24"/>
          <w:szCs w:val="24"/>
          <w:highlight w:val="none"/>
        </w:rPr>
        <w:t xml:space="preserve">    本授权委托书期限自</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日止。</w:t>
      </w:r>
    </w:p>
    <w:p>
      <w:pPr>
        <w:spacing w:line="6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授</w:t>
      </w:r>
      <w:r>
        <w:rPr>
          <w:rFonts w:hint="eastAsia" w:ascii="宋体" w:hAnsi="宋体" w:cs="宋体"/>
          <w:color w:val="auto"/>
          <w:sz w:val="24"/>
          <w:szCs w:val="24"/>
          <w:highlight w:val="none"/>
        </w:rPr>
        <w:t>权</w:t>
      </w:r>
      <w:r>
        <w:rPr>
          <w:rFonts w:hint="eastAsia" w:ascii="宋体" w:hAnsi="宋体"/>
          <w:color w:val="auto"/>
          <w:sz w:val="24"/>
          <w:szCs w:val="24"/>
          <w:highlight w:val="none"/>
        </w:rPr>
        <w:t>代表无</w:t>
      </w:r>
      <w:r>
        <w:rPr>
          <w:rFonts w:hint="eastAsia" w:ascii="宋体" w:hAnsi="宋体" w:cs="宋体"/>
          <w:color w:val="auto"/>
          <w:sz w:val="24"/>
          <w:szCs w:val="24"/>
          <w:highlight w:val="none"/>
        </w:rPr>
        <w:t>权转让</w:t>
      </w:r>
      <w:r>
        <w:rPr>
          <w:rFonts w:hint="eastAsia" w:ascii="宋体" w:hAnsi="宋体"/>
          <w:color w:val="auto"/>
          <w:sz w:val="24"/>
          <w:szCs w:val="24"/>
          <w:highlight w:val="none"/>
        </w:rPr>
        <w:t>委托</w:t>
      </w:r>
      <w:r>
        <w:rPr>
          <w:rFonts w:hint="eastAsia" w:ascii="宋体" w:hAnsi="宋体" w:cs="宋体"/>
          <w:color w:val="auto"/>
          <w:sz w:val="24"/>
          <w:szCs w:val="24"/>
          <w:highlight w:val="none"/>
        </w:rPr>
        <w:t>权</w:t>
      </w:r>
      <w:r>
        <w:rPr>
          <w:rFonts w:hint="eastAsia" w:ascii="宋体" w:hAnsi="宋体"/>
          <w:color w:val="auto"/>
          <w:sz w:val="24"/>
          <w:szCs w:val="24"/>
          <w:highlight w:val="none"/>
        </w:rPr>
        <w:t>，特此委托。</w:t>
      </w:r>
    </w:p>
    <w:p>
      <w:pPr>
        <w:spacing w:line="6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备注：附授权委托人身份证复印件。</w:t>
      </w:r>
    </w:p>
    <w:p>
      <w:pPr>
        <w:spacing w:line="600" w:lineRule="exact"/>
        <w:rPr>
          <w:rFonts w:ascii="宋体" w:hAnsi="宋体"/>
          <w:color w:val="auto"/>
          <w:sz w:val="24"/>
          <w:szCs w:val="24"/>
          <w:highlight w:val="none"/>
        </w:rPr>
      </w:pPr>
    </w:p>
    <w:p>
      <w:pPr>
        <w:spacing w:line="600" w:lineRule="exact"/>
        <w:rPr>
          <w:rFonts w:ascii="宋体" w:hAnsi="宋体"/>
          <w:color w:val="auto"/>
          <w:sz w:val="24"/>
          <w:szCs w:val="24"/>
          <w:highlight w:val="none"/>
        </w:rPr>
      </w:pPr>
    </w:p>
    <w:p>
      <w:pPr>
        <w:spacing w:line="600" w:lineRule="exact"/>
        <w:ind w:firstLine="480" w:firstLineChars="200"/>
        <w:rPr>
          <w:rFonts w:ascii="宋体" w:hAnsi="宋体"/>
          <w:color w:val="auto"/>
          <w:sz w:val="24"/>
          <w:szCs w:val="24"/>
          <w:highlight w:val="none"/>
          <w:u w:val="none"/>
        </w:rPr>
      </w:pPr>
      <w:r>
        <w:rPr>
          <w:rFonts w:hint="eastAsia" w:ascii="宋体" w:hAnsi="宋体"/>
          <w:color w:val="auto"/>
          <w:sz w:val="24"/>
          <w:szCs w:val="24"/>
          <w:highlight w:val="none"/>
        </w:rPr>
        <w:t>投</w:t>
      </w:r>
      <w:r>
        <w:rPr>
          <w:rFonts w:hint="eastAsia" w:ascii="宋体" w:hAnsi="宋体" w:cs="宋体"/>
          <w:color w:val="auto"/>
          <w:sz w:val="24"/>
          <w:szCs w:val="24"/>
          <w:highlight w:val="none"/>
        </w:rPr>
        <w:t>标</w:t>
      </w:r>
      <w:r>
        <w:rPr>
          <w:rFonts w:hint="eastAsia" w:ascii="宋体" w:hAnsi="宋体"/>
          <w:color w:val="auto"/>
          <w:sz w:val="24"/>
          <w:szCs w:val="24"/>
          <w:highlight w:val="none"/>
        </w:rPr>
        <w:t>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rPr>
        <w:t xml:space="preserve">（盖单位公章）              </w:t>
      </w:r>
    </w:p>
    <w:p>
      <w:pPr>
        <w:spacing w:line="6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单位负责人姓名：</w:t>
      </w:r>
      <w:r>
        <w:rPr>
          <w:rFonts w:hint="eastAsia" w:ascii="宋体" w:hAnsi="宋体"/>
          <w:color w:val="auto"/>
          <w:sz w:val="24"/>
          <w:szCs w:val="24"/>
          <w:highlight w:val="none"/>
          <w:u w:val="single"/>
        </w:rPr>
        <w:t xml:space="preserve">       （签字）        </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职务</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spacing w:line="6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授</w:t>
      </w:r>
      <w:r>
        <w:rPr>
          <w:rFonts w:hint="eastAsia" w:ascii="宋体" w:hAnsi="宋体" w:cs="宋体"/>
          <w:color w:val="auto"/>
          <w:sz w:val="24"/>
          <w:szCs w:val="24"/>
          <w:highlight w:val="none"/>
        </w:rPr>
        <w:t>权</w:t>
      </w:r>
      <w:r>
        <w:rPr>
          <w:rFonts w:hint="eastAsia" w:ascii="宋体" w:hAnsi="宋体"/>
          <w:color w:val="auto"/>
          <w:sz w:val="24"/>
          <w:szCs w:val="24"/>
          <w:highlight w:val="none"/>
        </w:rPr>
        <w:t>委托人姓名：</w:t>
      </w:r>
      <w:r>
        <w:rPr>
          <w:rFonts w:hint="eastAsia" w:ascii="宋体" w:hAnsi="宋体"/>
          <w:color w:val="auto"/>
          <w:sz w:val="24"/>
          <w:szCs w:val="24"/>
          <w:highlight w:val="none"/>
          <w:u w:val="single"/>
        </w:rPr>
        <w:t xml:space="preserve">        （签字）       </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职务</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spacing w:line="600" w:lineRule="exact"/>
        <w:rPr>
          <w:rFonts w:ascii="宋体" w:hAnsi="宋体"/>
          <w:color w:val="auto"/>
          <w:sz w:val="24"/>
          <w:szCs w:val="24"/>
          <w:highlight w:val="none"/>
        </w:rPr>
      </w:pPr>
      <w:r>
        <w:rPr>
          <w:rFonts w:hint="eastAsia" w:ascii="宋体" w:hAnsi="宋体"/>
          <w:color w:val="auto"/>
          <w:sz w:val="24"/>
          <w:szCs w:val="24"/>
          <w:highlight w:val="none"/>
        </w:rPr>
        <w:t xml:space="preserve">    日期：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pStyle w:val="6"/>
        <w:tabs>
          <w:tab w:val="left" w:pos="1000"/>
        </w:tabs>
        <w:spacing w:line="360" w:lineRule="auto"/>
        <w:ind w:firstLine="0"/>
        <w:rPr>
          <w:rFonts w:ascii="宋体" w:hAnsi="宋体" w:cs="宋体"/>
          <w:b/>
          <w:color w:val="auto"/>
          <w:sz w:val="24"/>
          <w:szCs w:val="24"/>
          <w:highlight w:val="none"/>
        </w:rPr>
      </w:pPr>
    </w:p>
    <w:p>
      <w:pPr>
        <w:pStyle w:val="6"/>
        <w:tabs>
          <w:tab w:val="left" w:pos="1000"/>
        </w:tabs>
        <w:spacing w:line="360" w:lineRule="auto"/>
        <w:rPr>
          <w:rFonts w:ascii="宋体" w:hAnsi="宋体" w:cs="宋体"/>
          <w:color w:val="auto"/>
          <w:sz w:val="24"/>
          <w:highlight w:val="none"/>
        </w:rPr>
      </w:pPr>
    </w:p>
    <w:p>
      <w:pPr>
        <w:pStyle w:val="6"/>
        <w:tabs>
          <w:tab w:val="left" w:pos="1000"/>
        </w:tabs>
        <w:spacing w:line="360" w:lineRule="auto"/>
        <w:rPr>
          <w:rFonts w:hint="eastAsia" w:ascii="宋体" w:hAnsi="宋体" w:cs="宋体"/>
          <w:color w:val="auto"/>
          <w:sz w:val="24"/>
          <w:szCs w:val="24"/>
          <w:highlight w:val="none"/>
          <w:lang w:eastAsia="zh-CN"/>
        </w:rPr>
        <w:sectPr>
          <w:pgSz w:w="11906" w:h="16838"/>
          <w:pgMar w:top="1440" w:right="1080" w:bottom="1440" w:left="1080" w:header="851" w:footer="992" w:gutter="0"/>
          <w:pgNumType w:fmt="decimal"/>
          <w:cols w:space="720" w:num="1"/>
          <w:docGrid w:linePitch="312" w:charSpace="0"/>
        </w:sectPr>
      </w:pPr>
      <w:r>
        <w:rPr>
          <w:rFonts w:hint="eastAsia" w:ascii="宋体" w:hAnsi="宋体"/>
          <w:color w:val="auto"/>
          <w:szCs w:val="21"/>
          <w:highlight w:val="none"/>
          <w:lang w:eastAsia="zh-CN"/>
        </w:rPr>
        <w:t>注：</w:t>
      </w:r>
      <w:r>
        <w:rPr>
          <w:rFonts w:hint="eastAsia" w:ascii="宋体" w:hAnsi="宋体"/>
          <w:color w:val="auto"/>
          <w:sz w:val="24"/>
          <w:highlight w:val="none"/>
          <w:lang w:eastAsia="zh-CN"/>
        </w:rPr>
        <w:t>如</w:t>
      </w:r>
      <w:r>
        <w:rPr>
          <w:rFonts w:hint="eastAsia" w:ascii="宋体" w:hAnsi="宋体" w:cs="宋体"/>
          <w:color w:val="auto"/>
          <w:sz w:val="24"/>
          <w:szCs w:val="24"/>
          <w:highlight w:val="none"/>
        </w:rPr>
        <w:t>联合体</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联合体</w:t>
      </w:r>
      <w:r>
        <w:rPr>
          <w:rFonts w:hint="eastAsia" w:ascii="宋体" w:hAnsi="宋体" w:cs="宋体"/>
          <w:b/>
          <w:bCs/>
          <w:color w:val="auto"/>
          <w:sz w:val="24"/>
          <w:szCs w:val="24"/>
          <w:highlight w:val="none"/>
          <w:lang w:eastAsia="zh-CN"/>
        </w:rPr>
        <w:t>牵头</w:t>
      </w:r>
      <w:r>
        <w:rPr>
          <w:rFonts w:hint="eastAsia" w:ascii="宋体" w:hAnsi="宋体" w:cs="宋体"/>
          <w:b/>
          <w:bCs/>
          <w:color w:val="auto"/>
          <w:sz w:val="24"/>
          <w:szCs w:val="24"/>
          <w:highlight w:val="none"/>
        </w:rPr>
        <w:t>方</w:t>
      </w: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eastAsia="zh-CN"/>
        </w:rPr>
        <w:t>。</w:t>
      </w:r>
    </w:p>
    <w:p>
      <w:pPr>
        <w:pStyle w:val="6"/>
        <w:tabs>
          <w:tab w:val="left" w:pos="1000"/>
        </w:tabs>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szCs w:val="24"/>
          <w:highlight w:val="none"/>
          <w:lang w:eastAsia="zh-CN"/>
        </w:rPr>
        <w:t>附表</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highlight w:val="none"/>
        </w:rPr>
        <w:t>承诺书</w:t>
      </w:r>
      <w:r>
        <w:rPr>
          <w:rFonts w:hint="eastAsia" w:ascii="宋体" w:hAnsi="宋体" w:cs="宋体"/>
          <w:b/>
          <w:bCs/>
          <w:color w:val="auto"/>
          <w:sz w:val="24"/>
          <w:highlight w:val="none"/>
          <w:lang w:eastAsia="zh-CN"/>
        </w:rPr>
        <w:t>格式</w:t>
      </w:r>
    </w:p>
    <w:p>
      <w:pPr>
        <w:pStyle w:val="6"/>
        <w:tabs>
          <w:tab w:val="left" w:pos="1000"/>
        </w:tabs>
        <w:spacing w:line="360" w:lineRule="auto"/>
        <w:jc w:val="center"/>
        <w:outlineLvl w:val="2"/>
        <w:rPr>
          <w:rFonts w:hint="eastAsia" w:ascii="宋体" w:hAnsi="宋体" w:cs="宋体"/>
          <w:b/>
          <w:bCs/>
          <w:color w:val="auto"/>
          <w:sz w:val="32"/>
          <w:szCs w:val="32"/>
          <w:highlight w:val="none"/>
          <w:lang w:val="en-US" w:eastAsia="zh-CN"/>
        </w:rPr>
      </w:pPr>
      <w:bookmarkStart w:id="513" w:name="_Toc12688"/>
      <w:r>
        <w:rPr>
          <w:rFonts w:hint="eastAsia" w:ascii="宋体" w:hAnsi="宋体" w:cs="宋体"/>
          <w:b/>
          <w:bCs/>
          <w:color w:val="auto"/>
          <w:sz w:val="32"/>
          <w:szCs w:val="32"/>
          <w:highlight w:val="none"/>
          <w:lang w:val="en-US" w:eastAsia="zh-CN"/>
        </w:rPr>
        <w:t>承 诺 书</w:t>
      </w:r>
      <w:bookmarkEnd w:id="513"/>
    </w:p>
    <w:p>
      <w:pPr>
        <w:pStyle w:val="6"/>
        <w:tabs>
          <w:tab w:val="left" w:pos="1000"/>
        </w:tabs>
        <w:spacing w:line="360" w:lineRule="auto"/>
        <w:ind w:left="0" w:leftChars="0" w:firstLine="0" w:firstLineChars="0"/>
        <w:jc w:val="both"/>
        <w:rPr>
          <w:rFonts w:hint="eastAsia" w:ascii="宋体" w:hAnsi="宋体" w:cs="宋体"/>
          <w:b/>
          <w:bCs/>
          <w:color w:val="auto"/>
          <w:sz w:val="32"/>
          <w:szCs w:val="32"/>
          <w:highlight w:val="none"/>
          <w:lang w:val="en-US" w:eastAsia="zh-CN"/>
        </w:rPr>
      </w:pPr>
    </w:p>
    <w:p>
      <w:pPr>
        <w:pStyle w:val="6"/>
        <w:tabs>
          <w:tab w:val="left" w:pos="1000"/>
        </w:tabs>
        <w:spacing w:line="360" w:lineRule="auto"/>
        <w:ind w:left="0" w:leftChars="0" w:firstLine="0" w:firstLineChars="0"/>
        <w:jc w:val="both"/>
        <w:rPr>
          <w:rFonts w:hint="eastAsia" w:ascii="宋体" w:hAnsi="宋体" w:cs="宋体"/>
          <w:color w:val="auto"/>
          <w:sz w:val="24"/>
          <w:szCs w:val="22"/>
          <w:highlight w:val="none"/>
          <w:lang w:val="en-US" w:eastAsia="zh-CN"/>
        </w:rPr>
      </w:pPr>
      <w:r>
        <w:rPr>
          <w:rFonts w:hint="eastAsia" w:ascii="宋体" w:hAnsi="宋体" w:cs="宋体"/>
          <w:b/>
          <w:bCs/>
          <w:color w:val="auto"/>
          <w:sz w:val="32"/>
          <w:szCs w:val="32"/>
          <w:highlight w:val="none"/>
          <w:u w:val="single"/>
          <w:lang w:val="en-US" w:eastAsia="zh-CN"/>
        </w:rPr>
        <w:t xml:space="preserve"> </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lang w:val="en-US" w:eastAsia="zh-CN"/>
        </w:rPr>
        <w:t>（招标人名称）：</w:t>
      </w:r>
    </w:p>
    <w:p>
      <w:pPr>
        <w:pStyle w:val="6"/>
        <w:tabs>
          <w:tab w:val="left" w:pos="1000"/>
        </w:tabs>
        <w:spacing w:line="360" w:lineRule="auto"/>
        <w:ind w:left="0" w:leftChars="0" w:firstLine="642" w:firstLineChars="0"/>
        <w:jc w:val="both"/>
        <w:rPr>
          <w:rFonts w:hint="eastAsia" w:ascii="宋体" w:hAnsi="宋体" w:cs="宋体"/>
          <w:color w:val="auto"/>
          <w:sz w:val="24"/>
          <w:szCs w:val="22"/>
          <w:highlight w:val="none"/>
          <w:lang w:val="en-US" w:eastAsia="zh-CN"/>
        </w:rPr>
      </w:pPr>
    </w:p>
    <w:p>
      <w:pPr>
        <w:pStyle w:val="6"/>
        <w:keepNext w:val="0"/>
        <w:keepLines w:val="0"/>
        <w:pageBreakBefore w:val="0"/>
        <w:widowControl w:val="0"/>
        <w:tabs>
          <w:tab w:val="left" w:pos="1000"/>
        </w:tabs>
        <w:kinsoku/>
        <w:wordWrap/>
        <w:overflowPunct/>
        <w:topLinePunct w:val="0"/>
        <w:autoSpaceDE/>
        <w:autoSpaceDN/>
        <w:bidi w:val="0"/>
        <w:adjustRightInd w:val="0"/>
        <w:snapToGrid/>
        <w:spacing w:line="480" w:lineRule="auto"/>
        <w:ind w:left="0" w:leftChars="0" w:firstLine="480" w:firstLineChars="200"/>
        <w:jc w:val="both"/>
        <w:textAlignment w:val="baseline"/>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我方参加了</w:t>
      </w:r>
      <w:r>
        <w:rPr>
          <w:rFonts w:hint="eastAsia" w:ascii="宋体" w:hAnsi="宋体" w:cs="宋体"/>
          <w:color w:val="auto"/>
          <w:sz w:val="24"/>
          <w:szCs w:val="22"/>
          <w:highlight w:val="none"/>
          <w:u w:val="single"/>
          <w:lang w:val="en-US" w:eastAsia="zh-CN"/>
        </w:rPr>
        <w:t xml:space="preserve">             （项目名称）</w:t>
      </w:r>
      <w:r>
        <w:rPr>
          <w:rFonts w:hint="eastAsia" w:ascii="宋体" w:hAnsi="宋体" w:cs="宋体"/>
          <w:color w:val="auto"/>
          <w:sz w:val="24"/>
          <w:szCs w:val="22"/>
          <w:highlight w:val="none"/>
          <w:lang w:val="en-US" w:eastAsia="zh-CN"/>
        </w:rPr>
        <w:t>投标，若我方中标，我方在此承诺：</w:t>
      </w:r>
    </w:p>
    <w:p>
      <w:pPr>
        <w:pStyle w:val="6"/>
        <w:keepNext w:val="0"/>
        <w:keepLines w:val="0"/>
        <w:pageBreakBefore w:val="0"/>
        <w:widowControl w:val="0"/>
        <w:tabs>
          <w:tab w:val="left" w:pos="1000"/>
        </w:tabs>
        <w:kinsoku/>
        <w:wordWrap/>
        <w:overflowPunct/>
        <w:topLinePunct w:val="0"/>
        <w:autoSpaceDE/>
        <w:autoSpaceDN/>
        <w:bidi w:val="0"/>
        <w:adjustRightInd w:val="0"/>
        <w:snapToGrid/>
        <w:spacing w:line="480" w:lineRule="auto"/>
        <w:ind w:left="0" w:leftChars="0" w:firstLine="480" w:firstLineChars="200"/>
        <w:jc w:val="both"/>
        <w:textAlignment w:val="baseline"/>
        <w:rPr>
          <w:rFonts w:hint="eastAsia" w:ascii="宋体" w:hAnsi="宋体" w:cs="宋体"/>
          <w:color w:val="auto"/>
          <w:sz w:val="24"/>
          <w:highlight w:val="none"/>
          <w:lang w:eastAsia="zh-CN"/>
        </w:rPr>
      </w:pPr>
      <w:r>
        <w:rPr>
          <w:rFonts w:hint="eastAsia" w:ascii="宋体" w:hAnsi="宋体" w:cs="宋体"/>
          <w:color w:val="auto"/>
          <w:sz w:val="24"/>
          <w:szCs w:val="22"/>
          <w:highlight w:val="none"/>
          <w:lang w:val="en-US" w:eastAsia="zh-CN"/>
        </w:rPr>
        <w:t>我方承诺：</w:t>
      </w:r>
      <w:r>
        <w:rPr>
          <w:rFonts w:hint="eastAsia" w:ascii="宋体" w:hAnsi="宋体" w:cs="宋体"/>
          <w:color w:val="auto"/>
          <w:sz w:val="24"/>
          <w:highlight w:val="none"/>
        </w:rPr>
        <w:t>自20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至本项目投标登记截止时间止（以处罚或通报日期为准），企业和项目负责人在国家住房和城乡建设部“全国建筑市场监管公共服务平台”、“广东省建筑市场监管公共服务平台”、“梅州市住建局建筑市场诚信管理平台”上未有被限制参与投标的信息，</w:t>
      </w:r>
      <w:r>
        <w:rPr>
          <w:rFonts w:hint="eastAsia" w:ascii="宋体" w:hAnsi="宋体" w:cs="宋体"/>
          <w:color w:val="auto"/>
          <w:sz w:val="24"/>
          <w:highlight w:val="none"/>
          <w:lang w:eastAsia="zh-CN"/>
        </w:rPr>
        <w:t>如有弄虚作假经查核实，将取消我公司投标和中标资格，列入黑名单，并承担相关法律责任。</w:t>
      </w:r>
    </w:p>
    <w:p>
      <w:pPr>
        <w:pStyle w:val="6"/>
        <w:tabs>
          <w:tab w:val="left" w:pos="1000"/>
        </w:tabs>
        <w:spacing w:line="480" w:lineRule="auto"/>
        <w:ind w:left="0" w:leftChars="0" w:firstLine="642" w:firstLineChars="0"/>
        <w:jc w:val="both"/>
        <w:rPr>
          <w:rFonts w:hint="eastAsia" w:ascii="宋体" w:hAnsi="宋体" w:cs="宋体"/>
          <w:color w:val="auto"/>
          <w:sz w:val="24"/>
          <w:highlight w:val="none"/>
          <w:lang w:val="en-US" w:eastAsia="zh-CN"/>
        </w:rPr>
      </w:pPr>
    </w:p>
    <w:p>
      <w:pPr>
        <w:pStyle w:val="6"/>
        <w:tabs>
          <w:tab w:val="left" w:pos="1000"/>
        </w:tabs>
        <w:spacing w:line="480" w:lineRule="auto"/>
        <w:ind w:left="0" w:leftChars="0" w:firstLine="642" w:firstLineChars="0"/>
        <w:jc w:val="both"/>
        <w:rPr>
          <w:rFonts w:hint="eastAsia" w:ascii="宋体" w:hAnsi="宋体" w:cs="宋体"/>
          <w:color w:val="auto"/>
          <w:sz w:val="24"/>
          <w:highlight w:val="none"/>
          <w:lang w:val="en-US" w:eastAsia="zh-CN"/>
        </w:rPr>
      </w:pPr>
    </w:p>
    <w:p>
      <w:pPr>
        <w:pStyle w:val="6"/>
        <w:tabs>
          <w:tab w:val="left" w:pos="1000"/>
        </w:tabs>
        <w:spacing w:line="480" w:lineRule="auto"/>
        <w:ind w:left="0" w:leftChars="0" w:firstLine="642" w:firstLineChars="0"/>
        <w:jc w:val="both"/>
        <w:rPr>
          <w:rFonts w:hint="eastAsia" w:ascii="宋体" w:hAnsi="宋体" w:cs="宋体"/>
          <w:color w:val="auto"/>
          <w:sz w:val="24"/>
          <w:highlight w:val="none"/>
          <w:lang w:val="en-US" w:eastAsia="zh-CN"/>
        </w:rPr>
      </w:pPr>
    </w:p>
    <w:p>
      <w:pPr>
        <w:pStyle w:val="6"/>
        <w:tabs>
          <w:tab w:val="left" w:pos="1000"/>
        </w:tabs>
        <w:spacing w:line="480" w:lineRule="auto"/>
        <w:ind w:left="0" w:leftChars="0" w:firstLine="642" w:firstLineChars="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投标人：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（盖单位公章）</w:t>
      </w:r>
    </w:p>
    <w:p>
      <w:pPr>
        <w:pStyle w:val="6"/>
        <w:tabs>
          <w:tab w:val="left" w:pos="1000"/>
        </w:tabs>
        <w:spacing w:line="480" w:lineRule="auto"/>
        <w:ind w:left="0" w:leftChars="0" w:firstLine="642" w:firstLineChars="0"/>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法定代表人或其委托代理人：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（签名）</w:t>
      </w:r>
    </w:p>
    <w:p>
      <w:pPr>
        <w:pStyle w:val="6"/>
        <w:tabs>
          <w:tab w:val="left" w:pos="1000"/>
        </w:tabs>
        <w:spacing w:line="480" w:lineRule="auto"/>
        <w:ind w:left="0" w:leftChars="0" w:firstLine="642" w:firstLineChars="0"/>
        <w:jc w:val="right"/>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日      </w:t>
      </w:r>
    </w:p>
    <w:p>
      <w:pPr>
        <w:pStyle w:val="6"/>
        <w:tabs>
          <w:tab w:val="left" w:pos="1000"/>
        </w:tabs>
        <w:spacing w:line="360" w:lineRule="auto"/>
        <w:ind w:left="0" w:leftChars="0" w:firstLine="642" w:firstLineChars="0"/>
        <w:jc w:val="both"/>
        <w:rPr>
          <w:rFonts w:hint="eastAsia" w:ascii="宋体" w:hAnsi="宋体"/>
          <w:color w:val="auto"/>
          <w:sz w:val="24"/>
          <w:highlight w:val="none"/>
          <w:lang w:eastAsia="zh-CN"/>
        </w:rPr>
      </w:pPr>
    </w:p>
    <w:p>
      <w:pPr>
        <w:pStyle w:val="6"/>
        <w:tabs>
          <w:tab w:val="left" w:pos="1000"/>
        </w:tabs>
        <w:spacing w:line="360" w:lineRule="auto"/>
        <w:ind w:firstLine="0"/>
        <w:rPr>
          <w:rFonts w:ascii="宋体" w:hAnsi="宋体" w:cs="宋体"/>
          <w:color w:val="auto"/>
          <w:szCs w:val="21"/>
          <w:highlight w:val="none"/>
        </w:rPr>
      </w:pPr>
    </w:p>
    <w:p>
      <w:pPr>
        <w:jc w:val="center"/>
        <w:outlineLvl w:val="1"/>
        <w:rPr>
          <w:rFonts w:hint="eastAsia"/>
          <w:b/>
          <w:color w:val="auto"/>
          <w:sz w:val="44"/>
          <w:szCs w:val="44"/>
          <w:highlight w:val="none"/>
        </w:rPr>
      </w:pPr>
      <w:bookmarkStart w:id="514" w:name="_Toc382381151"/>
      <w:bookmarkStart w:id="515" w:name="_Toc31771"/>
    </w:p>
    <w:p>
      <w:pPr>
        <w:jc w:val="center"/>
        <w:outlineLvl w:val="1"/>
        <w:rPr>
          <w:rFonts w:hint="eastAsia"/>
          <w:b/>
          <w:color w:val="auto"/>
          <w:sz w:val="44"/>
          <w:szCs w:val="44"/>
          <w:highlight w:val="none"/>
        </w:rPr>
      </w:pPr>
    </w:p>
    <w:p>
      <w:pPr>
        <w:jc w:val="center"/>
        <w:outlineLvl w:val="1"/>
        <w:rPr>
          <w:rFonts w:hint="eastAsia"/>
          <w:b/>
          <w:color w:val="auto"/>
          <w:sz w:val="44"/>
          <w:szCs w:val="44"/>
          <w:highlight w:val="none"/>
        </w:rPr>
      </w:pPr>
    </w:p>
    <w:p>
      <w:pPr>
        <w:jc w:val="center"/>
        <w:outlineLvl w:val="1"/>
        <w:rPr>
          <w:rFonts w:hint="eastAsia"/>
          <w:b/>
          <w:color w:val="auto"/>
          <w:sz w:val="44"/>
          <w:szCs w:val="44"/>
          <w:highlight w:val="none"/>
        </w:rPr>
      </w:pPr>
    </w:p>
    <w:p>
      <w:pPr>
        <w:jc w:val="center"/>
        <w:outlineLvl w:val="1"/>
        <w:rPr>
          <w:rFonts w:hint="eastAsia"/>
          <w:b/>
          <w:color w:val="auto"/>
          <w:sz w:val="44"/>
          <w:szCs w:val="44"/>
          <w:highlight w:val="none"/>
        </w:rPr>
      </w:pPr>
    </w:p>
    <w:p>
      <w:pPr>
        <w:jc w:val="center"/>
        <w:outlineLvl w:val="1"/>
        <w:rPr>
          <w:b/>
          <w:color w:val="auto"/>
          <w:sz w:val="44"/>
          <w:szCs w:val="44"/>
          <w:highlight w:val="none"/>
        </w:rPr>
      </w:pPr>
      <w:r>
        <w:rPr>
          <w:rFonts w:hint="eastAsia"/>
          <w:b/>
          <w:color w:val="auto"/>
          <w:sz w:val="44"/>
          <w:szCs w:val="44"/>
          <w:highlight w:val="none"/>
        </w:rPr>
        <w:t>三、商务文件格式</w:t>
      </w:r>
      <w:bookmarkEnd w:id="508"/>
      <w:bookmarkEnd w:id="514"/>
      <w:bookmarkEnd w:id="515"/>
    </w:p>
    <w:p>
      <w:pPr>
        <w:pStyle w:val="18"/>
        <w:tabs>
          <w:tab w:val="left" w:pos="285"/>
          <w:tab w:val="center" w:pos="4320"/>
        </w:tabs>
        <w:spacing w:line="264" w:lineRule="auto"/>
        <w:rPr>
          <w:rFonts w:hAnsi="宋体" w:cs="宋体"/>
          <w:b/>
          <w:color w:val="auto"/>
          <w:sz w:val="32"/>
          <w:highlight w:val="none"/>
        </w:rPr>
      </w:pPr>
    </w:p>
    <w:p>
      <w:pPr>
        <w:pStyle w:val="18"/>
        <w:tabs>
          <w:tab w:val="left" w:pos="285"/>
          <w:tab w:val="center" w:pos="4320"/>
        </w:tabs>
        <w:spacing w:line="264" w:lineRule="auto"/>
        <w:rPr>
          <w:rFonts w:hAnsi="宋体" w:cs="宋体"/>
          <w:b/>
          <w:color w:val="auto"/>
          <w:sz w:val="32"/>
          <w:highlight w:val="none"/>
        </w:rPr>
        <w:sectPr>
          <w:pgSz w:w="11906" w:h="16838"/>
          <w:pgMar w:top="1440" w:right="1080" w:bottom="1440" w:left="1080" w:header="851" w:footer="992" w:gutter="0"/>
          <w:pgNumType w:fmt="decimal"/>
          <w:cols w:space="720" w:num="1"/>
          <w:docGrid w:linePitch="312" w:charSpace="0"/>
        </w:sectPr>
      </w:pPr>
    </w:p>
    <w:p>
      <w:pPr>
        <w:pStyle w:val="18"/>
        <w:tabs>
          <w:tab w:val="left" w:pos="285"/>
          <w:tab w:val="center" w:pos="4320"/>
        </w:tabs>
        <w:spacing w:line="264" w:lineRule="auto"/>
        <w:rPr>
          <w:rFonts w:hAnsi="宋体" w:cs="宋体"/>
          <w:color w:val="auto"/>
          <w:sz w:val="24"/>
          <w:szCs w:val="24"/>
          <w:highlight w:val="none"/>
        </w:rPr>
      </w:pPr>
      <w:r>
        <w:rPr>
          <w:rFonts w:hint="eastAsia" w:hAnsi="宋体" w:cs="宋体"/>
          <w:color w:val="auto"/>
          <w:sz w:val="24"/>
          <w:szCs w:val="24"/>
          <w:highlight w:val="none"/>
        </w:rPr>
        <w:t>（用于商务文件封面）</w:t>
      </w:r>
    </w:p>
    <w:p>
      <w:pPr>
        <w:pStyle w:val="18"/>
        <w:spacing w:line="264" w:lineRule="auto"/>
        <w:jc w:val="center"/>
        <w:rPr>
          <w:rFonts w:hAnsi="宋体" w:cs="宋体"/>
          <w:color w:val="auto"/>
          <w:sz w:val="36"/>
          <w:highlight w:val="none"/>
        </w:rPr>
      </w:pPr>
    </w:p>
    <w:p>
      <w:pPr>
        <w:pStyle w:val="18"/>
        <w:spacing w:line="480" w:lineRule="auto"/>
        <w:jc w:val="center"/>
        <w:rPr>
          <w:rFonts w:hAnsi="宋体" w:cs="宋体"/>
          <w:b/>
          <w:color w:val="auto"/>
          <w:sz w:val="32"/>
          <w:szCs w:val="32"/>
          <w:highlight w:val="none"/>
        </w:rPr>
      </w:pPr>
    </w:p>
    <w:p>
      <w:pPr>
        <w:pStyle w:val="18"/>
        <w:spacing w:line="480" w:lineRule="auto"/>
        <w:ind w:left="3368" w:hanging="3368" w:hangingChars="842"/>
        <w:jc w:val="left"/>
        <w:rPr>
          <w:rFonts w:hint="eastAsia" w:hAnsi="宋体" w:eastAsia="宋体" w:cs="宋体"/>
          <w:bCs/>
          <w:color w:val="auto"/>
          <w:sz w:val="40"/>
          <w:szCs w:val="28"/>
          <w:highlight w:val="none"/>
          <w:lang w:eastAsia="zh-CN"/>
        </w:rPr>
      </w:pPr>
      <w:r>
        <w:rPr>
          <w:rFonts w:hint="eastAsia" w:hAnsi="宋体" w:cs="宋体"/>
          <w:bCs/>
          <w:color w:val="auto"/>
          <w:sz w:val="40"/>
          <w:szCs w:val="28"/>
          <w:highlight w:val="none"/>
          <w:lang w:eastAsia="zh-CN"/>
        </w:rPr>
        <w:t>大埔县白云大桥停车场及周边道路附属设施建设工程(勘察、设计)</w:t>
      </w:r>
    </w:p>
    <w:p>
      <w:pPr>
        <w:pStyle w:val="18"/>
        <w:spacing w:before="240" w:beforeLines="100" w:after="240" w:afterLines="100" w:line="264" w:lineRule="auto"/>
        <w:rPr>
          <w:rFonts w:hAnsi="宋体" w:cs="宋体"/>
          <w:bCs/>
          <w:color w:val="auto"/>
          <w:sz w:val="28"/>
          <w:szCs w:val="28"/>
          <w:highlight w:val="none"/>
        </w:rPr>
      </w:pPr>
    </w:p>
    <w:p>
      <w:pPr>
        <w:pStyle w:val="18"/>
        <w:spacing w:line="264" w:lineRule="auto"/>
        <w:jc w:val="center"/>
        <w:rPr>
          <w:rFonts w:hAnsi="宋体" w:cs="宋体"/>
          <w:color w:val="auto"/>
          <w:sz w:val="28"/>
          <w:highlight w:val="none"/>
        </w:rPr>
      </w:pPr>
      <w:r>
        <w:rPr>
          <w:rFonts w:hint="eastAsia" w:hAnsi="宋体" w:cs="宋体"/>
          <w:b/>
          <w:color w:val="auto"/>
          <w:sz w:val="84"/>
          <w:highlight w:val="none"/>
        </w:rPr>
        <w:t>投标文件</w:t>
      </w:r>
    </w:p>
    <w:p>
      <w:pPr>
        <w:pStyle w:val="18"/>
        <w:spacing w:line="264" w:lineRule="auto"/>
        <w:jc w:val="center"/>
        <w:rPr>
          <w:rFonts w:hAnsi="宋体" w:cs="宋体"/>
          <w:color w:val="auto"/>
          <w:sz w:val="72"/>
          <w:highlight w:val="none"/>
        </w:rPr>
      </w:pPr>
    </w:p>
    <w:p>
      <w:pPr>
        <w:pStyle w:val="18"/>
        <w:spacing w:line="264" w:lineRule="auto"/>
        <w:jc w:val="center"/>
        <w:rPr>
          <w:rFonts w:hAnsi="宋体" w:cs="宋体"/>
          <w:color w:val="auto"/>
          <w:sz w:val="72"/>
          <w:highlight w:val="none"/>
        </w:rPr>
      </w:pPr>
    </w:p>
    <w:p>
      <w:pPr>
        <w:pStyle w:val="18"/>
        <w:spacing w:line="264" w:lineRule="auto"/>
        <w:jc w:val="center"/>
        <w:rPr>
          <w:rFonts w:hAnsi="宋体" w:cs="宋体"/>
          <w:color w:val="auto"/>
          <w:sz w:val="72"/>
          <w:highlight w:val="none"/>
        </w:rPr>
      </w:pPr>
    </w:p>
    <w:p>
      <w:pPr>
        <w:pStyle w:val="18"/>
        <w:spacing w:before="240" w:after="240" w:line="240" w:lineRule="auto"/>
        <w:ind w:firstLine="560"/>
        <w:rPr>
          <w:rFonts w:hAnsi="宋体" w:cs="宋体"/>
          <w:color w:val="auto"/>
          <w:kern w:val="0"/>
          <w:sz w:val="28"/>
          <w:szCs w:val="28"/>
          <w:highlight w:val="none"/>
          <w:u w:val="single"/>
        </w:rPr>
      </w:pPr>
      <w:r>
        <w:rPr>
          <w:rFonts w:hint="eastAsia" w:hAnsi="宋体" w:cs="宋体"/>
          <w:color w:val="auto"/>
          <w:kern w:val="0"/>
          <w:sz w:val="28"/>
          <w:szCs w:val="28"/>
          <w:highlight w:val="none"/>
        </w:rPr>
        <w:t>投标文件内容</w:t>
      </w:r>
      <w:r>
        <w:rPr>
          <w:rFonts w:hint="eastAsia" w:hAnsi="宋体" w:cs="宋体"/>
          <w:color w:val="auto"/>
          <w:kern w:val="0"/>
          <w:sz w:val="28"/>
          <w:szCs w:val="28"/>
          <w:highlight w:val="none"/>
          <w:u w:val="single"/>
        </w:rPr>
        <w:t xml:space="preserve">                商务文件             </w:t>
      </w:r>
    </w:p>
    <w:p>
      <w:pPr>
        <w:pStyle w:val="18"/>
        <w:spacing w:before="240" w:after="240" w:line="240" w:lineRule="auto"/>
        <w:ind w:left="630"/>
        <w:jc w:val="left"/>
        <w:rPr>
          <w:rFonts w:hAnsi="宋体" w:cs="宋体"/>
          <w:color w:val="auto"/>
          <w:sz w:val="28"/>
          <w:szCs w:val="28"/>
          <w:highlight w:val="none"/>
          <w:u w:val="none"/>
        </w:rPr>
      </w:pPr>
      <w:r>
        <w:rPr>
          <w:rFonts w:hint="eastAsia" w:hAnsi="宋体" w:cs="宋体"/>
          <w:color w:val="auto"/>
          <w:sz w:val="28"/>
          <w:szCs w:val="28"/>
          <w:highlight w:val="none"/>
        </w:rPr>
        <w:t xml:space="preserve">投  标  人: </w:t>
      </w:r>
      <w:r>
        <w:rPr>
          <w:rFonts w:hint="eastAsia" w:hAnsi="宋体" w:cs="宋体"/>
          <w:color w:val="auto"/>
          <w:sz w:val="28"/>
          <w:szCs w:val="28"/>
          <w:highlight w:val="none"/>
          <w:u w:val="single"/>
        </w:rPr>
        <w:t xml:space="preserve">        </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u w:val="single"/>
        </w:rPr>
        <w:t xml:space="preserve">    </w:t>
      </w:r>
      <w:r>
        <w:rPr>
          <w:rFonts w:hint="eastAsia" w:hAnsi="宋体" w:cs="宋体"/>
          <w:color w:val="auto"/>
          <w:sz w:val="28"/>
          <w:szCs w:val="28"/>
          <w:highlight w:val="none"/>
          <w:u w:val="none"/>
        </w:rPr>
        <w:t xml:space="preserve">（盖投标人单位公章）     </w:t>
      </w:r>
    </w:p>
    <w:p>
      <w:pPr>
        <w:pStyle w:val="18"/>
        <w:spacing w:before="240" w:after="240" w:line="240" w:lineRule="auto"/>
        <w:ind w:firstLine="560"/>
        <w:rPr>
          <w:rFonts w:hAnsi="宋体" w:cs="宋体"/>
          <w:color w:val="auto"/>
          <w:sz w:val="28"/>
          <w:szCs w:val="28"/>
          <w:highlight w:val="none"/>
          <w:u w:val="none"/>
        </w:rPr>
      </w:pPr>
      <w:r>
        <w:rPr>
          <w:rFonts w:hint="eastAsia" w:hAnsi="宋体" w:cs="宋体"/>
          <w:color w:val="auto"/>
          <w:sz w:val="28"/>
          <w:szCs w:val="28"/>
          <w:highlight w:val="none"/>
        </w:rPr>
        <w:t>法定代表人或其委托代理人：</w:t>
      </w:r>
      <w:r>
        <w:rPr>
          <w:rFonts w:hint="eastAsia" w:hAnsi="宋体" w:cs="宋体"/>
          <w:color w:val="auto"/>
          <w:sz w:val="28"/>
          <w:szCs w:val="28"/>
          <w:highlight w:val="none"/>
          <w:u w:val="single"/>
        </w:rPr>
        <w:t xml:space="preserve">          </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u w:val="single"/>
        </w:rPr>
        <w:t xml:space="preserve">    </w:t>
      </w:r>
      <w:r>
        <w:rPr>
          <w:rFonts w:hint="eastAsia" w:hAnsi="宋体" w:cs="宋体"/>
          <w:color w:val="auto"/>
          <w:sz w:val="28"/>
          <w:szCs w:val="28"/>
          <w:highlight w:val="none"/>
          <w:u w:val="none"/>
        </w:rPr>
        <w:t>（签字）</w:t>
      </w:r>
    </w:p>
    <w:p>
      <w:pPr>
        <w:pStyle w:val="18"/>
        <w:spacing w:before="240" w:after="240" w:line="240" w:lineRule="auto"/>
        <w:ind w:left="630"/>
        <w:rPr>
          <w:rFonts w:hAnsi="宋体" w:cs="宋体"/>
          <w:color w:val="auto"/>
          <w:sz w:val="28"/>
          <w:szCs w:val="28"/>
          <w:highlight w:val="none"/>
        </w:rPr>
      </w:pPr>
      <w:r>
        <w:rPr>
          <w:rFonts w:hint="eastAsia" w:hAnsi="宋体" w:cs="宋体"/>
          <w:color w:val="auto"/>
          <w:sz w:val="28"/>
          <w:szCs w:val="28"/>
          <w:highlight w:val="none"/>
        </w:rPr>
        <w:t>日      期：</w:t>
      </w:r>
      <w:r>
        <w:rPr>
          <w:rFonts w:hint="eastAsia" w:hAnsi="宋体" w:cs="宋体"/>
          <w:color w:val="auto"/>
          <w:sz w:val="28"/>
          <w:szCs w:val="28"/>
          <w:highlight w:val="none"/>
          <w:u w:val="single"/>
        </w:rPr>
        <w:t xml:space="preserve">          </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u w:val="single"/>
        </w:rPr>
        <w:t xml:space="preserve">  </w:t>
      </w:r>
      <w:r>
        <w:rPr>
          <w:rFonts w:hint="eastAsia" w:hAnsi="宋体" w:cs="宋体"/>
          <w:color w:val="auto"/>
          <w:sz w:val="28"/>
          <w:szCs w:val="28"/>
          <w:highlight w:val="none"/>
        </w:rPr>
        <w:t>年</w:t>
      </w:r>
      <w:r>
        <w:rPr>
          <w:rFonts w:hint="eastAsia" w:hAnsi="宋体" w:cs="宋体"/>
          <w:color w:val="auto"/>
          <w:sz w:val="28"/>
          <w:szCs w:val="28"/>
          <w:highlight w:val="none"/>
          <w:u w:val="single"/>
        </w:rPr>
        <w:t xml:space="preserve">   </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u w:val="single"/>
        </w:rPr>
        <w:t xml:space="preserve"> </w:t>
      </w:r>
      <w:r>
        <w:rPr>
          <w:rFonts w:hint="eastAsia" w:hAnsi="宋体" w:cs="宋体"/>
          <w:color w:val="auto"/>
          <w:sz w:val="28"/>
          <w:szCs w:val="28"/>
          <w:highlight w:val="none"/>
        </w:rPr>
        <w:t>月</w:t>
      </w:r>
      <w:r>
        <w:rPr>
          <w:rFonts w:hint="eastAsia" w:hAnsi="宋体" w:cs="宋体"/>
          <w:color w:val="auto"/>
          <w:sz w:val="28"/>
          <w:szCs w:val="28"/>
          <w:highlight w:val="none"/>
          <w:u w:val="single"/>
        </w:rPr>
        <w:t xml:space="preserve">   </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u w:val="single"/>
        </w:rPr>
        <w:t xml:space="preserve">  </w:t>
      </w:r>
      <w:r>
        <w:rPr>
          <w:rFonts w:hint="eastAsia" w:hAnsi="宋体" w:cs="宋体"/>
          <w:color w:val="auto"/>
          <w:sz w:val="28"/>
          <w:szCs w:val="28"/>
          <w:highlight w:val="none"/>
        </w:rPr>
        <w:t>日</w:t>
      </w:r>
    </w:p>
    <w:p>
      <w:pPr>
        <w:pStyle w:val="18"/>
        <w:spacing w:before="960" w:beforeLines="400" w:line="360" w:lineRule="auto"/>
        <w:ind w:left="629"/>
        <w:jc w:val="center"/>
        <w:outlineLvl w:val="9"/>
        <w:rPr>
          <w:rFonts w:hAnsi="宋体" w:cs="宋体"/>
          <w:color w:val="auto"/>
          <w:sz w:val="30"/>
          <w:highlight w:val="none"/>
        </w:rPr>
      </w:pPr>
      <w:r>
        <w:rPr>
          <w:rFonts w:hint="eastAsia" w:hAnsi="宋体" w:cs="宋体"/>
          <w:color w:val="auto"/>
          <w:sz w:val="30"/>
          <w:highlight w:val="none"/>
        </w:rPr>
        <w:br w:type="page"/>
      </w:r>
      <w:bookmarkStart w:id="516" w:name="_Toc22246"/>
      <w:r>
        <w:rPr>
          <w:rFonts w:hint="eastAsia" w:hAnsi="宋体" w:cs="宋体"/>
          <w:color w:val="auto"/>
          <w:sz w:val="30"/>
          <w:highlight w:val="none"/>
        </w:rPr>
        <w:t>说    明</w:t>
      </w:r>
      <w:bookmarkEnd w:id="516"/>
    </w:p>
    <w:p>
      <w:pPr>
        <w:pStyle w:val="18"/>
        <w:spacing w:line="360" w:lineRule="auto"/>
        <w:ind w:left="629"/>
        <w:jc w:val="left"/>
        <w:rPr>
          <w:rFonts w:hAnsi="宋体" w:cs="宋体"/>
          <w:b/>
          <w:color w:val="auto"/>
          <w:sz w:val="30"/>
          <w:highlight w:val="none"/>
        </w:rPr>
      </w:pPr>
      <w:r>
        <w:rPr>
          <w:rFonts w:hint="eastAsia" w:hAnsi="宋体" w:cs="宋体"/>
          <w:b/>
          <w:color w:val="auto"/>
          <w:sz w:val="30"/>
          <w:highlight w:val="none"/>
        </w:rPr>
        <w:t>商务文件应包含下列内容：</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2)投标函附表；</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3)企业荣誉；</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4)企业获奖；</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5)企业业绩；</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6)企业实力；</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7)项目负责人实力；</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8)其他主要设计人员情况；</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9)项目负责人和其他主要专业设计人员到位承诺书；</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10)服务保证；</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11)承诺书(投标单位提供中标后不得将本项目的勘察、设计工作进行分包、转包或委托第三方实施的承诺书 )</w:t>
      </w:r>
    </w:p>
    <w:p>
      <w:pPr>
        <w:pStyle w:val="18"/>
        <w:spacing w:line="360" w:lineRule="auto"/>
        <w:ind w:left="0" w:leftChars="0" w:firstLine="600" w:firstLineChars="25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12)其他资料（根据招标文件的要求和投标人认为需要提供的资料）</w:t>
      </w:r>
    </w:p>
    <w:p>
      <w:pPr>
        <w:pStyle w:val="18"/>
        <w:spacing w:line="360" w:lineRule="auto"/>
        <w:ind w:firstLine="2502" w:firstLineChars="890"/>
        <w:jc w:val="left"/>
        <w:rPr>
          <w:rFonts w:hAnsi="宋体" w:cs="宋体"/>
          <w:color w:val="auto"/>
          <w:sz w:val="28"/>
          <w:szCs w:val="28"/>
          <w:highlight w:val="none"/>
        </w:rPr>
      </w:pPr>
      <w:r>
        <w:rPr>
          <w:rFonts w:hint="eastAsia" w:hAnsi="宋体" w:cs="宋体"/>
          <w:b/>
          <w:color w:val="auto"/>
          <w:sz w:val="28"/>
          <w:szCs w:val="28"/>
          <w:highlight w:val="none"/>
        </w:rPr>
        <w:t>目录、序号和页码由投标人自行编列</w:t>
      </w:r>
      <w:r>
        <w:rPr>
          <w:rFonts w:hint="eastAsia" w:hAnsi="宋体" w:cs="宋体"/>
          <w:color w:val="auto"/>
          <w:sz w:val="28"/>
          <w:szCs w:val="28"/>
          <w:highlight w:val="none"/>
        </w:rPr>
        <w:t>。</w:t>
      </w: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color w:val="auto"/>
          <w:highlight w:val="none"/>
        </w:rPr>
      </w:pPr>
    </w:p>
    <w:p>
      <w:pPr>
        <w:pStyle w:val="6"/>
        <w:tabs>
          <w:tab w:val="left" w:pos="1000"/>
        </w:tabs>
        <w:spacing w:line="360" w:lineRule="auto"/>
        <w:ind w:firstLine="0"/>
        <w:rPr>
          <w:rFonts w:ascii="宋体" w:hAnsi="宋体" w:cs="宋体"/>
          <w:b/>
          <w:color w:val="auto"/>
          <w:sz w:val="28"/>
          <w:szCs w:val="28"/>
          <w:highlight w:val="none"/>
        </w:rPr>
        <w:sectPr>
          <w:pgSz w:w="11906" w:h="16838"/>
          <w:pgMar w:top="1440" w:right="1133" w:bottom="1440" w:left="993" w:header="851" w:footer="992" w:gutter="0"/>
          <w:pgNumType w:fmt="decimal"/>
          <w:cols w:space="720" w:num="1"/>
          <w:docGrid w:linePitch="312" w:charSpace="0"/>
        </w:sectPr>
      </w:pPr>
    </w:p>
    <w:p>
      <w:pPr>
        <w:numPr>
          <w:ilvl w:val="0"/>
          <w:numId w:val="20"/>
        </w:numPr>
        <w:jc w:val="center"/>
        <w:outlineLvl w:val="2"/>
        <w:rPr>
          <w:rFonts w:ascii="宋体" w:hAnsi="宋体" w:cs="宋体"/>
          <w:b/>
          <w:color w:val="auto"/>
          <w:sz w:val="36"/>
          <w:szCs w:val="36"/>
          <w:highlight w:val="none"/>
        </w:rPr>
      </w:pPr>
      <w:bookmarkStart w:id="517" w:name="_Toc18227"/>
      <w:r>
        <w:rPr>
          <w:rFonts w:hint="eastAsia" w:ascii="宋体" w:hAnsi="宋体" w:cs="宋体"/>
          <w:b/>
          <w:color w:val="auto"/>
          <w:sz w:val="36"/>
          <w:szCs w:val="36"/>
          <w:highlight w:val="none"/>
        </w:rPr>
        <w:t>投 标 函</w:t>
      </w:r>
      <w:bookmarkEnd w:id="517"/>
    </w:p>
    <w:p>
      <w:pPr>
        <w:spacing w:line="360" w:lineRule="auto"/>
        <w:rPr>
          <w:rFonts w:ascii="宋体" w:hAnsi="宋体" w:cs="宋体"/>
          <w:color w:val="auto"/>
          <w:sz w:val="24"/>
          <w:szCs w:val="24"/>
          <w:highlight w:val="none"/>
        </w:rPr>
      </w:pPr>
    </w:p>
    <w:p>
      <w:pPr>
        <w:spacing w:line="56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致：</w:t>
      </w:r>
      <w:r>
        <w:rPr>
          <w:rFonts w:hint="eastAsia" w:ascii="宋体" w:hAnsi="宋体" w:cs="宋体"/>
          <w:b/>
          <w:color w:val="auto"/>
          <w:sz w:val="24"/>
          <w:szCs w:val="24"/>
          <w:highlight w:val="none"/>
          <w:u w:val="single"/>
          <w:lang w:eastAsia="zh-CN"/>
        </w:rPr>
        <w:t>大埔县城市管理和综合执法局</w:t>
      </w:r>
    </w:p>
    <w:p>
      <w:pPr>
        <w:spacing w:line="560" w:lineRule="exact"/>
        <w:ind w:firstLine="472" w:firstLineChars="2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根据已收到的，</w:t>
      </w:r>
      <w:r>
        <w:rPr>
          <w:rFonts w:hint="eastAsia" w:ascii="宋体" w:hAnsi="宋体" w:cs="宋体"/>
          <w:color w:val="auto"/>
          <w:sz w:val="24"/>
          <w:szCs w:val="24"/>
          <w:highlight w:val="none"/>
        </w:rPr>
        <w:t>我单位经考察现场和研究</w:t>
      </w:r>
      <w:r>
        <w:rPr>
          <w:rFonts w:hint="eastAsia" w:ascii="宋体" w:hAnsi="宋体" w:cs="宋体"/>
          <w:b/>
          <w:color w:val="auto"/>
          <w:sz w:val="24"/>
          <w:highlight w:val="none"/>
          <w:u w:val="single"/>
          <w:lang w:eastAsia="zh-CN"/>
        </w:rPr>
        <w:t>大埔县白云大桥停车场及周边道路附属设施建设工程(勘察、设计)</w:t>
      </w:r>
      <w:r>
        <w:rPr>
          <w:rFonts w:hint="eastAsia" w:ascii="宋体" w:hAnsi="宋体" w:cs="宋体"/>
          <w:color w:val="auto"/>
          <w:spacing w:val="-2"/>
          <w:sz w:val="24"/>
          <w:szCs w:val="24"/>
          <w:highlight w:val="none"/>
        </w:rPr>
        <w:t>招标文件(含招标文件的澄清、修改、招标答疑纪要、补充通知)的所有内容后，决定参加投标。并正式授权的下述签字人代表本投标人提交招标文件要求的全套投标</w:t>
      </w:r>
      <w:r>
        <w:rPr>
          <w:rFonts w:hint="eastAsia" w:ascii="宋体" w:hAnsi="宋体" w:cs="宋体"/>
          <w:color w:val="auto"/>
          <w:sz w:val="24"/>
          <w:szCs w:val="24"/>
          <w:highlight w:val="none"/>
        </w:rPr>
        <w:t>文件，包括：</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（1）招标文件中要求的投标文件；</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（2）金额为人民币（小写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）的投标保证金；</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据此函，签字人兹宣布同意如下：</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详细审核并确认全部招标文件，包括澄清、修改或补充招标文件（如有时）及有关附件，接受招标文件全部条款，未经招标人允许，不对招标文件条款及内容提出异议。若有违反，同意被废除投标资格并接受处罚。</w:t>
      </w:r>
    </w:p>
    <w:p>
      <w:pPr>
        <w:spacing w:line="560" w:lineRule="exact"/>
        <w:ind w:firstLine="480" w:firstLineChars="200"/>
        <w:rPr>
          <w:rFonts w:ascii="宋体" w:hAnsi="宋体" w:cs="宋体"/>
          <w:color w:val="auto"/>
          <w:spacing w:val="-2"/>
          <w:sz w:val="24"/>
          <w:szCs w:val="24"/>
          <w:highlight w:val="none"/>
        </w:rPr>
      </w:pPr>
      <w:r>
        <w:rPr>
          <w:rFonts w:hint="eastAsia" w:ascii="宋体" w:hAnsi="宋体" w:cs="宋体"/>
          <w:color w:val="auto"/>
          <w:sz w:val="24"/>
          <w:szCs w:val="24"/>
          <w:highlight w:val="none"/>
        </w:rPr>
        <w:t>2、</w:t>
      </w:r>
      <w:r>
        <w:rPr>
          <w:rFonts w:hint="eastAsia" w:ascii="宋体" w:hAnsi="宋体"/>
          <w:color w:val="auto"/>
          <w:spacing w:val="-2"/>
          <w:sz w:val="24"/>
          <w:szCs w:val="24"/>
          <w:highlight w:val="none"/>
        </w:rPr>
        <w:t>我方承诺</w:t>
      </w:r>
      <w:r>
        <w:rPr>
          <w:rFonts w:hint="eastAsia" w:ascii="宋体" w:hAnsi="宋体"/>
          <w:b w:val="0"/>
          <w:i w:val="0"/>
          <w:caps w:val="0"/>
          <w:color w:val="auto"/>
          <w:spacing w:val="-2"/>
          <w:w w:val="100"/>
          <w:sz w:val="24"/>
          <w:highlight w:val="none"/>
        </w:rPr>
        <w:t>设计费投标报价</w:t>
      </w:r>
      <w:r>
        <w:rPr>
          <w:rFonts w:hint="eastAsia" w:ascii="宋体" w:hAnsi="宋体" w:cs="宋体"/>
          <w:b w:val="0"/>
          <w:i w:val="0"/>
          <w:caps w:val="0"/>
          <w:color w:val="auto"/>
          <w:spacing w:val="-2"/>
          <w:w w:val="100"/>
          <w:sz w:val="24"/>
          <w:highlight w:val="none"/>
        </w:rPr>
        <w:t>包含方案设计、初步设计及概算、施工图设计、深化设计、二次设计、变更设计等整个工程项目设计的相关工作、工程量清单及预算编制及施工现场驻点指导与配合服务，招标人不再支付其它附属的任何费用。勘察费投标报价包含制订勘察纲要、进行勘探点定点测量费、取岩芯样收费、室内试验费、剪切波速测试、土壤氡浓度测试；其他费用：技术工作费、大型机械搬运费、勘察所需的水电及附属设施等勘察作业以及编制工程勘察文件和岩土工程设计文件等费用，招标人不再支付其它附属的任何费用。</w:t>
      </w:r>
    </w:p>
    <w:p>
      <w:pPr>
        <w:spacing w:line="560" w:lineRule="exact"/>
        <w:ind w:firstLine="472" w:firstLineChars="2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3、我方承诺派出勘察、设计代表现场服务，现场服务费用包含在勘察、设计费用报价中，不再另行收费。</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4、一旦我方中标，我方保证严格按国家现行规范及有关规定进行工程</w:t>
      </w: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设计工作，我方保证按招标人、评审委员会及图纸审查机构的意见，对</w:t>
      </w: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设计方案和</w:t>
      </w: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设计图纸进行修改和完善,并符合建设部《建筑工程勘察、设计文件编制深度规定》（2003年版）。</w:t>
      </w:r>
    </w:p>
    <w:p>
      <w:pPr>
        <w:spacing w:line="560" w:lineRule="exact"/>
        <w:ind w:firstLine="480" w:firstLineChars="200"/>
        <w:rPr>
          <w:rFonts w:hint="eastAsia" w:ascii="宋体" w:hAnsi="宋体" w:cs="宋体"/>
          <w:b w:val="0"/>
          <w:i w:val="0"/>
          <w:caps w:val="0"/>
          <w:color w:val="auto"/>
          <w:spacing w:val="0"/>
          <w:w w:val="100"/>
          <w:sz w:val="24"/>
          <w:highlight w:val="none"/>
        </w:rPr>
      </w:pPr>
      <w:r>
        <w:rPr>
          <w:rFonts w:hint="eastAsia" w:ascii="宋体" w:hAnsi="宋体" w:cs="宋体"/>
          <w:color w:val="auto"/>
          <w:sz w:val="24"/>
          <w:szCs w:val="24"/>
          <w:highlight w:val="none"/>
        </w:rPr>
        <w:t>5、一旦我方中标，我方将按照投标文件中的承诺组建项目</w:t>
      </w: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设计组，由投标文件所承诺的项目负责人和其他主要</w:t>
      </w: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设计人员完成本项目的全部设计工作，保证在未征得招标人同意的前提下不变更主要</w:t>
      </w: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设计人员，保证按投标函附表中承诺的</w:t>
      </w: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设计周期完成</w:t>
      </w: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设计并提供完善的施工配合服务。</w:t>
      </w:r>
      <w:r>
        <w:rPr>
          <w:rFonts w:hint="eastAsia" w:ascii="宋体" w:hAnsi="宋体" w:cs="宋体"/>
          <w:b w:val="0"/>
          <w:i w:val="0"/>
          <w:caps w:val="0"/>
          <w:color w:val="auto"/>
          <w:spacing w:val="0"/>
          <w:w w:val="100"/>
          <w:sz w:val="24"/>
          <w:highlight w:val="none"/>
        </w:rPr>
        <w:t>承诺项目负责人不随意更换，但征得招标人同意的除外，并协助本项目施工过程中的后续工作。</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6、我方同意所提交的投标文件在招标文件的投标须知前附表规定的投标有效期限内有效，在此期间内如果中标，我方将受此约束。</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7、除非另外达成协议并生效，贵方的中标通知书和本投标文件（含澄清、修改、补充文件）将成为约束双方的合同文件的组成部分。</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8、我方提供业绩证明资料复印件如有虚假，愿意承担一切法律责任。</w:t>
      </w:r>
    </w:p>
    <w:p>
      <w:pPr>
        <w:spacing w:line="560" w:lineRule="exact"/>
        <w:ind w:firstLine="480" w:firstLineChars="200"/>
        <w:rPr>
          <w:rFonts w:ascii="宋体" w:hAnsi="宋体" w:cs="宋体"/>
          <w:color w:val="auto"/>
          <w:sz w:val="24"/>
          <w:szCs w:val="24"/>
          <w:highlight w:val="none"/>
        </w:rPr>
      </w:pPr>
    </w:p>
    <w:p>
      <w:pPr>
        <w:spacing w:line="560" w:lineRule="exact"/>
        <w:ind w:firstLine="600" w:firstLineChars="250"/>
        <w:rPr>
          <w:rFonts w:ascii="宋体" w:hAnsi="宋体" w:cs="宋体"/>
          <w:color w:val="auto"/>
          <w:sz w:val="24"/>
          <w:szCs w:val="24"/>
          <w:highlight w:val="none"/>
          <w:u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（盖单位公章）</w:t>
      </w:r>
    </w:p>
    <w:p>
      <w:pPr>
        <w:pStyle w:val="18"/>
        <w:spacing w:before="240" w:after="240" w:line="560" w:lineRule="exact"/>
        <w:ind w:firstLine="560"/>
        <w:rPr>
          <w:rFonts w:hAnsi="宋体" w:cs="宋体"/>
          <w:color w:val="auto"/>
          <w:sz w:val="24"/>
          <w:szCs w:val="24"/>
          <w:highlight w:val="none"/>
          <w:u w:val="single"/>
        </w:rPr>
      </w:pPr>
      <w:r>
        <w:rPr>
          <w:rFonts w:hint="eastAsia" w:hAnsi="宋体" w:cs="宋体"/>
          <w:color w:val="auto"/>
          <w:sz w:val="24"/>
          <w:szCs w:val="24"/>
          <w:highlight w:val="none"/>
        </w:rPr>
        <w:t>法定代表人或其委托代理人：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none"/>
        </w:rPr>
        <w:t>（签字）</w:t>
      </w:r>
    </w:p>
    <w:p>
      <w:pPr>
        <w:pStyle w:val="18"/>
        <w:spacing w:before="240" w:after="240" w:line="560" w:lineRule="exact"/>
        <w:ind w:firstLine="560"/>
        <w:rPr>
          <w:rFonts w:hAnsi="宋体" w:cs="宋体"/>
          <w:color w:val="auto"/>
          <w:sz w:val="24"/>
          <w:szCs w:val="24"/>
          <w:highlight w:val="none"/>
        </w:rPr>
      </w:pPr>
    </w:p>
    <w:p>
      <w:pPr>
        <w:spacing w:line="560" w:lineRule="exact"/>
        <w:ind w:firstLine="6840" w:firstLineChars="2850"/>
        <w:rPr>
          <w:rFonts w:ascii="宋体" w:hAnsi="宋体" w:cs="宋体"/>
          <w:color w:val="auto"/>
          <w:sz w:val="24"/>
          <w:szCs w:val="24"/>
          <w:highlight w:val="none"/>
        </w:rPr>
      </w:pPr>
      <w:r>
        <w:rPr>
          <w:rFonts w:hint="eastAsia" w:ascii="宋体" w:hAnsi="宋体" w:cs="宋体"/>
          <w:color w:val="auto"/>
          <w:sz w:val="24"/>
          <w:szCs w:val="24"/>
          <w:highlight w:val="none"/>
        </w:rPr>
        <w:t>日期：年   月   日</w:t>
      </w:r>
    </w:p>
    <w:p>
      <w:pPr>
        <w:jc w:val="center"/>
        <w:rPr>
          <w:rFonts w:ascii="宋体" w:hAnsi="宋体" w:cs="宋体"/>
          <w:b/>
          <w:color w:val="auto"/>
          <w:sz w:val="32"/>
          <w:szCs w:val="32"/>
          <w:highlight w:val="none"/>
        </w:rPr>
      </w:pPr>
    </w:p>
    <w:p>
      <w:pPr>
        <w:numPr>
          <w:ilvl w:val="0"/>
          <w:numId w:val="0"/>
        </w:numPr>
        <w:ind w:leftChars="0"/>
        <w:jc w:val="left"/>
        <w:rPr>
          <w:rFonts w:hint="eastAsia" w:ascii="宋体" w:hAnsi="宋体" w:cs="宋体"/>
          <w:color w:val="auto"/>
          <w:sz w:val="24"/>
          <w:szCs w:val="24"/>
          <w:highlight w:val="none"/>
          <w:lang w:eastAsia="zh-CN"/>
        </w:rPr>
      </w:pPr>
    </w:p>
    <w:p>
      <w:pPr>
        <w:numPr>
          <w:ilvl w:val="0"/>
          <w:numId w:val="0"/>
        </w:numPr>
        <w:ind w:leftChars="0"/>
        <w:jc w:val="center"/>
        <w:outlineLvl w:val="2"/>
        <w:rPr>
          <w:rFonts w:ascii="宋体" w:hAnsi="宋体" w:cs="宋体"/>
          <w:b/>
          <w:color w:val="auto"/>
          <w:sz w:val="36"/>
          <w:szCs w:val="36"/>
          <w:highlight w:val="none"/>
        </w:rPr>
      </w:pPr>
      <w:r>
        <w:rPr>
          <w:rFonts w:ascii="宋体" w:hAnsi="宋体" w:cs="宋体"/>
          <w:b/>
          <w:color w:val="auto"/>
          <w:sz w:val="36"/>
          <w:szCs w:val="36"/>
          <w:highlight w:val="none"/>
        </w:rPr>
        <w:br w:type="page"/>
      </w:r>
      <w:bookmarkStart w:id="518" w:name="_Toc9327"/>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rPr>
        <w:t>投标函附表</w:t>
      </w:r>
      <w:bookmarkEnd w:id="518"/>
    </w:p>
    <w:p>
      <w:pPr>
        <w:jc w:val="center"/>
        <w:rPr>
          <w:rFonts w:ascii="宋体" w:hAnsi="宋体" w:cs="宋体"/>
          <w:b/>
          <w:color w:val="auto"/>
          <w:sz w:val="32"/>
          <w:szCs w:val="32"/>
          <w:highlight w:val="none"/>
        </w:rPr>
      </w:pPr>
    </w:p>
    <w:tbl>
      <w:tblPr>
        <w:tblStyle w:val="37"/>
        <w:tblW w:w="9798" w:type="dxa"/>
        <w:tblInd w:w="0" w:type="dxa"/>
        <w:tblLayout w:type="fixed"/>
        <w:tblCellMar>
          <w:top w:w="0" w:type="dxa"/>
          <w:left w:w="0" w:type="dxa"/>
          <w:bottom w:w="0" w:type="dxa"/>
          <w:right w:w="0" w:type="dxa"/>
        </w:tblCellMar>
      </w:tblPr>
      <w:tblGrid>
        <w:gridCol w:w="2640"/>
        <w:gridCol w:w="7158"/>
      </w:tblGrid>
      <w:tr>
        <w:trPr>
          <w:trHeight w:val="1185"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ind w:firstLine="120" w:firstLineChars="5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大埔县白云大桥停车场及周边道路附属设施建设工程(勘察、设计)</w:t>
            </w:r>
          </w:p>
        </w:tc>
      </w:tr>
      <w:tr>
        <w:tblPrEx>
          <w:tblCellMar>
            <w:top w:w="0" w:type="dxa"/>
            <w:left w:w="0" w:type="dxa"/>
            <w:bottom w:w="0" w:type="dxa"/>
            <w:right w:w="0" w:type="dxa"/>
          </w:tblCellMar>
        </w:tblPrEx>
        <w:trPr>
          <w:trHeight w:val="680"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rPr>
                <w:rFonts w:ascii="宋体" w:hAnsi="宋体" w:cs="宋体"/>
                <w:color w:val="auto"/>
                <w:sz w:val="24"/>
                <w:highlight w:val="none"/>
              </w:rPr>
            </w:pPr>
          </w:p>
        </w:tc>
      </w:tr>
      <w:tr>
        <w:tblPrEx>
          <w:tblCellMar>
            <w:top w:w="0" w:type="dxa"/>
            <w:left w:w="0" w:type="dxa"/>
            <w:bottom w:w="0" w:type="dxa"/>
            <w:right w:w="0" w:type="dxa"/>
          </w:tblCellMar>
        </w:tblPrEx>
        <w:trPr>
          <w:trHeight w:val="1327"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szCs w:val="24"/>
                <w:highlight w:val="none"/>
              </w:rPr>
              <w:t>拟担任本项目设计</w:t>
            </w: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负责人</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ind w:firstLine="120" w:firstLineChars="50"/>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p>
          <w:p>
            <w:pPr>
              <w:spacing w:line="500" w:lineRule="exact"/>
              <w:ind w:firstLine="120" w:firstLineChars="50"/>
              <w:rPr>
                <w:rFonts w:ascii="宋体" w:hAnsi="宋体" w:cs="宋体"/>
                <w:color w:val="auto"/>
                <w:sz w:val="24"/>
                <w:highlight w:val="none"/>
                <w:u w:val="single"/>
              </w:rPr>
            </w:pPr>
            <w:r>
              <w:rPr>
                <w:rFonts w:hint="eastAsia" w:ascii="宋体" w:hAnsi="宋体" w:cs="宋体"/>
                <w:color w:val="auto"/>
                <w:sz w:val="24"/>
                <w:highlight w:val="none"/>
              </w:rPr>
              <w:t>证书编号：</w:t>
            </w:r>
            <w:r>
              <w:rPr>
                <w:rFonts w:hint="eastAsia" w:ascii="宋体" w:hAnsi="宋体" w:cs="宋体"/>
                <w:color w:val="auto"/>
                <w:sz w:val="24"/>
                <w:highlight w:val="none"/>
                <w:u w:val="single"/>
              </w:rPr>
              <w:t xml:space="preserve">               </w:t>
            </w:r>
          </w:p>
        </w:tc>
      </w:tr>
      <w:tr>
        <w:tblPrEx>
          <w:tblCellMar>
            <w:top w:w="0" w:type="dxa"/>
            <w:left w:w="0" w:type="dxa"/>
            <w:bottom w:w="0" w:type="dxa"/>
            <w:right w:w="0" w:type="dxa"/>
          </w:tblCellMar>
        </w:tblPrEx>
        <w:trPr>
          <w:trHeight w:val="1327"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项目负责人</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ind w:firstLine="120" w:firstLineChars="50"/>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p>
          <w:p>
            <w:pPr>
              <w:spacing w:line="500" w:lineRule="exact"/>
              <w:ind w:firstLine="120" w:firstLineChars="50"/>
              <w:rPr>
                <w:rFonts w:hint="eastAsia" w:ascii="宋体" w:hAnsi="宋体" w:cs="宋体"/>
                <w:color w:val="auto"/>
                <w:sz w:val="24"/>
                <w:highlight w:val="none"/>
                <w:lang w:eastAsia="zh-CN"/>
              </w:rPr>
            </w:pPr>
            <w:r>
              <w:rPr>
                <w:rFonts w:hint="eastAsia" w:ascii="宋体" w:hAnsi="宋体" w:cs="宋体"/>
                <w:color w:val="auto"/>
                <w:sz w:val="24"/>
                <w:highlight w:val="none"/>
              </w:rPr>
              <w:t>证书编号：</w:t>
            </w:r>
            <w:r>
              <w:rPr>
                <w:rFonts w:hint="eastAsia" w:ascii="宋体" w:hAnsi="宋体" w:cs="宋体"/>
                <w:color w:val="auto"/>
                <w:sz w:val="24"/>
                <w:highlight w:val="none"/>
                <w:u w:val="single"/>
              </w:rPr>
              <w:t xml:space="preserve">               </w:t>
            </w:r>
          </w:p>
        </w:tc>
      </w:tr>
      <w:tr>
        <w:tblPrEx>
          <w:tblCellMar>
            <w:top w:w="0" w:type="dxa"/>
            <w:left w:w="0" w:type="dxa"/>
            <w:bottom w:w="0" w:type="dxa"/>
            <w:right w:w="0" w:type="dxa"/>
          </w:tblCellMar>
        </w:tblPrEx>
        <w:trPr>
          <w:trHeight w:val="1229" w:hRule="atLeast"/>
        </w:trPr>
        <w:tc>
          <w:tcPr>
            <w:tcW w:w="2640" w:type="dxa"/>
            <w:tcBorders>
              <w:top w:val="single" w:color="auto" w:sz="8" w:space="0"/>
              <w:left w:val="single" w:color="auto" w:sz="8" w:space="0"/>
              <w:right w:val="single" w:color="auto" w:sz="8"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pacing w:val="-2"/>
                <w:sz w:val="24"/>
                <w:szCs w:val="24"/>
                <w:highlight w:val="none"/>
              </w:rPr>
              <w:t>勘察、</w:t>
            </w:r>
            <w:r>
              <w:rPr>
                <w:rFonts w:hint="eastAsia" w:ascii="宋体" w:hAnsi="宋体" w:cs="宋体"/>
                <w:color w:val="auto"/>
                <w:sz w:val="24"/>
                <w:highlight w:val="none"/>
              </w:rPr>
              <w:t>设计费投标报价</w:t>
            </w:r>
          </w:p>
        </w:tc>
        <w:tc>
          <w:tcPr>
            <w:tcW w:w="7158" w:type="dxa"/>
            <w:tcBorders>
              <w:top w:val="single" w:color="auto" w:sz="8" w:space="0"/>
              <w:left w:val="single" w:color="auto" w:sz="8" w:space="0"/>
              <w:right w:val="single" w:color="auto" w:sz="8" w:space="0"/>
            </w:tcBorders>
            <w:vAlign w:val="center"/>
          </w:tcPr>
          <w:p>
            <w:pPr>
              <w:pStyle w:val="85"/>
              <w:widowControl/>
              <w:numPr>
                <w:ilvl w:val="0"/>
                <w:numId w:val="0"/>
              </w:numPr>
              <w:adjustRightInd/>
              <w:spacing w:line="400" w:lineRule="exact"/>
              <w:ind w:leftChars="0"/>
              <w:textAlignment w:val="auto"/>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 1 \* GB3 \* MERGEFORMAT </w:instrText>
            </w:r>
            <w:r>
              <w:rPr>
                <w:rFonts w:hint="eastAsia" w:ascii="宋体" w:hAnsi="宋体"/>
                <w:color w:val="auto"/>
                <w:sz w:val="24"/>
                <w:highlight w:val="none"/>
              </w:rPr>
              <w:fldChar w:fldCharType="separate"/>
            </w:r>
            <w:r>
              <w:rPr>
                <w:color w:val="auto"/>
              </w:rPr>
              <w:t>①</w:t>
            </w:r>
            <w:r>
              <w:rPr>
                <w:rFonts w:hint="eastAsia" w:ascii="宋体" w:hAnsi="宋体"/>
                <w:color w:val="auto"/>
                <w:sz w:val="24"/>
                <w:highlight w:val="none"/>
              </w:rPr>
              <w:fldChar w:fldCharType="end"/>
            </w:r>
            <w:r>
              <w:rPr>
                <w:rFonts w:hint="eastAsia" w:ascii="宋体" w:hAnsi="宋体"/>
                <w:color w:val="auto"/>
                <w:sz w:val="24"/>
                <w:highlight w:val="none"/>
              </w:rPr>
              <w:t>勘察费：</w:t>
            </w:r>
            <w:r>
              <w:rPr>
                <w:rFonts w:hint="eastAsia"/>
                <w:color w:val="auto"/>
                <w:sz w:val="24"/>
                <w:highlight w:val="none"/>
              </w:rPr>
              <w:t>投标报价下浮率为</w:t>
            </w:r>
            <w:r>
              <w:rPr>
                <w:rFonts w:hint="eastAsia"/>
                <w:color w:val="auto"/>
                <w:sz w:val="24"/>
                <w:highlight w:val="none"/>
                <w:u w:val="single"/>
              </w:rPr>
              <w:t xml:space="preserve">      </w:t>
            </w:r>
            <w:r>
              <w:rPr>
                <w:rFonts w:hint="eastAsia"/>
                <w:color w:val="auto"/>
                <w:sz w:val="24"/>
                <w:highlight w:val="none"/>
              </w:rPr>
              <w:t>%（保留两位小数）</w:t>
            </w:r>
            <w:r>
              <w:rPr>
                <w:rFonts w:hint="eastAsia" w:ascii="宋体" w:hAnsi="宋体"/>
                <w:color w:val="auto"/>
                <w:sz w:val="24"/>
                <w:highlight w:val="none"/>
              </w:rPr>
              <w:t>；</w:t>
            </w:r>
          </w:p>
          <w:p>
            <w:pPr>
              <w:widowControl/>
              <w:adjustRightInd/>
              <w:spacing w:line="500" w:lineRule="exact"/>
              <w:ind w:firstLine="120" w:firstLineChars="50"/>
              <w:textAlignment w:val="auto"/>
              <w:rPr>
                <w:rFonts w:ascii="宋体" w:hAnsi="宋体" w:cs="宋体"/>
                <w:color w:val="auto"/>
                <w:sz w:val="24"/>
                <w:highlight w:val="none"/>
              </w:rPr>
            </w:pPr>
            <w:r>
              <w:rPr>
                <w:rFonts w:hint="eastAsia" w:ascii="宋体" w:hAnsi="宋体"/>
                <w:color w:val="auto"/>
                <w:sz w:val="24"/>
                <w:highlight w:val="none"/>
              </w:rPr>
              <w:t>② 设计费：</w:t>
            </w:r>
            <w:r>
              <w:rPr>
                <w:rFonts w:hint="eastAsia"/>
                <w:color w:val="auto"/>
                <w:sz w:val="24"/>
                <w:highlight w:val="none"/>
              </w:rPr>
              <w:t>投标报价下浮率为</w:t>
            </w:r>
            <w:r>
              <w:rPr>
                <w:rFonts w:hint="eastAsia"/>
                <w:color w:val="auto"/>
                <w:sz w:val="24"/>
                <w:highlight w:val="none"/>
                <w:u w:val="single"/>
              </w:rPr>
              <w:t xml:space="preserve">      </w:t>
            </w:r>
            <w:r>
              <w:rPr>
                <w:rFonts w:hint="eastAsia"/>
                <w:color w:val="auto"/>
                <w:sz w:val="24"/>
                <w:highlight w:val="none"/>
              </w:rPr>
              <w:t>%（保留两位小数）</w:t>
            </w:r>
            <w:r>
              <w:rPr>
                <w:rFonts w:hint="eastAsia" w:ascii="宋体" w:hAnsi="宋体"/>
                <w:color w:val="auto"/>
                <w:sz w:val="24"/>
                <w:highlight w:val="none"/>
              </w:rPr>
              <w:t>。</w:t>
            </w:r>
          </w:p>
        </w:tc>
      </w:tr>
      <w:tr>
        <w:tblPrEx>
          <w:tblCellMar>
            <w:top w:w="0" w:type="dxa"/>
            <w:left w:w="0" w:type="dxa"/>
            <w:bottom w:w="0" w:type="dxa"/>
            <w:right w:w="0" w:type="dxa"/>
          </w:tblCellMar>
        </w:tblPrEx>
        <w:trPr>
          <w:cantSplit/>
          <w:trHeight w:val="774" w:hRule="atLeast"/>
        </w:trPr>
        <w:tc>
          <w:tcPr>
            <w:tcW w:w="2640" w:type="dxa"/>
            <w:tcBorders>
              <w:top w:val="single" w:color="auto" w:sz="8" w:space="0"/>
              <w:left w:val="single" w:color="auto" w:sz="8" w:space="0"/>
              <w:right w:val="single" w:color="auto" w:sz="8" w:space="0"/>
            </w:tcBorders>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pacing w:val="-2"/>
                <w:sz w:val="24"/>
                <w:szCs w:val="24"/>
                <w:highlight w:val="none"/>
              </w:rPr>
              <w:t>勘察、</w:t>
            </w:r>
            <w:r>
              <w:rPr>
                <w:rFonts w:hint="eastAsia" w:ascii="宋体" w:hAnsi="宋体" w:cs="宋体"/>
                <w:color w:val="auto"/>
                <w:sz w:val="24"/>
                <w:szCs w:val="24"/>
                <w:highlight w:val="none"/>
              </w:rPr>
              <w:t>设计</w:t>
            </w:r>
            <w:r>
              <w:rPr>
                <w:rFonts w:hint="eastAsia" w:ascii="宋体" w:hAnsi="宋体" w:cs="宋体"/>
                <w:color w:val="auto"/>
                <w:sz w:val="24"/>
                <w:highlight w:val="none"/>
              </w:rPr>
              <w:t>周期</w:t>
            </w:r>
          </w:p>
        </w:tc>
        <w:tc>
          <w:tcPr>
            <w:tcW w:w="7158" w:type="dxa"/>
            <w:tcBorders>
              <w:top w:val="single" w:color="auto" w:sz="8" w:space="0"/>
              <w:left w:val="single" w:color="auto" w:sz="8" w:space="0"/>
              <w:right w:val="single" w:color="auto" w:sz="8" w:space="0"/>
            </w:tcBorders>
            <w:vAlign w:val="center"/>
          </w:tcPr>
          <w:p>
            <w:pPr>
              <w:widowControl/>
              <w:adjustRightInd/>
              <w:spacing w:line="500" w:lineRule="exact"/>
              <w:ind w:firstLine="120" w:firstLineChars="50"/>
              <w:jc w:val="left"/>
              <w:textAlignment w:val="auto"/>
              <w:rPr>
                <w:rFonts w:ascii="宋体" w:hAnsi="宋体" w:cs="宋体"/>
                <w:color w:val="auto"/>
                <w:sz w:val="24"/>
                <w:szCs w:val="24"/>
                <w:highlight w:val="none"/>
              </w:rPr>
            </w:pPr>
          </w:p>
        </w:tc>
      </w:tr>
      <w:tr>
        <w:tblPrEx>
          <w:tblCellMar>
            <w:top w:w="0" w:type="dxa"/>
            <w:left w:w="0" w:type="dxa"/>
            <w:bottom w:w="0" w:type="dxa"/>
            <w:right w:w="0" w:type="dxa"/>
          </w:tblCellMar>
        </w:tblPrEx>
        <w:trPr>
          <w:trHeight w:val="718"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p>
        </w:tc>
      </w:tr>
      <w:tr>
        <w:tblPrEx>
          <w:tblCellMar>
            <w:top w:w="0" w:type="dxa"/>
            <w:left w:w="0" w:type="dxa"/>
            <w:bottom w:w="0" w:type="dxa"/>
            <w:right w:w="0" w:type="dxa"/>
          </w:tblCellMar>
        </w:tblPrEx>
        <w:trPr>
          <w:trHeight w:val="718"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718"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highlight w:val="none"/>
              </w:rPr>
            </w:pPr>
          </w:p>
        </w:tc>
      </w:tr>
    </w:tbl>
    <w:p>
      <w:pPr>
        <w:spacing w:line="500" w:lineRule="exact"/>
        <w:ind w:firstLine="480" w:firstLineChars="200"/>
        <w:rPr>
          <w:rFonts w:ascii="宋体" w:hAnsi="宋体" w:cs="宋体"/>
          <w:color w:val="auto"/>
          <w:sz w:val="24"/>
          <w:highlight w:val="none"/>
        </w:rPr>
      </w:pPr>
    </w:p>
    <w:p>
      <w:pPr>
        <w:spacing w:line="500" w:lineRule="exact"/>
        <w:rPr>
          <w:color w:val="auto"/>
          <w:sz w:val="24"/>
          <w:szCs w:val="24"/>
          <w:highlight w:val="none"/>
        </w:rPr>
      </w:pPr>
      <w:r>
        <w:rPr>
          <w:rFonts w:hint="eastAsia"/>
          <w:color w:val="auto"/>
          <w:sz w:val="24"/>
          <w:szCs w:val="24"/>
          <w:highlight w:val="none"/>
        </w:rPr>
        <w:t>投标人：</w:t>
      </w:r>
      <w:r>
        <w:rPr>
          <w:rFonts w:hint="eastAsia"/>
          <w:color w:val="auto"/>
          <w:sz w:val="24"/>
          <w:szCs w:val="24"/>
          <w:highlight w:val="none"/>
          <w:u w:val="single"/>
        </w:rPr>
        <w:t xml:space="preserve">                                      </w:t>
      </w:r>
      <w:r>
        <w:rPr>
          <w:rFonts w:hint="eastAsia"/>
          <w:color w:val="auto"/>
          <w:sz w:val="24"/>
          <w:szCs w:val="24"/>
          <w:highlight w:val="none"/>
          <w:u w:val="none"/>
        </w:rPr>
        <w:t>（盖单位公章）</w:t>
      </w:r>
      <w:r>
        <w:rPr>
          <w:rFonts w:hint="eastAsia"/>
          <w:color w:val="auto"/>
          <w:sz w:val="24"/>
          <w:szCs w:val="24"/>
          <w:highlight w:val="none"/>
        </w:rPr>
        <w:t xml:space="preserve"> </w:t>
      </w:r>
    </w:p>
    <w:p>
      <w:pPr>
        <w:spacing w:line="500" w:lineRule="exact"/>
        <w:rPr>
          <w:color w:val="auto"/>
          <w:sz w:val="24"/>
          <w:szCs w:val="24"/>
          <w:highlight w:val="none"/>
        </w:rPr>
      </w:pPr>
      <w:r>
        <w:rPr>
          <w:rFonts w:hint="eastAsia"/>
          <w:color w:val="auto"/>
          <w:sz w:val="24"/>
          <w:szCs w:val="24"/>
          <w:highlight w:val="none"/>
        </w:rPr>
        <w:t>法定代表人或其委托代理人：</w:t>
      </w:r>
      <w:r>
        <w:rPr>
          <w:rFonts w:hint="eastAsia"/>
          <w:color w:val="auto"/>
          <w:sz w:val="24"/>
          <w:szCs w:val="24"/>
          <w:highlight w:val="none"/>
          <w:u w:val="single"/>
        </w:rPr>
        <w:t xml:space="preserve">                           </w:t>
      </w:r>
      <w:r>
        <w:rPr>
          <w:rFonts w:hint="eastAsia"/>
          <w:color w:val="auto"/>
          <w:sz w:val="24"/>
          <w:szCs w:val="24"/>
          <w:highlight w:val="none"/>
          <w:u w:val="none"/>
        </w:rPr>
        <w:t>（签字）</w:t>
      </w:r>
    </w:p>
    <w:p>
      <w:pPr>
        <w:spacing w:line="500" w:lineRule="exact"/>
        <w:rPr>
          <w:color w:val="auto"/>
          <w:sz w:val="24"/>
          <w:szCs w:val="24"/>
          <w:highlight w:val="none"/>
          <w:u w:val="single"/>
        </w:rPr>
      </w:pPr>
      <w:r>
        <w:rPr>
          <w:rFonts w:hint="eastAsia" w:ascii="宋体" w:hAnsi="宋体" w:cs="宋体"/>
          <w:color w:val="auto"/>
          <w:sz w:val="24"/>
          <w:szCs w:val="24"/>
          <w:highlight w:val="none"/>
        </w:rPr>
        <w:t>日期：    年   月   日</w:t>
      </w:r>
    </w:p>
    <w:p>
      <w:pPr>
        <w:spacing w:line="600" w:lineRule="exact"/>
        <w:ind w:firstLine="480" w:firstLineChars="200"/>
        <w:rPr>
          <w:rFonts w:ascii="宋体" w:hAnsi="宋体" w:cs="宋体"/>
          <w:color w:val="auto"/>
          <w:sz w:val="24"/>
          <w:szCs w:val="24"/>
          <w:highlight w:val="none"/>
        </w:rPr>
      </w:pPr>
    </w:p>
    <w:p>
      <w:pPr>
        <w:spacing w:line="6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400" w:lineRule="exact"/>
        <w:rPr>
          <w:rFonts w:ascii="宋体" w:hAnsi="宋体" w:cs="宋体"/>
          <w:b/>
          <w:color w:val="auto"/>
          <w:sz w:val="21"/>
          <w:szCs w:val="21"/>
          <w:highlight w:val="none"/>
        </w:rPr>
      </w:pPr>
      <w:r>
        <w:rPr>
          <w:rFonts w:ascii="宋体" w:hAnsi="宋体" w:cs="宋体"/>
          <w:color w:val="auto"/>
          <w:sz w:val="24"/>
          <w:szCs w:val="24"/>
          <w:highlight w:val="none"/>
        </w:rPr>
        <w:br w:type="page"/>
      </w:r>
    </w:p>
    <w:p>
      <w:pPr>
        <w:numPr>
          <w:ilvl w:val="0"/>
          <w:numId w:val="15"/>
        </w:numPr>
        <w:ind w:left="0" w:leftChars="0" w:firstLine="0" w:firstLineChars="0"/>
        <w:jc w:val="center"/>
        <w:outlineLvl w:val="2"/>
        <w:rPr>
          <w:rFonts w:hint="eastAsia" w:ascii="宋体" w:hAnsi="宋体" w:cs="宋体"/>
          <w:b/>
          <w:color w:val="auto"/>
          <w:sz w:val="36"/>
          <w:szCs w:val="36"/>
          <w:highlight w:val="none"/>
        </w:rPr>
      </w:pPr>
      <w:bookmarkStart w:id="519" w:name="_Toc12732"/>
      <w:r>
        <w:rPr>
          <w:rFonts w:hint="eastAsia" w:ascii="宋体" w:hAnsi="宋体" w:cs="宋体"/>
          <w:b/>
          <w:color w:val="auto"/>
          <w:sz w:val="36"/>
          <w:szCs w:val="36"/>
          <w:highlight w:val="none"/>
        </w:rPr>
        <w:t>企业业绩情况一览表</w:t>
      </w:r>
      <w:bookmarkEnd w:id="519"/>
    </w:p>
    <w:p>
      <w:pPr>
        <w:pStyle w:val="36"/>
        <w:numPr>
          <w:ilvl w:val="0"/>
          <w:numId w:val="0"/>
        </w:numPr>
        <w:ind w:leftChars="0"/>
        <w:rPr>
          <w:color w:val="auto"/>
        </w:rPr>
      </w:pPr>
    </w:p>
    <w:tbl>
      <w:tblPr>
        <w:tblStyle w:val="37"/>
        <w:tblW w:w="99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181"/>
        <w:gridCol w:w="4330"/>
        <w:gridCol w:w="1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12" w:space="0"/>
              <w:bottom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3181" w:type="dxa"/>
            <w:tcBorders>
              <w:top w:val="single" w:color="auto" w:sz="12" w:space="0"/>
              <w:bottom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4330" w:type="dxa"/>
            <w:tcBorders>
              <w:top w:val="single" w:color="auto" w:sz="12" w:space="0"/>
              <w:bottom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业绩简介</w:t>
            </w:r>
          </w:p>
        </w:tc>
        <w:tc>
          <w:tcPr>
            <w:tcW w:w="1617" w:type="dxa"/>
            <w:tcBorders>
              <w:top w:val="single" w:color="auto" w:sz="12" w:space="0"/>
              <w:bottom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签约时间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3181" w:type="dxa"/>
            <w:tcBorders>
              <w:top w:val="single" w:color="auto" w:sz="4" w:space="0"/>
              <w:bottom w:val="single" w:color="auto" w:sz="4" w:space="0"/>
            </w:tcBorders>
            <w:vAlign w:val="center"/>
          </w:tcPr>
          <w:p>
            <w:pPr>
              <w:jc w:val="center"/>
              <w:rPr>
                <w:rFonts w:ascii="宋体" w:hAnsi="宋体"/>
                <w:color w:val="auto"/>
                <w:sz w:val="21"/>
                <w:szCs w:val="21"/>
                <w:highlight w:val="none"/>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3181" w:type="dxa"/>
            <w:tcBorders>
              <w:top w:val="single" w:color="auto" w:sz="4" w:space="0"/>
              <w:bottom w:val="single" w:color="auto" w:sz="4" w:space="0"/>
            </w:tcBorders>
            <w:vAlign w:val="center"/>
          </w:tcPr>
          <w:p>
            <w:pPr>
              <w:jc w:val="center"/>
              <w:rPr>
                <w:rFonts w:ascii="宋体" w:hAnsi="宋体"/>
                <w:color w:val="auto"/>
                <w:sz w:val="21"/>
                <w:szCs w:val="21"/>
                <w:highlight w:val="none"/>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3181" w:type="dxa"/>
            <w:tcBorders>
              <w:top w:val="single" w:color="auto" w:sz="4" w:space="0"/>
              <w:bottom w:val="single" w:color="auto" w:sz="4" w:space="0"/>
            </w:tcBorders>
            <w:vAlign w:val="center"/>
          </w:tcPr>
          <w:p>
            <w:pPr>
              <w:jc w:val="center"/>
              <w:rPr>
                <w:rFonts w:ascii="宋体" w:hAnsi="宋体"/>
                <w:color w:val="auto"/>
                <w:sz w:val="21"/>
                <w:szCs w:val="21"/>
                <w:highlight w:val="none"/>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3181" w:type="dxa"/>
            <w:tcBorders>
              <w:top w:val="single" w:color="auto" w:sz="4" w:space="0"/>
              <w:bottom w:val="single" w:color="auto" w:sz="4" w:space="0"/>
            </w:tcBorders>
            <w:vAlign w:val="center"/>
          </w:tcPr>
          <w:p>
            <w:pPr>
              <w:jc w:val="center"/>
              <w:rPr>
                <w:rFonts w:ascii="宋体" w:hAnsi="宋体"/>
                <w:color w:val="auto"/>
                <w:sz w:val="21"/>
                <w:szCs w:val="21"/>
                <w:highlight w:val="none"/>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3181" w:type="dxa"/>
            <w:tcBorders>
              <w:top w:val="single" w:color="auto" w:sz="4" w:space="0"/>
              <w:bottom w:val="single" w:color="auto" w:sz="4" w:space="0"/>
            </w:tcBorders>
            <w:vAlign w:val="center"/>
          </w:tcPr>
          <w:p>
            <w:pPr>
              <w:jc w:val="center"/>
              <w:rPr>
                <w:rFonts w:ascii="宋体" w:hAnsi="宋体"/>
                <w:color w:val="auto"/>
                <w:sz w:val="21"/>
                <w:szCs w:val="21"/>
                <w:highlight w:val="none"/>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4" w:type="dxa"/>
            <w:tcBorders>
              <w:top w:val="single" w:color="auto" w:sz="4" w:space="0"/>
              <w:bottom w:val="single" w:color="auto" w:sz="12" w:space="0"/>
            </w:tcBorders>
            <w:vAlign w:val="center"/>
          </w:tcPr>
          <w:p>
            <w:pPr>
              <w:jc w:val="center"/>
              <w:rPr>
                <w:rFonts w:ascii="宋体" w:hAnsi="宋体"/>
                <w:color w:val="auto"/>
                <w:sz w:val="21"/>
                <w:szCs w:val="21"/>
                <w:highlight w:val="none"/>
              </w:rPr>
            </w:pPr>
            <w:r>
              <w:rPr>
                <w:rFonts w:ascii="宋体" w:hAnsi="宋体"/>
                <w:color w:val="auto"/>
                <w:sz w:val="21"/>
                <w:szCs w:val="21"/>
                <w:highlight w:val="none"/>
              </w:rPr>
              <w:t>……</w:t>
            </w:r>
          </w:p>
        </w:tc>
        <w:tc>
          <w:tcPr>
            <w:tcW w:w="3181" w:type="dxa"/>
            <w:tcBorders>
              <w:top w:val="single" w:color="auto" w:sz="4" w:space="0"/>
              <w:bottom w:val="single" w:color="auto" w:sz="12" w:space="0"/>
              <w:right w:val="single" w:color="002060" w:sz="6" w:space="0"/>
            </w:tcBorders>
            <w:vAlign w:val="center"/>
          </w:tcPr>
          <w:p>
            <w:pPr>
              <w:jc w:val="center"/>
              <w:rPr>
                <w:rFonts w:ascii="宋体" w:hAnsi="宋体"/>
                <w:color w:val="auto"/>
                <w:sz w:val="21"/>
                <w:szCs w:val="21"/>
                <w:highlight w:val="none"/>
              </w:rPr>
            </w:pPr>
          </w:p>
        </w:tc>
        <w:tc>
          <w:tcPr>
            <w:tcW w:w="4330" w:type="dxa"/>
            <w:tcBorders>
              <w:top w:val="single" w:color="auto" w:sz="4" w:space="0"/>
              <w:left w:val="single" w:color="002060" w:sz="6" w:space="0"/>
              <w:bottom w:val="single" w:color="auto" w:sz="12" w:space="0"/>
            </w:tcBorders>
            <w:vAlign w:val="center"/>
          </w:tcPr>
          <w:p>
            <w:pPr>
              <w:jc w:val="center"/>
              <w:rPr>
                <w:rFonts w:ascii="宋体" w:hAnsi="宋体"/>
                <w:b/>
                <w:color w:val="auto"/>
                <w:sz w:val="21"/>
                <w:szCs w:val="21"/>
                <w:highlight w:val="none"/>
              </w:rPr>
            </w:pPr>
          </w:p>
        </w:tc>
        <w:tc>
          <w:tcPr>
            <w:tcW w:w="1617" w:type="dxa"/>
            <w:tcBorders>
              <w:top w:val="single" w:color="auto" w:sz="4" w:space="0"/>
              <w:bottom w:val="single" w:color="auto" w:sz="12" w:space="0"/>
            </w:tcBorders>
            <w:vAlign w:val="center"/>
          </w:tcPr>
          <w:p>
            <w:pPr>
              <w:jc w:val="center"/>
              <w:rPr>
                <w:rFonts w:ascii="宋体" w:hAnsi="宋体"/>
                <w:b/>
                <w:color w:val="auto"/>
                <w:sz w:val="21"/>
                <w:szCs w:val="21"/>
                <w:highlight w:val="none"/>
              </w:rPr>
            </w:pPr>
          </w:p>
        </w:tc>
      </w:tr>
    </w:tbl>
    <w:p>
      <w:pPr>
        <w:spacing w:line="520" w:lineRule="exact"/>
        <w:ind w:left="617" w:hanging="617" w:hangingChars="294"/>
        <w:rPr>
          <w:rFonts w:ascii="宋体" w:hAnsi="宋体"/>
          <w:color w:val="auto"/>
          <w:sz w:val="21"/>
          <w:szCs w:val="21"/>
          <w:highlight w:val="none"/>
        </w:rPr>
      </w:pPr>
      <w:r>
        <w:rPr>
          <w:rFonts w:hint="eastAsia" w:ascii="宋体" w:hAnsi="宋体"/>
          <w:bCs/>
          <w:color w:val="auto"/>
          <w:sz w:val="21"/>
          <w:szCs w:val="21"/>
          <w:highlight w:val="none"/>
        </w:rPr>
        <w:t>备注：</w:t>
      </w:r>
      <w:r>
        <w:rPr>
          <w:rFonts w:hint="eastAsia" w:ascii="宋体" w:hAnsi="宋体"/>
          <w:color w:val="auto"/>
          <w:sz w:val="21"/>
          <w:szCs w:val="21"/>
          <w:highlight w:val="none"/>
        </w:rPr>
        <w:t>根据评审表的要求提交相应资料。</w:t>
      </w:r>
    </w:p>
    <w:p>
      <w:pPr>
        <w:autoSpaceDE w:val="0"/>
        <w:autoSpaceDN w:val="0"/>
        <w:snapToGrid w:val="0"/>
        <w:spacing w:line="360" w:lineRule="auto"/>
        <w:rPr>
          <w:rFonts w:ascii="宋体" w:hAnsi="宋体" w:cs="宋体"/>
          <w:color w:val="auto"/>
          <w:sz w:val="24"/>
          <w:highlight w:val="none"/>
        </w:rPr>
      </w:pPr>
    </w:p>
    <w:p>
      <w:pPr>
        <w:autoSpaceDE w:val="0"/>
        <w:autoSpaceDN w:val="0"/>
        <w:snapToGrid w:val="0"/>
        <w:spacing w:line="360" w:lineRule="auto"/>
        <w:rPr>
          <w:rFonts w:ascii="宋体" w:hAnsi="宋体" w:cs="宋体"/>
          <w:color w:val="auto"/>
          <w:sz w:val="24"/>
          <w:highlight w:val="none"/>
        </w:rPr>
      </w:pPr>
    </w:p>
    <w:p>
      <w:pPr>
        <w:pStyle w:val="36"/>
        <w:rPr>
          <w:rFonts w:ascii="宋体" w:hAnsi="宋体" w:cs="宋体"/>
          <w:color w:val="auto"/>
          <w:sz w:val="24"/>
          <w:highlight w:val="none"/>
        </w:rPr>
      </w:pPr>
    </w:p>
    <w:p>
      <w:pPr>
        <w:pStyle w:val="36"/>
        <w:rPr>
          <w:rFonts w:ascii="宋体" w:hAnsi="宋体" w:cs="宋体"/>
          <w:color w:val="auto"/>
          <w:sz w:val="24"/>
          <w:highlight w:val="none"/>
        </w:rPr>
      </w:pPr>
    </w:p>
    <w:p>
      <w:pPr>
        <w:spacing w:line="500" w:lineRule="exact"/>
        <w:rPr>
          <w:color w:val="auto"/>
          <w:sz w:val="24"/>
          <w:szCs w:val="24"/>
          <w:highlight w:val="none"/>
        </w:rPr>
      </w:pPr>
      <w:r>
        <w:rPr>
          <w:rFonts w:hint="eastAsia"/>
          <w:color w:val="auto"/>
          <w:sz w:val="24"/>
          <w:szCs w:val="24"/>
          <w:highlight w:val="none"/>
        </w:rPr>
        <w:t>投标人：</w:t>
      </w:r>
      <w:r>
        <w:rPr>
          <w:rFonts w:hint="eastAsia"/>
          <w:color w:val="auto"/>
          <w:sz w:val="24"/>
          <w:szCs w:val="24"/>
          <w:highlight w:val="none"/>
          <w:u w:val="single"/>
        </w:rPr>
        <w:t xml:space="preserve">                                      </w:t>
      </w:r>
      <w:r>
        <w:rPr>
          <w:rFonts w:hint="eastAsia"/>
          <w:color w:val="auto"/>
          <w:sz w:val="24"/>
          <w:szCs w:val="24"/>
          <w:highlight w:val="none"/>
          <w:u w:val="none"/>
        </w:rPr>
        <w:t>（盖单位公章）</w:t>
      </w:r>
      <w:r>
        <w:rPr>
          <w:rFonts w:hint="eastAsia"/>
          <w:color w:val="auto"/>
          <w:sz w:val="24"/>
          <w:szCs w:val="24"/>
          <w:highlight w:val="none"/>
        </w:rPr>
        <w:t xml:space="preserve"> </w:t>
      </w:r>
    </w:p>
    <w:p>
      <w:pPr>
        <w:spacing w:line="500" w:lineRule="exact"/>
        <w:rPr>
          <w:color w:val="auto"/>
          <w:sz w:val="24"/>
          <w:szCs w:val="24"/>
          <w:highlight w:val="none"/>
          <w:u w:val="none"/>
        </w:rPr>
      </w:pPr>
      <w:r>
        <w:rPr>
          <w:rFonts w:hint="eastAsia"/>
          <w:color w:val="auto"/>
          <w:sz w:val="24"/>
          <w:szCs w:val="24"/>
          <w:highlight w:val="none"/>
        </w:rPr>
        <w:t>法定代表人或其委托代理人：</w:t>
      </w:r>
      <w:r>
        <w:rPr>
          <w:rFonts w:hint="eastAsia"/>
          <w:color w:val="auto"/>
          <w:sz w:val="24"/>
          <w:szCs w:val="24"/>
          <w:highlight w:val="none"/>
          <w:u w:val="single"/>
        </w:rPr>
        <w:t xml:space="preserve">                           </w:t>
      </w:r>
      <w:r>
        <w:rPr>
          <w:rFonts w:hint="eastAsia"/>
          <w:color w:val="auto"/>
          <w:sz w:val="24"/>
          <w:szCs w:val="24"/>
          <w:highlight w:val="none"/>
          <w:u w:val="none"/>
        </w:rPr>
        <w:t>（签字）</w:t>
      </w:r>
    </w:p>
    <w:p>
      <w:pPr>
        <w:spacing w:line="500" w:lineRule="exact"/>
        <w:rPr>
          <w:color w:val="auto"/>
          <w:sz w:val="24"/>
          <w:szCs w:val="24"/>
          <w:highlight w:val="none"/>
          <w:u w:val="single"/>
        </w:rPr>
      </w:pPr>
      <w:r>
        <w:rPr>
          <w:rFonts w:hint="eastAsia" w:ascii="宋体" w:hAnsi="宋体" w:cs="宋体"/>
          <w:color w:val="auto"/>
          <w:sz w:val="24"/>
          <w:szCs w:val="24"/>
          <w:highlight w:val="none"/>
        </w:rPr>
        <w:t>日期：     年   月   日</w:t>
      </w:r>
    </w:p>
    <w:p>
      <w:pPr>
        <w:spacing w:line="520" w:lineRule="exact"/>
        <w:ind w:left="617" w:hanging="617" w:hangingChars="294"/>
        <w:rPr>
          <w:rFonts w:ascii="宋体" w:hAnsi="宋体"/>
          <w:color w:val="auto"/>
          <w:sz w:val="21"/>
          <w:szCs w:val="21"/>
          <w:highlight w:val="none"/>
        </w:rPr>
      </w:pPr>
    </w:p>
    <w:p>
      <w:pPr>
        <w:widowControl/>
        <w:adjustRightInd/>
        <w:spacing w:line="240" w:lineRule="auto"/>
        <w:jc w:val="left"/>
        <w:textAlignment w:val="auto"/>
        <w:rPr>
          <w:rFonts w:hint="eastAsia" w:ascii="宋体"/>
          <w:color w:val="auto"/>
          <w:kern w:val="2"/>
          <w:sz w:val="21"/>
          <w:szCs w:val="21"/>
          <w:highlight w:val="none"/>
          <w:lang w:eastAsia="zh-CN"/>
        </w:rPr>
        <w:sectPr>
          <w:pgSz w:w="11906" w:h="16838"/>
          <w:pgMar w:top="1440" w:right="1133" w:bottom="1440" w:left="993" w:header="851" w:footer="992" w:gutter="0"/>
          <w:pgNumType w:fmt="decimal"/>
          <w:cols w:space="720" w:num="1"/>
          <w:docGrid w:linePitch="312" w:charSpace="0"/>
        </w:sectPr>
      </w:pPr>
    </w:p>
    <w:p>
      <w:pPr>
        <w:widowControl/>
        <w:numPr>
          <w:ilvl w:val="0"/>
          <w:numId w:val="15"/>
        </w:numPr>
        <w:adjustRightInd/>
        <w:spacing w:line="240" w:lineRule="auto"/>
        <w:ind w:left="0" w:leftChars="0" w:firstLine="0" w:firstLineChars="0"/>
        <w:jc w:val="left"/>
        <w:textAlignment w:val="auto"/>
        <w:outlineLvl w:val="2"/>
        <w:rPr>
          <w:rFonts w:hint="eastAsia" w:ascii="宋体" w:hAnsi="宋体" w:cs="宋体"/>
          <w:b/>
          <w:color w:val="auto"/>
          <w:sz w:val="32"/>
          <w:szCs w:val="32"/>
          <w:highlight w:val="none"/>
          <w:lang w:val="en-US" w:eastAsia="zh-Hans"/>
        </w:rPr>
      </w:pPr>
      <w:bookmarkStart w:id="520" w:name="_Toc19588"/>
      <w:r>
        <w:rPr>
          <w:rFonts w:hint="eastAsia" w:ascii="宋体" w:hAnsi="宋体" w:cs="宋体"/>
          <w:b/>
          <w:color w:val="auto"/>
          <w:sz w:val="32"/>
          <w:szCs w:val="32"/>
          <w:highlight w:val="none"/>
          <w:lang w:val="en-US" w:eastAsia="zh-Hans"/>
        </w:rPr>
        <w:t>企业</w:t>
      </w:r>
      <w:r>
        <w:rPr>
          <w:rFonts w:hint="eastAsia" w:ascii="宋体" w:hAnsi="宋体" w:cs="宋体"/>
          <w:b/>
          <w:color w:val="auto"/>
          <w:sz w:val="32"/>
          <w:szCs w:val="32"/>
          <w:highlight w:val="none"/>
          <w:lang w:val="en-US" w:eastAsia="zh-CN"/>
        </w:rPr>
        <w:t>荣</w:t>
      </w:r>
      <w:r>
        <w:rPr>
          <w:rFonts w:hint="eastAsia" w:ascii="宋体" w:hAnsi="宋体" w:cs="宋体"/>
          <w:b/>
          <w:color w:val="auto"/>
          <w:sz w:val="32"/>
          <w:szCs w:val="32"/>
          <w:highlight w:val="none"/>
          <w:lang w:val="en-US" w:eastAsia="zh-Hans"/>
        </w:rPr>
        <w:t>誉</w:t>
      </w:r>
      <w:bookmarkEnd w:id="520"/>
    </w:p>
    <w:p>
      <w:pPr>
        <w:pStyle w:val="36"/>
        <w:widowControl w:val="0"/>
        <w:numPr>
          <w:ilvl w:val="0"/>
          <w:numId w:val="0"/>
        </w:numPr>
        <w:topLinePunct w:val="0"/>
        <w:adjustRightInd/>
        <w:spacing w:after="120" w:line="240" w:lineRule="auto"/>
        <w:jc w:val="both"/>
        <w:textAlignment w:val="auto"/>
        <w:rPr>
          <w:color w:val="auto"/>
        </w:rPr>
      </w:pPr>
    </w:p>
    <w:p>
      <w:pPr>
        <w:spacing w:line="520" w:lineRule="exact"/>
        <w:rPr>
          <w:rFonts w:ascii="宋体" w:hAnsi="宋体"/>
          <w:color w:val="auto"/>
          <w:sz w:val="21"/>
          <w:szCs w:val="21"/>
          <w:highlight w:val="none"/>
        </w:rPr>
      </w:pPr>
      <w:r>
        <w:rPr>
          <w:rFonts w:hint="eastAsia" w:ascii="宋体" w:hAnsi="宋体"/>
          <w:bCs/>
          <w:color w:val="auto"/>
          <w:sz w:val="21"/>
          <w:szCs w:val="21"/>
          <w:highlight w:val="none"/>
        </w:rPr>
        <w:t>备注：</w:t>
      </w:r>
      <w:r>
        <w:rPr>
          <w:rFonts w:hint="eastAsia" w:ascii="宋体" w:hAnsi="宋体"/>
          <w:color w:val="auto"/>
          <w:sz w:val="21"/>
          <w:szCs w:val="21"/>
          <w:highlight w:val="none"/>
        </w:rPr>
        <w:t>根据评审表的要求提交相应资料。</w:t>
      </w: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pPr>
    </w:p>
    <w:p>
      <w:pPr>
        <w:pStyle w:val="36"/>
        <w:widowControl w:val="0"/>
        <w:numPr>
          <w:ilvl w:val="0"/>
          <w:numId w:val="0"/>
        </w:numPr>
        <w:topLinePunct w:val="0"/>
        <w:adjustRightInd/>
        <w:spacing w:after="120" w:line="240" w:lineRule="auto"/>
        <w:jc w:val="both"/>
        <w:textAlignment w:val="auto"/>
        <w:rPr>
          <w:color w:val="auto"/>
        </w:rPr>
        <w:sectPr>
          <w:pgSz w:w="11906" w:h="16838"/>
          <w:pgMar w:top="1440" w:right="1133" w:bottom="1440" w:left="993" w:header="851" w:footer="992" w:gutter="0"/>
          <w:pgNumType w:fmt="decimal"/>
          <w:cols w:space="720" w:num="1"/>
          <w:docGrid w:linePitch="312" w:charSpace="0"/>
        </w:sectPr>
      </w:pPr>
    </w:p>
    <w:p>
      <w:pPr>
        <w:pStyle w:val="36"/>
        <w:widowControl w:val="0"/>
        <w:numPr>
          <w:ilvl w:val="0"/>
          <w:numId w:val="0"/>
        </w:numPr>
        <w:topLinePunct w:val="0"/>
        <w:adjustRightInd/>
        <w:spacing w:after="120" w:line="240" w:lineRule="auto"/>
        <w:jc w:val="both"/>
        <w:textAlignment w:val="auto"/>
        <w:rPr>
          <w:color w:val="auto"/>
        </w:rPr>
      </w:pPr>
    </w:p>
    <w:p>
      <w:pPr>
        <w:widowControl/>
        <w:numPr>
          <w:ilvl w:val="0"/>
          <w:numId w:val="15"/>
        </w:numPr>
        <w:adjustRightInd/>
        <w:spacing w:line="240" w:lineRule="auto"/>
        <w:ind w:left="0" w:leftChars="0" w:firstLine="0" w:firstLineChars="0"/>
        <w:jc w:val="left"/>
        <w:textAlignment w:val="auto"/>
        <w:outlineLvl w:val="2"/>
        <w:rPr>
          <w:rFonts w:hint="eastAsia" w:ascii="宋体" w:hAnsi="宋体" w:cs="宋体"/>
          <w:b/>
          <w:color w:val="auto"/>
          <w:sz w:val="32"/>
          <w:szCs w:val="32"/>
          <w:highlight w:val="none"/>
          <w:lang w:val="en-US" w:eastAsia="zh-Hans"/>
        </w:rPr>
      </w:pPr>
      <w:bookmarkStart w:id="521" w:name="_Toc24337"/>
      <w:r>
        <w:rPr>
          <w:rFonts w:hint="eastAsia" w:ascii="宋体" w:hAnsi="宋体" w:cs="宋体"/>
          <w:b/>
          <w:color w:val="auto"/>
          <w:sz w:val="32"/>
          <w:szCs w:val="32"/>
          <w:highlight w:val="none"/>
          <w:lang w:val="en-US" w:eastAsia="zh-Hans"/>
        </w:rPr>
        <w:t>企业获奖情况一览表</w:t>
      </w:r>
      <w:bookmarkEnd w:id="521"/>
    </w:p>
    <w:p>
      <w:pPr>
        <w:pStyle w:val="36"/>
        <w:numPr>
          <w:ilvl w:val="0"/>
          <w:numId w:val="0"/>
        </w:numPr>
        <w:ind w:leftChars="0"/>
        <w:rPr>
          <w:rFonts w:hint="eastAsia"/>
          <w:color w:val="auto"/>
          <w:lang w:val="en-US" w:eastAsia="zh-Hans"/>
        </w:rPr>
      </w:pPr>
    </w:p>
    <w:p>
      <w:pPr>
        <w:widowControl/>
        <w:wordWrap w:val="0"/>
        <w:spacing w:line="360" w:lineRule="auto"/>
        <w:ind w:firstLine="240" w:firstLineChars="1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rPr>
        <w:t xml:space="preserve">                                         </w:t>
      </w:r>
    </w:p>
    <w:tbl>
      <w:tblPr>
        <w:tblStyle w:val="37"/>
        <w:tblW w:w="102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251"/>
        <w:gridCol w:w="4428"/>
        <w:gridCol w:w="1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5"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序号</w:t>
            </w:r>
          </w:p>
        </w:tc>
        <w:tc>
          <w:tcPr>
            <w:tcW w:w="3251"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项目名称</w:t>
            </w:r>
          </w:p>
        </w:tc>
        <w:tc>
          <w:tcPr>
            <w:tcW w:w="4428"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获奖名称</w:t>
            </w:r>
          </w:p>
        </w:tc>
        <w:tc>
          <w:tcPr>
            <w:tcW w:w="1652"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获奖时间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hint="eastAsia" w:asciiTheme="minorEastAsia" w:hAnsiTheme="minorEastAsia" w:eastAsiaTheme="minorEastAsia"/>
                <w:color w:val="auto"/>
                <w:sz w:val="21"/>
                <w:szCs w:val="21"/>
                <w:lang w:val="en-US" w:eastAsia="zh-CN"/>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hint="eastAsia" w:asciiTheme="minorEastAsia" w:hAnsiTheme="minorEastAsia" w:eastAsiaTheme="minorEastAsia"/>
                <w:color w:val="auto"/>
                <w:sz w:val="21"/>
                <w:szCs w:val="21"/>
                <w:lang w:val="en-US" w:eastAsia="zh-CN"/>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5" w:type="dxa"/>
            <w:vAlign w:val="center"/>
          </w:tcPr>
          <w:p>
            <w:pPr>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bl>
    <w:p>
      <w:pPr>
        <w:widowControl/>
        <w:adjustRightInd/>
        <w:spacing w:line="240" w:lineRule="auto"/>
        <w:jc w:val="left"/>
        <w:textAlignment w:val="auto"/>
        <w:outlineLvl w:val="9"/>
        <w:rPr>
          <w:rFonts w:hint="eastAsia" w:asciiTheme="minorEastAsia" w:hAnsiTheme="minorEastAsia" w:eastAsiaTheme="minorEastAsia"/>
          <w:color w:val="auto"/>
          <w:sz w:val="21"/>
          <w:szCs w:val="21"/>
        </w:rPr>
      </w:pPr>
      <w:r>
        <w:rPr>
          <w:rFonts w:hint="eastAsia" w:asciiTheme="minorEastAsia" w:hAnsiTheme="minorEastAsia" w:eastAsiaTheme="minorEastAsia"/>
          <w:bCs/>
          <w:color w:val="auto"/>
          <w:sz w:val="21"/>
          <w:szCs w:val="21"/>
        </w:rPr>
        <w:t>备注：</w:t>
      </w:r>
      <w:r>
        <w:rPr>
          <w:rFonts w:hint="eastAsia" w:asciiTheme="minorEastAsia" w:hAnsiTheme="minorEastAsia" w:eastAsiaTheme="minorEastAsia"/>
          <w:color w:val="auto"/>
          <w:sz w:val="21"/>
          <w:szCs w:val="21"/>
        </w:rPr>
        <w:t>根据评审表的要求提交相应资料。</w:t>
      </w:r>
    </w:p>
    <w:p>
      <w:pPr>
        <w:widowControl/>
        <w:adjustRightInd/>
        <w:spacing w:line="240" w:lineRule="auto"/>
        <w:jc w:val="left"/>
        <w:textAlignment w:val="auto"/>
        <w:outlineLvl w:val="9"/>
        <w:rPr>
          <w:rFonts w:hint="eastAsia" w:asciiTheme="minorEastAsia" w:hAnsiTheme="minorEastAsia" w:eastAsiaTheme="minorEastAsia"/>
          <w:color w:val="auto"/>
          <w:sz w:val="21"/>
          <w:szCs w:val="21"/>
        </w:rPr>
      </w:pPr>
    </w:p>
    <w:p>
      <w:pPr>
        <w:widowControl/>
        <w:adjustRightInd/>
        <w:spacing w:line="240" w:lineRule="auto"/>
        <w:jc w:val="left"/>
        <w:textAlignment w:val="auto"/>
        <w:outlineLvl w:val="9"/>
        <w:rPr>
          <w:rFonts w:hint="eastAsia" w:asciiTheme="minorEastAsia" w:hAnsiTheme="minorEastAsia" w:eastAsiaTheme="minorEastAsia"/>
          <w:color w:val="auto"/>
          <w:sz w:val="21"/>
          <w:szCs w:val="21"/>
        </w:rPr>
      </w:pPr>
    </w:p>
    <w:p>
      <w:pPr>
        <w:widowControl/>
        <w:adjustRightInd/>
        <w:spacing w:line="240" w:lineRule="auto"/>
        <w:jc w:val="left"/>
        <w:textAlignment w:val="auto"/>
        <w:outlineLvl w:val="9"/>
        <w:rPr>
          <w:rFonts w:hint="eastAsia" w:asciiTheme="minorEastAsia" w:hAnsiTheme="minorEastAsia" w:eastAsiaTheme="minorEastAsia"/>
          <w:color w:val="auto"/>
          <w:sz w:val="21"/>
          <w:szCs w:val="21"/>
        </w:rPr>
      </w:pPr>
    </w:p>
    <w:p>
      <w:pPr>
        <w:widowControl/>
        <w:adjustRightInd/>
        <w:spacing w:line="240" w:lineRule="auto"/>
        <w:jc w:val="left"/>
        <w:textAlignment w:val="auto"/>
        <w:outlineLvl w:val="9"/>
        <w:rPr>
          <w:rFonts w:hint="eastAsia" w:asciiTheme="minorEastAsia" w:hAnsiTheme="minorEastAsia" w:eastAsiaTheme="minorEastAsia"/>
          <w:color w:val="auto"/>
          <w:sz w:val="21"/>
          <w:szCs w:val="21"/>
        </w:rPr>
      </w:pPr>
    </w:p>
    <w:p>
      <w:pPr>
        <w:spacing w:line="500" w:lineRule="exact"/>
        <w:rPr>
          <w:color w:val="auto"/>
          <w:sz w:val="24"/>
          <w:szCs w:val="24"/>
          <w:highlight w:val="none"/>
        </w:rPr>
      </w:pPr>
      <w:r>
        <w:rPr>
          <w:rFonts w:hint="eastAsia"/>
          <w:color w:val="auto"/>
          <w:sz w:val="24"/>
          <w:szCs w:val="24"/>
          <w:highlight w:val="none"/>
        </w:rPr>
        <w:t>投标人：</w:t>
      </w:r>
      <w:r>
        <w:rPr>
          <w:rFonts w:hint="eastAsia"/>
          <w:color w:val="auto"/>
          <w:sz w:val="24"/>
          <w:szCs w:val="24"/>
          <w:highlight w:val="none"/>
          <w:u w:val="single"/>
        </w:rPr>
        <w:t xml:space="preserve">                                      </w:t>
      </w:r>
      <w:r>
        <w:rPr>
          <w:rFonts w:hint="eastAsia"/>
          <w:color w:val="auto"/>
          <w:sz w:val="24"/>
          <w:szCs w:val="24"/>
          <w:highlight w:val="none"/>
          <w:u w:val="none"/>
        </w:rPr>
        <w:t xml:space="preserve">（盖单位公章） </w:t>
      </w:r>
    </w:p>
    <w:p>
      <w:pPr>
        <w:spacing w:line="500" w:lineRule="exact"/>
        <w:rPr>
          <w:color w:val="auto"/>
          <w:sz w:val="24"/>
          <w:szCs w:val="24"/>
          <w:highlight w:val="none"/>
          <w:u w:val="none"/>
        </w:rPr>
      </w:pPr>
      <w:r>
        <w:rPr>
          <w:rFonts w:hint="eastAsia"/>
          <w:color w:val="auto"/>
          <w:sz w:val="24"/>
          <w:szCs w:val="24"/>
          <w:highlight w:val="none"/>
        </w:rPr>
        <w:t>法定代表人或其委托代理人：</w:t>
      </w:r>
      <w:r>
        <w:rPr>
          <w:rFonts w:hint="eastAsia"/>
          <w:color w:val="auto"/>
          <w:sz w:val="24"/>
          <w:szCs w:val="24"/>
          <w:highlight w:val="none"/>
          <w:u w:val="single"/>
        </w:rPr>
        <w:t xml:space="preserve">                           </w:t>
      </w:r>
      <w:r>
        <w:rPr>
          <w:rFonts w:hint="eastAsia"/>
          <w:color w:val="auto"/>
          <w:sz w:val="24"/>
          <w:szCs w:val="24"/>
          <w:highlight w:val="none"/>
          <w:u w:val="none"/>
        </w:rPr>
        <w:t>（签字）</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pPr>
        <w:pStyle w:val="36"/>
        <w:rPr>
          <w:rFonts w:hint="eastAsia" w:ascii="宋体" w:hAnsi="宋体" w:cs="宋体"/>
          <w:color w:val="auto"/>
          <w:sz w:val="24"/>
          <w:szCs w:val="24"/>
          <w:highlight w:val="none"/>
        </w:rPr>
      </w:pPr>
    </w:p>
    <w:p>
      <w:pPr>
        <w:pStyle w:val="36"/>
        <w:rPr>
          <w:rFonts w:hint="eastAsia" w:ascii="宋体" w:hAnsi="宋体" w:cs="宋体"/>
          <w:color w:val="auto"/>
          <w:sz w:val="24"/>
          <w:szCs w:val="24"/>
          <w:highlight w:val="none"/>
        </w:rPr>
      </w:pPr>
    </w:p>
    <w:p>
      <w:pPr>
        <w:pStyle w:val="36"/>
        <w:rPr>
          <w:rFonts w:hint="eastAsia" w:ascii="宋体" w:hAnsi="宋体" w:cs="宋体"/>
          <w:color w:val="auto"/>
          <w:sz w:val="24"/>
          <w:szCs w:val="24"/>
          <w:highlight w:val="none"/>
        </w:rPr>
      </w:pPr>
    </w:p>
    <w:p>
      <w:pPr>
        <w:pStyle w:val="36"/>
        <w:rPr>
          <w:rFonts w:hint="eastAsia" w:ascii="宋体" w:hAnsi="宋体" w:cs="宋体"/>
          <w:color w:val="auto"/>
          <w:sz w:val="24"/>
          <w:szCs w:val="24"/>
          <w:highlight w:val="none"/>
        </w:rPr>
      </w:pPr>
    </w:p>
    <w:p>
      <w:pPr>
        <w:pStyle w:val="36"/>
        <w:rPr>
          <w:rFonts w:hint="eastAsia" w:ascii="宋体" w:hAnsi="宋体" w:cs="宋体"/>
          <w:color w:val="auto"/>
          <w:sz w:val="24"/>
          <w:szCs w:val="24"/>
          <w:highlight w:val="none"/>
        </w:rPr>
      </w:pPr>
    </w:p>
    <w:p>
      <w:pPr>
        <w:pStyle w:val="36"/>
        <w:ind w:left="0" w:leftChars="0" w:firstLine="0" w:firstLineChars="0"/>
        <w:rPr>
          <w:rFonts w:hint="eastAsia" w:ascii="宋体" w:hAnsi="宋体" w:cs="宋体"/>
          <w:color w:val="auto"/>
          <w:sz w:val="24"/>
          <w:szCs w:val="24"/>
          <w:highlight w:val="none"/>
        </w:rPr>
        <w:sectPr>
          <w:pgSz w:w="11906" w:h="16838"/>
          <w:pgMar w:top="1440" w:right="1133" w:bottom="1440" w:left="993" w:header="851" w:footer="992" w:gutter="0"/>
          <w:pgNumType w:fmt="decimal"/>
          <w:cols w:space="720" w:num="1"/>
          <w:docGrid w:linePitch="312" w:charSpace="0"/>
        </w:sectPr>
      </w:pPr>
    </w:p>
    <w:p>
      <w:pPr>
        <w:jc w:val="center"/>
        <w:outlineLvl w:val="2"/>
        <w:rPr>
          <w:rFonts w:cs="宋体"/>
          <w:b/>
          <w:color w:val="auto"/>
          <w:sz w:val="36"/>
          <w:szCs w:val="36"/>
        </w:rPr>
      </w:pPr>
      <w:bookmarkStart w:id="522" w:name="_Toc15849"/>
      <w:r>
        <w:rPr>
          <w:rFonts w:hint="eastAsia" w:cs="宋体"/>
          <w:b/>
          <w:color w:val="auto"/>
          <w:sz w:val="36"/>
          <w:szCs w:val="36"/>
        </w:rPr>
        <w:t>（</w:t>
      </w:r>
      <w:r>
        <w:rPr>
          <w:rFonts w:hint="eastAsia" w:cs="宋体"/>
          <w:b/>
          <w:color w:val="auto"/>
          <w:sz w:val="36"/>
          <w:szCs w:val="36"/>
          <w:lang w:val="en-US" w:eastAsia="zh-CN"/>
        </w:rPr>
        <w:t>六</w:t>
      </w:r>
      <w:r>
        <w:rPr>
          <w:rFonts w:hint="eastAsia" w:cs="宋体"/>
          <w:b/>
          <w:color w:val="auto"/>
          <w:sz w:val="36"/>
          <w:szCs w:val="36"/>
        </w:rPr>
        <w:t>）拟担任的设计项目负责人业绩</w:t>
      </w:r>
      <w:r>
        <w:rPr>
          <w:rFonts w:hint="eastAsia" w:cs="宋体"/>
          <w:b/>
          <w:color w:val="auto"/>
          <w:sz w:val="36"/>
          <w:szCs w:val="36"/>
          <w:lang w:eastAsia="zh-CN"/>
        </w:rPr>
        <w:t>、职称</w:t>
      </w:r>
      <w:r>
        <w:rPr>
          <w:rFonts w:hint="eastAsia" w:cs="宋体"/>
          <w:b/>
          <w:color w:val="auto"/>
          <w:sz w:val="36"/>
          <w:szCs w:val="36"/>
        </w:rPr>
        <w:t>情况一览表</w:t>
      </w:r>
      <w:bookmarkEnd w:id="522"/>
    </w:p>
    <w:p>
      <w:pPr>
        <w:widowControl/>
        <w:wordWrap w:val="0"/>
        <w:spacing w:line="360" w:lineRule="auto"/>
        <w:jc w:val="left"/>
        <w:rPr>
          <w:rFonts w:hint="eastAsia" w:asciiTheme="minorEastAsia" w:hAnsiTheme="minorEastAsia" w:eastAsiaTheme="minorEastAsia"/>
          <w:color w:val="auto"/>
          <w:sz w:val="24"/>
          <w:szCs w:val="24"/>
        </w:rPr>
      </w:pPr>
    </w:p>
    <w:p>
      <w:pPr>
        <w:widowControl/>
        <w:wordWrap w:val="0"/>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1"/>
          <w:szCs w:val="21"/>
        </w:rPr>
        <w:t xml:space="preserve">                                                  </w:t>
      </w:r>
    </w:p>
    <w:tbl>
      <w:tblPr>
        <w:tblStyle w:val="37"/>
        <w:tblW w:w="99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3950"/>
        <w:gridCol w:w="3197"/>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992" w:type="dxa"/>
            <w:gridSpan w:val="4"/>
            <w:tcBorders>
              <w:top w:val="single" w:color="auto" w:sz="12" w:space="0"/>
              <w:bottom w:val="single" w:color="auto" w:sz="4" w:space="0"/>
            </w:tcBorders>
            <w:vAlign w:val="center"/>
          </w:tcPr>
          <w:p>
            <w:pPr>
              <w:jc w:val="center"/>
              <w:rPr>
                <w:rFonts w:asciiTheme="minorEastAsia" w:hAnsiTheme="minorEastAsia" w:eastAsiaTheme="minorEastAsia"/>
                <w:color w:val="auto"/>
                <w:sz w:val="21"/>
                <w:szCs w:val="21"/>
              </w:rPr>
            </w:pPr>
            <w:r>
              <w:rPr>
                <w:rFonts w:hint="eastAsia" w:cs="宋体"/>
                <w:b/>
                <w:color w:val="auto"/>
                <w:sz w:val="36"/>
                <w:szCs w:val="36"/>
              </w:rPr>
              <w:t>设计项目负责人业绩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序号</w:t>
            </w: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项目名称</w:t>
            </w: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业绩简介</w:t>
            </w: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签约时间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992" w:type="dxa"/>
            <w:gridSpan w:val="4"/>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r>
              <w:rPr>
                <w:rFonts w:hint="eastAsia" w:cs="宋体"/>
                <w:b/>
                <w:color w:val="auto"/>
                <w:sz w:val="36"/>
                <w:szCs w:val="36"/>
              </w:rPr>
              <w:t>设计项目负责人</w:t>
            </w:r>
            <w:r>
              <w:rPr>
                <w:rFonts w:hint="eastAsia" w:ascii="Times New Roman" w:hAnsi="Times New Roman" w:eastAsia="宋体" w:cs="宋体"/>
                <w:b/>
                <w:color w:val="auto"/>
                <w:sz w:val="36"/>
                <w:szCs w:val="36"/>
                <w:lang w:val="en-US" w:eastAsia="zh-Hans" w:bidi="ar-SA"/>
              </w:rPr>
              <w:t>职称</w:t>
            </w:r>
            <w:r>
              <w:rPr>
                <w:rFonts w:hint="eastAsia" w:ascii="Times New Roman" w:hAnsi="Times New Roman" w:eastAsia="宋体" w:cs="宋体"/>
                <w:b/>
                <w:color w:val="auto"/>
                <w:sz w:val="36"/>
                <w:szCs w:val="36"/>
                <w:lang w:val="en-US" w:eastAsia="zh-CN" w:bidi="ar-SA"/>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27" w:type="dxa"/>
            <w:tcBorders>
              <w:top w:val="single" w:color="auto" w:sz="4" w:space="0"/>
              <w:bottom w:val="single" w:color="auto" w:sz="4" w:space="0"/>
            </w:tcBorders>
            <w:vAlign w:val="center"/>
          </w:tcPr>
          <w:p>
            <w:pPr>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设计项目负责人</w:t>
            </w:r>
          </w:p>
        </w:tc>
        <w:tc>
          <w:tcPr>
            <w:tcW w:w="3950" w:type="dxa"/>
            <w:tcBorders>
              <w:top w:val="single" w:color="auto" w:sz="4" w:space="0"/>
              <w:bottom w:val="single" w:color="auto" w:sz="4" w:space="0"/>
              <w:right w:val="single" w:color="002060" w:sz="6" w:space="0"/>
            </w:tcBorders>
            <w:vAlign w:val="center"/>
          </w:tcPr>
          <w:p>
            <w:pPr>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是否具有市政相关专业类高级工程师职称</w:t>
            </w:r>
          </w:p>
        </w:tc>
        <w:tc>
          <w:tcPr>
            <w:tcW w:w="3197" w:type="dxa"/>
            <w:tcBorders>
              <w:top w:val="single" w:color="auto" w:sz="4" w:space="0"/>
              <w:left w:val="single" w:color="002060" w:sz="6" w:space="0"/>
              <w:bottom w:val="single" w:color="auto" w:sz="4" w:space="0"/>
            </w:tcBorders>
            <w:vAlign w:val="center"/>
          </w:tcPr>
          <w:p>
            <w:pPr>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是否具有一级注册建筑师</w:t>
            </w:r>
          </w:p>
        </w:tc>
        <w:tc>
          <w:tcPr>
            <w:tcW w:w="1618" w:type="dxa"/>
            <w:tcBorders>
              <w:top w:val="single" w:color="auto" w:sz="4" w:space="0"/>
              <w:bottom w:val="single" w:color="auto" w:sz="4" w:space="0"/>
            </w:tcBorders>
            <w:vAlign w:val="center"/>
          </w:tcPr>
          <w:p>
            <w:pPr>
              <w:jc w:val="center"/>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27" w:type="dxa"/>
            <w:tcBorders>
              <w:top w:val="single" w:color="auto" w:sz="4" w:space="0"/>
              <w:bottom w:val="single" w:color="auto" w:sz="12"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12" w:space="0"/>
              <w:right w:val="single" w:color="002060" w:sz="6"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left w:val="single" w:color="002060" w:sz="6" w:space="0"/>
              <w:bottom w:val="single" w:color="auto" w:sz="12"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12" w:space="0"/>
            </w:tcBorders>
            <w:vAlign w:val="center"/>
          </w:tcPr>
          <w:p>
            <w:pPr>
              <w:jc w:val="center"/>
              <w:rPr>
                <w:rFonts w:asciiTheme="minorEastAsia" w:hAnsiTheme="minorEastAsia" w:eastAsiaTheme="minorEastAsia"/>
                <w:b/>
                <w:color w:val="auto"/>
                <w:sz w:val="21"/>
                <w:szCs w:val="21"/>
              </w:rPr>
            </w:pPr>
          </w:p>
        </w:tc>
      </w:tr>
    </w:tbl>
    <w:p>
      <w:pPr>
        <w:pStyle w:val="36"/>
        <w:rPr>
          <w:rFonts w:hint="eastAsia" w:asciiTheme="minorEastAsia" w:hAnsiTheme="minorEastAsia" w:eastAsiaTheme="minorEastAsia"/>
          <w:bCs/>
          <w:color w:val="auto"/>
          <w:sz w:val="21"/>
          <w:szCs w:val="21"/>
        </w:rPr>
      </w:pPr>
    </w:p>
    <w:p>
      <w:pPr>
        <w:pStyle w:val="36"/>
        <w:rPr>
          <w:rFonts w:hint="eastAsia" w:asciiTheme="minorEastAsia" w:hAnsiTheme="minorEastAsia" w:eastAsiaTheme="minorEastAsia"/>
          <w:color w:val="auto"/>
          <w:sz w:val="21"/>
          <w:szCs w:val="21"/>
        </w:rPr>
      </w:pPr>
      <w:r>
        <w:rPr>
          <w:rFonts w:hint="eastAsia" w:asciiTheme="minorEastAsia" w:hAnsiTheme="minorEastAsia" w:eastAsiaTheme="minorEastAsia"/>
          <w:bCs/>
          <w:color w:val="auto"/>
          <w:sz w:val="21"/>
          <w:szCs w:val="21"/>
        </w:rPr>
        <w:t>备注：</w:t>
      </w:r>
      <w:r>
        <w:rPr>
          <w:rFonts w:hint="eastAsia" w:asciiTheme="minorEastAsia" w:hAnsiTheme="minorEastAsia" w:eastAsiaTheme="minorEastAsia"/>
          <w:color w:val="auto"/>
          <w:sz w:val="21"/>
          <w:szCs w:val="21"/>
        </w:rPr>
        <w:t>根据评审表的要求提交相应资料。</w:t>
      </w:r>
    </w:p>
    <w:p>
      <w:pPr>
        <w:pStyle w:val="36"/>
        <w:rPr>
          <w:rFonts w:hint="eastAsia" w:asciiTheme="minorEastAsia" w:hAnsiTheme="minorEastAsia" w:eastAsiaTheme="minorEastAsia"/>
          <w:color w:val="auto"/>
          <w:sz w:val="21"/>
          <w:szCs w:val="21"/>
        </w:rPr>
      </w:pPr>
    </w:p>
    <w:p>
      <w:pPr>
        <w:pStyle w:val="36"/>
        <w:rPr>
          <w:rFonts w:hint="eastAsia" w:asciiTheme="minorEastAsia" w:hAnsiTheme="minorEastAsia" w:eastAsiaTheme="minorEastAsia"/>
          <w:color w:val="auto"/>
          <w:sz w:val="21"/>
          <w:szCs w:val="21"/>
        </w:rPr>
      </w:pPr>
    </w:p>
    <w:p>
      <w:pPr>
        <w:spacing w:line="500" w:lineRule="exact"/>
        <w:rPr>
          <w:color w:val="auto"/>
          <w:sz w:val="24"/>
          <w:szCs w:val="24"/>
          <w:highlight w:val="none"/>
        </w:rPr>
      </w:pPr>
      <w:r>
        <w:rPr>
          <w:rFonts w:hint="eastAsia"/>
          <w:color w:val="auto"/>
          <w:sz w:val="24"/>
          <w:szCs w:val="24"/>
          <w:highlight w:val="none"/>
        </w:rPr>
        <w:t>投标人：</w:t>
      </w:r>
      <w:r>
        <w:rPr>
          <w:rFonts w:hint="eastAsia"/>
          <w:color w:val="auto"/>
          <w:sz w:val="24"/>
          <w:szCs w:val="24"/>
          <w:highlight w:val="none"/>
          <w:u w:val="single"/>
        </w:rPr>
        <w:t xml:space="preserve">                                      </w:t>
      </w:r>
      <w:r>
        <w:rPr>
          <w:rFonts w:hint="eastAsia"/>
          <w:color w:val="auto"/>
          <w:sz w:val="24"/>
          <w:szCs w:val="24"/>
          <w:highlight w:val="none"/>
          <w:u w:val="none"/>
        </w:rPr>
        <w:t xml:space="preserve">（盖单位公章） </w:t>
      </w:r>
    </w:p>
    <w:p>
      <w:pPr>
        <w:spacing w:line="500" w:lineRule="exact"/>
        <w:rPr>
          <w:color w:val="auto"/>
          <w:sz w:val="24"/>
          <w:szCs w:val="24"/>
          <w:highlight w:val="none"/>
        </w:rPr>
      </w:pPr>
      <w:r>
        <w:rPr>
          <w:rFonts w:hint="eastAsia"/>
          <w:color w:val="auto"/>
          <w:sz w:val="24"/>
          <w:szCs w:val="24"/>
          <w:highlight w:val="none"/>
        </w:rPr>
        <w:t>法定代表人或其委托代理人：</w:t>
      </w:r>
      <w:r>
        <w:rPr>
          <w:rFonts w:hint="eastAsia"/>
          <w:color w:val="auto"/>
          <w:sz w:val="24"/>
          <w:szCs w:val="24"/>
          <w:highlight w:val="none"/>
          <w:u w:val="single"/>
        </w:rPr>
        <w:t xml:space="preserve">                           </w:t>
      </w:r>
      <w:r>
        <w:rPr>
          <w:rFonts w:hint="eastAsia"/>
          <w:color w:val="auto"/>
          <w:sz w:val="24"/>
          <w:szCs w:val="24"/>
          <w:highlight w:val="none"/>
          <w:u w:val="none"/>
        </w:rPr>
        <w:t>（签字）</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pPr>
        <w:pStyle w:val="36"/>
        <w:rPr>
          <w:rFonts w:hint="eastAsia" w:ascii="宋体" w:hAnsi="宋体" w:cs="宋体"/>
          <w:color w:val="auto"/>
          <w:sz w:val="24"/>
          <w:szCs w:val="24"/>
          <w:highlight w:val="none"/>
        </w:rPr>
        <w:sectPr>
          <w:pgSz w:w="11906" w:h="16838"/>
          <w:pgMar w:top="1440" w:right="1133" w:bottom="1440" w:left="993" w:header="851" w:footer="992" w:gutter="0"/>
          <w:pgNumType w:fmt="decimal"/>
          <w:cols w:space="720" w:num="1"/>
          <w:docGrid w:linePitch="312" w:charSpace="0"/>
        </w:sectPr>
      </w:pPr>
    </w:p>
    <w:p>
      <w:pPr>
        <w:pStyle w:val="36"/>
        <w:ind w:left="0" w:leftChars="0" w:firstLine="0" w:firstLineChars="0"/>
        <w:outlineLvl w:val="2"/>
        <w:rPr>
          <w:rFonts w:hint="eastAsia" w:ascii="Times New Roman" w:hAnsi="Times New Roman" w:eastAsia="宋体" w:cs="宋体"/>
          <w:b/>
          <w:color w:val="auto"/>
          <w:sz w:val="36"/>
          <w:szCs w:val="36"/>
          <w:lang w:eastAsia="zh-CN" w:bidi="ar-SA"/>
        </w:rPr>
      </w:pPr>
      <w:bookmarkStart w:id="523" w:name="_Toc24662"/>
      <w:r>
        <w:rPr>
          <w:rFonts w:hint="default" w:ascii="Times New Roman" w:hAnsi="Times New Roman" w:eastAsia="宋体" w:cs="宋体"/>
          <w:b/>
          <w:color w:val="auto"/>
          <w:sz w:val="36"/>
          <w:szCs w:val="36"/>
          <w:lang w:eastAsia="zh-CN" w:bidi="ar-SA"/>
        </w:rPr>
        <w:t>（</w:t>
      </w:r>
      <w:r>
        <w:rPr>
          <w:rFonts w:hint="eastAsia" w:cs="宋体"/>
          <w:b/>
          <w:color w:val="auto"/>
          <w:sz w:val="36"/>
          <w:szCs w:val="36"/>
          <w:lang w:val="en-US" w:eastAsia="zh-CN" w:bidi="ar-SA"/>
        </w:rPr>
        <w:t>七</w:t>
      </w:r>
      <w:r>
        <w:rPr>
          <w:rFonts w:hint="default" w:ascii="Times New Roman" w:hAnsi="Times New Roman" w:eastAsia="宋体" w:cs="宋体"/>
          <w:b/>
          <w:color w:val="auto"/>
          <w:sz w:val="36"/>
          <w:szCs w:val="36"/>
          <w:lang w:eastAsia="zh-Hans" w:bidi="ar-SA"/>
        </w:rPr>
        <w:t>）</w:t>
      </w:r>
      <w:r>
        <w:rPr>
          <w:rFonts w:hint="eastAsia" w:ascii="Times New Roman" w:hAnsi="Times New Roman" w:eastAsia="宋体" w:cs="宋体"/>
          <w:b/>
          <w:color w:val="auto"/>
          <w:sz w:val="36"/>
          <w:szCs w:val="36"/>
          <w:lang w:val="en-US" w:eastAsia="zh-CN" w:bidi="ar-SA"/>
        </w:rPr>
        <w:t>拟担任的</w:t>
      </w:r>
      <w:r>
        <w:rPr>
          <w:rFonts w:hint="eastAsia" w:ascii="Times New Roman" w:hAnsi="Times New Roman" w:eastAsia="宋体" w:cs="宋体"/>
          <w:b/>
          <w:color w:val="auto"/>
          <w:sz w:val="36"/>
          <w:szCs w:val="36"/>
          <w:lang w:val="en-US" w:eastAsia="zh-Hans" w:bidi="ar-SA"/>
        </w:rPr>
        <w:t>勘察</w:t>
      </w:r>
      <w:r>
        <w:rPr>
          <w:rFonts w:hint="eastAsia" w:ascii="Times New Roman" w:hAnsi="Times New Roman" w:eastAsia="宋体" w:cs="宋体"/>
          <w:b/>
          <w:color w:val="auto"/>
          <w:sz w:val="36"/>
          <w:szCs w:val="36"/>
          <w:lang w:val="en-US" w:eastAsia="zh-CN" w:bidi="ar-SA"/>
        </w:rPr>
        <w:t>项目负责人</w:t>
      </w:r>
      <w:r>
        <w:rPr>
          <w:rFonts w:hint="eastAsia" w:ascii="Times New Roman" w:hAnsi="Times New Roman" w:eastAsia="宋体" w:cs="宋体"/>
          <w:b/>
          <w:color w:val="auto"/>
          <w:sz w:val="36"/>
          <w:szCs w:val="36"/>
          <w:lang w:val="en-US" w:eastAsia="zh-Hans" w:bidi="ar-SA"/>
        </w:rPr>
        <w:t>职称</w:t>
      </w:r>
      <w:r>
        <w:rPr>
          <w:rFonts w:hint="eastAsia" w:ascii="Times New Roman" w:hAnsi="Times New Roman" w:eastAsia="宋体" w:cs="宋体"/>
          <w:b/>
          <w:color w:val="auto"/>
          <w:sz w:val="36"/>
          <w:szCs w:val="36"/>
          <w:lang w:val="en-US" w:eastAsia="zh-CN" w:bidi="ar-SA"/>
        </w:rPr>
        <w:t>情况一览表</w:t>
      </w:r>
      <w:bookmarkEnd w:id="523"/>
    </w:p>
    <w:tbl>
      <w:tblPr>
        <w:tblStyle w:val="38"/>
        <w:tblW w:w="7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2012"/>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5" w:hRule="atLeast"/>
          <w:jc w:val="center"/>
        </w:trPr>
        <w:tc>
          <w:tcPr>
            <w:tcW w:w="2959" w:type="dxa"/>
            <w:vAlign w:val="center"/>
          </w:tcPr>
          <w:p>
            <w:pPr>
              <w:pStyle w:val="36"/>
              <w:ind w:left="0" w:leftChars="0" w:firstLine="0" w:firstLineChars="0"/>
              <w:jc w:val="center"/>
              <w:rPr>
                <w:rFonts w:hint="eastAsia" w:asciiTheme="minorEastAsia" w:hAnsiTheme="minorEastAsia" w:eastAsiaTheme="minorEastAsia"/>
                <w:color w:val="auto"/>
                <w:sz w:val="21"/>
                <w:szCs w:val="21"/>
                <w:vertAlign w:val="baseline"/>
                <w:lang w:eastAsia="zh-CN"/>
              </w:rPr>
            </w:pPr>
            <w:r>
              <w:rPr>
                <w:rFonts w:hint="eastAsia" w:asciiTheme="minorEastAsia" w:hAnsiTheme="minorEastAsia" w:eastAsiaTheme="minorEastAsia"/>
                <w:color w:val="auto"/>
                <w:sz w:val="21"/>
                <w:szCs w:val="21"/>
                <w:vertAlign w:val="baseline"/>
                <w:lang w:eastAsia="zh-CN"/>
              </w:rPr>
              <w:t>勘察项目负责人</w:t>
            </w:r>
          </w:p>
        </w:tc>
        <w:tc>
          <w:tcPr>
            <w:tcW w:w="2012" w:type="dxa"/>
            <w:vAlign w:val="center"/>
          </w:tcPr>
          <w:p>
            <w:pPr>
              <w:pStyle w:val="36"/>
              <w:ind w:left="0" w:leftChars="0" w:firstLine="0" w:firstLineChars="0"/>
              <w:jc w:val="center"/>
              <w:rPr>
                <w:rFonts w:hint="eastAsia" w:asciiTheme="minorEastAsia" w:hAnsiTheme="minorEastAsia" w:eastAsiaTheme="minorEastAsia"/>
                <w:color w:val="auto"/>
                <w:sz w:val="21"/>
                <w:szCs w:val="21"/>
                <w:vertAlign w:val="baseline"/>
                <w:lang w:eastAsia="zh-CN"/>
              </w:rPr>
            </w:pPr>
            <w:r>
              <w:rPr>
                <w:rFonts w:hint="eastAsia" w:asciiTheme="minorEastAsia" w:hAnsiTheme="minorEastAsia" w:eastAsiaTheme="minorEastAsia"/>
                <w:color w:val="auto"/>
                <w:sz w:val="21"/>
                <w:szCs w:val="21"/>
                <w:vertAlign w:val="baseline"/>
                <w:lang w:eastAsia="zh-CN"/>
              </w:rPr>
              <w:t>是否具有</w:t>
            </w:r>
            <w:r>
              <w:rPr>
                <w:rFonts w:hint="eastAsia" w:asciiTheme="minorEastAsia" w:hAnsiTheme="minorEastAsia" w:eastAsiaTheme="minorEastAsia"/>
                <w:color w:val="auto"/>
                <w:sz w:val="21"/>
                <w:szCs w:val="21"/>
                <w:vertAlign w:val="baseline"/>
                <w:lang w:val="en-US" w:eastAsia="zh-CN"/>
              </w:rPr>
              <w:t>勘察类相关专业高级工程师职称</w:t>
            </w:r>
          </w:p>
        </w:tc>
        <w:tc>
          <w:tcPr>
            <w:tcW w:w="2408" w:type="dxa"/>
            <w:vAlign w:val="center"/>
          </w:tcPr>
          <w:p>
            <w:pPr>
              <w:pStyle w:val="36"/>
              <w:ind w:left="0" w:leftChars="0" w:firstLine="0" w:firstLineChars="0"/>
              <w:jc w:val="center"/>
              <w:rPr>
                <w:rFonts w:hint="eastAsia" w:asciiTheme="minorEastAsia" w:hAnsiTheme="minorEastAsia" w:eastAsiaTheme="minorEastAsia"/>
                <w:color w:val="auto"/>
                <w:sz w:val="21"/>
                <w:szCs w:val="21"/>
                <w:vertAlign w:val="baseline"/>
              </w:rPr>
            </w:pPr>
            <w:r>
              <w:rPr>
                <w:rFonts w:hint="eastAsia" w:asciiTheme="minorEastAsia" w:hAnsiTheme="minorEastAsia" w:eastAsiaTheme="minorEastAsia"/>
                <w:color w:val="auto"/>
                <w:sz w:val="21"/>
                <w:szCs w:val="21"/>
                <w:vertAlign w:val="baseline"/>
                <w:lang w:eastAsia="zh-CN"/>
              </w:rPr>
              <w:t>是否</w:t>
            </w:r>
            <w:r>
              <w:rPr>
                <w:rFonts w:hint="eastAsia" w:asciiTheme="minorEastAsia" w:hAnsiTheme="minorEastAsia" w:eastAsiaTheme="minorEastAsia"/>
                <w:color w:val="auto"/>
                <w:sz w:val="21"/>
                <w:szCs w:val="21"/>
                <w:vertAlign w:val="baseline"/>
                <w:lang w:val="en-US" w:eastAsia="zh-CN"/>
              </w:rPr>
              <w:t>具有注册土木（岩土）工程师执业资格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959" w:type="dxa"/>
            <w:vAlign w:val="center"/>
          </w:tcPr>
          <w:p>
            <w:pPr>
              <w:pStyle w:val="36"/>
              <w:jc w:val="center"/>
              <w:rPr>
                <w:rFonts w:hint="eastAsia" w:asciiTheme="minorEastAsia" w:hAnsiTheme="minorEastAsia" w:eastAsiaTheme="minorEastAsia"/>
                <w:color w:val="auto"/>
                <w:sz w:val="24"/>
                <w:szCs w:val="24"/>
                <w:vertAlign w:val="baseline"/>
              </w:rPr>
            </w:pPr>
          </w:p>
        </w:tc>
        <w:tc>
          <w:tcPr>
            <w:tcW w:w="2012" w:type="dxa"/>
            <w:vAlign w:val="center"/>
          </w:tcPr>
          <w:p>
            <w:pPr>
              <w:pStyle w:val="36"/>
              <w:jc w:val="center"/>
              <w:rPr>
                <w:rFonts w:hint="eastAsia" w:asciiTheme="minorEastAsia" w:hAnsiTheme="minorEastAsia" w:eastAsiaTheme="minorEastAsia"/>
                <w:color w:val="auto"/>
                <w:sz w:val="24"/>
                <w:szCs w:val="24"/>
                <w:vertAlign w:val="baseline"/>
              </w:rPr>
            </w:pPr>
          </w:p>
        </w:tc>
        <w:tc>
          <w:tcPr>
            <w:tcW w:w="2408" w:type="dxa"/>
            <w:vAlign w:val="center"/>
          </w:tcPr>
          <w:p>
            <w:pPr>
              <w:pStyle w:val="36"/>
              <w:jc w:val="center"/>
              <w:rPr>
                <w:rFonts w:hint="eastAsia" w:asciiTheme="minorEastAsia" w:hAnsiTheme="minorEastAsia" w:eastAsiaTheme="minorEastAsia"/>
                <w:color w:val="auto"/>
                <w:sz w:val="24"/>
                <w:szCs w:val="24"/>
                <w:vertAlign w:val="baseline"/>
              </w:rPr>
            </w:pPr>
          </w:p>
        </w:tc>
      </w:tr>
    </w:tbl>
    <w:p>
      <w:pPr>
        <w:pStyle w:val="36"/>
        <w:rPr>
          <w:rFonts w:hint="eastAsia" w:asciiTheme="minorEastAsia" w:hAnsiTheme="minorEastAsia" w:eastAsiaTheme="minorEastAsia"/>
          <w:color w:val="auto"/>
          <w:sz w:val="21"/>
          <w:szCs w:val="21"/>
        </w:rPr>
      </w:pPr>
    </w:p>
    <w:p>
      <w:pPr>
        <w:pStyle w:val="36"/>
        <w:rPr>
          <w:rFonts w:hint="eastAsia" w:asciiTheme="minorEastAsia" w:hAnsiTheme="minorEastAsia" w:eastAsiaTheme="minorEastAsia"/>
          <w:color w:val="auto"/>
          <w:sz w:val="21"/>
          <w:szCs w:val="21"/>
        </w:rPr>
      </w:pPr>
    </w:p>
    <w:p>
      <w:pPr>
        <w:pStyle w:val="36"/>
        <w:rPr>
          <w:rFonts w:hint="eastAsia" w:asciiTheme="minorEastAsia" w:hAnsiTheme="minorEastAsia" w:eastAsiaTheme="minorEastAsia"/>
          <w:color w:val="auto"/>
          <w:sz w:val="21"/>
          <w:szCs w:val="21"/>
        </w:rPr>
      </w:pPr>
      <w:r>
        <w:rPr>
          <w:rFonts w:hint="eastAsia" w:asciiTheme="minorEastAsia" w:hAnsiTheme="minorEastAsia" w:eastAsiaTheme="minorEastAsia" w:cstheme="minorEastAsia"/>
          <w:color w:val="auto"/>
          <w:sz w:val="21"/>
          <w:szCs w:val="21"/>
          <w:lang w:val="en-US" w:eastAsia="zh-CN"/>
        </w:rPr>
        <w:t>注：</w:t>
      </w:r>
      <w:r>
        <w:rPr>
          <w:rFonts w:hint="eastAsia" w:asciiTheme="minorEastAsia" w:hAnsiTheme="minorEastAsia" w:eastAsiaTheme="minorEastAsia"/>
          <w:color w:val="auto"/>
          <w:sz w:val="21"/>
          <w:szCs w:val="21"/>
        </w:rPr>
        <w:t>根据评审表的要求提交相应资料。</w:t>
      </w:r>
    </w:p>
    <w:p>
      <w:pPr>
        <w:pStyle w:val="36"/>
        <w:rPr>
          <w:color w:val="auto"/>
        </w:rPr>
      </w:pPr>
    </w:p>
    <w:p>
      <w:pPr>
        <w:widowControl/>
        <w:adjustRightInd/>
        <w:spacing w:line="240" w:lineRule="auto"/>
        <w:jc w:val="left"/>
        <w:textAlignment w:val="auto"/>
        <w:outlineLvl w:val="9"/>
        <w:rPr>
          <w:rFonts w:ascii="宋体" w:hAnsi="宋体" w:cs="宋体"/>
          <w:b/>
          <w:color w:val="auto"/>
          <w:sz w:val="32"/>
          <w:szCs w:val="32"/>
          <w:highlight w:val="none"/>
        </w:rPr>
      </w:pPr>
    </w:p>
    <w:p>
      <w:pPr>
        <w:widowControl/>
        <w:adjustRightInd/>
        <w:spacing w:line="240" w:lineRule="auto"/>
        <w:jc w:val="left"/>
        <w:textAlignment w:val="auto"/>
        <w:outlineLvl w:val="9"/>
        <w:rPr>
          <w:rFonts w:ascii="宋体" w:hAnsi="宋体" w:cs="宋体"/>
          <w:b/>
          <w:color w:val="auto"/>
          <w:sz w:val="32"/>
          <w:szCs w:val="32"/>
          <w:highlight w:val="none"/>
        </w:rPr>
      </w:pPr>
    </w:p>
    <w:p>
      <w:pPr>
        <w:widowControl/>
        <w:adjustRightInd/>
        <w:spacing w:line="240" w:lineRule="auto"/>
        <w:jc w:val="left"/>
        <w:textAlignment w:val="auto"/>
        <w:outlineLvl w:val="9"/>
        <w:rPr>
          <w:rFonts w:ascii="宋体" w:hAnsi="宋体" w:cs="宋体"/>
          <w:b/>
          <w:color w:val="auto"/>
          <w:sz w:val="32"/>
          <w:szCs w:val="32"/>
          <w:highlight w:val="none"/>
        </w:rPr>
      </w:pPr>
    </w:p>
    <w:p>
      <w:pPr>
        <w:widowControl/>
        <w:adjustRightInd/>
        <w:spacing w:line="240" w:lineRule="auto"/>
        <w:jc w:val="left"/>
        <w:textAlignment w:val="auto"/>
        <w:outlineLvl w:val="9"/>
        <w:rPr>
          <w:rFonts w:ascii="宋体" w:hAnsi="宋体" w:cs="宋体"/>
          <w:b/>
          <w:color w:val="auto"/>
          <w:sz w:val="32"/>
          <w:szCs w:val="32"/>
          <w:highlight w:val="none"/>
        </w:rPr>
      </w:pPr>
    </w:p>
    <w:p>
      <w:pPr>
        <w:widowControl/>
        <w:adjustRightInd/>
        <w:spacing w:line="240" w:lineRule="auto"/>
        <w:jc w:val="left"/>
        <w:textAlignment w:val="auto"/>
        <w:outlineLvl w:val="9"/>
        <w:rPr>
          <w:rFonts w:ascii="宋体" w:hAnsi="宋体" w:cs="宋体"/>
          <w:b/>
          <w:color w:val="auto"/>
          <w:sz w:val="32"/>
          <w:szCs w:val="32"/>
          <w:highlight w:val="none"/>
        </w:rPr>
      </w:pPr>
    </w:p>
    <w:p>
      <w:pPr>
        <w:widowControl/>
        <w:adjustRightInd/>
        <w:spacing w:line="240" w:lineRule="auto"/>
        <w:jc w:val="left"/>
        <w:textAlignment w:val="auto"/>
        <w:outlineLvl w:val="2"/>
        <w:rPr>
          <w:rFonts w:ascii="宋体" w:hAnsi="宋体" w:cs="宋体"/>
          <w:b/>
          <w:color w:val="auto"/>
          <w:sz w:val="32"/>
          <w:szCs w:val="32"/>
          <w:highlight w:val="none"/>
        </w:rPr>
        <w:sectPr>
          <w:pgSz w:w="11906" w:h="16838"/>
          <w:pgMar w:top="1440" w:right="1133" w:bottom="1440" w:left="993" w:header="851" w:footer="992" w:gutter="0"/>
          <w:pgNumType w:fmt="decimal"/>
          <w:cols w:space="720" w:num="1"/>
          <w:docGrid w:linePitch="312" w:charSpace="0"/>
        </w:sectPr>
      </w:pPr>
      <w:r>
        <w:rPr>
          <w:rFonts w:ascii="宋体" w:hAnsi="宋体" w:cs="宋体"/>
          <w:b/>
          <w:color w:val="auto"/>
          <w:sz w:val="32"/>
          <w:szCs w:val="32"/>
          <w:highlight w:val="none"/>
        </w:rPr>
        <w:br w:type="page"/>
      </w:r>
    </w:p>
    <w:p>
      <w:pPr>
        <w:numPr>
          <w:ilvl w:val="0"/>
          <w:numId w:val="0"/>
        </w:numPr>
        <w:ind w:leftChars="0"/>
        <w:jc w:val="both"/>
        <w:outlineLvl w:val="2"/>
        <w:rPr>
          <w:rFonts w:ascii="宋体" w:hAnsi="宋体" w:cs="宋体"/>
          <w:b/>
          <w:color w:val="auto"/>
          <w:kern w:val="2"/>
          <w:sz w:val="36"/>
          <w:szCs w:val="36"/>
          <w:highlight w:val="none"/>
        </w:rPr>
      </w:pPr>
      <w:bookmarkStart w:id="524" w:name="_Toc29917"/>
      <w:r>
        <w:rPr>
          <w:rFonts w:hint="default" w:ascii="宋体" w:hAnsi="宋体" w:cs="宋体"/>
          <w:b/>
          <w:color w:val="auto"/>
          <w:sz w:val="36"/>
          <w:szCs w:val="36"/>
          <w:highlight w:val="none"/>
        </w:rPr>
        <w:t>（</w:t>
      </w:r>
      <w:r>
        <w:rPr>
          <w:rFonts w:hint="eastAsia" w:ascii="宋体" w:hAnsi="宋体" w:cs="宋体"/>
          <w:b/>
          <w:color w:val="auto"/>
          <w:sz w:val="36"/>
          <w:szCs w:val="36"/>
          <w:highlight w:val="none"/>
          <w:lang w:val="en-US" w:eastAsia="zh-CN"/>
        </w:rPr>
        <w:t>八</w:t>
      </w:r>
      <w:r>
        <w:rPr>
          <w:rFonts w:hint="default" w:ascii="宋体" w:hAnsi="宋体" w:cs="宋体"/>
          <w:b/>
          <w:color w:val="auto"/>
          <w:sz w:val="36"/>
          <w:szCs w:val="36"/>
          <w:highlight w:val="none"/>
          <w:lang w:eastAsia="zh-Hans"/>
        </w:rPr>
        <w:t>）</w:t>
      </w:r>
      <w:r>
        <w:rPr>
          <w:rFonts w:hint="eastAsia" w:ascii="宋体" w:hAnsi="宋体" w:cs="宋体"/>
          <w:b/>
          <w:color w:val="auto"/>
          <w:sz w:val="36"/>
          <w:szCs w:val="36"/>
          <w:highlight w:val="none"/>
        </w:rPr>
        <w:t>拟担任本项目设计人员</w:t>
      </w:r>
      <w:r>
        <w:rPr>
          <w:rFonts w:hint="eastAsia" w:ascii="宋体" w:hAnsi="宋体" w:cs="宋体"/>
          <w:b/>
          <w:color w:val="auto"/>
          <w:sz w:val="36"/>
          <w:szCs w:val="36"/>
          <w:highlight w:val="none"/>
          <w:lang w:val="en-US" w:eastAsia="zh-Hans"/>
        </w:rPr>
        <w:t>情况一览表</w:t>
      </w:r>
      <w:bookmarkEnd w:id="524"/>
    </w:p>
    <w:tbl>
      <w:tblPr>
        <w:tblStyle w:val="37"/>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840"/>
        <w:gridCol w:w="1300"/>
        <w:gridCol w:w="1116"/>
        <w:gridCol w:w="1184"/>
        <w:gridCol w:w="2050"/>
        <w:gridCol w:w="106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363" w:type="dxa"/>
            <w:gridSpan w:val="2"/>
            <w:tcBorders>
              <w:top w:val="single" w:color="auto" w:sz="8" w:space="0"/>
              <w:left w:val="single" w:color="auto" w:sz="8" w:space="0"/>
            </w:tcBorders>
            <w:vAlign w:val="center"/>
          </w:tcPr>
          <w:p>
            <w:pPr>
              <w:spacing w:line="5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岗位名称</w:t>
            </w:r>
          </w:p>
        </w:tc>
        <w:tc>
          <w:tcPr>
            <w:tcW w:w="1300" w:type="dxa"/>
            <w:tcBorders>
              <w:top w:val="single" w:color="auto" w:sz="8" w:space="0"/>
            </w:tcBorders>
            <w:vAlign w:val="center"/>
          </w:tcPr>
          <w:p>
            <w:pPr>
              <w:spacing w:line="5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姓名</w:t>
            </w:r>
          </w:p>
        </w:tc>
        <w:tc>
          <w:tcPr>
            <w:tcW w:w="1116" w:type="dxa"/>
            <w:tcBorders>
              <w:top w:val="single" w:color="auto" w:sz="8" w:space="0"/>
            </w:tcBorders>
            <w:vAlign w:val="center"/>
          </w:tcPr>
          <w:p>
            <w:pPr>
              <w:spacing w:line="5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执业资格/职称</w:t>
            </w:r>
          </w:p>
        </w:tc>
        <w:tc>
          <w:tcPr>
            <w:tcW w:w="1184" w:type="dxa"/>
            <w:tcBorders>
              <w:top w:val="single" w:color="auto" w:sz="8" w:space="0"/>
              <w:right w:val="single" w:color="auto" w:sz="8" w:space="0"/>
            </w:tcBorders>
            <w:vAlign w:val="center"/>
          </w:tcPr>
          <w:p>
            <w:pPr>
              <w:spacing w:line="5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现任</w:t>
            </w:r>
          </w:p>
          <w:p>
            <w:pPr>
              <w:spacing w:line="5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职务</w:t>
            </w:r>
          </w:p>
        </w:tc>
        <w:tc>
          <w:tcPr>
            <w:tcW w:w="2050" w:type="dxa"/>
            <w:tcBorders>
              <w:top w:val="single" w:color="auto" w:sz="8" w:space="0"/>
              <w:right w:val="single" w:color="auto" w:sz="8" w:space="0"/>
            </w:tcBorders>
            <w:vAlign w:val="center"/>
          </w:tcPr>
          <w:p>
            <w:pPr>
              <w:spacing w:line="5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从事 设计年限、经验和在该项目中担任的职务</w:t>
            </w:r>
          </w:p>
        </w:tc>
        <w:tc>
          <w:tcPr>
            <w:tcW w:w="1066" w:type="dxa"/>
            <w:tcBorders>
              <w:top w:val="single" w:color="auto" w:sz="8" w:space="0"/>
              <w:right w:val="single" w:color="auto" w:sz="8" w:space="0"/>
            </w:tcBorders>
            <w:vAlign w:val="center"/>
          </w:tcPr>
          <w:p>
            <w:pPr>
              <w:spacing w:line="5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是否驻施工现场</w:t>
            </w:r>
          </w:p>
        </w:tc>
        <w:tc>
          <w:tcPr>
            <w:tcW w:w="937" w:type="dxa"/>
            <w:tcBorders>
              <w:top w:val="single" w:color="auto" w:sz="8" w:space="0"/>
              <w:right w:val="single" w:color="auto" w:sz="8" w:space="0"/>
            </w:tcBorders>
            <w:vAlign w:val="center"/>
          </w:tcPr>
          <w:p>
            <w:pPr>
              <w:spacing w:line="5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23" w:type="dxa"/>
            <w:vMerge w:val="restart"/>
            <w:tcBorders>
              <w:left w:val="single" w:color="auto" w:sz="8" w:space="0"/>
              <w:right w:val="single" w:color="auto" w:sz="4" w:space="0"/>
            </w:tcBorders>
            <w:vAlign w:val="center"/>
          </w:tcPr>
          <w:p>
            <w:pPr>
              <w:spacing w:line="500" w:lineRule="exact"/>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项目主要设计人员</w:t>
            </w:r>
          </w:p>
        </w:tc>
        <w:tc>
          <w:tcPr>
            <w:tcW w:w="1840" w:type="dxa"/>
            <w:tcBorders>
              <w:left w:val="single" w:color="auto" w:sz="4" w:space="0"/>
            </w:tcBorders>
            <w:vAlign w:val="center"/>
          </w:tcPr>
          <w:p>
            <w:pPr>
              <w:spacing w:line="500" w:lineRule="exact"/>
              <w:rPr>
                <w:rFonts w:ascii="宋体" w:hAnsi="宋体" w:cs="宋体"/>
                <w:color w:val="auto"/>
                <w:kern w:val="2"/>
                <w:sz w:val="21"/>
                <w:szCs w:val="21"/>
                <w:highlight w:val="none"/>
              </w:rPr>
            </w:pPr>
            <w:r>
              <w:rPr>
                <w:rFonts w:hint="eastAsia" w:ascii="宋体" w:hAnsi="宋体" w:cs="宋体"/>
                <w:color w:val="auto"/>
                <w:kern w:val="2"/>
                <w:sz w:val="21"/>
                <w:szCs w:val="21"/>
                <w:highlight w:val="none"/>
              </w:rPr>
              <w:t>项目负责人</w:t>
            </w:r>
          </w:p>
        </w:tc>
        <w:tc>
          <w:tcPr>
            <w:tcW w:w="1300" w:type="dxa"/>
            <w:vAlign w:val="center"/>
          </w:tcPr>
          <w:p>
            <w:pPr>
              <w:spacing w:line="500" w:lineRule="exact"/>
              <w:rPr>
                <w:rFonts w:ascii="宋体" w:hAnsi="宋体" w:cs="宋体"/>
                <w:color w:val="auto"/>
                <w:kern w:val="2"/>
                <w:sz w:val="21"/>
                <w:szCs w:val="21"/>
                <w:highlight w:val="none"/>
              </w:rPr>
            </w:pPr>
          </w:p>
        </w:tc>
        <w:tc>
          <w:tcPr>
            <w:tcW w:w="1116" w:type="dxa"/>
            <w:vAlign w:val="center"/>
          </w:tcPr>
          <w:p>
            <w:pPr>
              <w:spacing w:line="500" w:lineRule="exact"/>
              <w:rPr>
                <w:rFonts w:ascii="宋体" w:hAnsi="宋体" w:cs="宋体"/>
                <w:color w:val="auto"/>
                <w:kern w:val="2"/>
                <w:sz w:val="21"/>
                <w:szCs w:val="21"/>
                <w:highlight w:val="none"/>
              </w:rPr>
            </w:pPr>
          </w:p>
        </w:tc>
        <w:tc>
          <w:tcPr>
            <w:tcW w:w="1184" w:type="dxa"/>
            <w:vAlign w:val="center"/>
          </w:tcPr>
          <w:p>
            <w:pPr>
              <w:spacing w:line="500" w:lineRule="exact"/>
              <w:rPr>
                <w:rFonts w:ascii="宋体" w:hAnsi="宋体" w:cs="宋体"/>
                <w:color w:val="auto"/>
                <w:kern w:val="2"/>
                <w:sz w:val="21"/>
                <w:szCs w:val="21"/>
                <w:highlight w:val="none"/>
              </w:rPr>
            </w:pPr>
          </w:p>
        </w:tc>
        <w:tc>
          <w:tcPr>
            <w:tcW w:w="2050" w:type="dxa"/>
            <w:vAlign w:val="center"/>
          </w:tcPr>
          <w:p>
            <w:pPr>
              <w:spacing w:line="500" w:lineRule="exact"/>
              <w:rPr>
                <w:rFonts w:ascii="宋体" w:hAnsi="宋体" w:cs="宋体"/>
                <w:color w:val="auto"/>
                <w:kern w:val="2"/>
                <w:sz w:val="21"/>
                <w:szCs w:val="21"/>
                <w:highlight w:val="none"/>
              </w:rPr>
            </w:pPr>
          </w:p>
        </w:tc>
        <w:tc>
          <w:tcPr>
            <w:tcW w:w="1066" w:type="dxa"/>
            <w:vAlign w:val="center"/>
          </w:tcPr>
          <w:p>
            <w:pPr>
              <w:spacing w:line="500" w:lineRule="exact"/>
              <w:rPr>
                <w:rFonts w:ascii="宋体" w:hAnsi="宋体" w:cs="宋体"/>
                <w:color w:val="auto"/>
                <w:kern w:val="2"/>
                <w:sz w:val="21"/>
                <w:szCs w:val="21"/>
                <w:highlight w:val="none"/>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23" w:type="dxa"/>
            <w:vMerge w:val="continue"/>
            <w:tcBorders>
              <w:left w:val="single" w:color="auto" w:sz="8" w:space="0"/>
              <w:right w:val="single" w:color="auto" w:sz="4" w:space="0"/>
            </w:tcBorders>
            <w:vAlign w:val="center"/>
          </w:tcPr>
          <w:p>
            <w:pPr>
              <w:spacing w:line="500" w:lineRule="exact"/>
              <w:rPr>
                <w:rFonts w:hint="eastAsia" w:ascii="宋体" w:hAnsi="宋体" w:cs="宋体"/>
                <w:color w:val="auto"/>
                <w:kern w:val="2"/>
                <w:sz w:val="21"/>
                <w:szCs w:val="21"/>
                <w:highlight w:val="none"/>
              </w:rPr>
            </w:pPr>
          </w:p>
        </w:tc>
        <w:tc>
          <w:tcPr>
            <w:tcW w:w="1840" w:type="dxa"/>
            <w:tcBorders>
              <w:left w:val="single" w:color="auto" w:sz="4" w:space="0"/>
            </w:tcBorders>
            <w:vAlign w:val="center"/>
          </w:tcPr>
          <w:p>
            <w:pPr>
              <w:spacing w:line="500" w:lineRule="exact"/>
              <w:rPr>
                <w:rFonts w:hint="eastAsia" w:ascii="宋体" w:hAnsi="宋体" w:eastAsia="宋体" w:cs="宋体"/>
                <w:color w:val="auto"/>
                <w:kern w:val="2"/>
                <w:sz w:val="21"/>
                <w:szCs w:val="21"/>
                <w:highlight w:val="none"/>
                <w:lang w:eastAsia="zh-CN"/>
              </w:rPr>
            </w:pPr>
            <w:r>
              <w:rPr>
                <w:rFonts w:hint="eastAsia" w:asciiTheme="minorEastAsia" w:hAnsiTheme="minorEastAsia" w:eastAsiaTheme="minorEastAsia" w:cstheme="minorEastAsia"/>
                <w:color w:val="auto"/>
                <w:sz w:val="21"/>
                <w:szCs w:val="21"/>
                <w:lang w:val="en-US" w:eastAsia="zh-CN"/>
              </w:rPr>
              <w:t>道路与桥梁类专业负责人</w:t>
            </w:r>
          </w:p>
        </w:tc>
        <w:tc>
          <w:tcPr>
            <w:tcW w:w="1300" w:type="dxa"/>
            <w:vAlign w:val="center"/>
          </w:tcPr>
          <w:p>
            <w:pPr>
              <w:spacing w:line="500" w:lineRule="exact"/>
              <w:rPr>
                <w:rFonts w:ascii="宋体" w:hAnsi="宋体" w:cs="宋体"/>
                <w:color w:val="auto"/>
                <w:kern w:val="2"/>
                <w:sz w:val="21"/>
                <w:szCs w:val="21"/>
                <w:highlight w:val="none"/>
              </w:rPr>
            </w:pPr>
          </w:p>
        </w:tc>
        <w:tc>
          <w:tcPr>
            <w:tcW w:w="1116" w:type="dxa"/>
            <w:vAlign w:val="center"/>
          </w:tcPr>
          <w:p>
            <w:pPr>
              <w:spacing w:line="500" w:lineRule="exact"/>
              <w:rPr>
                <w:rFonts w:ascii="宋体" w:hAnsi="宋体" w:cs="宋体"/>
                <w:color w:val="auto"/>
                <w:kern w:val="2"/>
                <w:sz w:val="21"/>
                <w:szCs w:val="21"/>
                <w:highlight w:val="none"/>
              </w:rPr>
            </w:pPr>
          </w:p>
        </w:tc>
        <w:tc>
          <w:tcPr>
            <w:tcW w:w="1184" w:type="dxa"/>
            <w:vAlign w:val="center"/>
          </w:tcPr>
          <w:p>
            <w:pPr>
              <w:spacing w:line="500" w:lineRule="exact"/>
              <w:rPr>
                <w:rFonts w:ascii="宋体" w:hAnsi="宋体" w:cs="宋体"/>
                <w:color w:val="auto"/>
                <w:kern w:val="2"/>
                <w:sz w:val="21"/>
                <w:szCs w:val="21"/>
                <w:highlight w:val="none"/>
              </w:rPr>
            </w:pPr>
          </w:p>
        </w:tc>
        <w:tc>
          <w:tcPr>
            <w:tcW w:w="2050" w:type="dxa"/>
            <w:vAlign w:val="center"/>
          </w:tcPr>
          <w:p>
            <w:pPr>
              <w:spacing w:line="500" w:lineRule="exact"/>
              <w:rPr>
                <w:rFonts w:ascii="宋体" w:hAnsi="宋体" w:cs="宋体"/>
                <w:color w:val="auto"/>
                <w:kern w:val="2"/>
                <w:sz w:val="21"/>
                <w:szCs w:val="21"/>
                <w:highlight w:val="none"/>
              </w:rPr>
            </w:pPr>
          </w:p>
        </w:tc>
        <w:tc>
          <w:tcPr>
            <w:tcW w:w="1066" w:type="dxa"/>
            <w:vAlign w:val="center"/>
          </w:tcPr>
          <w:p>
            <w:pPr>
              <w:spacing w:line="500" w:lineRule="exact"/>
              <w:rPr>
                <w:rFonts w:ascii="宋体" w:hAnsi="宋体" w:cs="宋体"/>
                <w:color w:val="auto"/>
                <w:kern w:val="2"/>
                <w:sz w:val="21"/>
                <w:szCs w:val="21"/>
                <w:highlight w:val="none"/>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23" w:type="dxa"/>
            <w:vMerge w:val="continue"/>
            <w:tcBorders>
              <w:left w:val="single" w:color="auto" w:sz="8" w:space="0"/>
              <w:right w:val="single" w:color="auto" w:sz="4" w:space="0"/>
            </w:tcBorders>
            <w:vAlign w:val="center"/>
          </w:tcPr>
          <w:p>
            <w:pPr>
              <w:spacing w:line="500" w:lineRule="exact"/>
              <w:rPr>
                <w:rFonts w:hint="eastAsia" w:ascii="宋体" w:hAnsi="宋体" w:cs="宋体"/>
                <w:color w:val="auto"/>
                <w:kern w:val="2"/>
                <w:sz w:val="21"/>
                <w:szCs w:val="21"/>
                <w:highlight w:val="none"/>
              </w:rPr>
            </w:pPr>
          </w:p>
        </w:tc>
        <w:tc>
          <w:tcPr>
            <w:tcW w:w="1840" w:type="dxa"/>
            <w:tcBorders>
              <w:left w:val="single" w:color="auto" w:sz="4" w:space="0"/>
            </w:tcBorders>
            <w:vAlign w:val="center"/>
          </w:tcPr>
          <w:p>
            <w:pPr>
              <w:spacing w:line="500" w:lineRule="exact"/>
              <w:rPr>
                <w:rFonts w:hint="eastAsia" w:ascii="宋体" w:hAnsi="宋体" w:cs="宋体"/>
                <w:color w:val="auto"/>
                <w:kern w:val="2"/>
                <w:sz w:val="21"/>
                <w:szCs w:val="21"/>
                <w:highlight w:val="none"/>
              </w:rPr>
            </w:pPr>
            <w:r>
              <w:rPr>
                <w:rFonts w:hint="eastAsia" w:asciiTheme="minorEastAsia" w:hAnsiTheme="minorEastAsia" w:eastAsiaTheme="minorEastAsia" w:cstheme="minorEastAsia"/>
                <w:color w:val="auto"/>
                <w:sz w:val="21"/>
                <w:szCs w:val="21"/>
                <w:lang w:val="en-US" w:eastAsia="zh-CN"/>
              </w:rPr>
              <w:t>给排水专业负责人</w:t>
            </w:r>
          </w:p>
        </w:tc>
        <w:tc>
          <w:tcPr>
            <w:tcW w:w="1300" w:type="dxa"/>
            <w:vAlign w:val="center"/>
          </w:tcPr>
          <w:p>
            <w:pPr>
              <w:spacing w:line="500" w:lineRule="exact"/>
              <w:rPr>
                <w:rFonts w:ascii="宋体" w:hAnsi="宋体" w:cs="宋体"/>
                <w:color w:val="auto"/>
                <w:kern w:val="2"/>
                <w:sz w:val="21"/>
                <w:szCs w:val="21"/>
                <w:highlight w:val="none"/>
              </w:rPr>
            </w:pPr>
          </w:p>
        </w:tc>
        <w:tc>
          <w:tcPr>
            <w:tcW w:w="1116" w:type="dxa"/>
            <w:vAlign w:val="center"/>
          </w:tcPr>
          <w:p>
            <w:pPr>
              <w:spacing w:line="500" w:lineRule="exact"/>
              <w:rPr>
                <w:rFonts w:ascii="宋体" w:hAnsi="宋体" w:cs="宋体"/>
                <w:color w:val="auto"/>
                <w:kern w:val="2"/>
                <w:sz w:val="21"/>
                <w:szCs w:val="21"/>
                <w:highlight w:val="none"/>
              </w:rPr>
            </w:pPr>
          </w:p>
        </w:tc>
        <w:tc>
          <w:tcPr>
            <w:tcW w:w="1184" w:type="dxa"/>
            <w:vAlign w:val="center"/>
          </w:tcPr>
          <w:p>
            <w:pPr>
              <w:spacing w:line="500" w:lineRule="exact"/>
              <w:rPr>
                <w:rFonts w:ascii="宋体" w:hAnsi="宋体" w:cs="宋体"/>
                <w:color w:val="auto"/>
                <w:kern w:val="2"/>
                <w:sz w:val="21"/>
                <w:szCs w:val="21"/>
                <w:highlight w:val="none"/>
              </w:rPr>
            </w:pPr>
          </w:p>
        </w:tc>
        <w:tc>
          <w:tcPr>
            <w:tcW w:w="2050" w:type="dxa"/>
            <w:vAlign w:val="center"/>
          </w:tcPr>
          <w:p>
            <w:pPr>
              <w:spacing w:line="500" w:lineRule="exact"/>
              <w:rPr>
                <w:rFonts w:ascii="宋体" w:hAnsi="宋体" w:cs="宋体"/>
                <w:color w:val="auto"/>
                <w:kern w:val="2"/>
                <w:sz w:val="21"/>
                <w:szCs w:val="21"/>
                <w:highlight w:val="none"/>
              </w:rPr>
            </w:pPr>
          </w:p>
        </w:tc>
        <w:tc>
          <w:tcPr>
            <w:tcW w:w="1066" w:type="dxa"/>
            <w:vAlign w:val="center"/>
          </w:tcPr>
          <w:p>
            <w:pPr>
              <w:spacing w:line="500" w:lineRule="exact"/>
              <w:rPr>
                <w:rFonts w:ascii="宋体" w:hAnsi="宋体" w:cs="宋体"/>
                <w:color w:val="auto"/>
                <w:kern w:val="2"/>
                <w:sz w:val="21"/>
                <w:szCs w:val="21"/>
                <w:highlight w:val="none"/>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23" w:type="dxa"/>
            <w:vMerge w:val="continue"/>
            <w:tcBorders>
              <w:left w:val="single" w:color="auto" w:sz="8" w:space="0"/>
              <w:right w:val="single" w:color="auto" w:sz="4" w:space="0"/>
            </w:tcBorders>
            <w:vAlign w:val="center"/>
          </w:tcPr>
          <w:p>
            <w:pPr>
              <w:spacing w:line="500" w:lineRule="exact"/>
              <w:rPr>
                <w:rFonts w:ascii="宋体" w:hAnsi="宋体" w:cs="宋体"/>
                <w:color w:val="auto"/>
                <w:kern w:val="2"/>
                <w:sz w:val="21"/>
                <w:szCs w:val="21"/>
                <w:highlight w:val="none"/>
              </w:rPr>
            </w:pPr>
          </w:p>
        </w:tc>
        <w:tc>
          <w:tcPr>
            <w:tcW w:w="1840" w:type="dxa"/>
            <w:tcBorders>
              <w:left w:val="single" w:color="auto" w:sz="4" w:space="0"/>
            </w:tcBorders>
            <w:vAlign w:val="center"/>
          </w:tcPr>
          <w:p>
            <w:pPr>
              <w:spacing w:line="500" w:lineRule="exact"/>
              <w:rPr>
                <w:rFonts w:ascii="宋体" w:hAnsi="宋体" w:cs="宋体"/>
                <w:color w:val="auto"/>
                <w:kern w:val="2"/>
                <w:sz w:val="21"/>
                <w:szCs w:val="21"/>
                <w:highlight w:val="none"/>
              </w:rPr>
            </w:pPr>
            <w:r>
              <w:rPr>
                <w:rFonts w:hint="eastAsia" w:asciiTheme="minorEastAsia" w:hAnsiTheme="minorEastAsia" w:eastAsiaTheme="minorEastAsia" w:cstheme="minorEastAsia"/>
                <w:color w:val="auto"/>
                <w:sz w:val="21"/>
                <w:szCs w:val="21"/>
                <w:lang w:val="en-US" w:eastAsia="zh-CN"/>
              </w:rPr>
              <w:t>电气专业负责人</w:t>
            </w:r>
          </w:p>
        </w:tc>
        <w:tc>
          <w:tcPr>
            <w:tcW w:w="1300" w:type="dxa"/>
            <w:vAlign w:val="center"/>
          </w:tcPr>
          <w:p>
            <w:pPr>
              <w:spacing w:line="500" w:lineRule="exact"/>
              <w:rPr>
                <w:rFonts w:ascii="宋体" w:hAnsi="宋体" w:cs="宋体"/>
                <w:color w:val="auto"/>
                <w:kern w:val="2"/>
                <w:sz w:val="21"/>
                <w:szCs w:val="21"/>
                <w:highlight w:val="none"/>
              </w:rPr>
            </w:pPr>
          </w:p>
        </w:tc>
        <w:tc>
          <w:tcPr>
            <w:tcW w:w="1116" w:type="dxa"/>
            <w:vAlign w:val="center"/>
          </w:tcPr>
          <w:p>
            <w:pPr>
              <w:spacing w:line="500" w:lineRule="exact"/>
              <w:rPr>
                <w:rFonts w:ascii="宋体" w:hAnsi="宋体" w:cs="宋体"/>
                <w:color w:val="auto"/>
                <w:kern w:val="2"/>
                <w:sz w:val="21"/>
                <w:szCs w:val="21"/>
                <w:highlight w:val="none"/>
              </w:rPr>
            </w:pPr>
          </w:p>
        </w:tc>
        <w:tc>
          <w:tcPr>
            <w:tcW w:w="1184" w:type="dxa"/>
            <w:vAlign w:val="center"/>
          </w:tcPr>
          <w:p>
            <w:pPr>
              <w:spacing w:line="500" w:lineRule="exact"/>
              <w:rPr>
                <w:rFonts w:ascii="宋体" w:hAnsi="宋体" w:cs="宋体"/>
                <w:color w:val="auto"/>
                <w:kern w:val="2"/>
                <w:sz w:val="21"/>
                <w:szCs w:val="21"/>
                <w:highlight w:val="none"/>
              </w:rPr>
            </w:pPr>
          </w:p>
        </w:tc>
        <w:tc>
          <w:tcPr>
            <w:tcW w:w="2050" w:type="dxa"/>
            <w:vAlign w:val="center"/>
          </w:tcPr>
          <w:p>
            <w:pPr>
              <w:spacing w:line="500" w:lineRule="exact"/>
              <w:rPr>
                <w:rFonts w:ascii="宋体" w:hAnsi="宋体" w:cs="宋体"/>
                <w:color w:val="auto"/>
                <w:kern w:val="2"/>
                <w:sz w:val="21"/>
                <w:szCs w:val="21"/>
                <w:highlight w:val="none"/>
              </w:rPr>
            </w:pPr>
          </w:p>
        </w:tc>
        <w:tc>
          <w:tcPr>
            <w:tcW w:w="1066" w:type="dxa"/>
            <w:vAlign w:val="center"/>
          </w:tcPr>
          <w:p>
            <w:pPr>
              <w:spacing w:line="500" w:lineRule="exact"/>
              <w:rPr>
                <w:rFonts w:ascii="宋体" w:hAnsi="宋体" w:cs="宋体"/>
                <w:color w:val="auto"/>
                <w:kern w:val="2"/>
                <w:sz w:val="21"/>
                <w:szCs w:val="21"/>
                <w:highlight w:val="none"/>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23" w:type="dxa"/>
            <w:vMerge w:val="continue"/>
            <w:tcBorders>
              <w:left w:val="single" w:color="auto" w:sz="8" w:space="0"/>
              <w:right w:val="single" w:color="auto" w:sz="4" w:space="0"/>
            </w:tcBorders>
            <w:vAlign w:val="center"/>
          </w:tcPr>
          <w:p>
            <w:pPr>
              <w:spacing w:line="500" w:lineRule="exact"/>
              <w:rPr>
                <w:rFonts w:ascii="宋体" w:hAnsi="宋体" w:cs="宋体"/>
                <w:color w:val="auto"/>
                <w:kern w:val="2"/>
                <w:sz w:val="21"/>
                <w:szCs w:val="21"/>
                <w:highlight w:val="none"/>
              </w:rPr>
            </w:pPr>
          </w:p>
        </w:tc>
        <w:tc>
          <w:tcPr>
            <w:tcW w:w="1840" w:type="dxa"/>
            <w:tcBorders>
              <w:left w:val="single" w:color="auto" w:sz="4" w:space="0"/>
            </w:tcBorders>
            <w:tcMar>
              <w:left w:w="28" w:type="dxa"/>
              <w:right w:w="28" w:type="dxa"/>
            </w:tcMar>
            <w:vAlign w:val="center"/>
          </w:tcPr>
          <w:p>
            <w:pPr>
              <w:spacing w:line="500" w:lineRule="exact"/>
              <w:ind w:firstLine="105" w:firstLineChars="50"/>
              <w:rPr>
                <w:rFonts w:hint="eastAsia" w:ascii="宋体" w:hAnsi="宋体" w:eastAsia="宋体" w:cs="宋体"/>
                <w:color w:val="auto"/>
                <w:kern w:val="2"/>
                <w:sz w:val="21"/>
                <w:szCs w:val="21"/>
                <w:highlight w:val="none"/>
                <w:lang w:val="en-US" w:eastAsia="zh-Hans"/>
              </w:rPr>
            </w:pPr>
            <w:r>
              <w:rPr>
                <w:rFonts w:hint="eastAsia" w:asciiTheme="minorEastAsia" w:hAnsiTheme="minorEastAsia" w:eastAsiaTheme="minorEastAsia" w:cstheme="minorEastAsia"/>
                <w:color w:val="auto"/>
                <w:sz w:val="21"/>
                <w:szCs w:val="21"/>
                <w:lang w:val="en-US" w:eastAsia="zh-CN"/>
              </w:rPr>
              <w:t>造价专业负责人</w:t>
            </w:r>
          </w:p>
        </w:tc>
        <w:tc>
          <w:tcPr>
            <w:tcW w:w="1300" w:type="dxa"/>
            <w:vAlign w:val="center"/>
          </w:tcPr>
          <w:p>
            <w:pPr>
              <w:spacing w:line="500" w:lineRule="exact"/>
              <w:rPr>
                <w:rFonts w:ascii="宋体" w:hAnsi="宋体" w:cs="宋体"/>
                <w:color w:val="auto"/>
                <w:kern w:val="2"/>
                <w:sz w:val="21"/>
                <w:szCs w:val="21"/>
                <w:highlight w:val="none"/>
              </w:rPr>
            </w:pPr>
          </w:p>
        </w:tc>
        <w:tc>
          <w:tcPr>
            <w:tcW w:w="1116" w:type="dxa"/>
            <w:vAlign w:val="center"/>
          </w:tcPr>
          <w:p>
            <w:pPr>
              <w:spacing w:line="500" w:lineRule="exact"/>
              <w:rPr>
                <w:rFonts w:ascii="宋体" w:hAnsi="宋体" w:cs="宋体"/>
                <w:color w:val="auto"/>
                <w:kern w:val="2"/>
                <w:sz w:val="21"/>
                <w:szCs w:val="21"/>
                <w:highlight w:val="none"/>
              </w:rPr>
            </w:pPr>
          </w:p>
        </w:tc>
        <w:tc>
          <w:tcPr>
            <w:tcW w:w="1184" w:type="dxa"/>
            <w:vAlign w:val="center"/>
          </w:tcPr>
          <w:p>
            <w:pPr>
              <w:spacing w:line="500" w:lineRule="exact"/>
              <w:rPr>
                <w:rFonts w:ascii="宋体" w:hAnsi="宋体" w:cs="宋体"/>
                <w:color w:val="auto"/>
                <w:kern w:val="2"/>
                <w:sz w:val="21"/>
                <w:szCs w:val="21"/>
                <w:highlight w:val="none"/>
              </w:rPr>
            </w:pPr>
          </w:p>
        </w:tc>
        <w:tc>
          <w:tcPr>
            <w:tcW w:w="2050" w:type="dxa"/>
            <w:vAlign w:val="center"/>
          </w:tcPr>
          <w:p>
            <w:pPr>
              <w:spacing w:line="500" w:lineRule="exact"/>
              <w:rPr>
                <w:rFonts w:ascii="宋体" w:hAnsi="宋体" w:cs="宋体"/>
                <w:color w:val="auto"/>
                <w:kern w:val="2"/>
                <w:sz w:val="21"/>
                <w:szCs w:val="21"/>
                <w:highlight w:val="none"/>
              </w:rPr>
            </w:pPr>
          </w:p>
        </w:tc>
        <w:tc>
          <w:tcPr>
            <w:tcW w:w="1066" w:type="dxa"/>
            <w:vAlign w:val="center"/>
          </w:tcPr>
          <w:p>
            <w:pPr>
              <w:spacing w:line="500" w:lineRule="exact"/>
              <w:rPr>
                <w:rFonts w:ascii="宋体" w:hAnsi="宋体" w:cs="宋体"/>
                <w:color w:val="auto"/>
                <w:kern w:val="2"/>
                <w:sz w:val="21"/>
                <w:szCs w:val="21"/>
                <w:highlight w:val="none"/>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23" w:type="dxa"/>
            <w:vMerge w:val="continue"/>
            <w:tcBorders>
              <w:left w:val="single" w:color="auto" w:sz="8" w:space="0"/>
              <w:right w:val="single" w:color="auto" w:sz="4" w:space="0"/>
            </w:tcBorders>
            <w:vAlign w:val="center"/>
          </w:tcPr>
          <w:p>
            <w:pPr>
              <w:spacing w:line="500" w:lineRule="exact"/>
              <w:rPr>
                <w:rFonts w:ascii="宋体" w:hAnsi="宋体" w:cs="宋体"/>
                <w:color w:val="auto"/>
                <w:kern w:val="2"/>
                <w:sz w:val="24"/>
                <w:szCs w:val="24"/>
                <w:highlight w:val="none"/>
              </w:rPr>
            </w:pPr>
          </w:p>
        </w:tc>
        <w:tc>
          <w:tcPr>
            <w:tcW w:w="1840" w:type="dxa"/>
            <w:tcBorders>
              <w:left w:val="single" w:color="auto" w:sz="4" w:space="0"/>
            </w:tcBorders>
            <w:vAlign w:val="center"/>
          </w:tcPr>
          <w:p>
            <w:pPr>
              <w:spacing w:line="500" w:lineRule="exact"/>
              <w:rPr>
                <w:rFonts w:ascii="宋体" w:hAnsi="宋体" w:cs="宋体"/>
                <w:color w:val="auto"/>
                <w:kern w:val="2"/>
                <w:sz w:val="24"/>
                <w:szCs w:val="24"/>
                <w:highlight w:val="none"/>
              </w:rPr>
            </w:pPr>
            <w:r>
              <w:rPr>
                <w:rFonts w:hint="eastAsia" w:ascii="宋体" w:hAnsi="宋体" w:cs="宋体"/>
                <w:color w:val="auto"/>
                <w:kern w:val="2"/>
                <w:sz w:val="24"/>
                <w:szCs w:val="24"/>
                <w:highlight w:val="none"/>
              </w:rPr>
              <w:t>……</w:t>
            </w:r>
          </w:p>
        </w:tc>
        <w:tc>
          <w:tcPr>
            <w:tcW w:w="1300" w:type="dxa"/>
            <w:vAlign w:val="center"/>
          </w:tcPr>
          <w:p>
            <w:pPr>
              <w:spacing w:line="500" w:lineRule="exact"/>
              <w:rPr>
                <w:rFonts w:ascii="宋体" w:hAnsi="宋体" w:cs="宋体"/>
                <w:color w:val="auto"/>
                <w:kern w:val="2"/>
                <w:sz w:val="24"/>
                <w:szCs w:val="24"/>
                <w:highlight w:val="none"/>
              </w:rPr>
            </w:pPr>
          </w:p>
        </w:tc>
        <w:tc>
          <w:tcPr>
            <w:tcW w:w="1116" w:type="dxa"/>
            <w:vAlign w:val="center"/>
          </w:tcPr>
          <w:p>
            <w:pPr>
              <w:spacing w:line="500" w:lineRule="exact"/>
              <w:rPr>
                <w:rFonts w:ascii="宋体" w:hAnsi="宋体" w:cs="宋体"/>
                <w:color w:val="auto"/>
                <w:kern w:val="2"/>
                <w:sz w:val="24"/>
                <w:szCs w:val="24"/>
                <w:highlight w:val="none"/>
              </w:rPr>
            </w:pPr>
          </w:p>
        </w:tc>
        <w:tc>
          <w:tcPr>
            <w:tcW w:w="1184" w:type="dxa"/>
            <w:vAlign w:val="center"/>
          </w:tcPr>
          <w:p>
            <w:pPr>
              <w:spacing w:line="500" w:lineRule="exact"/>
              <w:rPr>
                <w:rFonts w:ascii="宋体" w:hAnsi="宋体" w:cs="宋体"/>
                <w:color w:val="auto"/>
                <w:kern w:val="2"/>
                <w:sz w:val="24"/>
                <w:szCs w:val="24"/>
                <w:highlight w:val="none"/>
              </w:rPr>
            </w:pPr>
          </w:p>
        </w:tc>
        <w:tc>
          <w:tcPr>
            <w:tcW w:w="2050" w:type="dxa"/>
            <w:vAlign w:val="center"/>
          </w:tcPr>
          <w:p>
            <w:pPr>
              <w:spacing w:line="500" w:lineRule="exact"/>
              <w:rPr>
                <w:rFonts w:ascii="宋体" w:hAnsi="宋体" w:cs="宋体"/>
                <w:color w:val="auto"/>
                <w:kern w:val="2"/>
                <w:sz w:val="24"/>
                <w:szCs w:val="24"/>
                <w:highlight w:val="none"/>
              </w:rPr>
            </w:pPr>
          </w:p>
        </w:tc>
        <w:tc>
          <w:tcPr>
            <w:tcW w:w="1066" w:type="dxa"/>
            <w:vAlign w:val="center"/>
          </w:tcPr>
          <w:p>
            <w:pPr>
              <w:spacing w:line="500" w:lineRule="exact"/>
              <w:rPr>
                <w:rFonts w:ascii="宋体" w:hAnsi="宋体" w:cs="宋体"/>
                <w:color w:val="auto"/>
                <w:kern w:val="2"/>
                <w:sz w:val="24"/>
                <w:szCs w:val="24"/>
                <w:highlight w:val="none"/>
              </w:rPr>
            </w:pPr>
          </w:p>
        </w:tc>
        <w:tc>
          <w:tcPr>
            <w:tcW w:w="937" w:type="dxa"/>
            <w:tcBorders>
              <w:right w:val="single" w:color="auto" w:sz="8" w:space="0"/>
            </w:tcBorders>
            <w:vAlign w:val="center"/>
          </w:tcPr>
          <w:p>
            <w:pPr>
              <w:spacing w:line="500" w:lineRule="exact"/>
              <w:rPr>
                <w:rFonts w:ascii="宋体" w:hAnsi="宋体" w:cs="宋体"/>
                <w:color w:val="auto"/>
                <w:kern w:val="2"/>
                <w:sz w:val="24"/>
                <w:szCs w:val="24"/>
                <w:highlight w:val="none"/>
              </w:rPr>
            </w:pPr>
          </w:p>
        </w:tc>
      </w:tr>
    </w:tbl>
    <w:p>
      <w:pPr>
        <w:autoSpaceDE w:val="0"/>
        <w:autoSpaceDN w:val="0"/>
        <w:snapToGrid w:val="0"/>
        <w:spacing w:line="360" w:lineRule="auto"/>
        <w:rPr>
          <w:rFonts w:ascii="宋体" w:hAnsi="宋体" w:cs="宋体"/>
          <w:color w:val="auto"/>
          <w:sz w:val="24"/>
          <w:highlight w:val="none"/>
        </w:rPr>
      </w:pPr>
      <w:r>
        <w:rPr>
          <w:rFonts w:hint="eastAsia" w:asciiTheme="minorEastAsia" w:hAnsiTheme="minorEastAsia" w:eastAsiaTheme="minorEastAsia"/>
          <w:color w:val="auto"/>
          <w:sz w:val="21"/>
          <w:szCs w:val="21"/>
          <w:lang w:eastAsia="zh-CN"/>
        </w:rPr>
        <w:t>备注：</w:t>
      </w:r>
      <w:r>
        <w:rPr>
          <w:rFonts w:hint="eastAsia" w:asciiTheme="minorEastAsia" w:hAnsiTheme="minorEastAsia" w:eastAsiaTheme="minorEastAsia"/>
          <w:color w:val="auto"/>
          <w:sz w:val="21"/>
          <w:szCs w:val="21"/>
        </w:rPr>
        <w:t>根据评审表的要求提交相应资料</w:t>
      </w:r>
    </w:p>
    <w:p>
      <w:pPr>
        <w:spacing w:line="500" w:lineRule="exact"/>
        <w:rPr>
          <w:color w:val="auto"/>
          <w:sz w:val="24"/>
          <w:szCs w:val="24"/>
          <w:highlight w:val="none"/>
          <w:u w:val="none"/>
        </w:rPr>
      </w:pPr>
      <w:r>
        <w:rPr>
          <w:rFonts w:hint="eastAsia"/>
          <w:color w:val="auto"/>
          <w:sz w:val="24"/>
          <w:szCs w:val="24"/>
          <w:highlight w:val="none"/>
        </w:rPr>
        <w:t>投标人：</w:t>
      </w:r>
      <w:r>
        <w:rPr>
          <w:rFonts w:hint="eastAsia"/>
          <w:color w:val="auto"/>
          <w:sz w:val="24"/>
          <w:szCs w:val="24"/>
          <w:highlight w:val="none"/>
          <w:u w:val="single"/>
        </w:rPr>
        <w:t xml:space="preserve">                                      </w:t>
      </w:r>
      <w:r>
        <w:rPr>
          <w:rFonts w:hint="eastAsia"/>
          <w:color w:val="auto"/>
          <w:sz w:val="24"/>
          <w:szCs w:val="24"/>
          <w:highlight w:val="none"/>
          <w:u w:val="none"/>
        </w:rPr>
        <w:t xml:space="preserve">（盖单位公章） </w:t>
      </w:r>
    </w:p>
    <w:p>
      <w:pPr>
        <w:spacing w:line="500" w:lineRule="exact"/>
        <w:rPr>
          <w:color w:val="auto"/>
          <w:sz w:val="24"/>
          <w:szCs w:val="24"/>
          <w:highlight w:val="none"/>
          <w:u w:val="none"/>
        </w:rPr>
      </w:pPr>
      <w:r>
        <w:rPr>
          <w:rFonts w:hint="eastAsia"/>
          <w:color w:val="auto"/>
          <w:sz w:val="24"/>
          <w:szCs w:val="24"/>
          <w:highlight w:val="none"/>
        </w:rPr>
        <w:t>法定代表人或其委托代理人：</w:t>
      </w:r>
      <w:r>
        <w:rPr>
          <w:rFonts w:hint="eastAsia"/>
          <w:color w:val="auto"/>
          <w:sz w:val="24"/>
          <w:szCs w:val="24"/>
          <w:highlight w:val="none"/>
          <w:u w:val="single"/>
        </w:rPr>
        <w:t xml:space="preserve">                          </w:t>
      </w:r>
      <w:r>
        <w:rPr>
          <w:rFonts w:hint="eastAsia"/>
          <w:color w:val="auto"/>
          <w:sz w:val="24"/>
          <w:szCs w:val="24"/>
          <w:highlight w:val="none"/>
          <w:u w:val="none"/>
        </w:rPr>
        <w:t xml:space="preserve"> （签字）</w:t>
      </w:r>
    </w:p>
    <w:p>
      <w:pPr>
        <w:spacing w:line="500" w:lineRule="exact"/>
        <w:rPr>
          <w:color w:val="auto"/>
          <w:sz w:val="24"/>
          <w:szCs w:val="24"/>
          <w:highlight w:val="none"/>
          <w:u w:val="single"/>
        </w:rPr>
      </w:pPr>
      <w:r>
        <w:rPr>
          <w:rFonts w:hint="eastAsia" w:ascii="宋体" w:hAnsi="宋体" w:cs="宋体"/>
          <w:color w:val="auto"/>
          <w:sz w:val="24"/>
          <w:szCs w:val="24"/>
          <w:highlight w:val="none"/>
        </w:rPr>
        <w:t>日期：     年   月   日</w:t>
      </w:r>
    </w:p>
    <w:p>
      <w:pPr>
        <w:autoSpaceDE w:val="0"/>
        <w:autoSpaceDN w:val="0"/>
        <w:snapToGrid w:val="0"/>
        <w:spacing w:line="300" w:lineRule="auto"/>
        <w:ind w:firstLine="420"/>
        <w:rPr>
          <w:rFonts w:ascii="宋体" w:hAnsi="宋体" w:cs="宋体"/>
          <w:b/>
          <w:color w:val="auto"/>
          <w:sz w:val="21"/>
          <w:szCs w:val="21"/>
          <w:highlight w:val="none"/>
        </w:rPr>
      </w:pPr>
    </w:p>
    <w:p>
      <w:pPr>
        <w:autoSpaceDE w:val="0"/>
        <w:autoSpaceDN w:val="0"/>
        <w:snapToGrid w:val="0"/>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注：投标人拟担任的项目负责人和其他主要设计人员必须是本单位正式在岗职工。“其他主要设计人员”是指各专业设计负责人，如</w:t>
      </w:r>
      <w:r>
        <w:rPr>
          <w:rFonts w:hint="eastAsia" w:ascii="宋体" w:hAnsi="宋体" w:cs="宋体"/>
          <w:b/>
          <w:color w:val="auto"/>
          <w:sz w:val="21"/>
          <w:szCs w:val="21"/>
          <w:highlight w:val="none"/>
          <w:lang w:val="en-US" w:eastAsia="zh-CN"/>
        </w:rPr>
        <w:t>建筑、结构、道路与桥梁类、电气、给水排水、造价、暖通空调</w:t>
      </w:r>
      <w:r>
        <w:rPr>
          <w:rFonts w:hint="eastAsia" w:ascii="宋体" w:hAnsi="宋体" w:cs="宋体"/>
          <w:b/>
          <w:color w:val="auto"/>
          <w:sz w:val="21"/>
          <w:szCs w:val="21"/>
          <w:highlight w:val="none"/>
        </w:rPr>
        <w:t>等专业负责人。按拟投入本项目设计人员实际情况填写。</w:t>
      </w:r>
    </w:p>
    <w:p>
      <w:pPr>
        <w:autoSpaceDE w:val="0"/>
        <w:autoSpaceDN w:val="0"/>
        <w:snapToGrid w:val="0"/>
        <w:spacing w:line="300" w:lineRule="auto"/>
        <w:rPr>
          <w:rFonts w:ascii="宋体" w:hAnsi="宋体" w:cs="宋体"/>
          <w:color w:val="auto"/>
          <w:sz w:val="24"/>
          <w:szCs w:val="24"/>
          <w:highlight w:val="none"/>
        </w:rPr>
      </w:pPr>
    </w:p>
    <w:p>
      <w:pPr>
        <w:numPr>
          <w:ilvl w:val="0"/>
          <w:numId w:val="20"/>
        </w:numPr>
        <w:jc w:val="center"/>
        <w:rPr>
          <w:rFonts w:hAnsi="宋体" w:cs="宋体"/>
          <w:color w:val="auto"/>
          <w:sz w:val="24"/>
          <w:highlight w:val="none"/>
        </w:rPr>
      </w:pPr>
      <w:r>
        <w:rPr>
          <w:rFonts w:hint="eastAsia" w:ascii="宋体" w:hAnsi="宋体" w:cs="宋体"/>
          <w:b/>
          <w:color w:val="auto"/>
          <w:sz w:val="32"/>
          <w:szCs w:val="32"/>
          <w:highlight w:val="none"/>
        </w:rPr>
        <w:br w:type="page"/>
      </w:r>
    </w:p>
    <w:p>
      <w:pPr>
        <w:spacing w:line="360" w:lineRule="auto"/>
        <w:jc w:val="left"/>
        <w:outlineLvl w:val="2"/>
        <w:rPr>
          <w:rFonts w:ascii="宋体" w:hAnsi="宋体" w:cs="宋体"/>
          <w:b/>
          <w:color w:val="auto"/>
          <w:sz w:val="34"/>
          <w:szCs w:val="36"/>
          <w:highlight w:val="none"/>
        </w:rPr>
      </w:pPr>
      <w:bookmarkStart w:id="525" w:name="_Toc22995"/>
      <w:r>
        <w:rPr>
          <w:rFonts w:hint="eastAsia" w:ascii="宋体" w:hAnsi="宋体" w:cs="宋体"/>
          <w:b/>
          <w:color w:val="auto"/>
          <w:sz w:val="36"/>
          <w:szCs w:val="36"/>
          <w:highlight w:val="none"/>
        </w:rPr>
        <w:t>（</w:t>
      </w:r>
      <w:r>
        <w:rPr>
          <w:rFonts w:hint="eastAsia" w:ascii="宋体" w:hAnsi="宋体" w:cs="宋体"/>
          <w:b/>
          <w:color w:val="auto"/>
          <w:sz w:val="36"/>
          <w:szCs w:val="36"/>
          <w:highlight w:val="none"/>
          <w:lang w:eastAsia="zh-CN"/>
        </w:rPr>
        <w:t>九</w:t>
      </w:r>
      <w:r>
        <w:rPr>
          <w:rFonts w:hint="eastAsia" w:ascii="宋体" w:hAnsi="宋体" w:cs="宋体"/>
          <w:b/>
          <w:color w:val="auto"/>
          <w:sz w:val="36"/>
          <w:szCs w:val="36"/>
          <w:highlight w:val="none"/>
        </w:rPr>
        <w:t>）</w:t>
      </w:r>
      <w:r>
        <w:rPr>
          <w:rFonts w:hint="eastAsia" w:ascii="宋体" w:hAnsi="宋体" w:cs="宋体"/>
          <w:b/>
          <w:color w:val="auto"/>
          <w:sz w:val="34"/>
          <w:szCs w:val="36"/>
          <w:highlight w:val="none"/>
        </w:rPr>
        <w:t>项目负责人和其他主要专业设计人员到位承诺书</w:t>
      </w:r>
      <w:bookmarkEnd w:id="525"/>
    </w:p>
    <w:p>
      <w:pPr>
        <w:tabs>
          <w:tab w:val="left" w:pos="0"/>
          <w:tab w:val="left" w:pos="567"/>
          <w:tab w:val="left" w:pos="993"/>
          <w:tab w:val="left" w:pos="1134"/>
        </w:tabs>
        <w:snapToGrid w:val="0"/>
        <w:spacing w:before="240" w:after="120" w:line="360" w:lineRule="auto"/>
        <w:ind w:right="640"/>
        <w:jc w:val="center"/>
        <w:rPr>
          <w:rFonts w:hint="eastAsia" w:ascii="宋体" w:hAnsi="宋体" w:cs="宋体"/>
          <w:b/>
          <w:color w:val="auto"/>
          <w:sz w:val="32"/>
          <w:szCs w:val="32"/>
          <w:highlight w:val="none"/>
        </w:rPr>
        <w:sectPr>
          <w:pgSz w:w="11906" w:h="16838"/>
          <w:pgMar w:top="1440" w:right="1133" w:bottom="1440" w:left="993" w:header="851" w:footer="992" w:gutter="0"/>
          <w:pgNumType w:fmt="decimal"/>
          <w:cols w:space="720" w:num="1"/>
          <w:docGrid w:linePitch="312" w:charSpace="0"/>
        </w:sectPr>
      </w:pPr>
      <w:r>
        <w:rPr>
          <w:rFonts w:hint="eastAsia" w:ascii="宋体" w:hAnsi="宋体" w:cs="宋体"/>
          <w:b/>
          <w:color w:val="auto"/>
          <w:sz w:val="32"/>
          <w:szCs w:val="32"/>
          <w:highlight w:val="none"/>
        </w:rPr>
        <w:t>（格式自拟）</w:t>
      </w:r>
    </w:p>
    <w:p>
      <w:pPr>
        <w:pStyle w:val="36"/>
        <w:rPr>
          <w:color w:val="auto"/>
        </w:rPr>
      </w:pPr>
    </w:p>
    <w:p>
      <w:pPr>
        <w:spacing w:line="360" w:lineRule="auto"/>
        <w:jc w:val="left"/>
        <w:outlineLvl w:val="2"/>
        <w:rPr>
          <w:rFonts w:ascii="宋体" w:hAnsi="宋体" w:cs="宋体"/>
          <w:b/>
          <w:color w:val="auto"/>
          <w:sz w:val="36"/>
          <w:szCs w:val="36"/>
          <w:highlight w:val="none"/>
        </w:rPr>
      </w:pPr>
      <w:bookmarkStart w:id="526" w:name="_Toc16772"/>
      <w:r>
        <w:rPr>
          <w:rFonts w:hint="eastAsia" w:ascii="宋体" w:hAnsi="宋体" w:cs="宋体"/>
          <w:b/>
          <w:color w:val="auto"/>
          <w:sz w:val="36"/>
          <w:szCs w:val="36"/>
          <w:highlight w:val="none"/>
        </w:rPr>
        <w:t>（</w:t>
      </w:r>
      <w:r>
        <w:rPr>
          <w:rFonts w:hint="eastAsia" w:ascii="宋体" w:hAnsi="宋体" w:cs="宋体"/>
          <w:b/>
          <w:color w:val="auto"/>
          <w:sz w:val="36"/>
          <w:szCs w:val="36"/>
          <w:highlight w:val="none"/>
          <w:lang w:eastAsia="zh-CN"/>
        </w:rPr>
        <w:t>十</w:t>
      </w:r>
      <w:r>
        <w:rPr>
          <w:rFonts w:hint="eastAsia" w:ascii="宋体" w:hAnsi="宋体" w:cs="宋体"/>
          <w:b/>
          <w:color w:val="auto"/>
          <w:sz w:val="36"/>
          <w:szCs w:val="36"/>
          <w:highlight w:val="none"/>
        </w:rPr>
        <w:t>）服务保证</w:t>
      </w:r>
      <w:bookmarkEnd w:id="526"/>
    </w:p>
    <w:p>
      <w:pPr>
        <w:tabs>
          <w:tab w:val="left" w:pos="0"/>
          <w:tab w:val="left" w:pos="567"/>
          <w:tab w:val="left" w:pos="993"/>
          <w:tab w:val="left" w:pos="1134"/>
        </w:tabs>
        <w:snapToGrid w:val="0"/>
        <w:spacing w:line="360" w:lineRule="auto"/>
        <w:ind w:firstLine="472" w:firstLineChars="196"/>
        <w:jc w:val="left"/>
        <w:rPr>
          <w:rFonts w:hint="eastAsia" w:ascii="宋体" w:hAnsi="宋体" w:cs="宋体"/>
          <w:b/>
          <w:color w:val="auto"/>
          <w:sz w:val="24"/>
          <w:szCs w:val="24"/>
          <w:highlight w:val="none"/>
        </w:rPr>
        <w:sectPr>
          <w:pgSz w:w="11906" w:h="16838"/>
          <w:pgMar w:top="1440" w:right="1133" w:bottom="1440" w:left="993" w:header="851" w:footer="992" w:gutter="0"/>
          <w:pgNumType w:fmt="decimal"/>
          <w:cols w:space="720" w:num="1"/>
          <w:docGrid w:linePitch="312" w:charSpace="0"/>
        </w:sectPr>
      </w:pPr>
      <w:r>
        <w:rPr>
          <w:rFonts w:hint="eastAsia" w:ascii="宋体" w:hAnsi="宋体" w:cs="宋体"/>
          <w:b/>
          <w:color w:val="auto"/>
          <w:sz w:val="24"/>
          <w:szCs w:val="24"/>
          <w:highlight w:val="none"/>
        </w:rPr>
        <w:t>须附上“保证勘察、设计质量、勘察、设计进度计划”、“勘察、设计人在工程施工过程中配合工程实施所派出现场服务勘察、设计工程师的人员（职称、专业、数量）、服务内容、响应时间等”实施方案。</w:t>
      </w:r>
    </w:p>
    <w:p>
      <w:pPr>
        <w:pStyle w:val="36"/>
        <w:rPr>
          <w:color w:val="auto"/>
        </w:rPr>
      </w:pPr>
    </w:p>
    <w:p>
      <w:pPr>
        <w:spacing w:line="360" w:lineRule="auto"/>
        <w:jc w:val="left"/>
        <w:outlineLvl w:val="2"/>
        <w:rPr>
          <w:rFonts w:hint="eastAsia" w:ascii="宋体" w:hAnsi="宋体" w:cs="宋体"/>
          <w:b/>
          <w:color w:val="auto"/>
          <w:sz w:val="36"/>
          <w:szCs w:val="36"/>
          <w:highlight w:val="none"/>
          <w:lang w:val="en-US" w:eastAsia="zh-CN"/>
        </w:rPr>
      </w:pPr>
      <w:bookmarkStart w:id="527" w:name="_Toc3113"/>
      <w:r>
        <w:rPr>
          <w:rFonts w:hint="eastAsia" w:ascii="宋体" w:hAnsi="宋体" w:cs="宋体"/>
          <w:b/>
          <w:color w:val="auto"/>
          <w:sz w:val="36"/>
          <w:szCs w:val="36"/>
          <w:highlight w:val="none"/>
          <w:lang w:val="en-US" w:eastAsia="zh-CN"/>
        </w:rPr>
        <w:t>（十一）承诺书</w:t>
      </w:r>
      <w:bookmarkEnd w:id="527"/>
    </w:p>
    <w:p>
      <w:pPr>
        <w:tabs>
          <w:tab w:val="left" w:pos="0"/>
          <w:tab w:val="left" w:pos="567"/>
          <w:tab w:val="left" w:pos="993"/>
          <w:tab w:val="left" w:pos="1134"/>
        </w:tabs>
        <w:snapToGrid w:val="0"/>
        <w:spacing w:line="360" w:lineRule="auto"/>
        <w:ind w:firstLine="472" w:firstLineChars="196"/>
        <w:jc w:val="left"/>
        <w:rPr>
          <w:rFonts w:hint="eastAsia" w:ascii="宋体" w:hAnsi="宋体" w:cs="宋体"/>
          <w:color w:val="auto"/>
          <w:sz w:val="24"/>
          <w:highlight w:val="none"/>
          <w:lang w:val="en-US" w:eastAsia="zh-CN"/>
        </w:rPr>
        <w:sectPr>
          <w:pgSz w:w="11906" w:h="16838"/>
          <w:pgMar w:top="1440" w:right="1133" w:bottom="1440" w:left="993" w:header="851" w:footer="992" w:gutter="0"/>
          <w:pgNumType w:fmt="decimal"/>
          <w:cols w:space="720" w:num="1"/>
          <w:docGrid w:linePitch="312" w:charSpace="0"/>
        </w:sectPr>
      </w:pPr>
      <w:r>
        <w:rPr>
          <w:rFonts w:hint="eastAsia" w:ascii="宋体" w:hAnsi="宋体" w:cs="宋体"/>
          <w:b/>
          <w:color w:val="auto"/>
          <w:sz w:val="24"/>
          <w:szCs w:val="24"/>
          <w:highlight w:val="none"/>
          <w:lang w:val="en-US" w:eastAsia="zh-CN"/>
        </w:rPr>
        <w:t>投标单位提供中标后不得将本项目的勘察、设计工作进行分包、转包或委托第三方实施的承诺书 。（格式自拟）</w:t>
      </w:r>
    </w:p>
    <w:p>
      <w:pPr>
        <w:spacing w:line="360" w:lineRule="auto"/>
        <w:jc w:val="left"/>
        <w:outlineLvl w:val="2"/>
        <w:rPr>
          <w:rFonts w:hint="eastAsia" w:ascii="宋体" w:hAnsi="宋体" w:eastAsia="宋体" w:cs="宋体"/>
          <w:b/>
          <w:color w:val="auto"/>
          <w:sz w:val="36"/>
          <w:szCs w:val="36"/>
          <w:highlight w:val="none"/>
          <w:lang w:eastAsia="zh-CN"/>
        </w:rPr>
      </w:pPr>
      <w:bookmarkStart w:id="528" w:name="_Toc5824"/>
      <w:r>
        <w:rPr>
          <w:rFonts w:hint="eastAsia" w:ascii="宋体" w:hAnsi="宋体" w:cs="宋体"/>
          <w:b/>
          <w:color w:val="auto"/>
          <w:sz w:val="36"/>
          <w:szCs w:val="36"/>
          <w:highlight w:val="none"/>
        </w:rPr>
        <w:t>（十</w:t>
      </w:r>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rPr>
        <w:t>）其他资料</w:t>
      </w:r>
      <w:bookmarkEnd w:id="528"/>
      <w:r>
        <w:rPr>
          <w:rFonts w:hint="eastAsia" w:ascii="宋体" w:hAnsi="宋体" w:cs="宋体"/>
          <w:b/>
          <w:color w:val="auto"/>
          <w:sz w:val="36"/>
          <w:szCs w:val="36"/>
          <w:highlight w:val="none"/>
          <w:lang w:val="en-US" w:eastAsia="zh-CN"/>
        </w:rPr>
        <w:t xml:space="preserve"> </w:t>
      </w:r>
    </w:p>
    <w:p>
      <w:pPr>
        <w:tabs>
          <w:tab w:val="left" w:pos="0"/>
          <w:tab w:val="left" w:pos="567"/>
          <w:tab w:val="left" w:pos="993"/>
          <w:tab w:val="left" w:pos="1134"/>
        </w:tabs>
        <w:snapToGrid w:val="0"/>
        <w:spacing w:line="300" w:lineRule="auto"/>
        <w:ind w:firstLine="470" w:firstLineChars="196"/>
        <w:jc w:val="left"/>
        <w:rPr>
          <w:rFonts w:ascii="宋体" w:hAnsi="宋体" w:cs="宋体"/>
          <w:b/>
          <w:color w:val="auto"/>
          <w:sz w:val="24"/>
          <w:szCs w:val="24"/>
          <w:highlight w:val="none"/>
        </w:rPr>
      </w:pPr>
      <w:r>
        <w:rPr>
          <w:rFonts w:hint="eastAsia" w:ascii="宋体" w:hAnsi="宋体" w:cs="宋体"/>
          <w:b w:val="0"/>
          <w:bCs/>
          <w:color w:val="auto"/>
          <w:sz w:val="24"/>
          <w:szCs w:val="24"/>
          <w:highlight w:val="none"/>
        </w:rPr>
        <w:t>根据招标文件的要求和投标人认为需要提供的资料</w:t>
      </w:r>
      <w:r>
        <w:rPr>
          <w:rFonts w:hint="eastAsia" w:ascii="宋体" w:hAnsi="宋体" w:cs="宋体"/>
          <w:b/>
          <w:color w:val="auto"/>
          <w:sz w:val="24"/>
          <w:szCs w:val="24"/>
          <w:highlight w:val="none"/>
        </w:rPr>
        <w:t>。</w:t>
      </w:r>
    </w:p>
    <w:p>
      <w:pPr>
        <w:pStyle w:val="6"/>
        <w:tabs>
          <w:tab w:val="left" w:pos="1000"/>
        </w:tabs>
        <w:spacing w:line="360" w:lineRule="auto"/>
        <w:rPr>
          <w:rFonts w:ascii="宋体" w:hAnsi="宋体" w:cs="宋体"/>
          <w:color w:val="auto"/>
          <w:sz w:val="24"/>
          <w:szCs w:val="24"/>
          <w:highlight w:val="none"/>
        </w:rPr>
      </w:pPr>
    </w:p>
    <w:p>
      <w:pPr>
        <w:pStyle w:val="6"/>
        <w:tabs>
          <w:tab w:val="left" w:pos="1000"/>
        </w:tabs>
        <w:spacing w:line="360" w:lineRule="auto"/>
        <w:rPr>
          <w:rFonts w:ascii="宋体" w:hAnsi="宋体" w:cs="宋体"/>
          <w:color w:val="auto"/>
          <w:sz w:val="24"/>
          <w:szCs w:val="24"/>
          <w:highlight w:val="none"/>
        </w:rPr>
        <w:sectPr>
          <w:pgSz w:w="11906" w:h="16838"/>
          <w:pgMar w:top="1440" w:right="1133" w:bottom="1440" w:left="993" w:header="851" w:footer="992" w:gutter="0"/>
          <w:pgNumType w:fmt="decimal"/>
          <w:cols w:space="720" w:num="1"/>
          <w:docGrid w:linePitch="312" w:charSpace="0"/>
        </w:sectPr>
      </w:pPr>
    </w:p>
    <w:p>
      <w:pPr>
        <w:pStyle w:val="79"/>
        <w:ind w:left="420"/>
        <w:outlineLvl w:val="9"/>
        <w:rPr>
          <w:color w:val="auto"/>
          <w:sz w:val="32"/>
          <w:szCs w:val="32"/>
          <w:highlight w:val="none"/>
        </w:rPr>
      </w:pPr>
      <w:bookmarkStart w:id="529" w:name="_Toc219773168"/>
      <w:bookmarkStart w:id="530" w:name="_Toc382381152"/>
    </w:p>
    <w:p>
      <w:pPr>
        <w:pStyle w:val="79"/>
        <w:jc w:val="both"/>
        <w:outlineLvl w:val="9"/>
        <w:rPr>
          <w:color w:val="auto"/>
          <w:sz w:val="32"/>
          <w:szCs w:val="32"/>
          <w:highlight w:val="none"/>
        </w:rPr>
      </w:pPr>
    </w:p>
    <w:p>
      <w:pPr>
        <w:jc w:val="center"/>
        <w:outlineLvl w:val="1"/>
        <w:rPr>
          <w:b/>
          <w:color w:val="auto"/>
          <w:sz w:val="32"/>
          <w:szCs w:val="32"/>
          <w:highlight w:val="none"/>
        </w:rPr>
      </w:pPr>
      <w:bookmarkStart w:id="531" w:name="_Toc10326"/>
      <w:r>
        <w:rPr>
          <w:rFonts w:hint="eastAsia"/>
          <w:b/>
          <w:color w:val="auto"/>
          <w:sz w:val="32"/>
          <w:szCs w:val="32"/>
          <w:highlight w:val="none"/>
        </w:rPr>
        <w:t>四、技术文件</w:t>
      </w:r>
      <w:bookmarkEnd w:id="529"/>
      <w:bookmarkEnd w:id="530"/>
      <w:r>
        <w:rPr>
          <w:rFonts w:hint="eastAsia"/>
          <w:b/>
          <w:color w:val="auto"/>
          <w:sz w:val="32"/>
          <w:szCs w:val="32"/>
          <w:highlight w:val="none"/>
        </w:rPr>
        <w:t>格式</w:t>
      </w:r>
      <w:bookmarkEnd w:id="531"/>
    </w:p>
    <w:p>
      <w:pPr>
        <w:pStyle w:val="18"/>
        <w:tabs>
          <w:tab w:val="left" w:pos="285"/>
          <w:tab w:val="center" w:pos="4320"/>
        </w:tabs>
        <w:spacing w:line="264" w:lineRule="auto"/>
        <w:rPr>
          <w:rFonts w:hAnsi="宋体" w:cs="宋体"/>
          <w:color w:val="auto"/>
          <w:sz w:val="24"/>
          <w:szCs w:val="24"/>
          <w:highlight w:val="none"/>
        </w:rPr>
      </w:pPr>
      <w:r>
        <w:rPr>
          <w:rFonts w:hint="eastAsia" w:hAnsi="宋体" w:cs="宋体"/>
          <w:color w:val="auto"/>
          <w:sz w:val="28"/>
          <w:highlight w:val="none"/>
        </w:rPr>
        <w:br w:type="page"/>
      </w:r>
    </w:p>
    <w:p>
      <w:pPr>
        <w:pStyle w:val="18"/>
        <w:spacing w:line="264" w:lineRule="auto"/>
        <w:jc w:val="center"/>
        <w:rPr>
          <w:rFonts w:hAnsi="宋体" w:cs="宋体"/>
          <w:color w:val="auto"/>
          <w:sz w:val="36"/>
          <w:highlight w:val="none"/>
        </w:rPr>
      </w:pPr>
    </w:p>
    <w:p>
      <w:pPr>
        <w:pStyle w:val="18"/>
        <w:spacing w:line="480" w:lineRule="auto"/>
        <w:jc w:val="center"/>
        <w:rPr>
          <w:rFonts w:hAnsi="宋体" w:cs="宋体"/>
          <w:b/>
          <w:color w:val="auto"/>
          <w:sz w:val="32"/>
          <w:szCs w:val="32"/>
          <w:highlight w:val="none"/>
        </w:rPr>
      </w:pPr>
    </w:p>
    <w:p>
      <w:pPr>
        <w:pStyle w:val="18"/>
        <w:spacing w:before="240" w:beforeLines="100" w:after="240" w:afterLines="100" w:line="264" w:lineRule="auto"/>
        <w:jc w:val="center"/>
        <w:rPr>
          <w:rFonts w:hint="eastAsia" w:hAnsi="宋体" w:eastAsia="宋体" w:cs="宋体"/>
          <w:bCs/>
          <w:color w:val="auto"/>
          <w:sz w:val="28"/>
          <w:szCs w:val="28"/>
          <w:highlight w:val="none"/>
          <w:lang w:eastAsia="zh-CN"/>
        </w:rPr>
      </w:pPr>
      <w:r>
        <w:rPr>
          <w:rFonts w:hint="eastAsia" w:hAnsi="宋体" w:cs="宋体"/>
          <w:bCs/>
          <w:color w:val="auto"/>
          <w:sz w:val="44"/>
          <w:szCs w:val="44"/>
          <w:highlight w:val="none"/>
          <w:lang w:eastAsia="zh-CN"/>
        </w:rPr>
        <w:t>大埔县白云大桥停车场及周边道路附属设施建设工程(勘察、设计)</w:t>
      </w:r>
    </w:p>
    <w:p>
      <w:pPr>
        <w:pStyle w:val="18"/>
        <w:spacing w:line="264" w:lineRule="auto"/>
        <w:jc w:val="center"/>
        <w:rPr>
          <w:rFonts w:hAnsi="宋体" w:cs="宋体"/>
          <w:b/>
          <w:color w:val="auto"/>
          <w:sz w:val="84"/>
          <w:highlight w:val="none"/>
        </w:rPr>
      </w:pPr>
    </w:p>
    <w:p>
      <w:pPr>
        <w:pStyle w:val="18"/>
        <w:spacing w:line="264" w:lineRule="auto"/>
        <w:jc w:val="center"/>
        <w:rPr>
          <w:rFonts w:hAnsi="宋体" w:cs="宋体"/>
          <w:color w:val="auto"/>
          <w:sz w:val="28"/>
          <w:highlight w:val="none"/>
        </w:rPr>
      </w:pPr>
      <w:r>
        <w:rPr>
          <w:rFonts w:hint="eastAsia" w:hAnsi="宋体" w:cs="宋体"/>
          <w:b/>
          <w:color w:val="auto"/>
          <w:sz w:val="84"/>
          <w:highlight w:val="none"/>
        </w:rPr>
        <w:t>投标文件</w:t>
      </w:r>
    </w:p>
    <w:p>
      <w:pPr>
        <w:pStyle w:val="18"/>
        <w:spacing w:line="264" w:lineRule="auto"/>
        <w:jc w:val="center"/>
        <w:rPr>
          <w:rFonts w:hAnsi="宋体" w:cs="宋体"/>
          <w:color w:val="auto"/>
          <w:sz w:val="72"/>
          <w:highlight w:val="none"/>
        </w:rPr>
      </w:pPr>
    </w:p>
    <w:p>
      <w:pPr>
        <w:pStyle w:val="18"/>
        <w:spacing w:line="264" w:lineRule="auto"/>
        <w:jc w:val="center"/>
        <w:rPr>
          <w:rFonts w:hAnsi="宋体" w:cs="宋体"/>
          <w:color w:val="auto"/>
          <w:sz w:val="72"/>
          <w:highlight w:val="none"/>
        </w:rPr>
      </w:pPr>
    </w:p>
    <w:p>
      <w:pPr>
        <w:pStyle w:val="18"/>
        <w:spacing w:line="264" w:lineRule="auto"/>
        <w:jc w:val="center"/>
        <w:rPr>
          <w:rFonts w:hAnsi="宋体" w:cs="宋体"/>
          <w:color w:val="auto"/>
          <w:sz w:val="72"/>
          <w:highlight w:val="none"/>
        </w:rPr>
      </w:pPr>
    </w:p>
    <w:p>
      <w:pPr>
        <w:pStyle w:val="18"/>
        <w:spacing w:before="240" w:after="240" w:line="240" w:lineRule="auto"/>
        <w:ind w:firstLine="560"/>
        <w:rPr>
          <w:rFonts w:hAnsi="宋体" w:cs="宋体"/>
          <w:color w:val="auto"/>
          <w:sz w:val="30"/>
          <w:szCs w:val="30"/>
          <w:highlight w:val="none"/>
        </w:rPr>
      </w:pPr>
      <w:r>
        <w:rPr>
          <w:rFonts w:hint="eastAsia" w:hAnsi="宋体" w:cs="宋体"/>
          <w:color w:val="auto"/>
          <w:sz w:val="30"/>
          <w:szCs w:val="30"/>
          <w:highlight w:val="none"/>
        </w:rPr>
        <w:t>投标文件内容</w:t>
      </w:r>
      <w:r>
        <w:rPr>
          <w:rFonts w:hint="eastAsia" w:hAnsi="宋体" w:cs="宋体"/>
          <w:color w:val="auto"/>
          <w:sz w:val="30"/>
          <w:szCs w:val="30"/>
          <w:highlight w:val="none"/>
          <w:u w:val="single"/>
        </w:rPr>
        <w:t xml:space="preserve">               技术文件             </w:t>
      </w:r>
    </w:p>
    <w:p>
      <w:pPr>
        <w:pStyle w:val="18"/>
        <w:spacing w:before="240" w:after="240" w:line="240" w:lineRule="auto"/>
        <w:ind w:left="630"/>
        <w:jc w:val="left"/>
        <w:rPr>
          <w:rFonts w:hAnsi="宋体" w:cs="宋体"/>
          <w:color w:val="auto"/>
          <w:sz w:val="30"/>
          <w:szCs w:val="30"/>
          <w:highlight w:val="none"/>
        </w:rPr>
      </w:pPr>
      <w:r>
        <w:rPr>
          <w:rFonts w:hint="eastAsia" w:hAnsi="宋体" w:cs="宋体"/>
          <w:color w:val="auto"/>
          <w:sz w:val="30"/>
          <w:szCs w:val="30"/>
          <w:highlight w:val="none"/>
        </w:rPr>
        <w:t>投   标   人:</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single"/>
          <w:lang w:val="en-US" w:eastAsia="zh-CN"/>
        </w:rPr>
        <w:t xml:space="preserve">      </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single"/>
          <w:lang w:val="en-US" w:eastAsia="zh-CN"/>
        </w:rPr>
        <w:t xml:space="preserve">      </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none"/>
        </w:rPr>
        <w:t xml:space="preserve">（盖投标人单位公章）     </w:t>
      </w:r>
    </w:p>
    <w:p>
      <w:pPr>
        <w:pStyle w:val="18"/>
        <w:spacing w:before="240" w:after="240" w:line="240" w:lineRule="auto"/>
        <w:ind w:firstLine="560"/>
        <w:rPr>
          <w:rFonts w:hAnsi="宋体" w:cs="宋体"/>
          <w:color w:val="auto"/>
          <w:sz w:val="30"/>
          <w:szCs w:val="30"/>
          <w:highlight w:val="none"/>
          <w:u w:val="single"/>
        </w:rPr>
      </w:pPr>
      <w:r>
        <w:rPr>
          <w:rFonts w:hint="eastAsia" w:hAnsi="宋体" w:cs="宋体"/>
          <w:color w:val="auto"/>
          <w:sz w:val="30"/>
          <w:szCs w:val="30"/>
          <w:highlight w:val="none"/>
        </w:rPr>
        <w:t>法定代表人或其委托代理人</w:t>
      </w:r>
      <w:r>
        <w:rPr>
          <w:rFonts w:hint="eastAsia" w:hAnsi="宋体" w:cs="宋体"/>
          <w:color w:val="auto"/>
          <w:sz w:val="30"/>
          <w:szCs w:val="30"/>
          <w:highlight w:val="none"/>
          <w:u w:val="none"/>
        </w:rPr>
        <w:t>：</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single"/>
          <w:lang w:val="en-US" w:eastAsia="zh-CN"/>
        </w:rPr>
        <w:t xml:space="preserve"> </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single"/>
          <w:lang w:val="en-US" w:eastAsia="zh-CN"/>
        </w:rPr>
        <w:t xml:space="preserve"> </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single"/>
          <w:lang w:val="en-US" w:eastAsia="zh-CN"/>
        </w:rPr>
        <w:t xml:space="preserve"> </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single"/>
          <w:lang w:val="en-US" w:eastAsia="zh-CN"/>
        </w:rPr>
        <w:t xml:space="preserve">  </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none"/>
        </w:rPr>
        <w:t>（签字）</w:t>
      </w:r>
    </w:p>
    <w:p>
      <w:pPr>
        <w:pStyle w:val="18"/>
        <w:spacing w:before="240" w:after="240" w:line="240" w:lineRule="auto"/>
        <w:ind w:left="630"/>
        <w:rPr>
          <w:rFonts w:hAnsi="宋体" w:cs="宋体"/>
          <w:color w:val="auto"/>
          <w:sz w:val="30"/>
          <w:highlight w:val="none"/>
        </w:rPr>
      </w:pPr>
      <w:r>
        <w:rPr>
          <w:rFonts w:hint="eastAsia" w:hAnsi="宋体" w:cs="宋体"/>
          <w:color w:val="auto"/>
          <w:sz w:val="30"/>
          <w:szCs w:val="30"/>
          <w:highlight w:val="none"/>
        </w:rPr>
        <w:t>日期：</w:t>
      </w:r>
      <w:r>
        <w:rPr>
          <w:rFonts w:hint="eastAsia" w:hAnsi="宋体" w:cs="宋体"/>
          <w:color w:val="auto"/>
          <w:sz w:val="30"/>
          <w:szCs w:val="30"/>
          <w:highlight w:val="none"/>
          <w:u w:val="single"/>
        </w:rPr>
        <w:t xml:space="preserve">      </w:t>
      </w:r>
      <w:r>
        <w:rPr>
          <w:rFonts w:hint="eastAsia" w:hAnsi="宋体" w:cs="宋体"/>
          <w:color w:val="auto"/>
          <w:sz w:val="30"/>
          <w:szCs w:val="30"/>
          <w:highlight w:val="none"/>
          <w:u w:val="single"/>
          <w:lang w:val="en-US" w:eastAsia="zh-CN"/>
        </w:rPr>
        <w:t xml:space="preserve"> </w:t>
      </w:r>
      <w:r>
        <w:rPr>
          <w:rFonts w:hint="eastAsia" w:hAnsi="宋体" w:cs="宋体"/>
          <w:color w:val="auto"/>
          <w:sz w:val="30"/>
          <w:szCs w:val="30"/>
          <w:highlight w:val="none"/>
          <w:u w:val="single"/>
        </w:rPr>
        <w:t xml:space="preserve">    </w:t>
      </w:r>
      <w:r>
        <w:rPr>
          <w:rFonts w:hint="eastAsia" w:hAnsi="宋体" w:cs="宋体"/>
          <w:color w:val="auto"/>
          <w:sz w:val="30"/>
          <w:szCs w:val="30"/>
          <w:highlight w:val="none"/>
        </w:rPr>
        <w:t>年</w:t>
      </w:r>
      <w:r>
        <w:rPr>
          <w:rFonts w:hint="eastAsia" w:hAnsi="宋体" w:cs="宋体"/>
          <w:color w:val="auto"/>
          <w:sz w:val="30"/>
          <w:szCs w:val="30"/>
          <w:highlight w:val="none"/>
          <w:u w:val="single"/>
        </w:rPr>
        <w:t xml:space="preserve">      </w:t>
      </w:r>
      <w:r>
        <w:rPr>
          <w:rFonts w:hint="eastAsia" w:hAnsi="宋体" w:cs="宋体"/>
          <w:color w:val="auto"/>
          <w:sz w:val="30"/>
          <w:szCs w:val="30"/>
          <w:highlight w:val="none"/>
        </w:rPr>
        <w:t>月</w:t>
      </w:r>
      <w:r>
        <w:rPr>
          <w:rFonts w:hint="eastAsia" w:hAnsi="宋体" w:cs="宋体"/>
          <w:color w:val="auto"/>
          <w:sz w:val="30"/>
          <w:szCs w:val="30"/>
          <w:highlight w:val="none"/>
          <w:u w:val="single"/>
        </w:rPr>
        <w:t xml:space="preserve">       </w:t>
      </w:r>
      <w:r>
        <w:rPr>
          <w:rFonts w:hint="eastAsia" w:hAnsi="宋体" w:cs="宋体"/>
          <w:color w:val="auto"/>
          <w:sz w:val="30"/>
          <w:szCs w:val="30"/>
          <w:highlight w:val="none"/>
        </w:rPr>
        <w:t>日</w:t>
      </w:r>
    </w:p>
    <w:p>
      <w:pPr>
        <w:pStyle w:val="18"/>
        <w:tabs>
          <w:tab w:val="left" w:pos="285"/>
          <w:tab w:val="center" w:pos="4320"/>
        </w:tabs>
        <w:spacing w:line="240" w:lineRule="auto"/>
        <w:ind w:firstLine="560" w:firstLineChars="200"/>
        <w:jc w:val="center"/>
        <w:outlineLvl w:val="2"/>
        <w:rPr>
          <w:rFonts w:hAnsi="宋体" w:cs="宋体"/>
          <w:b/>
          <w:color w:val="auto"/>
          <w:sz w:val="32"/>
          <w:szCs w:val="32"/>
          <w:highlight w:val="none"/>
        </w:rPr>
      </w:pPr>
      <w:r>
        <w:rPr>
          <w:rFonts w:hAnsi="宋体" w:cs="宋体"/>
          <w:color w:val="auto"/>
          <w:sz w:val="28"/>
          <w:highlight w:val="none"/>
        </w:rPr>
        <w:br w:type="page"/>
      </w:r>
      <w:bookmarkStart w:id="532" w:name="_Toc19639"/>
      <w:r>
        <w:rPr>
          <w:rFonts w:hint="eastAsia" w:hAnsi="宋体" w:cs="宋体"/>
          <w:b/>
          <w:color w:val="auto"/>
          <w:sz w:val="32"/>
          <w:szCs w:val="32"/>
          <w:highlight w:val="none"/>
        </w:rPr>
        <w:t>说  明</w:t>
      </w:r>
      <w:bookmarkEnd w:id="532"/>
    </w:p>
    <w:p>
      <w:pPr>
        <w:numPr>
          <w:ilvl w:val="1"/>
          <w:numId w:val="21"/>
        </w:numPr>
        <w:tabs>
          <w:tab w:val="left" w:pos="0"/>
          <w:tab w:val="left" w:pos="567"/>
          <w:tab w:val="left" w:pos="993"/>
          <w:tab w:val="left" w:pos="1134"/>
        </w:tabs>
        <w:snapToGrid w:val="0"/>
        <w:spacing w:before="240" w:line="360" w:lineRule="auto"/>
        <w:ind w:firstLine="0"/>
        <w:rPr>
          <w:rFonts w:ascii="宋体" w:hAnsi="宋体" w:cs="宋体"/>
          <w:b/>
          <w:color w:val="auto"/>
          <w:sz w:val="28"/>
          <w:szCs w:val="28"/>
          <w:highlight w:val="none"/>
        </w:rPr>
      </w:pPr>
      <w:r>
        <w:rPr>
          <w:rFonts w:hint="eastAsia" w:ascii="宋体" w:hAnsi="宋体" w:cs="宋体"/>
          <w:b/>
          <w:bCs/>
          <w:color w:val="auto"/>
          <w:sz w:val="28"/>
          <w:szCs w:val="28"/>
          <w:highlight w:val="none"/>
          <w:lang w:val="zh-CN"/>
        </w:rPr>
        <w:t>技术文件包含下列内容</w:t>
      </w:r>
      <w:r>
        <w:rPr>
          <w:rFonts w:hint="eastAsia" w:ascii="宋体" w:hAnsi="宋体" w:cs="宋体"/>
          <w:color w:val="auto"/>
          <w:sz w:val="28"/>
          <w:highlight w:val="none"/>
        </w:rPr>
        <w:t>：</w:t>
      </w:r>
    </w:p>
    <w:p>
      <w:pPr>
        <w:numPr>
          <w:ilvl w:val="0"/>
          <w:numId w:val="22"/>
        </w:numPr>
        <w:spacing w:line="360" w:lineRule="auto"/>
        <w:ind w:left="425" w:leftChars="0" w:hanging="425" w:firstLineChars="0"/>
        <w:rPr>
          <w:color w:val="auto"/>
          <w:sz w:val="24"/>
          <w:szCs w:val="24"/>
        </w:rPr>
      </w:pPr>
      <w:r>
        <w:rPr>
          <w:rFonts w:hint="eastAsia"/>
          <w:color w:val="auto"/>
          <w:sz w:val="24"/>
          <w:szCs w:val="24"/>
        </w:rPr>
        <w:t>设计说明和设计图纸汇编缩印本；</w:t>
      </w:r>
    </w:p>
    <w:p>
      <w:pPr>
        <w:numPr>
          <w:ilvl w:val="0"/>
          <w:numId w:val="22"/>
        </w:numPr>
        <w:spacing w:line="360" w:lineRule="auto"/>
        <w:ind w:left="425" w:leftChars="0" w:hanging="425" w:firstLineChars="0"/>
        <w:rPr>
          <w:color w:val="auto"/>
          <w:sz w:val="24"/>
          <w:szCs w:val="24"/>
        </w:rPr>
      </w:pPr>
      <w:r>
        <w:rPr>
          <w:rFonts w:hint="eastAsia"/>
          <w:color w:val="auto"/>
          <w:sz w:val="24"/>
          <w:szCs w:val="24"/>
        </w:rPr>
        <w:t>电子文档（</w:t>
      </w:r>
      <w:r>
        <w:rPr>
          <w:rFonts w:hint="eastAsia"/>
          <w:color w:val="auto"/>
          <w:sz w:val="24"/>
          <w:szCs w:val="24"/>
          <w:lang w:val="en-US" w:eastAsia="zh-CN"/>
        </w:rPr>
        <w:t>包含投标文件全部内容，文件需为PDF或JPG格式</w:t>
      </w:r>
      <w:r>
        <w:rPr>
          <w:rFonts w:hint="eastAsia"/>
          <w:color w:val="auto"/>
          <w:sz w:val="24"/>
          <w:szCs w:val="24"/>
        </w:rPr>
        <w:t>）；</w:t>
      </w:r>
    </w:p>
    <w:p>
      <w:pPr>
        <w:numPr>
          <w:ilvl w:val="0"/>
          <w:numId w:val="22"/>
        </w:numPr>
        <w:spacing w:line="360" w:lineRule="auto"/>
        <w:ind w:left="425" w:leftChars="0" w:hanging="425" w:firstLineChars="0"/>
        <w:rPr>
          <w:color w:val="auto"/>
          <w:sz w:val="24"/>
          <w:szCs w:val="24"/>
        </w:rPr>
      </w:pPr>
      <w:r>
        <w:rPr>
          <w:rFonts w:hint="eastAsia"/>
          <w:color w:val="auto"/>
          <w:sz w:val="24"/>
          <w:szCs w:val="24"/>
        </w:rPr>
        <w:t>其他技术文件（当招标文件有要求时须提供）。</w:t>
      </w:r>
    </w:p>
    <w:p>
      <w:pPr>
        <w:numPr>
          <w:ilvl w:val="1"/>
          <w:numId w:val="21"/>
        </w:numPr>
        <w:tabs>
          <w:tab w:val="left" w:pos="0"/>
          <w:tab w:val="left" w:pos="567"/>
          <w:tab w:val="left" w:pos="993"/>
          <w:tab w:val="left" w:pos="1134"/>
        </w:tabs>
        <w:snapToGrid w:val="0"/>
        <w:spacing w:before="240" w:line="500" w:lineRule="exact"/>
        <w:ind w:firstLine="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技术文件编制要求</w:t>
      </w:r>
    </w:p>
    <w:p>
      <w:pPr>
        <w:numPr>
          <w:ilvl w:val="0"/>
          <w:numId w:val="23"/>
        </w:numPr>
        <w:tabs>
          <w:tab w:val="left" w:pos="426"/>
        </w:tabs>
        <w:spacing w:line="500" w:lineRule="exact"/>
        <w:rPr>
          <w:rFonts w:ascii="宋体" w:hAnsi="宋体" w:cs="宋体"/>
          <w:bCs/>
          <w:color w:val="auto"/>
          <w:sz w:val="24"/>
          <w:szCs w:val="24"/>
          <w:highlight w:val="none"/>
          <w:lang w:val="zh-CN"/>
        </w:rPr>
      </w:pPr>
      <w:r>
        <w:rPr>
          <w:rFonts w:hint="eastAsia" w:ascii="宋体" w:hAnsi="宋体" w:cs="宋体"/>
          <w:color w:val="auto"/>
          <w:sz w:val="24"/>
          <w:highlight w:val="none"/>
        </w:rPr>
        <w:t>设计方案必须满足国家、省和市有关建设方针、政策、规范、规程同时满足技术标准、通行能力的要求，并考虑工程造价、经济效益和社会效益等综合因素。</w:t>
      </w:r>
    </w:p>
    <w:p>
      <w:pPr>
        <w:numPr>
          <w:ilvl w:val="0"/>
          <w:numId w:val="23"/>
        </w:numPr>
        <w:tabs>
          <w:tab w:val="left" w:pos="426"/>
        </w:tabs>
        <w:spacing w:line="500" w:lineRule="exact"/>
        <w:rPr>
          <w:rFonts w:ascii="宋体" w:hAnsi="宋体" w:cs="宋体"/>
          <w:color w:val="auto"/>
          <w:sz w:val="24"/>
          <w:highlight w:val="none"/>
        </w:rPr>
      </w:pPr>
      <w:r>
        <w:rPr>
          <w:rFonts w:hint="eastAsia" w:ascii="宋体" w:hAnsi="宋体" w:cs="宋体"/>
          <w:color w:val="auto"/>
          <w:sz w:val="24"/>
          <w:highlight w:val="none"/>
        </w:rPr>
        <w:t>设计方案应符合本项目可行性研究报告批复的有关强制性要求。</w:t>
      </w:r>
    </w:p>
    <w:p>
      <w:pPr>
        <w:numPr>
          <w:ilvl w:val="0"/>
          <w:numId w:val="23"/>
        </w:numPr>
        <w:tabs>
          <w:tab w:val="left" w:pos="426"/>
        </w:tabs>
        <w:spacing w:line="500" w:lineRule="exact"/>
        <w:rPr>
          <w:rFonts w:ascii="宋体" w:hAnsi="宋体" w:cs="宋体"/>
          <w:color w:val="auto"/>
          <w:sz w:val="24"/>
          <w:highlight w:val="none"/>
        </w:rPr>
      </w:pPr>
      <w:r>
        <w:rPr>
          <w:rFonts w:hint="eastAsia" w:ascii="宋体" w:hAnsi="宋体" w:cs="宋体"/>
          <w:color w:val="auto"/>
          <w:sz w:val="24"/>
          <w:highlight w:val="none"/>
        </w:rPr>
        <w:t>设计方案可以充分结合周边现状，尽量减少重复开挖、边坡处理生态自然。</w:t>
      </w:r>
    </w:p>
    <w:p>
      <w:pPr>
        <w:numPr>
          <w:ilvl w:val="0"/>
          <w:numId w:val="23"/>
        </w:numPr>
        <w:tabs>
          <w:tab w:val="left" w:pos="426"/>
        </w:tabs>
        <w:spacing w:line="500" w:lineRule="exact"/>
        <w:ind w:left="420" w:leftChars="0" w:hanging="420" w:firstLineChars="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工程总投资合理，节约工程总投资的措施及理由合理、可信、可行，投资估算编制依据正确，达到相应的深度要求，编制质量高。</w:t>
      </w:r>
    </w:p>
    <w:p>
      <w:pPr>
        <w:pStyle w:val="36"/>
        <w:numPr>
          <w:ilvl w:val="0"/>
          <w:numId w:val="0"/>
        </w:numPr>
        <w:ind w:leftChars="0"/>
        <w:rPr>
          <w:color w:val="auto"/>
        </w:rPr>
      </w:pPr>
    </w:p>
    <w:p>
      <w:pPr>
        <w:numPr>
          <w:ilvl w:val="0"/>
          <w:numId w:val="24"/>
        </w:numPr>
        <w:tabs>
          <w:tab w:val="left" w:pos="1800"/>
        </w:tabs>
        <w:spacing w:line="50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 xml:space="preserve"> 设计成果要求</w:t>
      </w:r>
    </w:p>
    <w:p>
      <w:pPr>
        <w:tabs>
          <w:tab w:val="left" w:pos="0"/>
          <w:tab w:val="left" w:pos="567"/>
          <w:tab w:val="left" w:pos="993"/>
          <w:tab w:val="left" w:pos="1134"/>
        </w:tabs>
        <w:snapToGrid w:val="0"/>
        <w:spacing w:line="500" w:lineRule="exact"/>
        <w:rPr>
          <w:rFonts w:ascii="宋体" w:hAnsi="宋体" w:cs="宋体"/>
          <w:b/>
          <w:bCs/>
          <w:color w:val="auto"/>
          <w:sz w:val="28"/>
          <w:szCs w:val="28"/>
          <w:highlight w:val="none"/>
          <w:lang w:val="zh-CN"/>
        </w:rPr>
      </w:pPr>
      <w:r>
        <w:rPr>
          <w:rFonts w:hint="eastAsia" w:ascii="宋体" w:hAnsi="宋体" w:cs="宋体"/>
          <w:b/>
          <w:color w:val="auto"/>
          <w:sz w:val="28"/>
          <w:szCs w:val="28"/>
          <w:highlight w:val="none"/>
        </w:rPr>
        <w:t>1.设计说明和设计图纸汇编缩印本编制要求</w:t>
      </w:r>
    </w:p>
    <w:p>
      <w:pPr>
        <w:tabs>
          <w:tab w:val="left" w:pos="0"/>
          <w:tab w:val="left" w:pos="567"/>
          <w:tab w:val="left" w:pos="993"/>
          <w:tab w:val="left" w:pos="1134"/>
        </w:tabs>
        <w:snapToGrid w:val="0"/>
        <w:spacing w:line="500" w:lineRule="exact"/>
        <w:rPr>
          <w:rFonts w:ascii="宋体" w:hAnsi="宋体" w:cs="宋体"/>
          <w:b/>
          <w:color w:val="auto"/>
          <w:sz w:val="24"/>
          <w:szCs w:val="24"/>
          <w:highlight w:val="none"/>
        </w:rPr>
      </w:pPr>
      <w:r>
        <w:rPr>
          <w:rFonts w:hint="eastAsia" w:ascii="宋体" w:hAnsi="宋体" w:cs="宋体"/>
          <w:b/>
          <w:color w:val="auto"/>
          <w:sz w:val="24"/>
          <w:szCs w:val="24"/>
          <w:highlight w:val="none"/>
        </w:rPr>
        <w:t>1.1设计说明</w:t>
      </w:r>
    </w:p>
    <w:p>
      <w:pPr>
        <w:spacing w:line="50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投标人的设计说明至少应包括以下内容：</w:t>
      </w:r>
      <w:r>
        <w:rPr>
          <w:rFonts w:hint="eastAsia" w:ascii="宋体" w:hAnsi="宋体" w:cs="宋体"/>
          <w:color w:val="auto"/>
          <w:sz w:val="24"/>
          <w:highlight w:val="none"/>
        </w:rPr>
        <w:t>工程概况、场地现状分析、设计构思、总体布局设计说明、给水排水设计说明、关键技术说明（含拟采用新材料、新设备、新工艺、新技术的说明）、技术经济指标、以及投标人完成设计所独有的有利条件及投标人提出的工程创新、保障设计工期、质量的主要措施、设计方案的主要优点、特点和推荐的主要理由、本设计方案的工程投资估算等。</w:t>
      </w:r>
    </w:p>
    <w:p>
      <w:pPr>
        <w:tabs>
          <w:tab w:val="left" w:pos="0"/>
          <w:tab w:val="left" w:pos="567"/>
          <w:tab w:val="left" w:pos="993"/>
          <w:tab w:val="left" w:pos="1134"/>
        </w:tabs>
        <w:snapToGrid w:val="0"/>
        <w:spacing w:line="500" w:lineRule="exact"/>
        <w:rPr>
          <w:rFonts w:ascii="宋体" w:hAnsi="宋体" w:cs="宋体"/>
          <w:bCs/>
          <w:color w:val="auto"/>
          <w:sz w:val="24"/>
          <w:szCs w:val="24"/>
          <w:highlight w:val="none"/>
        </w:rPr>
      </w:pPr>
      <w:r>
        <w:rPr>
          <w:rFonts w:hint="eastAsia" w:ascii="宋体" w:hAnsi="宋体" w:cs="宋体"/>
          <w:b/>
          <w:snapToGrid w:val="0"/>
          <w:color w:val="auto"/>
          <w:sz w:val="24"/>
          <w:szCs w:val="24"/>
          <w:highlight w:val="none"/>
          <w:lang w:val="en-US" w:eastAsia="zh-CN"/>
        </w:rPr>
        <w:t>1</w:t>
      </w:r>
      <w:r>
        <w:rPr>
          <w:rFonts w:hint="eastAsia" w:ascii="宋体" w:hAnsi="宋体" w:cs="宋体"/>
          <w:b/>
          <w:snapToGrid w:val="0"/>
          <w:color w:val="auto"/>
          <w:sz w:val="24"/>
          <w:szCs w:val="24"/>
          <w:highlight w:val="none"/>
        </w:rPr>
        <w:t>.2设计图纸</w:t>
      </w:r>
    </w:p>
    <w:p>
      <w:pPr>
        <w:tabs>
          <w:tab w:val="left" w:pos="0"/>
          <w:tab w:val="left" w:pos="567"/>
          <w:tab w:val="left" w:pos="993"/>
          <w:tab w:val="left" w:pos="1134"/>
        </w:tabs>
        <w:snapToGrid w:val="0"/>
        <w:spacing w:line="500" w:lineRule="exact"/>
        <w:ind w:firstLine="480" w:firstLineChars="200"/>
        <w:rPr>
          <w:rFonts w:hAnsi="宋体" w:cs="宋体"/>
          <w:color w:val="auto"/>
          <w:spacing w:val="-2"/>
          <w:sz w:val="24"/>
          <w:szCs w:val="24"/>
          <w:highlight w:val="none"/>
        </w:rPr>
      </w:pPr>
      <w:r>
        <w:rPr>
          <w:rFonts w:hint="eastAsia" w:ascii="宋体" w:hAnsi="宋体" w:cs="宋体"/>
          <w:snapToGrid w:val="0"/>
          <w:color w:val="auto"/>
          <w:sz w:val="24"/>
          <w:szCs w:val="24"/>
          <w:highlight w:val="none"/>
        </w:rPr>
        <w:t>投标人的设计图纸至少应包括以下内容：</w:t>
      </w:r>
      <w:r>
        <w:rPr>
          <w:rFonts w:hint="eastAsia" w:ascii="宋体" w:hAnsi="宋体" w:cs="宋体"/>
          <w:color w:val="auto"/>
          <w:sz w:val="24"/>
          <w:highlight w:val="none"/>
        </w:rPr>
        <w:t>包括总平面、平面图、纵断面图、横断面图等。</w:t>
      </w:r>
    </w:p>
    <w:p>
      <w:pPr>
        <w:spacing w:line="500" w:lineRule="exact"/>
        <w:rPr>
          <w:color w:val="auto"/>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color w:val="auto"/>
          <w:sz w:val="24"/>
          <w:highlight w:val="none"/>
        </w:rPr>
        <w:t xml:space="preserve">   全部设计成果及文本文件均应制作成计算机文件，提交</w:t>
      </w:r>
      <w:r>
        <w:rPr>
          <w:rFonts w:hint="eastAsia" w:ascii="宋体" w:hAnsi="宋体" w:cs="宋体"/>
          <w:color w:val="auto"/>
          <w:sz w:val="24"/>
          <w:highlight w:val="none"/>
          <w:lang w:eastAsia="zh-CN"/>
        </w:rPr>
        <w:t>电子</w:t>
      </w:r>
      <w:r>
        <w:rPr>
          <w:rFonts w:hint="eastAsia" w:ascii="宋体" w:hAnsi="宋体" w:cs="宋体"/>
          <w:color w:val="auto"/>
          <w:sz w:val="24"/>
          <w:highlight w:val="none"/>
          <w:lang w:val="en-US" w:eastAsia="zh-CN"/>
        </w:rPr>
        <w:t>U</w:t>
      </w:r>
      <w:r>
        <w:rPr>
          <w:rFonts w:hint="eastAsia" w:ascii="宋体" w:hAnsi="宋体" w:cs="宋体"/>
          <w:color w:val="auto"/>
          <w:sz w:val="24"/>
          <w:highlight w:val="none"/>
        </w:rPr>
        <w:t>盘</w:t>
      </w:r>
      <w:r>
        <w:rPr>
          <w:rFonts w:hint="eastAsia" w:ascii="宋体" w:hAnsi="宋体" w:cs="宋体"/>
          <w:color w:val="auto"/>
          <w:sz w:val="24"/>
          <w:highlight w:val="none"/>
          <w:lang w:eastAsia="zh-CN"/>
        </w:rPr>
        <w:t>或光盘</w:t>
      </w:r>
      <w:r>
        <w:rPr>
          <w:rFonts w:hint="eastAsia" w:ascii="宋体" w:hAnsi="宋体" w:cs="宋体"/>
          <w:color w:val="auto"/>
          <w:sz w:val="24"/>
          <w:highlight w:val="none"/>
        </w:rPr>
        <w:t>1</w:t>
      </w:r>
      <w:r>
        <w:rPr>
          <w:rFonts w:hint="eastAsia" w:ascii="宋体" w:hAnsi="宋体" w:cs="宋体"/>
          <w:color w:val="auto"/>
          <w:sz w:val="24"/>
          <w:highlight w:val="none"/>
          <w:lang w:eastAsia="zh-CN"/>
        </w:rPr>
        <w:t>份</w:t>
      </w:r>
      <w:r>
        <w:rPr>
          <w:rFonts w:hint="eastAsia" w:ascii="宋体" w:hAnsi="宋体" w:cs="宋体"/>
          <w:color w:val="auto"/>
          <w:sz w:val="24"/>
          <w:highlight w:val="none"/>
        </w:rPr>
        <w:t>。</w:t>
      </w:r>
    </w:p>
    <w:p>
      <w:pPr>
        <w:snapToGrid w:val="0"/>
        <w:spacing w:line="440" w:lineRule="exact"/>
        <w:rPr>
          <w:color w:val="auto"/>
          <w:highlight w:val="none"/>
        </w:rPr>
      </w:pPr>
    </w:p>
    <w:sectPr>
      <w:pgSz w:w="11906" w:h="16838"/>
      <w:pgMar w:top="1440" w:right="1080" w:bottom="1440" w:left="108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eastAsia="zh-CN"/>
      </w:rPr>
    </w:pPr>
    <w:r>
      <w:rPr>
        <w:rFonts w:hint="eastAsia"/>
        <w:sz w:val="22"/>
        <w:szCs w:val="22"/>
        <w:u w:val="single"/>
        <w:lang w:eastAsia="zh-CN"/>
      </w:rPr>
      <w:t>大埔县白云大桥停车场及周边道路附属设施建设工程(勘察、设计)</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b w:val="0"/>
        <w:bCs/>
        <w:sz w:val="22"/>
      </w:rPr>
    </w:pPr>
    <w:r>
      <w:rPr>
        <w:rFonts w:hint="eastAsia" w:ascii="宋体" w:hAnsi="宋体"/>
        <w:b w:val="0"/>
        <w:bCs/>
        <w:iCs/>
        <w:sz w:val="22"/>
        <w:szCs w:val="18"/>
        <w:lang w:eastAsia="zh-CN"/>
      </w:rPr>
      <w:t>大埔县白云大桥停车场及周边道路附属设施建设工程(勘察、设计)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08CF"/>
    <w:multiLevelType w:val="singleLevel"/>
    <w:tmpl w:val="8CE708CF"/>
    <w:lvl w:ilvl="0" w:tentative="0">
      <w:start w:val="1"/>
      <w:numFmt w:val="decimal"/>
      <w:lvlText w:val="%1."/>
      <w:lvlJc w:val="left"/>
      <w:pPr>
        <w:ind w:left="425" w:hanging="425"/>
      </w:pPr>
      <w:rPr>
        <w:rFonts w:hint="default"/>
      </w:rPr>
    </w:lvl>
  </w:abstractNum>
  <w:abstractNum w:abstractNumId="1">
    <w:nsid w:val="ACFDAACF"/>
    <w:multiLevelType w:val="singleLevel"/>
    <w:tmpl w:val="ACFDAACF"/>
    <w:lvl w:ilvl="0" w:tentative="0">
      <w:start w:val="1"/>
      <w:numFmt w:val="decimal"/>
      <w:suff w:val="nothing"/>
      <w:lvlText w:val="%1、"/>
      <w:lvlJc w:val="left"/>
    </w:lvl>
  </w:abstractNum>
  <w:abstractNum w:abstractNumId="2">
    <w:nsid w:val="AF492657"/>
    <w:multiLevelType w:val="singleLevel"/>
    <w:tmpl w:val="AF492657"/>
    <w:lvl w:ilvl="0" w:tentative="0">
      <w:start w:val="7"/>
      <w:numFmt w:val="decimal"/>
      <w:suff w:val="nothing"/>
      <w:lvlText w:val="%1、"/>
      <w:lvlJc w:val="left"/>
    </w:lvl>
  </w:abstractNum>
  <w:abstractNum w:abstractNumId="3">
    <w:nsid w:val="DC9FA70A"/>
    <w:multiLevelType w:val="singleLevel"/>
    <w:tmpl w:val="DC9FA70A"/>
    <w:lvl w:ilvl="0" w:tentative="0">
      <w:start w:val="1"/>
      <w:numFmt w:val="decimal"/>
      <w:suff w:val="nothing"/>
      <w:lvlText w:val="%1、"/>
      <w:lvlJc w:val="left"/>
    </w:lvl>
  </w:abstractNum>
  <w:abstractNum w:abstractNumId="4">
    <w:nsid w:val="F17956C5"/>
    <w:multiLevelType w:val="singleLevel"/>
    <w:tmpl w:val="F17956C5"/>
    <w:lvl w:ilvl="0" w:tentative="0">
      <w:start w:val="1"/>
      <w:numFmt w:val="chineseCounting"/>
      <w:suff w:val="nothing"/>
      <w:lvlText w:val="（%1）"/>
      <w:lvlJc w:val="left"/>
      <w:rPr>
        <w:rFonts w:hint="eastAsia"/>
      </w:rPr>
    </w:lvl>
  </w:abstractNum>
  <w:abstractNum w:abstractNumId="5">
    <w:nsid w:val="00000008"/>
    <w:multiLevelType w:val="multilevel"/>
    <w:tmpl w:val="00000008"/>
    <w:lvl w:ilvl="0" w:tentative="0">
      <w:start w:val="1"/>
      <w:numFmt w:val="decimal"/>
      <w:suff w:val="space"/>
      <w:lvlText w:val="第%1章"/>
      <w:lvlJc w:val="center"/>
      <w:pPr>
        <w:ind w:left="0" w:firstLine="624"/>
      </w:pPr>
      <w:rPr>
        <w:rFonts w:hint="eastAsia" w:eastAsia="宋体"/>
        <w:b/>
        <w:sz w:val="44"/>
      </w:rPr>
    </w:lvl>
    <w:lvl w:ilvl="1" w:tentative="0">
      <w:start w:val="1"/>
      <w:numFmt w:val="decimal"/>
      <w:pStyle w:val="4"/>
      <w:suff w:val="space"/>
      <w:lvlText w:val="第%2节"/>
      <w:lvlJc w:val="left"/>
      <w:pPr>
        <w:ind w:left="0" w:firstLine="624"/>
      </w:pPr>
      <w:rPr>
        <w:rFonts w:hint="eastAsia" w:eastAsia="宋体"/>
        <w:b/>
        <w:sz w:val="32"/>
        <w:lang w:val="en-US"/>
      </w:rPr>
    </w:lvl>
    <w:lvl w:ilvl="2" w:tentative="0">
      <w:start w:val="1"/>
      <w:numFmt w:val="chineseCountingThousand"/>
      <w:suff w:val="space"/>
      <w:lvlText w:val="（%3）"/>
      <w:lvlJc w:val="left"/>
      <w:pPr>
        <w:ind w:left="0" w:firstLine="510"/>
      </w:pPr>
      <w:rPr>
        <w:rFonts w:hint="eastAsia" w:eastAsia="宋体"/>
        <w:b/>
        <w:sz w:val="28"/>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4"/>
    <w:multiLevelType w:val="multilevel"/>
    <w:tmpl w:val="00000014"/>
    <w:lvl w:ilvl="0" w:tentative="0">
      <w:start w:val="1"/>
      <w:numFmt w:val="chineseCountingThousand"/>
      <w:lvlText w:val="%1."/>
      <w:lvlJc w:val="left"/>
      <w:pPr>
        <w:tabs>
          <w:tab w:val="left" w:pos="0"/>
        </w:tabs>
        <w:ind w:left="0" w:firstLine="0"/>
      </w:pPr>
      <w:rPr>
        <w:rFonts w:hint="eastAsia"/>
        <w:b/>
        <w:i w:val="0"/>
        <w:sz w:val="32"/>
      </w:rPr>
    </w:lvl>
    <w:lvl w:ilvl="1" w:tentative="0">
      <w:start w:val="1"/>
      <w:numFmt w:val="decimal"/>
      <w:lvlText w:val="%2."/>
      <w:lvlJc w:val="left"/>
      <w:pPr>
        <w:tabs>
          <w:tab w:val="left" w:pos="510"/>
        </w:tabs>
        <w:ind w:left="0" w:firstLine="510"/>
      </w:pPr>
      <w:rPr>
        <w:rFonts w:hint="eastAsia" w:ascii="宋体" w:hAnsi="宋体" w:eastAsia="宋体"/>
        <w:b/>
        <w:sz w:val="28"/>
      </w:rPr>
    </w:lvl>
    <w:lvl w:ilvl="2" w:tentative="0">
      <w:start w:val="1"/>
      <w:numFmt w:val="decimal"/>
      <w:lvlText w:val="%2.%3."/>
      <w:lvlJc w:val="left"/>
      <w:pPr>
        <w:tabs>
          <w:tab w:val="left" w:pos="510"/>
        </w:tabs>
        <w:ind w:left="0" w:firstLine="510"/>
      </w:pPr>
      <w:rPr>
        <w:rFonts w:hint="eastAsia" w:ascii="宋体" w:hAnsi="宋体" w:eastAsia="宋体"/>
        <w:b w:val="0"/>
        <w:i w:val="0"/>
        <w:sz w:val="24"/>
      </w:rPr>
    </w:lvl>
    <w:lvl w:ilvl="3" w:tentative="0">
      <w:start w:val="1"/>
      <w:numFmt w:val="decimal"/>
      <w:lvlRestart w:val="0"/>
      <w:lvlText w:val="%2.%3.%4"/>
      <w:lvlJc w:val="left"/>
      <w:pPr>
        <w:tabs>
          <w:tab w:val="left" w:pos="510"/>
        </w:tabs>
        <w:ind w:left="0" w:firstLine="510"/>
      </w:pPr>
      <w:rPr>
        <w:rFonts w:hint="eastAsia" w:ascii="宋体" w:hAnsi="宋体" w:eastAsia="宋体"/>
        <w:b w:val="0"/>
        <w:sz w:val="24"/>
      </w:rPr>
    </w:lvl>
    <w:lvl w:ilvl="4" w:tentative="0">
      <w:start w:val="1"/>
      <w:numFmt w:val="decimal"/>
      <w:lvlText w:val="（%5）"/>
      <w:lvlJc w:val="left"/>
      <w:pPr>
        <w:tabs>
          <w:tab w:val="left" w:pos="510"/>
        </w:tabs>
        <w:ind w:left="0" w:firstLine="510"/>
      </w:pPr>
      <w:rPr>
        <w:rFonts w:hint="eastAsia"/>
        <w:b w:val="0"/>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9080C0B"/>
    <w:multiLevelType w:val="singleLevel"/>
    <w:tmpl w:val="09080C0B"/>
    <w:lvl w:ilvl="0" w:tentative="0">
      <w:start w:val="2"/>
      <w:numFmt w:val="decimal"/>
      <w:suff w:val="nothing"/>
      <w:lvlText w:val="（%1）"/>
      <w:lvlJc w:val="left"/>
    </w:lvl>
  </w:abstractNum>
  <w:abstractNum w:abstractNumId="8">
    <w:nsid w:val="0C566D08"/>
    <w:multiLevelType w:val="multilevel"/>
    <w:tmpl w:val="0C566D0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F462EA1"/>
    <w:multiLevelType w:val="multilevel"/>
    <w:tmpl w:val="0F462EA1"/>
    <w:lvl w:ilvl="0" w:tentative="0">
      <w:start w:val="1"/>
      <w:numFmt w:val="chineseCountingThousand"/>
      <w:lvlText w:val="%1."/>
      <w:lvlJc w:val="left"/>
      <w:pPr>
        <w:tabs>
          <w:tab w:val="left" w:pos="0"/>
        </w:tabs>
        <w:ind w:left="0" w:firstLine="0"/>
      </w:pPr>
      <w:rPr>
        <w:rFonts w:hint="eastAsia"/>
        <w:b/>
        <w:i w:val="0"/>
        <w:sz w:val="32"/>
      </w:rPr>
    </w:lvl>
    <w:lvl w:ilvl="1" w:tentative="0">
      <w:start w:val="1"/>
      <w:numFmt w:val="decimal"/>
      <w:lvlText w:val="%2."/>
      <w:lvlJc w:val="left"/>
      <w:pPr>
        <w:tabs>
          <w:tab w:val="left" w:pos="510"/>
        </w:tabs>
        <w:ind w:left="0" w:firstLine="510"/>
      </w:pPr>
      <w:rPr>
        <w:rFonts w:hint="eastAsia" w:ascii="宋体" w:hAnsi="宋体" w:eastAsia="宋体"/>
        <w:b/>
        <w:sz w:val="28"/>
      </w:rPr>
    </w:lvl>
    <w:lvl w:ilvl="2" w:tentative="0">
      <w:start w:val="1"/>
      <w:numFmt w:val="decimal"/>
      <w:lvlText w:val="%2.%3."/>
      <w:lvlJc w:val="left"/>
      <w:pPr>
        <w:tabs>
          <w:tab w:val="left" w:pos="510"/>
        </w:tabs>
        <w:ind w:left="0" w:firstLine="510"/>
      </w:pPr>
      <w:rPr>
        <w:rFonts w:hint="eastAsia" w:ascii="宋体" w:hAnsi="宋体" w:eastAsia="宋体"/>
        <w:b w:val="0"/>
        <w:i w:val="0"/>
        <w:sz w:val="24"/>
      </w:rPr>
    </w:lvl>
    <w:lvl w:ilvl="3" w:tentative="0">
      <w:start w:val="1"/>
      <w:numFmt w:val="decimal"/>
      <w:lvlText w:val="（%4）"/>
      <w:lvlJc w:val="left"/>
      <w:pPr>
        <w:tabs>
          <w:tab w:val="left" w:pos="510"/>
        </w:tabs>
        <w:ind w:left="0" w:firstLine="510"/>
      </w:pPr>
      <w:rPr>
        <w:rFonts w:ascii="宋体" w:hAnsi="宋体" w:eastAsia="宋体" w:cs="Times New Roman"/>
        <w:b w:val="0"/>
        <w:sz w:val="24"/>
      </w:rPr>
    </w:lvl>
    <w:lvl w:ilvl="4" w:tentative="0">
      <w:start w:val="1"/>
      <w:numFmt w:val="decimal"/>
      <w:lvlText w:val="（%5）"/>
      <w:lvlJc w:val="left"/>
      <w:pPr>
        <w:tabs>
          <w:tab w:val="left" w:pos="510"/>
        </w:tabs>
        <w:ind w:left="0" w:firstLine="51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1C7C01D6"/>
    <w:multiLevelType w:val="multilevel"/>
    <w:tmpl w:val="1C7C01D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80FB864"/>
    <w:multiLevelType w:val="singleLevel"/>
    <w:tmpl w:val="280FB864"/>
    <w:lvl w:ilvl="0" w:tentative="0">
      <w:start w:val="1"/>
      <w:numFmt w:val="decimal"/>
      <w:suff w:val="nothing"/>
      <w:lvlText w:val="%1、"/>
      <w:lvlJc w:val="left"/>
    </w:lvl>
  </w:abstractNum>
  <w:abstractNum w:abstractNumId="12">
    <w:nsid w:val="3A5476C5"/>
    <w:multiLevelType w:val="multilevel"/>
    <w:tmpl w:val="3A5476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EA07E28"/>
    <w:multiLevelType w:val="multilevel"/>
    <w:tmpl w:val="3EA07E28"/>
    <w:lvl w:ilvl="0" w:tentative="0">
      <w:start w:val="3"/>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40C621AF"/>
    <w:multiLevelType w:val="multilevel"/>
    <w:tmpl w:val="40C621AF"/>
    <w:lvl w:ilvl="0" w:tentative="0">
      <w:start w:val="1"/>
      <w:numFmt w:val="chineseCountingThousand"/>
      <w:lvlText w:val="%1."/>
      <w:lvlJc w:val="left"/>
      <w:pPr>
        <w:tabs>
          <w:tab w:val="left" w:pos="397"/>
        </w:tabs>
        <w:ind w:left="0" w:firstLine="510"/>
      </w:pPr>
      <w:rPr>
        <w:rFonts w:hint="eastAsia"/>
        <w:b/>
        <w:sz w:val="28"/>
        <w:szCs w:val="28"/>
      </w:rPr>
    </w:lvl>
    <w:lvl w:ilvl="1" w:tentative="0">
      <w:start w:val="1"/>
      <w:numFmt w:val="chineseCountingThousand"/>
      <w:lvlText w:val="（%2）"/>
      <w:lvlJc w:val="left"/>
      <w:pPr>
        <w:tabs>
          <w:tab w:val="left" w:pos="397"/>
        </w:tabs>
        <w:ind w:left="0" w:firstLine="397"/>
      </w:pPr>
      <w:rPr>
        <w:rFonts w:hint="eastAsia"/>
        <w:b/>
        <w:sz w:val="28"/>
        <w:szCs w:val="28"/>
        <w:lang w:val="en-US"/>
      </w:rPr>
    </w:lvl>
    <w:lvl w:ilvl="2" w:tentative="0">
      <w:start w:val="1"/>
      <w:numFmt w:val="decimal"/>
      <w:lvlText w:val="%3."/>
      <w:lvlJc w:val="left"/>
      <w:pPr>
        <w:tabs>
          <w:tab w:val="left" w:pos="427"/>
        </w:tabs>
        <w:ind w:left="30" w:firstLine="510"/>
      </w:pPr>
      <w:rPr>
        <w:rFonts w:hint="eastAsia" w:ascii="宋体" w:hAnsi="宋体" w:eastAsia="宋体"/>
        <w:b/>
      </w:rPr>
    </w:lvl>
    <w:lvl w:ilvl="3" w:tentative="0">
      <w:start w:val="1"/>
      <w:numFmt w:val="decimal"/>
      <w:lvlText w:val="%3.%4"/>
      <w:lvlJc w:val="left"/>
      <w:pPr>
        <w:tabs>
          <w:tab w:val="left" w:pos="510"/>
        </w:tabs>
        <w:ind w:left="0" w:firstLine="510"/>
      </w:pPr>
      <w:rPr>
        <w:rFonts w:hint="eastAsia"/>
        <w:b/>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5">
    <w:nsid w:val="50A340B7"/>
    <w:multiLevelType w:val="singleLevel"/>
    <w:tmpl w:val="50A340B7"/>
    <w:lvl w:ilvl="0" w:tentative="0">
      <w:start w:val="6"/>
      <w:numFmt w:val="chineseCounting"/>
      <w:suff w:val="nothing"/>
      <w:lvlText w:val="（%1）"/>
      <w:lvlJc w:val="left"/>
      <w:rPr>
        <w:rFonts w:hint="eastAsia"/>
      </w:rPr>
    </w:lvl>
  </w:abstractNum>
  <w:abstractNum w:abstractNumId="16">
    <w:nsid w:val="520E3086"/>
    <w:multiLevelType w:val="multilevel"/>
    <w:tmpl w:val="520E308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A38644"/>
    <w:multiLevelType w:val="singleLevel"/>
    <w:tmpl w:val="55A38644"/>
    <w:lvl w:ilvl="0" w:tentative="0">
      <w:start w:val="2"/>
      <w:numFmt w:val="chineseCounting"/>
      <w:suff w:val="nothing"/>
      <w:lvlText w:val="%1、"/>
      <w:lvlJc w:val="left"/>
    </w:lvl>
  </w:abstractNum>
  <w:abstractNum w:abstractNumId="18">
    <w:nsid w:val="55E91EBE"/>
    <w:multiLevelType w:val="multilevel"/>
    <w:tmpl w:val="55E91EB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68A37D5"/>
    <w:multiLevelType w:val="singleLevel"/>
    <w:tmpl w:val="568A37D5"/>
    <w:lvl w:ilvl="0" w:tentative="0">
      <w:start w:val="2"/>
      <w:numFmt w:val="decimal"/>
      <w:suff w:val="nothing"/>
      <w:lvlText w:val="%1."/>
      <w:lvlJc w:val="left"/>
    </w:lvl>
  </w:abstractNum>
  <w:abstractNum w:abstractNumId="20">
    <w:nsid w:val="568A37E1"/>
    <w:multiLevelType w:val="singleLevel"/>
    <w:tmpl w:val="568A37E1"/>
    <w:lvl w:ilvl="0" w:tentative="0">
      <w:start w:val="3"/>
      <w:numFmt w:val="decimal"/>
      <w:suff w:val="nothing"/>
      <w:lvlText w:val="%1."/>
      <w:lvlJc w:val="left"/>
    </w:lvl>
  </w:abstractNum>
  <w:abstractNum w:abstractNumId="21">
    <w:nsid w:val="568A3A0C"/>
    <w:multiLevelType w:val="singleLevel"/>
    <w:tmpl w:val="568A3A0C"/>
    <w:lvl w:ilvl="0" w:tentative="0">
      <w:start w:val="3"/>
      <w:numFmt w:val="chineseCounting"/>
      <w:suff w:val="nothing"/>
      <w:lvlText w:val="（%1）"/>
      <w:lvlJc w:val="left"/>
    </w:lvl>
  </w:abstractNum>
  <w:abstractNum w:abstractNumId="22">
    <w:nsid w:val="5966CCFF"/>
    <w:multiLevelType w:val="singleLevel"/>
    <w:tmpl w:val="5966CCFF"/>
    <w:lvl w:ilvl="0" w:tentative="0">
      <w:start w:val="1"/>
      <w:numFmt w:val="chineseCounting"/>
      <w:suff w:val="space"/>
      <w:lvlText w:val="第%1章"/>
      <w:lvlJc w:val="left"/>
    </w:lvl>
  </w:abstractNum>
  <w:abstractNum w:abstractNumId="23">
    <w:nsid w:val="59705FFE"/>
    <w:multiLevelType w:val="singleLevel"/>
    <w:tmpl w:val="59705FFE"/>
    <w:lvl w:ilvl="0" w:tentative="0">
      <w:start w:val="2"/>
      <w:numFmt w:val="chineseCounting"/>
      <w:suff w:val="nothing"/>
      <w:lvlText w:val="（%1）"/>
      <w:lvlJc w:val="left"/>
    </w:lvl>
  </w:abstractNum>
  <w:num w:numId="1">
    <w:abstractNumId w:val="5"/>
  </w:num>
  <w:num w:numId="2">
    <w:abstractNumId w:val="22"/>
  </w:num>
  <w:num w:numId="3">
    <w:abstractNumId w:val="13"/>
  </w:num>
  <w:num w:numId="4">
    <w:abstractNumId w:val="7"/>
  </w:num>
  <w:num w:numId="5">
    <w:abstractNumId w:val="2"/>
  </w:num>
  <w:num w:numId="6">
    <w:abstractNumId w:val="10"/>
  </w:num>
  <w:num w:numId="7">
    <w:abstractNumId w:val="8"/>
  </w:num>
  <w:num w:numId="8">
    <w:abstractNumId w:val="18"/>
  </w:num>
  <w:num w:numId="9">
    <w:abstractNumId w:val="9"/>
  </w:num>
  <w:num w:numId="10">
    <w:abstractNumId w:val="6"/>
  </w:num>
  <w:num w:numId="11">
    <w:abstractNumId w:val="4"/>
  </w:num>
  <w:num w:numId="12">
    <w:abstractNumId w:val="3"/>
  </w:num>
  <w:num w:numId="13">
    <w:abstractNumId w:val="11"/>
  </w:num>
  <w:num w:numId="14">
    <w:abstractNumId w:val="1"/>
  </w:num>
  <w:num w:numId="15">
    <w:abstractNumId w:val="23"/>
  </w:num>
  <w:num w:numId="16">
    <w:abstractNumId w:val="17"/>
  </w:num>
  <w:num w:numId="17">
    <w:abstractNumId w:val="15"/>
  </w:num>
  <w:num w:numId="18">
    <w:abstractNumId w:val="19"/>
  </w:num>
  <w:num w:numId="19">
    <w:abstractNumId w:val="20"/>
  </w:num>
  <w:num w:numId="20">
    <w:abstractNumId w:val="16"/>
  </w:num>
  <w:num w:numId="21">
    <w:abstractNumId w:val="14"/>
  </w:num>
  <w:num w:numId="22">
    <w:abstractNumId w:val="0"/>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8F"/>
    <w:rsid w:val="00016D03"/>
    <w:rsid w:val="00030092"/>
    <w:rsid w:val="00030EB5"/>
    <w:rsid w:val="00032F7E"/>
    <w:rsid w:val="00035086"/>
    <w:rsid w:val="000417B7"/>
    <w:rsid w:val="00082892"/>
    <w:rsid w:val="00086A14"/>
    <w:rsid w:val="000A3A8F"/>
    <w:rsid w:val="000A597D"/>
    <w:rsid w:val="000F1EF0"/>
    <w:rsid w:val="00100DA9"/>
    <w:rsid w:val="00127958"/>
    <w:rsid w:val="0013300B"/>
    <w:rsid w:val="001566B7"/>
    <w:rsid w:val="00157CDB"/>
    <w:rsid w:val="00172222"/>
    <w:rsid w:val="001862D2"/>
    <w:rsid w:val="001B5F7C"/>
    <w:rsid w:val="001D68B3"/>
    <w:rsid w:val="001D73DE"/>
    <w:rsid w:val="002071CF"/>
    <w:rsid w:val="00213F86"/>
    <w:rsid w:val="002157DB"/>
    <w:rsid w:val="002379AE"/>
    <w:rsid w:val="00243E0F"/>
    <w:rsid w:val="00253BA6"/>
    <w:rsid w:val="00254327"/>
    <w:rsid w:val="002804DE"/>
    <w:rsid w:val="0029607C"/>
    <w:rsid w:val="002E702A"/>
    <w:rsid w:val="00324D09"/>
    <w:rsid w:val="00350121"/>
    <w:rsid w:val="00365E67"/>
    <w:rsid w:val="0037196F"/>
    <w:rsid w:val="00372DE7"/>
    <w:rsid w:val="00381BEE"/>
    <w:rsid w:val="00383759"/>
    <w:rsid w:val="00391122"/>
    <w:rsid w:val="00394A28"/>
    <w:rsid w:val="003A15E1"/>
    <w:rsid w:val="003A38BF"/>
    <w:rsid w:val="003D24CC"/>
    <w:rsid w:val="003D2DE6"/>
    <w:rsid w:val="003F1ABB"/>
    <w:rsid w:val="003F47F0"/>
    <w:rsid w:val="00412FAF"/>
    <w:rsid w:val="00415656"/>
    <w:rsid w:val="00430042"/>
    <w:rsid w:val="0043279F"/>
    <w:rsid w:val="0046795A"/>
    <w:rsid w:val="004941D8"/>
    <w:rsid w:val="004B68C5"/>
    <w:rsid w:val="004B7015"/>
    <w:rsid w:val="00511497"/>
    <w:rsid w:val="00526D5E"/>
    <w:rsid w:val="005749F5"/>
    <w:rsid w:val="005754F8"/>
    <w:rsid w:val="005767EE"/>
    <w:rsid w:val="00590B72"/>
    <w:rsid w:val="005A4B23"/>
    <w:rsid w:val="005B49F3"/>
    <w:rsid w:val="00610D7D"/>
    <w:rsid w:val="0061328F"/>
    <w:rsid w:val="006262AB"/>
    <w:rsid w:val="00631051"/>
    <w:rsid w:val="0064148D"/>
    <w:rsid w:val="0068501F"/>
    <w:rsid w:val="006A013C"/>
    <w:rsid w:val="006A2C0A"/>
    <w:rsid w:val="006A3EFC"/>
    <w:rsid w:val="006B551B"/>
    <w:rsid w:val="006B76EB"/>
    <w:rsid w:val="006C4B00"/>
    <w:rsid w:val="006E762E"/>
    <w:rsid w:val="006F75BA"/>
    <w:rsid w:val="00712E44"/>
    <w:rsid w:val="00713807"/>
    <w:rsid w:val="00715263"/>
    <w:rsid w:val="007276B2"/>
    <w:rsid w:val="00735E21"/>
    <w:rsid w:val="0073700C"/>
    <w:rsid w:val="0074392D"/>
    <w:rsid w:val="007454B6"/>
    <w:rsid w:val="0075704E"/>
    <w:rsid w:val="00761563"/>
    <w:rsid w:val="007730D9"/>
    <w:rsid w:val="00774F99"/>
    <w:rsid w:val="00793C26"/>
    <w:rsid w:val="007B0ECD"/>
    <w:rsid w:val="007B563C"/>
    <w:rsid w:val="007D7B20"/>
    <w:rsid w:val="007E0E98"/>
    <w:rsid w:val="007F07CC"/>
    <w:rsid w:val="00821653"/>
    <w:rsid w:val="00835FA3"/>
    <w:rsid w:val="00840473"/>
    <w:rsid w:val="00857C44"/>
    <w:rsid w:val="0086539C"/>
    <w:rsid w:val="008750A8"/>
    <w:rsid w:val="0088394F"/>
    <w:rsid w:val="008E1F37"/>
    <w:rsid w:val="008F3033"/>
    <w:rsid w:val="008F6BCE"/>
    <w:rsid w:val="00904F0F"/>
    <w:rsid w:val="0091271B"/>
    <w:rsid w:val="0092363B"/>
    <w:rsid w:val="00930343"/>
    <w:rsid w:val="009370F9"/>
    <w:rsid w:val="00957A98"/>
    <w:rsid w:val="00986980"/>
    <w:rsid w:val="009A3FF9"/>
    <w:rsid w:val="009D2725"/>
    <w:rsid w:val="009E4857"/>
    <w:rsid w:val="009E4B9D"/>
    <w:rsid w:val="009E5F4A"/>
    <w:rsid w:val="00A00F59"/>
    <w:rsid w:val="00A20B39"/>
    <w:rsid w:val="00A423F3"/>
    <w:rsid w:val="00A5763F"/>
    <w:rsid w:val="00A75975"/>
    <w:rsid w:val="00A87A2F"/>
    <w:rsid w:val="00AB0889"/>
    <w:rsid w:val="00AD2FAB"/>
    <w:rsid w:val="00AD7534"/>
    <w:rsid w:val="00AE2902"/>
    <w:rsid w:val="00AE2B79"/>
    <w:rsid w:val="00AF3EAC"/>
    <w:rsid w:val="00AF51D3"/>
    <w:rsid w:val="00B01E1F"/>
    <w:rsid w:val="00B0302F"/>
    <w:rsid w:val="00B13984"/>
    <w:rsid w:val="00B518CE"/>
    <w:rsid w:val="00B65708"/>
    <w:rsid w:val="00B7283B"/>
    <w:rsid w:val="00B85DAF"/>
    <w:rsid w:val="00B949E8"/>
    <w:rsid w:val="00BA0625"/>
    <w:rsid w:val="00BB5422"/>
    <w:rsid w:val="00BC3D76"/>
    <w:rsid w:val="00BD77F4"/>
    <w:rsid w:val="00BE0AEB"/>
    <w:rsid w:val="00BE234E"/>
    <w:rsid w:val="00C101BB"/>
    <w:rsid w:val="00C1247C"/>
    <w:rsid w:val="00C260DB"/>
    <w:rsid w:val="00C3791F"/>
    <w:rsid w:val="00C644B1"/>
    <w:rsid w:val="00C813C9"/>
    <w:rsid w:val="00CB2928"/>
    <w:rsid w:val="00CC2093"/>
    <w:rsid w:val="00D20601"/>
    <w:rsid w:val="00D22380"/>
    <w:rsid w:val="00D30AB7"/>
    <w:rsid w:val="00D71C42"/>
    <w:rsid w:val="00D731B5"/>
    <w:rsid w:val="00D817D7"/>
    <w:rsid w:val="00D90BFD"/>
    <w:rsid w:val="00DA375F"/>
    <w:rsid w:val="00DB61A8"/>
    <w:rsid w:val="00DB69AE"/>
    <w:rsid w:val="00DC286A"/>
    <w:rsid w:val="00E00931"/>
    <w:rsid w:val="00E0600F"/>
    <w:rsid w:val="00E17F3E"/>
    <w:rsid w:val="00E414FA"/>
    <w:rsid w:val="00E6140F"/>
    <w:rsid w:val="00E73B32"/>
    <w:rsid w:val="00E8193F"/>
    <w:rsid w:val="00EA0519"/>
    <w:rsid w:val="00EA7471"/>
    <w:rsid w:val="00EB3B05"/>
    <w:rsid w:val="00EC4C2F"/>
    <w:rsid w:val="00EE59AD"/>
    <w:rsid w:val="00EE7C97"/>
    <w:rsid w:val="00EF61F6"/>
    <w:rsid w:val="00F16DA7"/>
    <w:rsid w:val="00F22E3B"/>
    <w:rsid w:val="00F239ED"/>
    <w:rsid w:val="00F247AE"/>
    <w:rsid w:val="00F3134C"/>
    <w:rsid w:val="00F31B7F"/>
    <w:rsid w:val="00F54B5D"/>
    <w:rsid w:val="00F55484"/>
    <w:rsid w:val="00F56D3F"/>
    <w:rsid w:val="00F572C8"/>
    <w:rsid w:val="00FA3C9B"/>
    <w:rsid w:val="00FC6ABE"/>
    <w:rsid w:val="00FC72D7"/>
    <w:rsid w:val="00FD1E96"/>
    <w:rsid w:val="00FF36C9"/>
    <w:rsid w:val="01345152"/>
    <w:rsid w:val="013D142C"/>
    <w:rsid w:val="01733675"/>
    <w:rsid w:val="01894C2E"/>
    <w:rsid w:val="01AE6CAC"/>
    <w:rsid w:val="01BF64C6"/>
    <w:rsid w:val="01C050BC"/>
    <w:rsid w:val="01F21ACF"/>
    <w:rsid w:val="020055E5"/>
    <w:rsid w:val="0212244C"/>
    <w:rsid w:val="023600E6"/>
    <w:rsid w:val="024A083A"/>
    <w:rsid w:val="0298739E"/>
    <w:rsid w:val="02CB6893"/>
    <w:rsid w:val="03A40DF0"/>
    <w:rsid w:val="03C94369"/>
    <w:rsid w:val="04B10325"/>
    <w:rsid w:val="05746CB5"/>
    <w:rsid w:val="05F43269"/>
    <w:rsid w:val="06335083"/>
    <w:rsid w:val="063B70CA"/>
    <w:rsid w:val="064F4B8C"/>
    <w:rsid w:val="06866968"/>
    <w:rsid w:val="078F7669"/>
    <w:rsid w:val="08025EE8"/>
    <w:rsid w:val="083D7015"/>
    <w:rsid w:val="085944B5"/>
    <w:rsid w:val="088502AF"/>
    <w:rsid w:val="08880F88"/>
    <w:rsid w:val="09692E5B"/>
    <w:rsid w:val="096F0BA3"/>
    <w:rsid w:val="097D2D78"/>
    <w:rsid w:val="09822210"/>
    <w:rsid w:val="09AE1DBC"/>
    <w:rsid w:val="09FE40F2"/>
    <w:rsid w:val="0A140850"/>
    <w:rsid w:val="0A1D069C"/>
    <w:rsid w:val="0A255438"/>
    <w:rsid w:val="0A756C54"/>
    <w:rsid w:val="0AC9609A"/>
    <w:rsid w:val="0B713A86"/>
    <w:rsid w:val="0BAB5D37"/>
    <w:rsid w:val="0BE109F1"/>
    <w:rsid w:val="0BF9582F"/>
    <w:rsid w:val="0C515875"/>
    <w:rsid w:val="0CB362CE"/>
    <w:rsid w:val="0CB63C50"/>
    <w:rsid w:val="0CF90120"/>
    <w:rsid w:val="0D461258"/>
    <w:rsid w:val="0D584D84"/>
    <w:rsid w:val="0DA402E2"/>
    <w:rsid w:val="0DAA03F5"/>
    <w:rsid w:val="0DD47401"/>
    <w:rsid w:val="0DDC5BA0"/>
    <w:rsid w:val="0DE5623F"/>
    <w:rsid w:val="0DED63A4"/>
    <w:rsid w:val="0DF178B9"/>
    <w:rsid w:val="0E5118F2"/>
    <w:rsid w:val="0EF15A64"/>
    <w:rsid w:val="0F0844D4"/>
    <w:rsid w:val="0F1F76FF"/>
    <w:rsid w:val="0F717D53"/>
    <w:rsid w:val="0F7B1FDB"/>
    <w:rsid w:val="103F2148"/>
    <w:rsid w:val="106D0509"/>
    <w:rsid w:val="1096342F"/>
    <w:rsid w:val="10FC223B"/>
    <w:rsid w:val="114E4FF5"/>
    <w:rsid w:val="12414B7B"/>
    <w:rsid w:val="125A01E8"/>
    <w:rsid w:val="12DB3CB8"/>
    <w:rsid w:val="13096D9E"/>
    <w:rsid w:val="13483D00"/>
    <w:rsid w:val="140D2E34"/>
    <w:rsid w:val="142274A2"/>
    <w:rsid w:val="14460444"/>
    <w:rsid w:val="14A41209"/>
    <w:rsid w:val="14CB2EDC"/>
    <w:rsid w:val="14D31C79"/>
    <w:rsid w:val="15140116"/>
    <w:rsid w:val="156F11E7"/>
    <w:rsid w:val="16110B47"/>
    <w:rsid w:val="16297223"/>
    <w:rsid w:val="166A074A"/>
    <w:rsid w:val="17442461"/>
    <w:rsid w:val="174A47DE"/>
    <w:rsid w:val="176B6C4C"/>
    <w:rsid w:val="17BC11AC"/>
    <w:rsid w:val="18495739"/>
    <w:rsid w:val="188C7A05"/>
    <w:rsid w:val="18A654C8"/>
    <w:rsid w:val="192E1910"/>
    <w:rsid w:val="19345F7D"/>
    <w:rsid w:val="195673A7"/>
    <w:rsid w:val="19C834AA"/>
    <w:rsid w:val="19D45CAB"/>
    <w:rsid w:val="1AB60AB7"/>
    <w:rsid w:val="1B18274A"/>
    <w:rsid w:val="1B261D29"/>
    <w:rsid w:val="1B455D8B"/>
    <w:rsid w:val="1B646781"/>
    <w:rsid w:val="1C154E27"/>
    <w:rsid w:val="1C247D55"/>
    <w:rsid w:val="1CAE1D0C"/>
    <w:rsid w:val="1CC901F7"/>
    <w:rsid w:val="1CCB2A98"/>
    <w:rsid w:val="1CEC0234"/>
    <w:rsid w:val="1D247134"/>
    <w:rsid w:val="1D7C6699"/>
    <w:rsid w:val="1D99748B"/>
    <w:rsid w:val="1DD4067B"/>
    <w:rsid w:val="1DEC0914"/>
    <w:rsid w:val="1E3701B6"/>
    <w:rsid w:val="1ED86FEF"/>
    <w:rsid w:val="1EE91C90"/>
    <w:rsid w:val="1F642D10"/>
    <w:rsid w:val="1FCA7095"/>
    <w:rsid w:val="1FFC0374"/>
    <w:rsid w:val="1FFC18F4"/>
    <w:rsid w:val="2081339A"/>
    <w:rsid w:val="20902D2C"/>
    <w:rsid w:val="210D40E2"/>
    <w:rsid w:val="22050F08"/>
    <w:rsid w:val="22D25B4D"/>
    <w:rsid w:val="233F0D58"/>
    <w:rsid w:val="235E3555"/>
    <w:rsid w:val="238846EA"/>
    <w:rsid w:val="23F54D43"/>
    <w:rsid w:val="24490CCD"/>
    <w:rsid w:val="24547366"/>
    <w:rsid w:val="24D72C8D"/>
    <w:rsid w:val="24E56912"/>
    <w:rsid w:val="25381C6C"/>
    <w:rsid w:val="25402F80"/>
    <w:rsid w:val="25766EDE"/>
    <w:rsid w:val="25D41F40"/>
    <w:rsid w:val="26B50836"/>
    <w:rsid w:val="26D14553"/>
    <w:rsid w:val="26DC2649"/>
    <w:rsid w:val="26F5689B"/>
    <w:rsid w:val="27070B61"/>
    <w:rsid w:val="271B2615"/>
    <w:rsid w:val="274D553B"/>
    <w:rsid w:val="274F617F"/>
    <w:rsid w:val="27FE0A09"/>
    <w:rsid w:val="280B7B6F"/>
    <w:rsid w:val="280E0675"/>
    <w:rsid w:val="2813130F"/>
    <w:rsid w:val="281E75EE"/>
    <w:rsid w:val="281F524A"/>
    <w:rsid w:val="29413DE5"/>
    <w:rsid w:val="2950455C"/>
    <w:rsid w:val="298D578D"/>
    <w:rsid w:val="29A06369"/>
    <w:rsid w:val="29AD0C4B"/>
    <w:rsid w:val="29EB46DF"/>
    <w:rsid w:val="2A3A6520"/>
    <w:rsid w:val="2A9F71BE"/>
    <w:rsid w:val="2AC906F9"/>
    <w:rsid w:val="2AE77C5A"/>
    <w:rsid w:val="2B173391"/>
    <w:rsid w:val="2B225C93"/>
    <w:rsid w:val="2B600C41"/>
    <w:rsid w:val="2BBB157D"/>
    <w:rsid w:val="2BDE7176"/>
    <w:rsid w:val="2BF46BC9"/>
    <w:rsid w:val="2C4B1799"/>
    <w:rsid w:val="2C7D7C93"/>
    <w:rsid w:val="2CC82F03"/>
    <w:rsid w:val="2D1819BE"/>
    <w:rsid w:val="2D4F71F2"/>
    <w:rsid w:val="2DD50BC5"/>
    <w:rsid w:val="2DD8079F"/>
    <w:rsid w:val="2DE050FD"/>
    <w:rsid w:val="2E40799B"/>
    <w:rsid w:val="2E755B30"/>
    <w:rsid w:val="2EB54105"/>
    <w:rsid w:val="2EC24B29"/>
    <w:rsid w:val="2ED842D8"/>
    <w:rsid w:val="2EDA6942"/>
    <w:rsid w:val="2EDB7060"/>
    <w:rsid w:val="2EDF1160"/>
    <w:rsid w:val="2F48644C"/>
    <w:rsid w:val="2F5F70FF"/>
    <w:rsid w:val="2F6F4E6E"/>
    <w:rsid w:val="2F8006B0"/>
    <w:rsid w:val="2FC759AD"/>
    <w:rsid w:val="2FF93AED"/>
    <w:rsid w:val="30622140"/>
    <w:rsid w:val="30DA2F9E"/>
    <w:rsid w:val="317F57D6"/>
    <w:rsid w:val="31A417A7"/>
    <w:rsid w:val="31C33284"/>
    <w:rsid w:val="32954668"/>
    <w:rsid w:val="32E90F89"/>
    <w:rsid w:val="32ED6FE8"/>
    <w:rsid w:val="32EF49E0"/>
    <w:rsid w:val="332512B9"/>
    <w:rsid w:val="3402128D"/>
    <w:rsid w:val="34172851"/>
    <w:rsid w:val="34282F6B"/>
    <w:rsid w:val="34DA7A32"/>
    <w:rsid w:val="35935F80"/>
    <w:rsid w:val="35B469F6"/>
    <w:rsid w:val="35D831CC"/>
    <w:rsid w:val="364051FE"/>
    <w:rsid w:val="372473BA"/>
    <w:rsid w:val="375868E7"/>
    <w:rsid w:val="37B52A68"/>
    <w:rsid w:val="37B76065"/>
    <w:rsid w:val="37BC0DCC"/>
    <w:rsid w:val="37EF4F4E"/>
    <w:rsid w:val="3822676A"/>
    <w:rsid w:val="384B7D55"/>
    <w:rsid w:val="385E005E"/>
    <w:rsid w:val="389D0DF3"/>
    <w:rsid w:val="38A04301"/>
    <w:rsid w:val="38EB3CF6"/>
    <w:rsid w:val="390A01C2"/>
    <w:rsid w:val="392B5F4B"/>
    <w:rsid w:val="39803E62"/>
    <w:rsid w:val="39C173A4"/>
    <w:rsid w:val="39CD2B5F"/>
    <w:rsid w:val="3A03092E"/>
    <w:rsid w:val="3A0F0A6E"/>
    <w:rsid w:val="3A3B4D1A"/>
    <w:rsid w:val="3AF5728D"/>
    <w:rsid w:val="3B576416"/>
    <w:rsid w:val="3BC2138C"/>
    <w:rsid w:val="3CD013DE"/>
    <w:rsid w:val="3D331D29"/>
    <w:rsid w:val="3D5E5C57"/>
    <w:rsid w:val="3D600BB6"/>
    <w:rsid w:val="3D847724"/>
    <w:rsid w:val="3DAF7535"/>
    <w:rsid w:val="3E656438"/>
    <w:rsid w:val="3E6C3D76"/>
    <w:rsid w:val="3E6D1996"/>
    <w:rsid w:val="3E716C7E"/>
    <w:rsid w:val="3EC179C2"/>
    <w:rsid w:val="3EC93EB0"/>
    <w:rsid w:val="3F1921D5"/>
    <w:rsid w:val="3F47007E"/>
    <w:rsid w:val="3F512972"/>
    <w:rsid w:val="3F73339A"/>
    <w:rsid w:val="3FB07FA9"/>
    <w:rsid w:val="3FEA64D1"/>
    <w:rsid w:val="3FFF343F"/>
    <w:rsid w:val="4006748A"/>
    <w:rsid w:val="40C82D2E"/>
    <w:rsid w:val="40F607E3"/>
    <w:rsid w:val="41881FA8"/>
    <w:rsid w:val="41987331"/>
    <w:rsid w:val="430660E3"/>
    <w:rsid w:val="43617335"/>
    <w:rsid w:val="43C034A3"/>
    <w:rsid w:val="43CF6918"/>
    <w:rsid w:val="43D67057"/>
    <w:rsid w:val="43F57C9E"/>
    <w:rsid w:val="43F70007"/>
    <w:rsid w:val="446976EB"/>
    <w:rsid w:val="446D2878"/>
    <w:rsid w:val="449E624B"/>
    <w:rsid w:val="44F64C18"/>
    <w:rsid w:val="450D119C"/>
    <w:rsid w:val="451312BE"/>
    <w:rsid w:val="455A3309"/>
    <w:rsid w:val="45660472"/>
    <w:rsid w:val="456B7CF4"/>
    <w:rsid w:val="45C3653A"/>
    <w:rsid w:val="46212E4F"/>
    <w:rsid w:val="46754841"/>
    <w:rsid w:val="467E39BB"/>
    <w:rsid w:val="46EA3AC1"/>
    <w:rsid w:val="470752EE"/>
    <w:rsid w:val="472F3E99"/>
    <w:rsid w:val="474A341E"/>
    <w:rsid w:val="474C226E"/>
    <w:rsid w:val="476B442E"/>
    <w:rsid w:val="47B130F6"/>
    <w:rsid w:val="47CD0304"/>
    <w:rsid w:val="48296957"/>
    <w:rsid w:val="485E09D3"/>
    <w:rsid w:val="48736640"/>
    <w:rsid w:val="48CB41EE"/>
    <w:rsid w:val="493B56A4"/>
    <w:rsid w:val="49533CBF"/>
    <w:rsid w:val="49C60341"/>
    <w:rsid w:val="4A132959"/>
    <w:rsid w:val="4A162D7F"/>
    <w:rsid w:val="4A1B52A9"/>
    <w:rsid w:val="4B067B83"/>
    <w:rsid w:val="4B501CAE"/>
    <w:rsid w:val="4B683617"/>
    <w:rsid w:val="4BFB20BF"/>
    <w:rsid w:val="4C275AC2"/>
    <w:rsid w:val="4C7804F6"/>
    <w:rsid w:val="4CA94840"/>
    <w:rsid w:val="4CB81AD5"/>
    <w:rsid w:val="4CC06E90"/>
    <w:rsid w:val="4CDE3FA9"/>
    <w:rsid w:val="4D082370"/>
    <w:rsid w:val="4D591B49"/>
    <w:rsid w:val="4DC9758F"/>
    <w:rsid w:val="4DD76765"/>
    <w:rsid w:val="4E362474"/>
    <w:rsid w:val="4E52623C"/>
    <w:rsid w:val="4E7579A6"/>
    <w:rsid w:val="4FF37C3E"/>
    <w:rsid w:val="50076E1C"/>
    <w:rsid w:val="508A58F6"/>
    <w:rsid w:val="50E8342D"/>
    <w:rsid w:val="50EB6686"/>
    <w:rsid w:val="5121284B"/>
    <w:rsid w:val="51B253AF"/>
    <w:rsid w:val="51D61032"/>
    <w:rsid w:val="520D660B"/>
    <w:rsid w:val="523039EF"/>
    <w:rsid w:val="52392A30"/>
    <w:rsid w:val="524F6B8B"/>
    <w:rsid w:val="525A6C8C"/>
    <w:rsid w:val="52AE6098"/>
    <w:rsid w:val="531412CF"/>
    <w:rsid w:val="53493BD6"/>
    <w:rsid w:val="53BB615A"/>
    <w:rsid w:val="542B7B9B"/>
    <w:rsid w:val="542F4B27"/>
    <w:rsid w:val="549A6BBC"/>
    <w:rsid w:val="5514509E"/>
    <w:rsid w:val="56293E14"/>
    <w:rsid w:val="56691940"/>
    <w:rsid w:val="56A000EC"/>
    <w:rsid w:val="56F23910"/>
    <w:rsid w:val="57115D5D"/>
    <w:rsid w:val="577C0B71"/>
    <w:rsid w:val="57CD7CED"/>
    <w:rsid w:val="584D4521"/>
    <w:rsid w:val="584E56A9"/>
    <w:rsid w:val="595C4FA3"/>
    <w:rsid w:val="596B0F80"/>
    <w:rsid w:val="59B55A74"/>
    <w:rsid w:val="5A165ADB"/>
    <w:rsid w:val="5A340C90"/>
    <w:rsid w:val="5A47348E"/>
    <w:rsid w:val="5A577C19"/>
    <w:rsid w:val="5B401D86"/>
    <w:rsid w:val="5BAC4698"/>
    <w:rsid w:val="5BBA2F12"/>
    <w:rsid w:val="5C2A6419"/>
    <w:rsid w:val="5C6851BC"/>
    <w:rsid w:val="5C830363"/>
    <w:rsid w:val="5CAB1F27"/>
    <w:rsid w:val="5D140FAC"/>
    <w:rsid w:val="5D4276FC"/>
    <w:rsid w:val="5D431242"/>
    <w:rsid w:val="5D477678"/>
    <w:rsid w:val="5E254733"/>
    <w:rsid w:val="5E64381D"/>
    <w:rsid w:val="5EF14BCF"/>
    <w:rsid w:val="5F4731CC"/>
    <w:rsid w:val="5F865CB4"/>
    <w:rsid w:val="5FB914B0"/>
    <w:rsid w:val="5FC835A0"/>
    <w:rsid w:val="604D3B18"/>
    <w:rsid w:val="609406F0"/>
    <w:rsid w:val="6129525A"/>
    <w:rsid w:val="613D4BC7"/>
    <w:rsid w:val="61556C0A"/>
    <w:rsid w:val="61C86F07"/>
    <w:rsid w:val="61FD09AA"/>
    <w:rsid w:val="62E001FA"/>
    <w:rsid w:val="63153798"/>
    <w:rsid w:val="6379779F"/>
    <w:rsid w:val="63F14C43"/>
    <w:rsid w:val="644A1104"/>
    <w:rsid w:val="64A077D0"/>
    <w:rsid w:val="64B7111A"/>
    <w:rsid w:val="659907BC"/>
    <w:rsid w:val="659C5577"/>
    <w:rsid w:val="660E2E4C"/>
    <w:rsid w:val="66874BD2"/>
    <w:rsid w:val="6698152D"/>
    <w:rsid w:val="66B806FA"/>
    <w:rsid w:val="66C027BC"/>
    <w:rsid w:val="670055A8"/>
    <w:rsid w:val="677C1642"/>
    <w:rsid w:val="67E51BFB"/>
    <w:rsid w:val="67F03D90"/>
    <w:rsid w:val="68453AB0"/>
    <w:rsid w:val="688B1C92"/>
    <w:rsid w:val="68F66F35"/>
    <w:rsid w:val="69440391"/>
    <w:rsid w:val="69464ADF"/>
    <w:rsid w:val="69DC4A17"/>
    <w:rsid w:val="6A002C10"/>
    <w:rsid w:val="6A01393C"/>
    <w:rsid w:val="6A3E6D7D"/>
    <w:rsid w:val="6A5D4BE3"/>
    <w:rsid w:val="6AA31445"/>
    <w:rsid w:val="6AAD7945"/>
    <w:rsid w:val="6ADE1D95"/>
    <w:rsid w:val="6B3A1703"/>
    <w:rsid w:val="6B656420"/>
    <w:rsid w:val="6B88026D"/>
    <w:rsid w:val="6BBC7535"/>
    <w:rsid w:val="6BF55E58"/>
    <w:rsid w:val="6C0A5D4D"/>
    <w:rsid w:val="6C0B0331"/>
    <w:rsid w:val="6C7F7610"/>
    <w:rsid w:val="6D154C1B"/>
    <w:rsid w:val="6D1571F0"/>
    <w:rsid w:val="6D6516E7"/>
    <w:rsid w:val="6DA14039"/>
    <w:rsid w:val="6DDB3642"/>
    <w:rsid w:val="6E1105DC"/>
    <w:rsid w:val="6E5A0E50"/>
    <w:rsid w:val="6E7F33B8"/>
    <w:rsid w:val="6E8D298A"/>
    <w:rsid w:val="6ECB2541"/>
    <w:rsid w:val="6ECC2CB4"/>
    <w:rsid w:val="6EDA7AE9"/>
    <w:rsid w:val="6EE6656B"/>
    <w:rsid w:val="6F013CD8"/>
    <w:rsid w:val="6F1D3874"/>
    <w:rsid w:val="6FDF5046"/>
    <w:rsid w:val="70430BBA"/>
    <w:rsid w:val="70723110"/>
    <w:rsid w:val="7092259B"/>
    <w:rsid w:val="710B7202"/>
    <w:rsid w:val="710C399C"/>
    <w:rsid w:val="71365D90"/>
    <w:rsid w:val="722024BA"/>
    <w:rsid w:val="7241496F"/>
    <w:rsid w:val="72713DE0"/>
    <w:rsid w:val="72B50BD5"/>
    <w:rsid w:val="73303256"/>
    <w:rsid w:val="73371D10"/>
    <w:rsid w:val="739F4DF4"/>
    <w:rsid w:val="73FC0479"/>
    <w:rsid w:val="74173B1D"/>
    <w:rsid w:val="74577453"/>
    <w:rsid w:val="74D2429F"/>
    <w:rsid w:val="75440303"/>
    <w:rsid w:val="755941B6"/>
    <w:rsid w:val="75645631"/>
    <w:rsid w:val="75E426C0"/>
    <w:rsid w:val="75E8A43B"/>
    <w:rsid w:val="762D5583"/>
    <w:rsid w:val="76522336"/>
    <w:rsid w:val="7666259A"/>
    <w:rsid w:val="7683429C"/>
    <w:rsid w:val="76B655F4"/>
    <w:rsid w:val="76C24C38"/>
    <w:rsid w:val="76E71FCD"/>
    <w:rsid w:val="76F10521"/>
    <w:rsid w:val="76FB0840"/>
    <w:rsid w:val="771E4080"/>
    <w:rsid w:val="77B96732"/>
    <w:rsid w:val="77BE757B"/>
    <w:rsid w:val="77F4BF1A"/>
    <w:rsid w:val="781B4BBD"/>
    <w:rsid w:val="7843007C"/>
    <w:rsid w:val="78662CEA"/>
    <w:rsid w:val="7883285E"/>
    <w:rsid w:val="78C87EB9"/>
    <w:rsid w:val="79066D1E"/>
    <w:rsid w:val="79113D73"/>
    <w:rsid w:val="79115A24"/>
    <w:rsid w:val="79137D58"/>
    <w:rsid w:val="79372461"/>
    <w:rsid w:val="79DC4948"/>
    <w:rsid w:val="79F72D18"/>
    <w:rsid w:val="79FF2355"/>
    <w:rsid w:val="7A080E9D"/>
    <w:rsid w:val="7A311154"/>
    <w:rsid w:val="7A4740A9"/>
    <w:rsid w:val="7A8E40D3"/>
    <w:rsid w:val="7A987F20"/>
    <w:rsid w:val="7A9B094E"/>
    <w:rsid w:val="7AB54050"/>
    <w:rsid w:val="7AEF2159"/>
    <w:rsid w:val="7B381669"/>
    <w:rsid w:val="7B726563"/>
    <w:rsid w:val="7B7F8C8C"/>
    <w:rsid w:val="7BB372E1"/>
    <w:rsid w:val="7C336A20"/>
    <w:rsid w:val="7C5C4632"/>
    <w:rsid w:val="7CA25F23"/>
    <w:rsid w:val="7CB96E7F"/>
    <w:rsid w:val="7D3D6EC9"/>
    <w:rsid w:val="7D4A4BCF"/>
    <w:rsid w:val="7DB81694"/>
    <w:rsid w:val="7DC34AA7"/>
    <w:rsid w:val="7E2A65B0"/>
    <w:rsid w:val="7E2D7882"/>
    <w:rsid w:val="7E31712B"/>
    <w:rsid w:val="7E581478"/>
    <w:rsid w:val="7EBF9E8C"/>
    <w:rsid w:val="7ED47522"/>
    <w:rsid w:val="7EED6F8B"/>
    <w:rsid w:val="7EFA6CA5"/>
    <w:rsid w:val="7F073C10"/>
    <w:rsid w:val="7F11224C"/>
    <w:rsid w:val="7F457A45"/>
    <w:rsid w:val="7F7F6EC1"/>
    <w:rsid w:val="7FA94841"/>
    <w:rsid w:val="7FB21A4C"/>
    <w:rsid w:val="7FE521A5"/>
    <w:rsid w:val="7FE76F71"/>
    <w:rsid w:val="9EDF306A"/>
    <w:rsid w:val="C41DE464"/>
    <w:rsid w:val="DB2E5915"/>
    <w:rsid w:val="F5BF4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45"/>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46"/>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6"/>
    <w:link w:val="47"/>
    <w:qFormat/>
    <w:uiPriority w:val="0"/>
    <w:pPr>
      <w:keepNext/>
      <w:keepLines/>
      <w:spacing w:before="260" w:after="260" w:line="416" w:lineRule="atLeast"/>
      <w:outlineLvl w:val="2"/>
    </w:pPr>
    <w:rPr>
      <w:b/>
      <w:bCs/>
      <w:sz w:val="32"/>
      <w:szCs w:val="32"/>
    </w:rPr>
  </w:style>
  <w:style w:type="paragraph" w:styleId="7">
    <w:name w:val="heading 4"/>
    <w:basedOn w:val="1"/>
    <w:next w:val="1"/>
    <w:link w:val="48"/>
    <w:qFormat/>
    <w:uiPriority w:val="0"/>
    <w:pPr>
      <w:keepNext/>
      <w:keepLines/>
      <w:spacing w:before="280" w:after="290" w:line="376" w:lineRule="atLeast"/>
      <w:outlineLvl w:val="3"/>
    </w:pPr>
    <w:rPr>
      <w:rFonts w:ascii="Arial" w:hAnsi="Arial" w:eastAsia="黑体"/>
      <w:b/>
      <w:bCs/>
      <w:sz w:val="28"/>
      <w:szCs w:val="28"/>
    </w:rPr>
  </w:style>
  <w:style w:type="paragraph" w:styleId="8">
    <w:name w:val="heading 5"/>
    <w:basedOn w:val="1"/>
    <w:next w:val="1"/>
    <w:link w:val="49"/>
    <w:qFormat/>
    <w:uiPriority w:val="0"/>
    <w:pPr>
      <w:keepNext/>
      <w:keepLines/>
      <w:spacing w:before="280" w:after="290" w:line="376" w:lineRule="atLeast"/>
      <w:outlineLvl w:val="4"/>
    </w:pPr>
    <w:rPr>
      <w:b/>
      <w:bCs/>
      <w:sz w:val="28"/>
      <w:szCs w:val="28"/>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6">
    <w:name w:val="Normal Indent"/>
    <w:basedOn w:val="1"/>
    <w:qFormat/>
    <w:uiPriority w:val="0"/>
    <w:pPr>
      <w:ind w:firstLine="420"/>
    </w:pPr>
    <w:rPr>
      <w:kern w:val="2"/>
      <w:sz w:val="21"/>
    </w:rPr>
  </w:style>
  <w:style w:type="paragraph" w:styleId="9">
    <w:name w:val="toc 7"/>
    <w:basedOn w:val="1"/>
    <w:next w:val="1"/>
    <w:qFormat/>
    <w:uiPriority w:val="0"/>
    <w:pPr>
      <w:adjustRightInd/>
      <w:spacing w:line="240" w:lineRule="auto"/>
      <w:ind w:left="2520" w:leftChars="1200"/>
      <w:textAlignment w:val="auto"/>
    </w:pPr>
    <w:rPr>
      <w:kern w:val="2"/>
      <w:sz w:val="21"/>
      <w:szCs w:val="24"/>
    </w:rPr>
  </w:style>
  <w:style w:type="paragraph" w:styleId="10">
    <w:name w:val="Document Map"/>
    <w:basedOn w:val="1"/>
    <w:link w:val="57"/>
    <w:semiHidden/>
    <w:qFormat/>
    <w:uiPriority w:val="0"/>
    <w:pPr>
      <w:shd w:val="clear" w:color="auto" w:fill="000080"/>
    </w:pPr>
  </w:style>
  <w:style w:type="paragraph" w:styleId="11">
    <w:name w:val="annotation text"/>
    <w:basedOn w:val="1"/>
    <w:link w:val="58"/>
    <w:qFormat/>
    <w:uiPriority w:val="0"/>
    <w:pPr>
      <w:adjustRightInd/>
      <w:spacing w:line="240" w:lineRule="auto"/>
      <w:jc w:val="left"/>
      <w:textAlignment w:val="auto"/>
    </w:pPr>
    <w:rPr>
      <w:kern w:val="2"/>
      <w:sz w:val="21"/>
      <w:szCs w:val="24"/>
    </w:rPr>
  </w:style>
  <w:style w:type="paragraph" w:styleId="12">
    <w:name w:val="Body Text 3"/>
    <w:basedOn w:val="1"/>
    <w:link w:val="83"/>
    <w:qFormat/>
    <w:uiPriority w:val="0"/>
    <w:pPr>
      <w:adjustRightInd/>
      <w:spacing w:line="240" w:lineRule="auto"/>
      <w:textAlignment w:val="auto"/>
    </w:pPr>
    <w:rPr>
      <w:rFonts w:ascii="宋体"/>
      <w:kern w:val="2"/>
      <w:sz w:val="24"/>
    </w:rPr>
  </w:style>
  <w:style w:type="paragraph" w:styleId="13">
    <w:name w:val="Body Text"/>
    <w:basedOn w:val="1"/>
    <w:link w:val="66"/>
    <w:qFormat/>
    <w:uiPriority w:val="0"/>
    <w:pPr>
      <w:spacing w:after="120"/>
    </w:pPr>
  </w:style>
  <w:style w:type="paragraph" w:styleId="14">
    <w:name w:val="Body Text Indent"/>
    <w:basedOn w:val="1"/>
    <w:link w:val="56"/>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15">
    <w:name w:val="Block Text"/>
    <w:basedOn w:val="1"/>
    <w:qFormat/>
    <w:uiPriority w:val="0"/>
    <w:pPr>
      <w:adjustRightInd/>
      <w:spacing w:line="460" w:lineRule="exact"/>
      <w:ind w:left="400" w:leftChars="200" w:right="-11" w:firstLine="460" w:firstLineChars="200"/>
      <w:textAlignment w:val="auto"/>
    </w:pPr>
    <w:rPr>
      <w:rFonts w:ascii="仿宋_GB2312" w:eastAsia="仿宋_GB2312"/>
      <w:bCs/>
      <w:kern w:val="2"/>
      <w:sz w:val="24"/>
    </w:rPr>
  </w:style>
  <w:style w:type="paragraph" w:styleId="16">
    <w:name w:val="toc 5"/>
    <w:basedOn w:val="1"/>
    <w:next w:val="1"/>
    <w:qFormat/>
    <w:uiPriority w:val="0"/>
    <w:pPr>
      <w:adjustRightInd/>
      <w:spacing w:line="240" w:lineRule="auto"/>
      <w:ind w:left="1680" w:leftChars="800"/>
      <w:textAlignment w:val="auto"/>
    </w:pPr>
    <w:rPr>
      <w:kern w:val="2"/>
      <w:sz w:val="21"/>
      <w:szCs w:val="24"/>
    </w:rPr>
  </w:style>
  <w:style w:type="paragraph" w:styleId="17">
    <w:name w:val="toc 3"/>
    <w:basedOn w:val="1"/>
    <w:next w:val="1"/>
    <w:qFormat/>
    <w:uiPriority w:val="39"/>
    <w:pPr>
      <w:ind w:left="840" w:leftChars="400"/>
    </w:pPr>
    <w:rPr>
      <w:sz w:val="21"/>
    </w:rPr>
  </w:style>
  <w:style w:type="paragraph" w:styleId="18">
    <w:name w:val="Plain Text"/>
    <w:basedOn w:val="1"/>
    <w:link w:val="62"/>
    <w:qFormat/>
    <w:uiPriority w:val="0"/>
    <w:rPr>
      <w:rFonts w:ascii="宋体" w:hAnsi="Courier New"/>
      <w:kern w:val="2"/>
      <w:sz w:val="21"/>
    </w:rPr>
  </w:style>
  <w:style w:type="paragraph" w:styleId="19">
    <w:name w:val="toc 8"/>
    <w:basedOn w:val="1"/>
    <w:next w:val="1"/>
    <w:qFormat/>
    <w:uiPriority w:val="0"/>
    <w:pPr>
      <w:adjustRightInd/>
      <w:spacing w:line="240" w:lineRule="auto"/>
      <w:ind w:left="2940" w:leftChars="1400"/>
      <w:textAlignment w:val="auto"/>
    </w:pPr>
    <w:rPr>
      <w:kern w:val="2"/>
      <w:sz w:val="21"/>
      <w:szCs w:val="24"/>
    </w:rPr>
  </w:style>
  <w:style w:type="paragraph" w:styleId="20">
    <w:name w:val="Date"/>
    <w:basedOn w:val="1"/>
    <w:next w:val="1"/>
    <w:link w:val="65"/>
    <w:qFormat/>
    <w:uiPriority w:val="0"/>
    <w:rPr>
      <w:rFonts w:ascii="黑体" w:eastAsia="黑体"/>
      <w:kern w:val="2"/>
      <w:sz w:val="32"/>
    </w:rPr>
  </w:style>
  <w:style w:type="paragraph" w:styleId="21">
    <w:name w:val="Body Text Indent 2"/>
    <w:basedOn w:val="1"/>
    <w:link w:val="68"/>
    <w:qFormat/>
    <w:uiPriority w:val="0"/>
    <w:pPr>
      <w:spacing w:after="120" w:line="480" w:lineRule="auto"/>
      <w:ind w:left="420"/>
    </w:pPr>
  </w:style>
  <w:style w:type="paragraph" w:styleId="22">
    <w:name w:val="Balloon Text"/>
    <w:basedOn w:val="1"/>
    <w:link w:val="61"/>
    <w:qFormat/>
    <w:uiPriority w:val="0"/>
    <w:rPr>
      <w:sz w:val="18"/>
      <w:szCs w:val="18"/>
    </w:rPr>
  </w:style>
  <w:style w:type="paragraph" w:styleId="23">
    <w:name w:val="footer"/>
    <w:basedOn w:val="1"/>
    <w:link w:val="67"/>
    <w:qFormat/>
    <w:uiPriority w:val="0"/>
    <w:pPr>
      <w:tabs>
        <w:tab w:val="center" w:pos="4153"/>
        <w:tab w:val="right" w:pos="8306"/>
      </w:tabs>
      <w:snapToGrid w:val="0"/>
    </w:pPr>
    <w:rPr>
      <w:kern w:val="2"/>
      <w:sz w:val="18"/>
    </w:rPr>
  </w:style>
  <w:style w:type="paragraph" w:styleId="24">
    <w:name w:val="header"/>
    <w:basedOn w:val="1"/>
    <w:link w:val="5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22"/>
    </w:rPr>
  </w:style>
  <w:style w:type="paragraph" w:styleId="25">
    <w:name w:val="toc 1"/>
    <w:basedOn w:val="1"/>
    <w:next w:val="1"/>
    <w:qFormat/>
    <w:uiPriority w:val="39"/>
    <w:pPr>
      <w:tabs>
        <w:tab w:val="left" w:pos="900"/>
        <w:tab w:val="right" w:leader="dot" w:pos="8296"/>
      </w:tabs>
      <w:spacing w:line="360" w:lineRule="auto"/>
    </w:pPr>
    <w:rPr>
      <w:b/>
      <w:sz w:val="21"/>
    </w:rPr>
  </w:style>
  <w:style w:type="paragraph" w:styleId="26">
    <w:name w:val="toc 4"/>
    <w:basedOn w:val="1"/>
    <w:next w:val="1"/>
    <w:qFormat/>
    <w:uiPriority w:val="39"/>
    <w:pPr>
      <w:ind w:left="1260" w:leftChars="600"/>
    </w:pPr>
    <w:rPr>
      <w:sz w:val="21"/>
    </w:rPr>
  </w:style>
  <w:style w:type="paragraph" w:styleId="27">
    <w:name w:val="Subtitle"/>
    <w:basedOn w:val="1"/>
    <w:next w:val="1"/>
    <w:link w:val="84"/>
    <w:qFormat/>
    <w:uiPriority w:val="11"/>
    <w:pPr>
      <w:spacing w:before="240" w:after="60" w:line="312" w:lineRule="atLeast"/>
      <w:jc w:val="center"/>
      <w:outlineLvl w:val="1"/>
    </w:pPr>
    <w:rPr>
      <w:rFonts w:asciiTheme="majorHAnsi" w:hAnsiTheme="majorHAnsi" w:cstheme="majorBidi"/>
      <w:b/>
      <w:bCs/>
      <w:kern w:val="28"/>
      <w:sz w:val="32"/>
      <w:szCs w:val="32"/>
    </w:rPr>
  </w:style>
  <w:style w:type="paragraph" w:styleId="28">
    <w:name w:val="toc 6"/>
    <w:basedOn w:val="1"/>
    <w:next w:val="1"/>
    <w:qFormat/>
    <w:uiPriority w:val="0"/>
    <w:pPr>
      <w:adjustRightInd/>
      <w:spacing w:line="240" w:lineRule="auto"/>
      <w:ind w:left="2100" w:leftChars="1000"/>
      <w:textAlignment w:val="auto"/>
    </w:pPr>
    <w:rPr>
      <w:kern w:val="2"/>
      <w:sz w:val="21"/>
      <w:szCs w:val="24"/>
    </w:rPr>
  </w:style>
  <w:style w:type="paragraph" w:styleId="29">
    <w:name w:val="Body Text Indent 3"/>
    <w:basedOn w:val="1"/>
    <w:link w:val="50"/>
    <w:qFormat/>
    <w:uiPriority w:val="0"/>
    <w:pPr>
      <w:widowControl/>
      <w:tabs>
        <w:tab w:val="left" w:pos="0"/>
        <w:tab w:val="left" w:pos="1134"/>
      </w:tabs>
      <w:snapToGrid w:val="0"/>
      <w:spacing w:line="360" w:lineRule="auto"/>
      <w:ind w:left="567"/>
      <w:jc w:val="left"/>
      <w:textAlignment w:val="auto"/>
    </w:pPr>
    <w:rPr>
      <w:rFonts w:ascii="仿宋_GB2312" w:eastAsia="仿宋_GB2312" w:hAnsiTheme="minorHAnsi" w:cstheme="minorBidi"/>
      <w:kern w:val="2"/>
      <w:sz w:val="28"/>
      <w:szCs w:val="22"/>
    </w:rPr>
  </w:style>
  <w:style w:type="paragraph" w:styleId="30">
    <w:name w:val="toc 2"/>
    <w:basedOn w:val="1"/>
    <w:next w:val="1"/>
    <w:qFormat/>
    <w:uiPriority w:val="39"/>
    <w:pPr>
      <w:ind w:left="420" w:leftChars="200"/>
    </w:pPr>
    <w:rPr>
      <w:sz w:val="21"/>
    </w:rPr>
  </w:style>
  <w:style w:type="paragraph" w:styleId="31">
    <w:name w:val="toc 9"/>
    <w:basedOn w:val="1"/>
    <w:next w:val="1"/>
    <w:qFormat/>
    <w:uiPriority w:val="0"/>
    <w:pPr>
      <w:adjustRightInd/>
      <w:spacing w:line="240" w:lineRule="auto"/>
      <w:ind w:left="3360" w:leftChars="1600"/>
      <w:textAlignment w:val="auto"/>
    </w:pPr>
    <w:rPr>
      <w:kern w:val="2"/>
      <w:sz w:val="21"/>
      <w:szCs w:val="24"/>
    </w:rPr>
  </w:style>
  <w:style w:type="paragraph" w:styleId="32">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 w:type="paragraph" w:styleId="33">
    <w:name w:val="index 1"/>
    <w:basedOn w:val="1"/>
    <w:next w:val="1"/>
    <w:qFormat/>
    <w:uiPriority w:val="0"/>
    <w:pPr>
      <w:adjustRightInd/>
      <w:spacing w:line="220" w:lineRule="exact"/>
      <w:jc w:val="center"/>
      <w:textAlignment w:val="auto"/>
    </w:pPr>
    <w:rPr>
      <w:rFonts w:ascii="仿宋_GB2312" w:eastAsia="仿宋_GB2312"/>
      <w:kern w:val="2"/>
      <w:sz w:val="21"/>
      <w:szCs w:val="21"/>
    </w:rPr>
  </w:style>
  <w:style w:type="paragraph" w:styleId="34">
    <w:name w:val="Title"/>
    <w:basedOn w:val="1"/>
    <w:next w:val="1"/>
    <w:qFormat/>
    <w:uiPriority w:val="0"/>
    <w:pPr>
      <w:snapToGrid w:val="0"/>
      <w:jc w:val="center"/>
      <w:outlineLvl w:val="0"/>
    </w:pPr>
    <w:rPr>
      <w:rFonts w:ascii="宋体" w:hAnsi="宋体" w:cs="Times New Roman"/>
      <w:b/>
      <w:color w:val="auto"/>
      <w:sz w:val="52"/>
      <w:szCs w:val="20"/>
    </w:rPr>
  </w:style>
  <w:style w:type="paragraph" w:styleId="35">
    <w:name w:val="annotation subject"/>
    <w:basedOn w:val="11"/>
    <w:next w:val="11"/>
    <w:link w:val="63"/>
    <w:semiHidden/>
    <w:qFormat/>
    <w:uiPriority w:val="0"/>
    <w:pPr>
      <w:adjustRightInd w:val="0"/>
      <w:spacing w:line="360" w:lineRule="atLeast"/>
      <w:textAlignment w:val="baseline"/>
    </w:pPr>
    <w:rPr>
      <w:b/>
      <w:bCs/>
      <w:kern w:val="0"/>
      <w:sz w:val="20"/>
      <w:szCs w:val="20"/>
    </w:rPr>
  </w:style>
  <w:style w:type="paragraph" w:styleId="36">
    <w:name w:val="Body Text First Indent 2"/>
    <w:basedOn w:val="1"/>
    <w:qFormat/>
    <w:uiPriority w:val="0"/>
    <w:pPr>
      <w:topLinePunct w:val="0"/>
      <w:adjustRightInd/>
      <w:spacing w:after="120" w:line="240" w:lineRule="auto"/>
      <w:ind w:left="420" w:leftChars="200" w:firstLine="420" w:firstLineChars="200"/>
      <w:textAlignment w:val="auto"/>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rPr>
      <w:rFonts w:ascii="Arial" w:hAnsi="Arial" w:eastAsia="黑体"/>
      <w:kern w:val="2"/>
      <w:sz w:val="21"/>
      <w:szCs w:val="21"/>
      <w:lang w:val="en-US" w:eastAsia="zh-CN" w:bidi="ar-SA"/>
    </w:rPr>
  </w:style>
  <w:style w:type="character" w:styleId="42">
    <w:name w:val="FollowedHyperlink"/>
    <w:basedOn w:val="39"/>
    <w:unhideWhenUsed/>
    <w:qFormat/>
    <w:uiPriority w:val="99"/>
    <w:rPr>
      <w:color w:val="800080" w:themeColor="followedHyperlink"/>
      <w:u w:val="single"/>
      <w14:textFill>
        <w14:solidFill>
          <w14:schemeClr w14:val="folHlink"/>
        </w14:solidFill>
      </w14:textFill>
    </w:rPr>
  </w:style>
  <w:style w:type="character" w:styleId="43">
    <w:name w:val="Hyperlink"/>
    <w:qFormat/>
    <w:uiPriority w:val="99"/>
    <w:rPr>
      <w:color w:val="0000FF"/>
      <w:kern w:val="2"/>
      <w:sz w:val="21"/>
      <w:u w:val="single"/>
    </w:rPr>
  </w:style>
  <w:style w:type="character" w:styleId="44">
    <w:name w:val="annotation reference"/>
    <w:semiHidden/>
    <w:qFormat/>
    <w:uiPriority w:val="0"/>
    <w:rPr>
      <w:kern w:val="2"/>
      <w:sz w:val="21"/>
      <w:szCs w:val="21"/>
    </w:rPr>
  </w:style>
  <w:style w:type="character" w:customStyle="1" w:styleId="45">
    <w:name w:val="标题 1 Char"/>
    <w:basedOn w:val="39"/>
    <w:link w:val="3"/>
    <w:qFormat/>
    <w:uiPriority w:val="0"/>
    <w:rPr>
      <w:rFonts w:ascii="Times New Roman" w:hAnsi="Times New Roman" w:eastAsia="宋体" w:cs="Times New Roman"/>
      <w:b/>
      <w:bCs/>
      <w:kern w:val="44"/>
      <w:sz w:val="44"/>
      <w:szCs w:val="44"/>
    </w:rPr>
  </w:style>
  <w:style w:type="character" w:customStyle="1" w:styleId="46">
    <w:name w:val="标题 2 Char"/>
    <w:basedOn w:val="39"/>
    <w:link w:val="4"/>
    <w:qFormat/>
    <w:uiPriority w:val="0"/>
    <w:rPr>
      <w:rFonts w:ascii="Arial" w:hAnsi="Arial" w:eastAsia="黑体" w:cs="Times New Roman"/>
      <w:b/>
      <w:bCs/>
      <w:kern w:val="0"/>
      <w:sz w:val="32"/>
      <w:szCs w:val="32"/>
    </w:rPr>
  </w:style>
  <w:style w:type="character" w:customStyle="1" w:styleId="47">
    <w:name w:val="标题 3 Char"/>
    <w:basedOn w:val="39"/>
    <w:link w:val="5"/>
    <w:qFormat/>
    <w:uiPriority w:val="0"/>
    <w:rPr>
      <w:rFonts w:ascii="Times New Roman" w:hAnsi="Times New Roman" w:eastAsia="宋体" w:cs="Times New Roman"/>
      <w:b/>
      <w:bCs/>
      <w:kern w:val="0"/>
      <w:sz w:val="32"/>
      <w:szCs w:val="32"/>
    </w:rPr>
  </w:style>
  <w:style w:type="character" w:customStyle="1" w:styleId="48">
    <w:name w:val="标题 4 Char"/>
    <w:basedOn w:val="39"/>
    <w:link w:val="7"/>
    <w:qFormat/>
    <w:uiPriority w:val="0"/>
    <w:rPr>
      <w:rFonts w:ascii="Arial" w:hAnsi="Arial" w:eastAsia="黑体" w:cs="Times New Roman"/>
      <w:b/>
      <w:bCs/>
      <w:kern w:val="0"/>
      <w:sz w:val="28"/>
      <w:szCs w:val="28"/>
    </w:rPr>
  </w:style>
  <w:style w:type="character" w:customStyle="1" w:styleId="49">
    <w:name w:val="标题 5 Char"/>
    <w:basedOn w:val="39"/>
    <w:link w:val="8"/>
    <w:qFormat/>
    <w:uiPriority w:val="0"/>
    <w:rPr>
      <w:rFonts w:ascii="Times New Roman" w:hAnsi="Times New Roman" w:eastAsia="宋体" w:cs="Times New Roman"/>
      <w:b/>
      <w:bCs/>
      <w:kern w:val="0"/>
      <w:sz w:val="28"/>
      <w:szCs w:val="28"/>
    </w:rPr>
  </w:style>
  <w:style w:type="character" w:customStyle="1" w:styleId="50">
    <w:name w:val="正文文本缩进 3 Char"/>
    <w:link w:val="29"/>
    <w:qFormat/>
    <w:uiPriority w:val="0"/>
    <w:rPr>
      <w:rFonts w:ascii="仿宋_GB2312" w:eastAsia="仿宋_GB2312"/>
      <w:sz w:val="28"/>
    </w:rPr>
  </w:style>
  <w:style w:type="paragraph" w:customStyle="1" w:styleId="51">
    <w:name w:val="_Style 15"/>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character" w:customStyle="1" w:styleId="52">
    <w:name w:val="unnamed11"/>
    <w:qFormat/>
    <w:uiPriority w:val="0"/>
    <w:rPr>
      <w:kern w:val="2"/>
      <w:sz w:val="21"/>
    </w:rPr>
  </w:style>
  <w:style w:type="character" w:customStyle="1" w:styleId="53">
    <w:name w:val="ca-4"/>
    <w:basedOn w:val="39"/>
    <w:qFormat/>
    <w:uiPriority w:val="0"/>
    <w:rPr>
      <w:kern w:val="2"/>
      <w:sz w:val="21"/>
    </w:rPr>
  </w:style>
  <w:style w:type="character" w:customStyle="1" w:styleId="54">
    <w:name w:val="页眉 Char"/>
    <w:link w:val="24"/>
    <w:qFormat/>
    <w:uiPriority w:val="0"/>
    <w:rPr>
      <w:sz w:val="18"/>
    </w:rPr>
  </w:style>
  <w:style w:type="character" w:customStyle="1" w:styleId="55">
    <w:name w:val="ca-5"/>
    <w:basedOn w:val="39"/>
    <w:qFormat/>
    <w:uiPriority w:val="0"/>
    <w:rPr>
      <w:kern w:val="2"/>
      <w:sz w:val="21"/>
    </w:rPr>
  </w:style>
  <w:style w:type="character" w:customStyle="1" w:styleId="56">
    <w:name w:val="正文文本缩进 Char"/>
    <w:basedOn w:val="39"/>
    <w:link w:val="14"/>
    <w:qFormat/>
    <w:uiPriority w:val="0"/>
    <w:rPr>
      <w:rFonts w:ascii="宋体" w:hAnsi="Times New Roman" w:eastAsia="宋体" w:cs="Times New Roman"/>
      <w:kern w:val="0"/>
      <w:sz w:val="28"/>
      <w:szCs w:val="20"/>
    </w:rPr>
  </w:style>
  <w:style w:type="character" w:customStyle="1" w:styleId="57">
    <w:name w:val="文档结构图 Char"/>
    <w:basedOn w:val="39"/>
    <w:link w:val="10"/>
    <w:semiHidden/>
    <w:qFormat/>
    <w:uiPriority w:val="0"/>
    <w:rPr>
      <w:rFonts w:ascii="Times New Roman" w:hAnsi="Times New Roman" w:eastAsia="宋体" w:cs="Times New Roman"/>
      <w:kern w:val="0"/>
      <w:sz w:val="20"/>
      <w:szCs w:val="20"/>
      <w:shd w:val="clear" w:color="auto" w:fill="000080"/>
    </w:rPr>
  </w:style>
  <w:style w:type="character" w:customStyle="1" w:styleId="58">
    <w:name w:val="批注文字 Char"/>
    <w:basedOn w:val="39"/>
    <w:link w:val="11"/>
    <w:qFormat/>
    <w:uiPriority w:val="0"/>
    <w:rPr>
      <w:rFonts w:ascii="Times New Roman" w:hAnsi="Times New Roman" w:eastAsia="宋体" w:cs="Times New Roman"/>
      <w:szCs w:val="24"/>
    </w:rPr>
  </w:style>
  <w:style w:type="paragraph" w:customStyle="1" w:styleId="59">
    <w:name w:val="样式 正文缩进正文（首行缩进两字）特点ALT+Z表正文正文非缩进四号段1Normal Indent Char2...4"/>
    <w:basedOn w:val="14"/>
    <w:qFormat/>
    <w:uiPriority w:val="0"/>
    <w:pPr>
      <w:tabs>
        <w:tab w:val="left" w:pos="510"/>
        <w:tab w:val="clear" w:pos="0"/>
        <w:tab w:val="clear" w:pos="993"/>
        <w:tab w:val="clear" w:pos="1134"/>
      </w:tabs>
      <w:spacing w:line="300" w:lineRule="auto"/>
      <w:ind w:firstLine="510"/>
    </w:pPr>
    <w:rPr>
      <w:rFonts w:hAnsi="宋体"/>
      <w:color w:val="000000"/>
      <w:sz w:val="24"/>
    </w:rPr>
  </w:style>
  <w:style w:type="character" w:customStyle="1" w:styleId="60">
    <w:name w:val="正文文本缩进 3 Char1"/>
    <w:basedOn w:val="39"/>
    <w:semiHidden/>
    <w:qFormat/>
    <w:uiPriority w:val="99"/>
    <w:rPr>
      <w:rFonts w:ascii="Times New Roman" w:hAnsi="Times New Roman" w:eastAsia="宋体" w:cs="Times New Roman"/>
      <w:kern w:val="0"/>
      <w:sz w:val="16"/>
      <w:szCs w:val="16"/>
    </w:rPr>
  </w:style>
  <w:style w:type="character" w:customStyle="1" w:styleId="61">
    <w:name w:val="批注框文本 Char"/>
    <w:basedOn w:val="39"/>
    <w:link w:val="22"/>
    <w:qFormat/>
    <w:uiPriority w:val="0"/>
    <w:rPr>
      <w:rFonts w:ascii="Times New Roman" w:hAnsi="Times New Roman" w:eastAsia="宋体" w:cs="Times New Roman"/>
      <w:kern w:val="0"/>
      <w:sz w:val="18"/>
      <w:szCs w:val="18"/>
    </w:rPr>
  </w:style>
  <w:style w:type="character" w:customStyle="1" w:styleId="62">
    <w:name w:val="纯文本 Char"/>
    <w:basedOn w:val="39"/>
    <w:link w:val="18"/>
    <w:qFormat/>
    <w:uiPriority w:val="0"/>
    <w:rPr>
      <w:rFonts w:ascii="宋体" w:hAnsi="Courier New" w:eastAsia="宋体" w:cs="Times New Roman"/>
      <w:szCs w:val="20"/>
    </w:rPr>
  </w:style>
  <w:style w:type="character" w:customStyle="1" w:styleId="63">
    <w:name w:val="批注主题 Char"/>
    <w:basedOn w:val="58"/>
    <w:link w:val="35"/>
    <w:semiHidden/>
    <w:qFormat/>
    <w:uiPriority w:val="0"/>
    <w:rPr>
      <w:rFonts w:ascii="Times New Roman" w:hAnsi="Times New Roman" w:eastAsia="宋体" w:cs="Times New Roman"/>
      <w:b/>
      <w:bCs/>
      <w:kern w:val="0"/>
      <w:sz w:val="20"/>
      <w:szCs w:val="20"/>
    </w:rPr>
  </w:style>
  <w:style w:type="character" w:customStyle="1" w:styleId="64">
    <w:name w:val="页眉 Char1"/>
    <w:basedOn w:val="39"/>
    <w:semiHidden/>
    <w:qFormat/>
    <w:uiPriority w:val="99"/>
    <w:rPr>
      <w:rFonts w:ascii="Times New Roman" w:hAnsi="Times New Roman" w:eastAsia="宋体" w:cs="Times New Roman"/>
      <w:kern w:val="0"/>
      <w:sz w:val="18"/>
      <w:szCs w:val="18"/>
    </w:rPr>
  </w:style>
  <w:style w:type="character" w:customStyle="1" w:styleId="65">
    <w:name w:val="日期 Char"/>
    <w:basedOn w:val="39"/>
    <w:link w:val="20"/>
    <w:qFormat/>
    <w:uiPriority w:val="0"/>
    <w:rPr>
      <w:rFonts w:ascii="黑体" w:hAnsi="Times New Roman" w:eastAsia="黑体" w:cs="Times New Roman"/>
      <w:sz w:val="32"/>
      <w:szCs w:val="20"/>
    </w:rPr>
  </w:style>
  <w:style w:type="character" w:customStyle="1" w:styleId="66">
    <w:name w:val="正文文本 Char"/>
    <w:basedOn w:val="39"/>
    <w:link w:val="13"/>
    <w:qFormat/>
    <w:uiPriority w:val="0"/>
    <w:rPr>
      <w:rFonts w:ascii="Times New Roman" w:hAnsi="Times New Roman" w:eastAsia="宋体" w:cs="Times New Roman"/>
      <w:kern w:val="0"/>
      <w:sz w:val="20"/>
      <w:szCs w:val="20"/>
    </w:rPr>
  </w:style>
  <w:style w:type="character" w:customStyle="1" w:styleId="67">
    <w:name w:val="页脚 Char"/>
    <w:basedOn w:val="39"/>
    <w:link w:val="23"/>
    <w:qFormat/>
    <w:uiPriority w:val="0"/>
    <w:rPr>
      <w:rFonts w:ascii="Times New Roman" w:hAnsi="Times New Roman" w:eastAsia="宋体" w:cs="Times New Roman"/>
      <w:sz w:val="18"/>
      <w:szCs w:val="20"/>
    </w:rPr>
  </w:style>
  <w:style w:type="character" w:customStyle="1" w:styleId="68">
    <w:name w:val="正文文本缩进 2 Char"/>
    <w:basedOn w:val="39"/>
    <w:link w:val="21"/>
    <w:qFormat/>
    <w:uiPriority w:val="0"/>
    <w:rPr>
      <w:rFonts w:ascii="Times New Roman" w:hAnsi="Times New Roman" w:eastAsia="宋体" w:cs="Times New Roman"/>
      <w:kern w:val="0"/>
      <w:sz w:val="20"/>
      <w:szCs w:val="20"/>
    </w:rPr>
  </w:style>
  <w:style w:type="paragraph" w:customStyle="1" w:styleId="69">
    <w:name w:val="样式 正文缩进正文（首行缩进两字）特点ALT+Z表正文正文非缩进四号段1Normal Indent Char2...1"/>
    <w:basedOn w:val="4"/>
    <w:qFormat/>
    <w:uiPriority w:val="0"/>
    <w:pPr>
      <w:numPr>
        <w:ilvl w:val="0"/>
        <w:numId w:val="0"/>
      </w:numPr>
      <w:tabs>
        <w:tab w:val="left" w:pos="425"/>
      </w:tabs>
      <w:spacing w:before="1320" w:after="240" w:line="300" w:lineRule="auto"/>
      <w:ind w:firstLine="624"/>
      <w:jc w:val="center"/>
    </w:pPr>
    <w:rPr>
      <w:rFonts w:ascii="宋体" w:hAnsi="宋体" w:eastAsia="宋体" w:cs="宋体"/>
      <w:color w:val="000000"/>
    </w:rPr>
  </w:style>
  <w:style w:type="paragraph" w:customStyle="1" w:styleId="70">
    <w:name w:val="样式1"/>
    <w:basedOn w:val="3"/>
    <w:qFormat/>
    <w:uiPriority w:val="0"/>
    <w:pPr>
      <w:tabs>
        <w:tab w:val="left" w:pos="1680"/>
      </w:tabs>
      <w:spacing w:line="0" w:lineRule="atLeast"/>
      <w:ind w:left="1680" w:hanging="420"/>
      <w:jc w:val="center"/>
    </w:pPr>
    <w:rPr>
      <w:b w:val="0"/>
      <w:bCs w:val="0"/>
      <w:szCs w:val="20"/>
    </w:rPr>
  </w:style>
  <w:style w:type="paragraph" w:customStyle="1" w:styleId="71">
    <w:name w:val="Char Char Char Char Char Char Char Char Char Char"/>
    <w:basedOn w:val="1"/>
    <w:qFormat/>
    <w:uiPriority w:val="0"/>
    <w:pPr>
      <w:widowControl/>
      <w:adjustRightInd/>
      <w:spacing w:before="100" w:beforeAutospacing="1" w:after="100" w:afterAutospacing="1" w:line="330" w:lineRule="atLeast"/>
      <w:ind w:left="360"/>
      <w:jc w:val="left"/>
      <w:textAlignment w:val="auto"/>
    </w:pPr>
    <w:rPr>
      <w:rFonts w:ascii="ˎ̥" w:hAnsi="ˎ̥" w:cs="宋体"/>
      <w:color w:val="51585D"/>
      <w:sz w:val="21"/>
      <w:szCs w:val="18"/>
    </w:rPr>
  </w:style>
  <w:style w:type="paragraph" w:customStyle="1" w:styleId="72">
    <w:name w:val="Char Char1 Char Char Char"/>
    <w:basedOn w:val="1"/>
    <w:qFormat/>
    <w:uiPriority w:val="0"/>
    <w:pPr>
      <w:adjustRightInd/>
      <w:spacing w:line="240" w:lineRule="auto"/>
      <w:textAlignment w:val="auto"/>
    </w:pPr>
  </w:style>
  <w:style w:type="paragraph" w:customStyle="1" w:styleId="7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4">
    <w:name w:val="样式3"/>
    <w:basedOn w:val="18"/>
    <w:qFormat/>
    <w:uiPriority w:val="0"/>
    <w:pPr>
      <w:spacing w:line="0" w:lineRule="atLeast"/>
      <w:outlineLvl w:val="0"/>
    </w:pPr>
    <w:rPr>
      <w:sz w:val="28"/>
    </w:rPr>
  </w:style>
  <w:style w:type="paragraph" w:customStyle="1" w:styleId="75">
    <w:name w:val="Blockquote"/>
    <w:basedOn w:val="1"/>
    <w:qFormat/>
    <w:uiPriority w:val="0"/>
    <w:pPr>
      <w:autoSpaceDE w:val="0"/>
      <w:autoSpaceDN w:val="0"/>
      <w:spacing w:before="100" w:after="100" w:line="240" w:lineRule="auto"/>
      <w:ind w:left="360" w:right="360"/>
      <w:jc w:val="left"/>
      <w:textAlignment w:val="auto"/>
    </w:pPr>
    <w:rPr>
      <w:sz w:val="24"/>
    </w:rPr>
  </w:style>
  <w:style w:type="paragraph" w:customStyle="1" w:styleId="76">
    <w:name w:val="Char Char Char Char"/>
    <w:basedOn w:val="1"/>
    <w:qFormat/>
    <w:uiPriority w:val="0"/>
    <w:pPr>
      <w:adjustRightInd/>
      <w:spacing w:afterLines="50" w:line="520" w:lineRule="exact"/>
      <w:jc w:val="center"/>
      <w:textAlignment w:val="auto"/>
    </w:pPr>
    <w:rPr>
      <w:rFonts w:ascii="Arial" w:hAnsi="Arial" w:eastAsia="仿宋_GB2312"/>
      <w:kern w:val="2"/>
      <w:sz w:val="28"/>
      <w:szCs w:val="28"/>
    </w:rPr>
  </w:style>
  <w:style w:type="paragraph" w:customStyle="1" w:styleId="77">
    <w:name w:val="Char"/>
    <w:basedOn w:val="1"/>
    <w:qFormat/>
    <w:uiPriority w:val="0"/>
    <w:pPr>
      <w:adjustRightInd/>
      <w:spacing w:line="240" w:lineRule="auto"/>
      <w:textAlignment w:val="auto"/>
    </w:pPr>
    <w:rPr>
      <w:kern w:val="2"/>
      <w:sz w:val="21"/>
    </w:rPr>
  </w:style>
  <w:style w:type="paragraph" w:customStyle="1" w:styleId="78">
    <w:name w:val="样式 正文缩进正文（首行缩进两字）特点ALT+Z表正文正文非缩进四号段1Normal Indent Char2...3"/>
    <w:basedOn w:val="7"/>
    <w:next w:val="8"/>
    <w:qFormat/>
    <w:uiPriority w:val="0"/>
    <w:pPr>
      <w:spacing w:line="360" w:lineRule="auto"/>
      <w:ind w:firstLine="510"/>
      <w:jc w:val="left"/>
    </w:pPr>
    <w:rPr>
      <w:rFonts w:ascii="宋体" w:hAnsi="宋体" w:eastAsia="宋体"/>
      <w:bCs w:val="0"/>
      <w:color w:val="000000"/>
      <w:sz w:val="24"/>
      <w:szCs w:val="20"/>
    </w:rPr>
  </w:style>
  <w:style w:type="paragraph" w:customStyle="1" w:styleId="79">
    <w:name w:val="样式 标题 1 + 宋体 居中 段前: 48 磅 段后: 12 磅 行距: 1.5 倍行距"/>
    <w:basedOn w:val="3"/>
    <w:qFormat/>
    <w:uiPriority w:val="0"/>
    <w:pPr>
      <w:spacing w:before="1560" w:after="240" w:line="360" w:lineRule="auto"/>
      <w:jc w:val="center"/>
    </w:pPr>
    <w:rPr>
      <w:rFonts w:ascii="宋体" w:hAnsi="宋体" w:cs="宋体"/>
      <w:snapToGrid w:val="0"/>
      <w:kern w:val="2"/>
    </w:rPr>
  </w:style>
  <w:style w:type="paragraph" w:customStyle="1" w:styleId="80">
    <w:name w:val="样式 正文缩进正文（首行缩进两字）特点ALT+Z表正文正文非缩进四号段1Normal Indent Char2...2"/>
    <w:basedOn w:val="5"/>
    <w:qFormat/>
    <w:uiPriority w:val="0"/>
    <w:pPr>
      <w:tabs>
        <w:tab w:val="left" w:pos="1770"/>
      </w:tabs>
      <w:spacing w:before="360" w:after="120" w:line="360" w:lineRule="auto"/>
      <w:ind w:left="1770" w:hanging="420"/>
      <w:jc w:val="center"/>
    </w:pPr>
    <w:rPr>
      <w:rFonts w:ascii="宋体" w:hAnsi="宋体"/>
      <w:bCs w:val="0"/>
      <w:sz w:val="28"/>
      <w:szCs w:val="20"/>
    </w:rPr>
  </w:style>
  <w:style w:type="paragraph" w:customStyle="1" w:styleId="81">
    <w:name w:val="pa-3"/>
    <w:basedOn w:val="1"/>
    <w:qFormat/>
    <w:uiPriority w:val="0"/>
    <w:pPr>
      <w:widowControl/>
      <w:adjustRightInd/>
      <w:spacing w:before="150" w:after="150" w:line="240" w:lineRule="auto"/>
      <w:jc w:val="left"/>
      <w:textAlignment w:val="auto"/>
    </w:pPr>
    <w:rPr>
      <w:rFonts w:ascii="宋体" w:hAnsi="宋体" w:cs="宋体"/>
      <w:sz w:val="24"/>
      <w:szCs w:val="24"/>
    </w:rPr>
  </w:style>
  <w:style w:type="character" w:customStyle="1" w:styleId="82">
    <w:name w:val="font161"/>
    <w:qFormat/>
    <w:uiPriority w:val="0"/>
    <w:rPr>
      <w:b/>
      <w:bCs/>
      <w:sz w:val="32"/>
      <w:szCs w:val="32"/>
    </w:rPr>
  </w:style>
  <w:style w:type="character" w:customStyle="1" w:styleId="83">
    <w:name w:val="正文文本 3 Char"/>
    <w:basedOn w:val="39"/>
    <w:link w:val="12"/>
    <w:qFormat/>
    <w:uiPriority w:val="0"/>
    <w:rPr>
      <w:rFonts w:ascii="宋体" w:hAnsi="Times New Roman" w:eastAsia="宋体" w:cs="Times New Roman"/>
      <w:sz w:val="24"/>
      <w:szCs w:val="20"/>
    </w:rPr>
  </w:style>
  <w:style w:type="character" w:customStyle="1" w:styleId="84">
    <w:name w:val="副标题 Char"/>
    <w:basedOn w:val="39"/>
    <w:link w:val="27"/>
    <w:qFormat/>
    <w:uiPriority w:val="11"/>
    <w:rPr>
      <w:rFonts w:eastAsia="宋体" w:asciiTheme="majorHAnsi" w:hAnsiTheme="majorHAnsi" w:cstheme="majorBidi"/>
      <w:b/>
      <w:bCs/>
      <w:kern w:val="28"/>
      <w:sz w:val="32"/>
      <w:szCs w:val="32"/>
    </w:rPr>
  </w:style>
  <w:style w:type="paragraph" w:customStyle="1" w:styleId="85">
    <w:name w:val="List Paragraph"/>
    <w:basedOn w:val="1"/>
    <w:qFormat/>
    <w:uiPriority w:val="34"/>
    <w:pPr>
      <w:ind w:firstLine="420" w:firstLineChars="200"/>
    </w:pPr>
  </w:style>
  <w:style w:type="paragraph" w:customStyle="1" w:styleId="86">
    <w:name w:val="首行缩进"/>
    <w:basedOn w:val="1"/>
    <w:qFormat/>
    <w:uiPriority w:val="99"/>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25658</Words>
  <Characters>26528</Characters>
  <Lines>199</Lines>
  <Paragraphs>56</Paragraphs>
  <TotalTime>4</TotalTime>
  <ScaleCrop>false</ScaleCrop>
  <LinksUpToDate>false</LinksUpToDate>
  <CharactersWithSpaces>28937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2020-10-28T02:20:00Z</dcterms:created>
  <dc:creator>GDSK</dc:creator>
  <cp:lastModifiedBy>HD_gai</cp:lastModifiedBy>
  <cp:lastPrinted>2021-08-04T00:45:00Z</cp:lastPrinted>
  <dcterms:modified xsi:type="dcterms:W3CDTF">2022-01-21T02:43:20Z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74085C7D287C4A78A6FBB15897DE981F</vt:lpwstr>
  </property>
</Properties>
</file>