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8"/>
        </w:rPr>
      </w:pPr>
    </w:p>
    <w:p>
      <w:pPr>
        <w:pStyle w:val="18"/>
        <w:ind w:firstLine="440"/>
        <w:rPr>
          <w:rFonts w:eastAsiaTheme="minorEastAsia"/>
          <w:color w:val="auto"/>
        </w:rPr>
      </w:pPr>
    </w:p>
    <w:p>
      <w:pPr>
        <w:pStyle w:val="18"/>
        <w:ind w:firstLine="440"/>
        <w:rPr>
          <w:rFonts w:eastAsiaTheme="minorEastAsia"/>
          <w:color w:val="auto"/>
        </w:rPr>
      </w:pPr>
    </w:p>
    <w:p>
      <w:pPr>
        <w:spacing w:line="360" w:lineRule="auto"/>
        <w:jc w:val="center"/>
        <w:rPr>
          <w:sz w:val="32"/>
        </w:rPr>
      </w:pPr>
      <w:r>
        <w:rPr>
          <w:rFonts w:hint="eastAsia" w:ascii="宋体" w:hAnsi="宋体"/>
          <w:b/>
          <w:sz w:val="44"/>
          <w:szCs w:val="48"/>
        </w:rPr>
        <w:t>广东省人民医院白云院区项目施工图审查服务</w:t>
      </w:r>
    </w:p>
    <w:p>
      <w:pPr>
        <w:spacing w:line="360" w:lineRule="auto"/>
        <w:rPr>
          <w:rFonts w:ascii="宋体"/>
          <w:b/>
          <w:bCs/>
          <w:spacing w:val="40"/>
          <w:sz w:val="44"/>
          <w:szCs w:val="44"/>
        </w:rPr>
      </w:pPr>
    </w:p>
    <w:p>
      <w:pPr>
        <w:spacing w:line="360" w:lineRule="auto"/>
        <w:jc w:val="left"/>
        <w:rPr>
          <w:sz w:val="36"/>
          <w:u w:val="single"/>
        </w:rPr>
      </w:pPr>
    </w:p>
    <w:p>
      <w:pPr>
        <w:pStyle w:val="18"/>
        <w:ind w:left="0" w:leftChars="0" w:firstLine="0" w:firstLineChars="0"/>
        <w:rPr>
          <w:rFonts w:eastAsiaTheme="minorEastAsia"/>
          <w:color w:val="auto"/>
        </w:rPr>
      </w:pPr>
    </w:p>
    <w:p>
      <w:pPr>
        <w:pStyle w:val="18"/>
        <w:ind w:left="0" w:leftChars="0" w:firstLine="0" w:firstLineChars="0"/>
        <w:rPr>
          <w:rFonts w:eastAsiaTheme="minorEastAsia"/>
          <w:color w:val="auto"/>
        </w:rPr>
      </w:pPr>
    </w:p>
    <w:p>
      <w:pPr>
        <w:pStyle w:val="18"/>
        <w:ind w:left="0" w:leftChars="0" w:firstLine="0" w:firstLineChars="0"/>
        <w:rPr>
          <w:rFonts w:eastAsiaTheme="minorEastAsia"/>
          <w:color w:val="auto"/>
        </w:rPr>
      </w:pPr>
    </w:p>
    <w:p>
      <w:pPr>
        <w:spacing w:line="360" w:lineRule="auto"/>
        <w:jc w:val="left"/>
        <w:rPr>
          <w:sz w:val="36"/>
          <w:u w:val="single"/>
        </w:rPr>
      </w:pPr>
    </w:p>
    <w:p>
      <w:pPr>
        <w:spacing w:line="360" w:lineRule="auto"/>
        <w:jc w:val="center"/>
        <w:rPr>
          <w:rFonts w:ascii="宋体" w:hAnsi="宋体"/>
          <w:b/>
          <w:bCs/>
          <w:spacing w:val="26"/>
          <w:sz w:val="110"/>
          <w:szCs w:val="110"/>
        </w:rPr>
      </w:pPr>
      <w:r>
        <w:rPr>
          <w:rFonts w:hint="eastAsia" w:ascii="宋体" w:hAnsi="宋体"/>
          <w:b/>
          <w:bCs/>
          <w:spacing w:val="26"/>
          <w:sz w:val="96"/>
          <w:szCs w:val="110"/>
        </w:rPr>
        <w:t>招标公告</w:t>
      </w:r>
    </w:p>
    <w:p>
      <w:pPr>
        <w:spacing w:line="360" w:lineRule="auto"/>
        <w:rPr>
          <w:sz w:val="32"/>
        </w:rPr>
      </w:pPr>
    </w:p>
    <w:p>
      <w:pPr>
        <w:spacing w:line="360" w:lineRule="auto"/>
        <w:rPr>
          <w:sz w:val="52"/>
        </w:rPr>
      </w:pPr>
    </w:p>
    <w:p>
      <w:pPr>
        <w:spacing w:line="360" w:lineRule="auto"/>
        <w:rPr>
          <w:sz w:val="52"/>
        </w:rPr>
      </w:pPr>
    </w:p>
    <w:p>
      <w:pPr>
        <w:spacing w:line="360" w:lineRule="auto"/>
        <w:rPr>
          <w:sz w:val="32"/>
        </w:rPr>
      </w:pPr>
    </w:p>
    <w:p>
      <w:pPr>
        <w:pStyle w:val="18"/>
        <w:ind w:left="0" w:leftChars="0" w:firstLine="0" w:firstLineChars="0"/>
        <w:rPr>
          <w:rFonts w:eastAsiaTheme="minorEastAsia"/>
          <w:color w:val="auto"/>
        </w:rPr>
      </w:pPr>
    </w:p>
    <w:p>
      <w:pPr>
        <w:spacing w:line="480" w:lineRule="auto"/>
        <w:jc w:val="center"/>
        <w:rPr>
          <w:rFonts w:ascii="宋体" w:hAnsi="宋体" w:cs="宋体"/>
          <w:sz w:val="32"/>
          <w:szCs w:val="32"/>
        </w:rPr>
      </w:pPr>
      <w:r>
        <w:rPr>
          <w:rFonts w:hint="eastAsia" w:ascii="宋体" w:hAnsi="宋体" w:cs="宋体"/>
          <w:sz w:val="32"/>
          <w:szCs w:val="32"/>
        </w:rPr>
        <w:t>招标单位：广东省人民医院</w:t>
      </w:r>
    </w:p>
    <w:p>
      <w:pPr>
        <w:spacing w:line="480" w:lineRule="auto"/>
        <w:ind w:firstLine="1600" w:firstLineChars="500"/>
        <w:rPr>
          <w:rFonts w:ascii="宋体" w:hAnsi="宋体" w:cs="宋体"/>
          <w:sz w:val="32"/>
          <w:szCs w:val="32"/>
        </w:rPr>
      </w:pPr>
      <w:r>
        <w:rPr>
          <w:rFonts w:hint="eastAsia" w:ascii="宋体" w:hAnsi="宋体" w:cs="宋体"/>
          <w:sz w:val="32"/>
          <w:szCs w:val="32"/>
        </w:rPr>
        <w:t>招标代理机构：广东省机电设备招标有限公司</w:t>
      </w:r>
    </w:p>
    <w:p>
      <w:pPr>
        <w:spacing w:line="360" w:lineRule="auto"/>
        <w:ind w:firstLine="3200" w:firstLineChars="1000"/>
        <w:rPr>
          <w:sz w:val="32"/>
        </w:rPr>
      </w:pPr>
      <w:r>
        <w:rPr>
          <w:rFonts w:hint="eastAsia" w:ascii="宋体" w:hAnsi="宋体" w:cs="宋体"/>
          <w:sz w:val="32"/>
          <w:szCs w:val="32"/>
        </w:rPr>
        <w:t>日期：</w:t>
      </w:r>
      <w:r>
        <w:rPr>
          <w:rFonts w:ascii="宋体" w:hAnsi="宋体" w:cs="宋体"/>
          <w:sz w:val="32"/>
          <w:u w:val="single"/>
        </w:rPr>
        <w:t>202</w:t>
      </w:r>
      <w:r>
        <w:rPr>
          <w:rFonts w:hint="eastAsia" w:ascii="宋体" w:hAnsi="宋体" w:cs="宋体"/>
          <w:sz w:val="32"/>
          <w:u w:val="single"/>
        </w:rPr>
        <w:t>4</w:t>
      </w:r>
      <w:r>
        <w:rPr>
          <w:rFonts w:hint="eastAsia" w:ascii="宋体" w:hAnsi="宋体" w:cs="宋体"/>
          <w:sz w:val="32"/>
        </w:rPr>
        <w:t>年</w:t>
      </w:r>
      <w:r>
        <w:rPr>
          <w:rFonts w:hint="eastAsia" w:ascii="宋体" w:hAnsi="宋体" w:cs="宋体"/>
          <w:sz w:val="32"/>
          <w:u w:val="single"/>
          <w:lang w:val="en-US" w:eastAsia="zh-CN"/>
        </w:rPr>
        <w:t>03</w:t>
      </w:r>
      <w:r>
        <w:rPr>
          <w:rFonts w:hint="eastAsia" w:ascii="宋体" w:hAnsi="宋体" w:cs="宋体"/>
          <w:sz w:val="32"/>
        </w:rPr>
        <w:t>月</w:t>
      </w:r>
    </w:p>
    <w:p>
      <w:pPr>
        <w:adjustRightInd w:val="0"/>
        <w:snapToGrid w:val="0"/>
        <w:spacing w:line="360" w:lineRule="auto"/>
        <w:jc w:val="center"/>
        <w:rPr>
          <w:rFonts w:ascii="宋体" w:hAnsi="宋体" w:cs="宋体"/>
          <w:b/>
          <w:bCs/>
          <w:sz w:val="36"/>
          <w:szCs w:val="36"/>
        </w:rPr>
      </w:pPr>
      <w:r>
        <w:rPr>
          <w:rFonts w:ascii="Times New Roman" w:hAnsi="Times New Roman"/>
          <w:b/>
          <w:sz w:val="36"/>
          <w:szCs w:val="32"/>
        </w:rPr>
        <w:br w:type="page"/>
      </w:r>
      <w:r>
        <w:rPr>
          <w:rFonts w:hint="eastAsia" w:ascii="宋体" w:hAnsi="宋体" w:cs="宋体"/>
          <w:b/>
          <w:bCs/>
          <w:sz w:val="32"/>
          <w:szCs w:val="36"/>
        </w:rPr>
        <w:t>广东省人民医院白云院区项目施工图审查服务招标公告</w:t>
      </w:r>
    </w:p>
    <w:p>
      <w:pPr>
        <w:widowControl/>
        <w:numPr>
          <w:ilvl w:val="0"/>
          <w:numId w:val="1"/>
        </w:numPr>
        <w:spacing w:before="156" w:beforeLines="50" w:after="156" w:afterLines="50" w:line="360" w:lineRule="auto"/>
        <w:ind w:left="760" w:hanging="403"/>
        <w:jc w:val="left"/>
        <w:rPr>
          <w:rFonts w:ascii="宋体" w:hAnsi="宋体" w:cs="宋体"/>
          <w:b/>
          <w:bCs/>
          <w:sz w:val="24"/>
        </w:rPr>
      </w:pPr>
      <w:r>
        <w:rPr>
          <w:rFonts w:hint="eastAsia" w:ascii="宋体" w:hAnsi="宋体" w:cs="宋体"/>
          <w:b/>
          <w:bCs/>
          <w:sz w:val="24"/>
        </w:rPr>
        <w:t>招标条件</w:t>
      </w:r>
    </w:p>
    <w:p>
      <w:pPr>
        <w:shd w:val="clear" w:color="auto" w:fill="FFFFFF"/>
        <w:snapToGrid w:val="0"/>
        <w:spacing w:line="360" w:lineRule="auto"/>
        <w:ind w:firstLine="480" w:firstLineChars="200"/>
        <w:rPr>
          <w:rFonts w:ascii="宋体" w:hAnsi="宋体" w:cs="宋体"/>
          <w:kern w:val="0"/>
          <w:sz w:val="30"/>
          <w:szCs w:val="30"/>
          <w:u w:val="single"/>
          <w:shd w:val="clear" w:color="auto" w:fill="FFFFFF"/>
        </w:rPr>
      </w:pPr>
      <w:r>
        <w:rPr>
          <w:rFonts w:hint="eastAsia" w:ascii="宋体" w:hAnsi="宋体" w:cs="宋体"/>
          <w:sz w:val="24"/>
          <w:shd w:val="clear" w:color="auto" w:fill="FFFFFF"/>
        </w:rPr>
        <w:t>本招标项目</w:t>
      </w:r>
      <w:r>
        <w:rPr>
          <w:rFonts w:hint="eastAsia" w:ascii="宋体" w:hAnsi="宋体" w:cs="宋体"/>
          <w:sz w:val="24"/>
          <w:u w:val="single"/>
          <w:shd w:val="clear" w:color="auto" w:fill="FFFFFF"/>
        </w:rPr>
        <w:t>广东省人民医院白云院区项目</w:t>
      </w:r>
      <w:r>
        <w:rPr>
          <w:rFonts w:hint="eastAsia" w:ascii="宋体" w:hAnsi="宋体" w:cs="宋体"/>
          <w:sz w:val="24"/>
          <w:shd w:val="clear" w:color="auto" w:fill="FFFFFF"/>
        </w:rPr>
        <w:t>已由</w:t>
      </w:r>
      <w:r>
        <w:rPr>
          <w:rFonts w:hint="eastAsia" w:ascii="宋体" w:hAnsi="宋体" w:cs="宋体"/>
          <w:sz w:val="24"/>
          <w:u w:val="single"/>
          <w:shd w:val="clear" w:color="auto" w:fill="FFFFFF"/>
        </w:rPr>
        <w:t>广东省发展和改革委员会</w:t>
      </w:r>
      <w:r>
        <w:rPr>
          <w:rFonts w:hint="eastAsia" w:ascii="宋体" w:hAnsi="宋体" w:cs="宋体"/>
          <w:sz w:val="24"/>
          <w:shd w:val="clear" w:color="auto" w:fill="FFFFFF"/>
        </w:rPr>
        <w:t>以粤发改投审[2023]16号批准建设，项目业主为</w:t>
      </w:r>
      <w:r>
        <w:rPr>
          <w:rFonts w:hint="eastAsia" w:ascii="宋体" w:hAnsi="宋体" w:cs="宋体"/>
          <w:sz w:val="24"/>
          <w:u w:val="single"/>
          <w:shd w:val="clear" w:color="auto" w:fill="FFFFFF"/>
        </w:rPr>
        <w:t>广东省人民医院</w:t>
      </w:r>
      <w:r>
        <w:rPr>
          <w:rFonts w:hint="eastAsia" w:ascii="宋体" w:hAnsi="宋体" w:cs="宋体"/>
          <w:sz w:val="24"/>
          <w:shd w:val="clear" w:color="auto" w:fill="FFFFFF"/>
        </w:rPr>
        <w:t>，建设资金来自</w:t>
      </w:r>
      <w:r>
        <w:rPr>
          <w:rFonts w:hint="eastAsia" w:ascii="宋体" w:hAnsi="宋体" w:cs="宋体"/>
          <w:sz w:val="24"/>
          <w:u w:val="single"/>
        </w:rPr>
        <w:t>财政资金</w:t>
      </w:r>
      <w:r>
        <w:rPr>
          <w:rFonts w:hint="eastAsia" w:ascii="宋体" w:hAnsi="宋体" w:cs="宋体"/>
          <w:sz w:val="24"/>
          <w:shd w:val="clear" w:color="auto" w:fill="FFFFFF"/>
        </w:rPr>
        <w:t>，出资比例为100</w:t>
      </w:r>
      <w:r>
        <w:rPr>
          <w:rFonts w:ascii="宋体" w:hAnsi="宋体" w:cs="宋体"/>
          <w:sz w:val="24"/>
          <w:u w:val="single"/>
          <w:shd w:val="clear" w:color="auto" w:fill="FFFFFF"/>
        </w:rPr>
        <w:t>%</w:t>
      </w:r>
      <w:r>
        <w:rPr>
          <w:rFonts w:hint="eastAsia" w:ascii="宋体" w:hAnsi="宋体" w:cs="宋体"/>
          <w:sz w:val="24"/>
          <w:shd w:val="clear" w:color="auto" w:fill="FFFFFF"/>
        </w:rPr>
        <w:t>；招标人为</w:t>
      </w:r>
      <w:r>
        <w:rPr>
          <w:rFonts w:hint="eastAsia" w:ascii="宋体" w:hAnsi="宋体" w:cs="宋体"/>
          <w:sz w:val="24"/>
          <w:u w:val="single"/>
          <w:shd w:val="clear" w:color="auto" w:fill="FFFFFF"/>
        </w:rPr>
        <w:t>广东省人民医院</w:t>
      </w:r>
      <w:r>
        <w:rPr>
          <w:rFonts w:hint="eastAsia" w:ascii="宋体" w:hAnsi="宋体" w:cs="宋体"/>
          <w:sz w:val="24"/>
          <w:shd w:val="clear" w:color="auto" w:fill="FFFFFF"/>
        </w:rPr>
        <w:t>。项目已具备招标条件，现对该项目的施工图审查服务</w:t>
      </w:r>
      <w:r>
        <w:rPr>
          <w:rFonts w:hint="eastAsia" w:ascii="宋体" w:hAnsi="宋体" w:cs="宋体"/>
          <w:bCs/>
          <w:sz w:val="24"/>
          <w:shd w:val="clear" w:color="auto" w:fill="FFFFFF"/>
        </w:rPr>
        <w:t>进行</w:t>
      </w:r>
      <w:r>
        <w:rPr>
          <w:rFonts w:hint="eastAsia" w:ascii="宋体" w:hAnsi="宋体" w:cs="宋体"/>
          <w:sz w:val="24"/>
          <w:shd w:val="clear" w:color="auto" w:fill="FFFFFF"/>
        </w:rPr>
        <w:t>公开招标。</w:t>
      </w:r>
    </w:p>
    <w:p>
      <w:pPr>
        <w:widowControl/>
        <w:numPr>
          <w:ilvl w:val="0"/>
          <w:numId w:val="1"/>
        </w:numPr>
        <w:spacing w:before="156" w:beforeLines="50" w:after="156" w:afterLines="50" w:line="360" w:lineRule="auto"/>
        <w:ind w:left="760" w:hanging="403"/>
        <w:jc w:val="left"/>
        <w:rPr>
          <w:rFonts w:ascii="宋体" w:hAnsi="宋体" w:cs="宋体"/>
          <w:b/>
          <w:bCs/>
          <w:sz w:val="24"/>
        </w:rPr>
      </w:pPr>
      <w:r>
        <w:rPr>
          <w:rFonts w:hint="eastAsia" w:ascii="宋体" w:hAnsi="宋体" w:cs="宋体"/>
          <w:b/>
          <w:bCs/>
          <w:sz w:val="24"/>
        </w:rPr>
        <w:t>项目概况与招标范围</w:t>
      </w:r>
    </w:p>
    <w:p>
      <w:pPr>
        <w:spacing w:line="360" w:lineRule="auto"/>
        <w:rPr>
          <w:rFonts w:ascii="宋体" w:hAnsi="宋体" w:cs="宋体"/>
          <w:b/>
          <w:bCs/>
          <w:sz w:val="24"/>
        </w:rPr>
      </w:pPr>
      <w:r>
        <w:rPr>
          <w:rFonts w:ascii="宋体" w:hAnsi="宋体" w:cs="宋体"/>
          <w:b/>
          <w:bCs/>
          <w:sz w:val="24"/>
        </w:rPr>
        <w:t xml:space="preserve">   2.1 </w:t>
      </w:r>
      <w:r>
        <w:rPr>
          <w:rFonts w:hint="eastAsia" w:ascii="宋体" w:hAnsi="宋体" w:cs="宋体"/>
          <w:b/>
          <w:bCs/>
          <w:sz w:val="24"/>
        </w:rPr>
        <w:t>招标项目概况</w:t>
      </w:r>
    </w:p>
    <w:p>
      <w:pPr>
        <w:spacing w:line="360" w:lineRule="auto"/>
        <w:ind w:firstLine="480" w:firstLineChars="200"/>
        <w:rPr>
          <w:rFonts w:ascii="宋体" w:hAnsi="宋体" w:cs="宋体"/>
          <w:bCs/>
          <w:sz w:val="24"/>
          <w:u w:val="single"/>
        </w:rPr>
      </w:pPr>
      <w:r>
        <w:rPr>
          <w:rFonts w:ascii="宋体" w:hAnsi="宋体" w:cs="宋体"/>
          <w:bCs/>
          <w:sz w:val="24"/>
        </w:rPr>
        <w:t>2.1.1</w:t>
      </w:r>
      <w:r>
        <w:rPr>
          <w:rFonts w:hint="eastAsia" w:ascii="宋体" w:hAnsi="宋体" w:cs="宋体"/>
          <w:bCs/>
          <w:sz w:val="24"/>
        </w:rPr>
        <w:t>招标项目名称：</w:t>
      </w:r>
      <w:r>
        <w:rPr>
          <w:rFonts w:hint="eastAsia" w:ascii="宋体" w:hAnsi="宋体" w:cs="宋体"/>
          <w:bCs/>
          <w:sz w:val="24"/>
          <w:u w:val="single"/>
        </w:rPr>
        <w:t>广东省人民医院白云院区项目施工图审查服务</w:t>
      </w:r>
    </w:p>
    <w:p>
      <w:pPr>
        <w:spacing w:line="360" w:lineRule="auto"/>
        <w:ind w:firstLine="480" w:firstLineChars="200"/>
        <w:rPr>
          <w:rFonts w:ascii="宋体" w:hAnsi="宋体" w:cs="宋体"/>
          <w:bCs/>
          <w:sz w:val="24"/>
          <w:u w:val="single"/>
        </w:rPr>
      </w:pPr>
      <w:r>
        <w:rPr>
          <w:rFonts w:ascii="宋体" w:hAnsi="宋体" w:cs="宋体"/>
          <w:bCs/>
          <w:sz w:val="24"/>
        </w:rPr>
        <w:t>2.1.2</w:t>
      </w:r>
      <w:r>
        <w:rPr>
          <w:rFonts w:hint="eastAsia" w:ascii="宋体" w:hAnsi="宋体" w:cs="宋体"/>
          <w:bCs/>
          <w:sz w:val="24"/>
        </w:rPr>
        <w:t>工程建设规模：</w:t>
      </w:r>
      <w:r>
        <w:rPr>
          <w:rFonts w:hint="eastAsia" w:asciiTheme="minorEastAsia" w:hAnsiTheme="minorEastAsia" w:eastAsiaTheme="minorEastAsia" w:cstheme="minorEastAsia"/>
          <w:bCs/>
          <w:sz w:val="24"/>
          <w:szCs w:val="24"/>
        </w:rPr>
        <w:t>拟建广东省人民医院白云院区项目规划总用地面积47040㎡，设计总床位规模800张，新建建筑面积约250000㎡，项目总投资约318585万元。主要建设七项基本设施用房（急诊部、门诊部、住院部、医技科室、保障系统、行政管理及院内生活用房）、科教用房、连廊及地下停车设施等，配套建设道路广场、绿化及室外给排水、电气照明等。</w:t>
      </w:r>
    </w:p>
    <w:p>
      <w:pPr>
        <w:spacing w:line="360" w:lineRule="auto"/>
        <w:ind w:firstLine="480" w:firstLineChars="200"/>
        <w:rPr>
          <w:rFonts w:ascii="宋体" w:hAnsi="宋体" w:cs="宋体"/>
          <w:sz w:val="24"/>
          <w:u w:val="single"/>
        </w:rPr>
      </w:pPr>
      <w:r>
        <w:rPr>
          <w:rFonts w:ascii="宋体" w:hAnsi="宋体" w:cs="宋体"/>
          <w:bCs/>
          <w:sz w:val="24"/>
        </w:rPr>
        <w:t>2.1.3</w:t>
      </w:r>
      <w:r>
        <w:rPr>
          <w:rFonts w:hint="eastAsia" w:ascii="宋体" w:hAnsi="宋体" w:cs="宋体"/>
          <w:bCs/>
          <w:sz w:val="24"/>
        </w:rPr>
        <w:t>工程建设地点：</w:t>
      </w:r>
      <w:r>
        <w:rPr>
          <w:rFonts w:hint="eastAsia" w:ascii="宋体" w:hAnsi="宋体" w:cs="宋体"/>
          <w:bCs/>
          <w:sz w:val="24"/>
          <w:u w:val="single"/>
        </w:rPr>
        <w:t>广州市白云区白云大道南与黄石东路交界处</w:t>
      </w:r>
    </w:p>
    <w:p>
      <w:pPr>
        <w:spacing w:line="360" w:lineRule="auto"/>
        <w:ind w:firstLine="480" w:firstLineChars="200"/>
        <w:rPr>
          <w:rFonts w:ascii="宋体" w:hAnsi="宋体" w:cs="宋体"/>
          <w:bCs/>
          <w:sz w:val="24"/>
          <w:u w:val="single"/>
        </w:rPr>
      </w:pPr>
      <w:r>
        <w:rPr>
          <w:rFonts w:ascii="宋体" w:hAnsi="宋体" w:cs="宋体"/>
          <w:bCs/>
          <w:sz w:val="24"/>
        </w:rPr>
        <w:t>2.1.4</w:t>
      </w:r>
      <w:r>
        <w:rPr>
          <w:rFonts w:hint="eastAsia" w:ascii="宋体" w:hAnsi="宋体" w:cs="宋体"/>
          <w:bCs/>
          <w:sz w:val="24"/>
        </w:rPr>
        <w:t>工程总投资：318585万元。</w:t>
      </w:r>
    </w:p>
    <w:p>
      <w:pPr>
        <w:spacing w:line="360" w:lineRule="auto"/>
        <w:ind w:firstLine="482" w:firstLineChars="200"/>
        <w:rPr>
          <w:rFonts w:ascii="宋体" w:hAnsi="宋体" w:cs="宋体"/>
          <w:sz w:val="24"/>
        </w:rPr>
      </w:pPr>
      <w:r>
        <w:rPr>
          <w:rFonts w:hint="eastAsia" w:ascii="宋体" w:hAnsi="宋体" w:cs="宋体"/>
          <w:b/>
          <w:bCs/>
          <w:sz w:val="24"/>
        </w:rPr>
        <w:t>资金来源：</w:t>
      </w:r>
      <w:r>
        <w:rPr>
          <w:rFonts w:hint="eastAsia" w:ascii="宋体" w:hAnsi="宋体" w:cs="宋体"/>
          <w:sz w:val="24"/>
          <w:u w:val="single"/>
        </w:rPr>
        <w:t>财政资金</w:t>
      </w:r>
      <w:r>
        <w:rPr>
          <w:rFonts w:hint="eastAsia" w:ascii="宋体" w:hAnsi="宋体" w:cs="宋体"/>
          <w:sz w:val="24"/>
        </w:rPr>
        <w:t>。</w:t>
      </w:r>
    </w:p>
    <w:p>
      <w:pPr>
        <w:spacing w:line="360" w:lineRule="auto"/>
        <w:rPr>
          <w:rFonts w:ascii="宋体" w:hAnsi="宋体" w:cs="宋体"/>
          <w:b/>
          <w:bCs/>
          <w:sz w:val="24"/>
        </w:rPr>
      </w:pPr>
      <w:r>
        <w:rPr>
          <w:rFonts w:ascii="宋体" w:hAnsi="宋体" w:cs="宋体"/>
          <w:b/>
          <w:bCs/>
          <w:sz w:val="24"/>
        </w:rPr>
        <w:t xml:space="preserve">   2.2</w:t>
      </w:r>
      <w:r>
        <w:rPr>
          <w:rFonts w:hint="eastAsia" w:ascii="宋体" w:hAnsi="宋体" w:cs="宋体"/>
          <w:b/>
          <w:bCs/>
          <w:sz w:val="24"/>
        </w:rPr>
        <w:t>招标范围、招标内容及标段划分</w:t>
      </w:r>
    </w:p>
    <w:p>
      <w:pPr>
        <w:spacing w:line="360" w:lineRule="auto"/>
        <w:ind w:firstLine="480" w:firstLineChars="200"/>
        <w:rPr>
          <w:rFonts w:ascii="宋体" w:hAnsi="宋体" w:cs="宋体"/>
          <w:sz w:val="24"/>
          <w:u w:val="single"/>
        </w:rPr>
      </w:pPr>
      <w:r>
        <w:rPr>
          <w:rFonts w:ascii="宋体" w:hAnsi="宋体" w:cs="宋体"/>
          <w:bCs/>
          <w:sz w:val="24"/>
        </w:rPr>
        <w:t>2.2.1</w:t>
      </w:r>
      <w:r>
        <w:rPr>
          <w:rFonts w:hint="eastAsia" w:ascii="宋体" w:hAnsi="宋体" w:cs="宋体"/>
          <w:bCs/>
          <w:sz w:val="24"/>
        </w:rPr>
        <w:t>标段划分：</w:t>
      </w:r>
      <w:r>
        <w:rPr>
          <w:rFonts w:hint="eastAsia" w:ascii="宋体" w:hAnsi="宋体" w:cs="宋体"/>
          <w:sz w:val="24"/>
          <w:u w:val="single"/>
        </w:rPr>
        <w:t>本项目设</w:t>
      </w:r>
      <w:r>
        <w:rPr>
          <w:rFonts w:ascii="宋体" w:hAnsi="宋体" w:cs="宋体"/>
          <w:sz w:val="24"/>
          <w:u w:val="single"/>
        </w:rPr>
        <w:t>1</w:t>
      </w:r>
      <w:r>
        <w:rPr>
          <w:rFonts w:hint="eastAsia" w:ascii="宋体" w:hAnsi="宋体" w:cs="宋体"/>
          <w:sz w:val="24"/>
          <w:u w:val="single"/>
        </w:rPr>
        <w:t>个标段</w:t>
      </w:r>
    </w:p>
    <w:p>
      <w:pPr>
        <w:spacing w:line="360" w:lineRule="auto"/>
        <w:ind w:firstLine="480" w:firstLineChars="200"/>
      </w:pPr>
      <w:r>
        <w:rPr>
          <w:rFonts w:ascii="宋体" w:hAnsi="宋体" w:cs="宋体"/>
          <w:bCs/>
          <w:sz w:val="24"/>
          <w:szCs w:val="24"/>
        </w:rPr>
        <w:t>2.2.2</w:t>
      </w:r>
      <w:bookmarkStart w:id="0" w:name="_Hlk35422418"/>
      <w:r>
        <w:rPr>
          <w:rFonts w:hint="eastAsia" w:ascii="宋体" w:hAnsi="宋体" w:cs="宋体"/>
          <w:bCs/>
          <w:sz w:val="24"/>
          <w:szCs w:val="24"/>
        </w:rPr>
        <w:t>招标内容</w:t>
      </w:r>
      <w:bookmarkEnd w:id="0"/>
      <w:r>
        <w:rPr>
          <w:rFonts w:hint="eastAsia" w:ascii="宋体" w:hAnsi="宋体" w:cs="宋体"/>
          <w:bCs/>
          <w:sz w:val="24"/>
          <w:szCs w:val="24"/>
        </w:rPr>
        <w:t>（包括但不限于以下内容）：</w:t>
      </w:r>
      <w:bookmarkStart w:id="1" w:name="_Hlk35422434"/>
      <w:r>
        <w:rPr>
          <w:rFonts w:hint="eastAsia" w:asciiTheme="minorEastAsia" w:hAnsiTheme="minorEastAsia" w:eastAsiaTheme="minorEastAsia" w:cstheme="minorEastAsia"/>
          <w:bCs/>
          <w:sz w:val="24"/>
          <w:szCs w:val="24"/>
        </w:rPr>
        <w:t>依据现行的国家、行业和地方有关规范、规程、标准完成我院白云院区项目施工图审查工作，本项目规划用地红线范围内的施工图设计阶段基础、建筑、结构、给排水、电气、智能化、暖通、勘察、节能、绿色建筑、海绵城市、幕墙、防雷、消防、人防、装配式建筑、BIM、室外及市政配套、医疗专项等专业施工图审查。</w:t>
      </w:r>
    </w:p>
    <w:p>
      <w:pPr>
        <w:spacing w:line="360" w:lineRule="auto"/>
        <w:ind w:firstLine="480" w:firstLineChars="200"/>
        <w:jc w:val="left"/>
        <w:rPr>
          <w:rFonts w:ascii="宋体" w:hAnsi="宋体" w:cs="宋体"/>
          <w:bCs/>
          <w:sz w:val="24"/>
        </w:rPr>
      </w:pPr>
      <w:r>
        <w:rPr>
          <w:rFonts w:ascii="宋体" w:hAnsi="宋体" w:cs="宋体"/>
          <w:bCs/>
          <w:sz w:val="24"/>
        </w:rPr>
        <w:t>2.2.3</w:t>
      </w:r>
      <w:r>
        <w:rPr>
          <w:rFonts w:hint="eastAsia" w:ascii="宋体" w:hAnsi="宋体" w:cs="宋体"/>
          <w:bCs/>
          <w:sz w:val="24"/>
        </w:rPr>
        <w:t>最高投标限价：1,600,000.00元</w:t>
      </w:r>
    </w:p>
    <w:bookmarkEnd w:id="1"/>
    <w:p>
      <w:pPr>
        <w:spacing w:line="360" w:lineRule="auto"/>
        <w:ind w:firstLine="480" w:firstLineChars="200"/>
        <w:jc w:val="left"/>
        <w:rPr>
          <w:rFonts w:ascii="宋体" w:hAnsi="宋体" w:cs="宋体"/>
          <w:sz w:val="24"/>
          <w:shd w:val="clear" w:color="auto" w:fill="FFFFFF"/>
        </w:rPr>
      </w:pPr>
      <w:r>
        <w:rPr>
          <w:rFonts w:hint="eastAsia" w:ascii="宋体" w:hAnsi="宋体" w:cs="宋体"/>
          <w:bCs/>
          <w:sz w:val="24"/>
        </w:rPr>
        <w:t>2.2.4招标范围（包括但不限于以</w:t>
      </w:r>
      <w:r>
        <w:rPr>
          <w:rFonts w:hint="eastAsia" w:ascii="宋体" w:hAnsi="宋体" w:cs="宋体"/>
          <w:sz w:val="24"/>
          <w:shd w:val="clear" w:color="auto" w:fill="FFFFFF"/>
        </w:rPr>
        <w:t>下内容）：</w:t>
      </w:r>
    </w:p>
    <w:p>
      <w:pPr>
        <w:pStyle w:val="39"/>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（1）本项目规划用地红线内及红线外管线所涉及建设内容的全部初步勘察、详细勘察成果。</w:t>
      </w:r>
    </w:p>
    <w:p>
      <w:pPr>
        <w:pStyle w:val="39"/>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用地规划红线范围内总平面、相关主体建筑、附属建筑、附属设施的全部专业的施工图及综合管线设计，包括且不限于：基础、建筑、结构、给排水、电气、智能化、暖通、勘察、节能、绿色建筑、海绵城市、幕墙、防雷、消防、人防、装配式建筑、BIM、室内二次精装修、专业科室装修、物流系统、污水处理、废气处理、直升机停机坪、泛光照明、医疗专项(含气体、净化、纯水、物流、放射防护等专项设计)等专业施工图审查工作。</w:t>
      </w:r>
    </w:p>
    <w:p>
      <w:pPr>
        <w:pStyle w:val="39"/>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（3）本项目用地规划红线范围内建筑物周边的市政基础配套设施工程、防洪工程、室内外管线综合平衡设计、室外市政、园林景观 (含园林绿化、景观照明)、标识系统等的施工图设计及管线综合等。</w:t>
      </w:r>
    </w:p>
    <w:p>
      <w:pPr>
        <w:pStyle w:val="39"/>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（4）属于本项目所需，但又处于规划用地红线范围外的周边市政配套设施(含道路、外供水、外排水、外供电、燃气等)的施工图设计及管线综合等。</w:t>
      </w:r>
    </w:p>
    <w:p>
      <w:pPr>
        <w:pStyle w:val="39"/>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（5）本项目实施过程中所涉及的设施拆除、管线迁改等内容的设计。</w:t>
      </w:r>
    </w:p>
    <w:p>
      <w:pPr>
        <w:spacing w:line="360" w:lineRule="auto"/>
        <w:ind w:firstLine="480" w:firstLineChars="200"/>
        <w:rPr>
          <w:rFonts w:ascii="宋体" w:hAnsi="宋体" w:cs="宋体"/>
          <w:bCs/>
          <w:sz w:val="24"/>
          <w:szCs w:val="24"/>
          <w:u w:val="single"/>
        </w:rPr>
      </w:pPr>
      <w:r>
        <w:rPr>
          <w:rFonts w:hint="eastAsia" w:asciiTheme="minorEastAsia" w:hAnsiTheme="minorEastAsia" w:eastAsiaTheme="minorEastAsia" w:cstheme="minorEastAsia"/>
          <w:sz w:val="24"/>
          <w:szCs w:val="24"/>
        </w:rPr>
        <w:t>（6）发包人有权对施工图审查范围进行适当调整(增加或减少)。</w:t>
      </w:r>
    </w:p>
    <w:p>
      <w:pPr>
        <w:widowControl/>
        <w:numPr>
          <w:ilvl w:val="0"/>
          <w:numId w:val="1"/>
        </w:numPr>
        <w:spacing w:before="156" w:beforeLines="50" w:after="156" w:afterLines="50" w:line="360" w:lineRule="auto"/>
        <w:ind w:left="760" w:hanging="403"/>
        <w:jc w:val="left"/>
        <w:rPr>
          <w:rFonts w:ascii="宋体" w:hAnsi="宋体" w:cs="宋体"/>
          <w:b/>
          <w:bCs/>
          <w:sz w:val="24"/>
        </w:rPr>
      </w:pPr>
      <w:r>
        <w:rPr>
          <w:rFonts w:hint="eastAsia" w:ascii="宋体" w:hAnsi="宋体" w:cs="宋体"/>
          <w:b/>
          <w:bCs/>
          <w:sz w:val="24"/>
        </w:rPr>
        <w:t>投标人资格要求</w:t>
      </w:r>
    </w:p>
    <w:p>
      <w:pPr>
        <w:shd w:val="clear" w:color="auto" w:fill="FFFFFF"/>
        <w:spacing w:line="360" w:lineRule="auto"/>
        <w:ind w:firstLine="537" w:firstLineChars="224"/>
        <w:rPr>
          <w:rFonts w:ascii="宋体" w:hAnsi="宋体" w:cs="宋体"/>
          <w:sz w:val="24"/>
          <w:szCs w:val="24"/>
          <w:shd w:val="clear" w:color="auto" w:fill="FFFFFF"/>
        </w:rPr>
      </w:pPr>
      <w:r>
        <w:rPr>
          <w:rFonts w:hint="eastAsia" w:ascii="宋体" w:hAnsi="宋体" w:cs="宋体"/>
          <w:sz w:val="24"/>
          <w:szCs w:val="24"/>
          <w:shd w:val="clear" w:color="auto" w:fill="FFFFFF"/>
        </w:rPr>
        <w:t>3.1</w:t>
      </w:r>
      <w:r>
        <w:rPr>
          <w:rFonts w:hint="eastAsia" w:ascii="宋体" w:hAnsi="宋体" w:cs="宋体"/>
          <w:sz w:val="24"/>
          <w:szCs w:val="24"/>
        </w:rPr>
        <w:t>投标人具有独立法人资格，持有事业单位登记管理部门核发的事业单位法人证书或市场监管部门（或工商行政管理部门）核发的企业法人营业执照，且在有效期内，按国家法律经营；</w:t>
      </w:r>
    </w:p>
    <w:p>
      <w:pPr>
        <w:shd w:val="clear" w:color="auto" w:fill="FFFFFF"/>
        <w:spacing w:line="360" w:lineRule="auto"/>
        <w:ind w:firstLine="537" w:firstLineChars="224"/>
        <w:rPr>
          <w:rFonts w:ascii="宋体" w:hAnsi="宋体" w:cs="宋体"/>
          <w:sz w:val="24"/>
          <w:szCs w:val="24"/>
          <w:shd w:val="clear" w:color="auto" w:fill="FFFFFF"/>
        </w:rPr>
      </w:pPr>
      <w:r>
        <w:rPr>
          <w:rFonts w:hint="eastAsia" w:ascii="宋体" w:hAnsi="宋体" w:cs="宋体"/>
          <w:sz w:val="24"/>
          <w:szCs w:val="24"/>
          <w:shd w:val="clear" w:color="auto" w:fill="FFFFFF"/>
        </w:rPr>
        <w:t>3.2投标人具备以下相应资质：</w:t>
      </w:r>
    </w:p>
    <w:p>
      <w:pPr>
        <w:spacing w:line="360" w:lineRule="auto"/>
        <w:ind w:firstLine="424" w:firstLineChars="177"/>
        <w:rPr>
          <w:rFonts w:ascii="宋体" w:hAnsi="宋体" w:cs="宋体"/>
          <w:sz w:val="24"/>
          <w:szCs w:val="24"/>
        </w:rPr>
      </w:pPr>
      <w:r>
        <w:rPr>
          <w:rFonts w:hint="eastAsia" w:ascii="宋体" w:hAnsi="宋体" w:cs="宋体"/>
          <w:sz w:val="24"/>
          <w:szCs w:val="24"/>
        </w:rPr>
        <w:t>（1）</w:t>
      </w:r>
      <w:r>
        <w:rPr>
          <w:rFonts w:hint="eastAsia"/>
          <w:sz w:val="24"/>
          <w:szCs w:val="24"/>
        </w:rPr>
        <w:t>投标人具备建设行政主管部门颁发的施工图设计文件审查机构名录备案证书一类（审查业务范围包括房屋建筑（含超限高层）工程），提供证明文件。</w:t>
      </w:r>
    </w:p>
    <w:p>
      <w:pPr>
        <w:shd w:val="clear" w:color="auto" w:fill="FFFFFF"/>
        <w:spacing w:line="360" w:lineRule="auto"/>
        <w:ind w:firstLine="537" w:firstLineChars="224"/>
        <w:rPr>
          <w:rFonts w:hint="eastAsia" w:ascii="宋体" w:hAnsi="宋体" w:eastAsia="宋体" w:cs="宋体"/>
          <w:sz w:val="24"/>
          <w:szCs w:val="24"/>
          <w:u w:val="single"/>
          <w:shd w:val="clear" w:color="auto" w:fill="FFFFFF"/>
          <w:lang w:val="en-US" w:eastAsia="zh-CN"/>
        </w:rPr>
      </w:pPr>
      <w:r>
        <w:rPr>
          <w:rFonts w:hint="eastAsia" w:ascii="宋体" w:hAnsi="宋体" w:cs="宋体"/>
          <w:sz w:val="24"/>
          <w:szCs w:val="24"/>
        </w:rPr>
        <w:t>3.3</w:t>
      </w:r>
      <w:r>
        <w:rPr>
          <w:rFonts w:hint="eastAsia"/>
          <w:sz w:val="24"/>
          <w:szCs w:val="24"/>
        </w:rPr>
        <w:t>拟派项目负责人须具备建筑相关专业高级工程师或以上职称。项目负责人需为本单位职工，</w:t>
      </w:r>
      <w:r>
        <w:rPr>
          <w:rFonts w:hint="eastAsia"/>
          <w:sz w:val="24"/>
          <w:szCs w:val="24"/>
          <w:lang w:eastAsia="zh-CN"/>
        </w:rPr>
        <w:t>并提供近一个月（2024年2月或3月）在本投标单位购买社保的证明材料</w:t>
      </w:r>
      <w:r>
        <w:rPr>
          <w:rFonts w:hint="eastAsia"/>
          <w:sz w:val="24"/>
          <w:szCs w:val="24"/>
        </w:rPr>
        <w:t>，且不得为退休人员，提供证明文件。</w:t>
      </w:r>
      <w:r>
        <w:rPr>
          <w:rFonts w:hint="eastAsia"/>
          <w:sz w:val="24"/>
          <w:szCs w:val="24"/>
          <w:lang w:val="en-US" w:eastAsia="zh-CN"/>
        </w:rPr>
        <w:tab/>
      </w:r>
    </w:p>
    <w:p>
      <w:pPr>
        <w:tabs>
          <w:tab w:val="left" w:pos="0"/>
          <w:tab w:val="left" w:pos="795"/>
        </w:tabs>
        <w:adjustRightInd w:val="0"/>
        <w:spacing w:line="360" w:lineRule="auto"/>
        <w:ind w:firstLine="562"/>
        <w:rPr>
          <w:rFonts w:ascii="宋体" w:hAnsi="宋体" w:cs="宋体"/>
          <w:bCs/>
          <w:sz w:val="24"/>
          <w:szCs w:val="24"/>
        </w:rPr>
      </w:pPr>
      <w:r>
        <w:rPr>
          <w:rFonts w:hint="eastAsia" w:ascii="宋体" w:hAnsi="宋体" w:cs="宋体"/>
          <w:bCs/>
          <w:sz w:val="24"/>
          <w:szCs w:val="24"/>
        </w:rPr>
        <w:t>3.4关于联合体投标：</w:t>
      </w:r>
    </w:p>
    <w:p>
      <w:pPr>
        <w:adjustRightInd w:val="0"/>
        <w:spacing w:line="360" w:lineRule="auto"/>
        <w:ind w:firstLine="56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本项目</w:t>
      </w:r>
      <w:r>
        <w:rPr>
          <w:rFonts w:hint="eastAsia" w:ascii="宋体" w:hAnsi="宋体" w:cs="宋体"/>
          <w:bCs/>
          <w:sz w:val="24"/>
          <w:szCs w:val="24"/>
          <w:u w:val="single"/>
        </w:rPr>
        <w:t xml:space="preserve"> 不接受 </w:t>
      </w:r>
      <w:r>
        <w:rPr>
          <w:rFonts w:hint="eastAsia" w:ascii="宋体" w:hAnsi="宋体" w:cs="宋体"/>
          <w:bCs/>
          <w:sz w:val="24"/>
          <w:szCs w:val="24"/>
        </w:rPr>
        <w:t>联合体投标。</w:t>
      </w:r>
    </w:p>
    <w:p>
      <w:pPr>
        <w:shd w:val="clear" w:color="auto" w:fill="FFFFFF"/>
        <w:spacing w:line="360" w:lineRule="auto"/>
        <w:ind w:firstLine="537" w:firstLineChars="224"/>
        <w:rPr>
          <w:rFonts w:ascii="宋体" w:hAnsi="宋体" w:cs="宋体"/>
          <w:sz w:val="24"/>
          <w:szCs w:val="24"/>
          <w:shd w:val="clear" w:color="auto" w:fill="FFFFFF"/>
        </w:rPr>
      </w:pPr>
      <w:r>
        <w:rPr>
          <w:rFonts w:hint="eastAsia" w:ascii="宋体" w:hAnsi="宋体" w:cs="宋体"/>
          <w:sz w:val="24"/>
          <w:szCs w:val="24"/>
          <w:shd w:val="clear" w:color="auto" w:fill="FFFFFF"/>
        </w:rPr>
        <w:t>3.5其他要求：</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u w:val="single"/>
        </w:rPr>
        <w:t>①投标人参加投标的意思表达清楚，投标人代表被授权有效；</w:t>
      </w:r>
    </w:p>
    <w:p>
      <w:pPr>
        <w:shd w:val="clear" w:color="auto" w:fill="FFFFFF"/>
        <w:spacing w:line="360" w:lineRule="auto"/>
        <w:ind w:firstLine="537" w:firstLineChars="224"/>
        <w:jc w:val="left"/>
        <w:rPr>
          <w:rFonts w:ascii="宋体" w:hAnsi="宋体" w:cs="宋体"/>
          <w:sz w:val="24"/>
          <w:szCs w:val="24"/>
          <w:u w:val="single"/>
        </w:rPr>
      </w:pPr>
      <w:r>
        <w:rPr>
          <w:rFonts w:hint="eastAsia" w:ascii="宋体" w:hAnsi="宋体" w:cs="宋体"/>
          <w:sz w:val="24"/>
          <w:szCs w:val="24"/>
          <w:u w:val="single"/>
        </w:rPr>
        <w:t>②投标人已按照附件一的内容签署盖章《投标人声明》；</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u w:val="single"/>
        </w:rPr>
        <w:t>③投标人未出现以下情形：与本项目其它投标人的单位负责人为同一人或者存在控股、管理关系的（按投标人提供的《投标人声明》第七条内容进行评审）。如不同投标申请人出现单位负责人为同一人或者存在控股、管理关系的情形，则相关投标均无效；</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u w:val="single"/>
        </w:rPr>
        <w:fldChar w:fldCharType="begin"/>
      </w:r>
      <w:r>
        <w:rPr>
          <w:rFonts w:hint="eastAsia" w:ascii="宋体" w:hAnsi="宋体" w:cs="宋体"/>
          <w:sz w:val="24"/>
          <w:szCs w:val="24"/>
          <w:u w:val="single"/>
        </w:rPr>
        <w:instrText xml:space="preserve"> = 4 \* GB3 </w:instrText>
      </w:r>
      <w:r>
        <w:rPr>
          <w:rFonts w:hint="eastAsia" w:ascii="宋体" w:hAnsi="宋体" w:cs="宋体"/>
          <w:sz w:val="24"/>
          <w:szCs w:val="24"/>
          <w:u w:val="single"/>
        </w:rPr>
        <w:fldChar w:fldCharType="separate"/>
      </w:r>
      <w:r>
        <w:rPr>
          <w:rFonts w:hint="eastAsia" w:ascii="宋体" w:hAnsi="宋体" w:cs="宋体"/>
          <w:sz w:val="24"/>
          <w:szCs w:val="24"/>
          <w:u w:val="single"/>
        </w:rPr>
        <w:t>④</w:t>
      </w:r>
      <w:r>
        <w:rPr>
          <w:rFonts w:hint="eastAsia" w:ascii="宋体" w:hAnsi="宋体" w:cs="宋体"/>
          <w:sz w:val="24"/>
          <w:szCs w:val="24"/>
          <w:u w:val="single"/>
        </w:rPr>
        <w:fldChar w:fldCharType="end"/>
      </w:r>
      <w:r>
        <w:rPr>
          <w:rFonts w:hint="eastAsia" w:asciiTheme="minorEastAsia" w:hAnsiTheme="minorEastAsia" w:eastAsiaTheme="minorEastAsia" w:cstheme="minorEastAsia"/>
          <w:sz w:val="24"/>
          <w:szCs w:val="24"/>
          <w:u w:val="single"/>
        </w:rPr>
        <w:t>资格审查前，投标人须在广州市住房和城乡建设局建立企业信用档案，且本企业信用档案应在有效期内。项目负责人须是本企业诚信档案中的在册人员。企业信用档案取自投标截止时间投标人在信用管理平台的信息，投标人无需提交相关资料，若招标人延长递交投标文件截止时间的，信用档案信息的评审时点也相应延长。（信用档案办理详见《广州市住房和城乡建设局关于正式启用广州市住建行业信用管理平台的通知》http://zfcj.gz.gov.cn/gkmlpt/content/8/8041/post_8041410.html#1090。）</w:t>
      </w:r>
    </w:p>
    <w:p>
      <w:pPr>
        <w:spacing w:line="360" w:lineRule="auto"/>
        <w:ind w:firstLine="480" w:firstLineChars="200"/>
        <w:jc w:val="left"/>
        <w:rPr>
          <w:rFonts w:ascii="宋体" w:hAnsi="宋体" w:cs="宋体"/>
          <w:sz w:val="24"/>
          <w:szCs w:val="24"/>
          <w:u w:val="single"/>
        </w:rPr>
      </w:pPr>
    </w:p>
    <w:p>
      <w:pPr>
        <w:spacing w:line="360" w:lineRule="auto"/>
        <w:ind w:firstLine="482" w:firstLineChars="200"/>
        <w:jc w:val="left"/>
        <w:rPr>
          <w:rFonts w:ascii="宋体" w:hAnsi="宋体" w:cs="宋体"/>
          <w:b/>
          <w:bCs/>
          <w:sz w:val="24"/>
        </w:rPr>
      </w:pPr>
      <w:r>
        <w:rPr>
          <w:rFonts w:ascii="宋体" w:hAnsi="宋体" w:cs="宋体"/>
          <w:b/>
          <w:bCs/>
          <w:sz w:val="24"/>
        </w:rPr>
        <w:t>4.</w:t>
      </w:r>
      <w:r>
        <w:rPr>
          <w:rFonts w:hint="eastAsia" w:ascii="宋体" w:hAnsi="宋体" w:cs="宋体"/>
          <w:b/>
          <w:bCs/>
          <w:sz w:val="24"/>
        </w:rPr>
        <w:t>招标文件的获取</w:t>
      </w:r>
    </w:p>
    <w:p>
      <w:pPr>
        <w:spacing w:line="360" w:lineRule="auto"/>
        <w:ind w:firstLine="480" w:firstLineChars="200"/>
        <w:rPr>
          <w:rFonts w:ascii="宋体" w:hAnsi="宋体" w:cs="宋体"/>
          <w:sz w:val="24"/>
        </w:rPr>
      </w:pPr>
      <w:r>
        <w:rPr>
          <w:rFonts w:ascii="宋体" w:hAnsi="宋体" w:cs="宋体"/>
          <w:sz w:val="24"/>
        </w:rPr>
        <w:t>4.1</w:t>
      </w:r>
      <w:r>
        <w:rPr>
          <w:rFonts w:hint="eastAsia" w:ascii="宋体" w:hAnsi="宋体" w:cs="宋体"/>
          <w:sz w:val="24"/>
        </w:rPr>
        <w:t>凡有意参加投标者，请于</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03</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r>
        <w:rPr>
          <w:rFonts w:hint="eastAsia" w:ascii="宋体" w:hAnsi="宋体" w:cs="宋体"/>
          <w:sz w:val="24"/>
          <w:u w:val="single"/>
          <w:lang w:val="en-US" w:eastAsia="zh-CN"/>
        </w:rPr>
        <w:t>00</w:t>
      </w:r>
      <w:r>
        <w:rPr>
          <w:rFonts w:hint="eastAsia" w:ascii="宋体" w:hAnsi="宋体" w:cs="宋体"/>
          <w:sz w:val="24"/>
          <w:u w:val="single"/>
        </w:rPr>
        <w:t>时</w:t>
      </w:r>
      <w:r>
        <w:rPr>
          <w:rFonts w:hint="eastAsia" w:ascii="宋体" w:hAnsi="宋体" w:cs="宋体"/>
          <w:sz w:val="24"/>
          <w:u w:val="single"/>
          <w:lang w:val="en-US" w:eastAsia="zh-CN"/>
        </w:rPr>
        <w:t>00</w:t>
      </w:r>
      <w:r>
        <w:rPr>
          <w:rFonts w:hint="eastAsia" w:ascii="宋体" w:hAnsi="宋体" w:cs="宋体"/>
          <w:sz w:val="24"/>
          <w:u w:val="single"/>
        </w:rPr>
        <w:t>分至</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10</w:t>
      </w:r>
      <w:r>
        <w:rPr>
          <w:rFonts w:hint="eastAsia" w:ascii="宋体" w:hAnsi="宋体" w:cs="宋体"/>
          <w:sz w:val="24"/>
          <w:u w:val="single"/>
        </w:rPr>
        <w:t>时</w:t>
      </w:r>
      <w:r>
        <w:rPr>
          <w:rFonts w:hint="eastAsia" w:ascii="宋体" w:hAnsi="宋体" w:cs="宋体"/>
          <w:sz w:val="24"/>
          <w:u w:val="single"/>
          <w:lang w:val="en-US" w:eastAsia="zh-CN"/>
        </w:rPr>
        <w:t>00</w:t>
      </w:r>
      <w:r>
        <w:rPr>
          <w:rFonts w:hint="eastAsia" w:ascii="宋体" w:hAnsi="宋体" w:cs="宋体"/>
          <w:sz w:val="24"/>
          <w:u w:val="single"/>
        </w:rPr>
        <w:t>分</w:t>
      </w:r>
      <w:r>
        <w:rPr>
          <w:rFonts w:ascii="宋体" w:hAnsi="宋体" w:cs="宋体"/>
          <w:sz w:val="24"/>
        </w:rPr>
        <w:t>(</w:t>
      </w:r>
      <w:r>
        <w:rPr>
          <w:rFonts w:hint="eastAsia" w:ascii="宋体" w:hAnsi="宋体" w:cs="宋体"/>
          <w:sz w:val="24"/>
        </w:rPr>
        <w:t>北京时间，下同</w:t>
      </w:r>
      <w:r>
        <w:rPr>
          <w:rFonts w:ascii="宋体" w:hAnsi="宋体" w:cs="宋体"/>
          <w:sz w:val="24"/>
        </w:rPr>
        <w:t>)</w:t>
      </w:r>
      <w:r>
        <w:rPr>
          <w:rFonts w:hint="eastAsia" w:ascii="宋体" w:hAnsi="宋体" w:cs="宋体"/>
          <w:sz w:val="24"/>
        </w:rPr>
        <w:t>，登录广州公共资源交易中心网站（</w:t>
      </w:r>
      <w:r>
        <w:rPr>
          <w:rFonts w:ascii="宋体" w:hAnsi="宋体" w:cs="宋体"/>
          <w:sz w:val="24"/>
        </w:rPr>
        <w:t>http//www.gzggzy.cn</w:t>
      </w:r>
      <w:r>
        <w:rPr>
          <w:rFonts w:hint="eastAsia" w:ascii="宋体" w:hAnsi="宋体" w:cs="宋体"/>
          <w:sz w:val="24"/>
        </w:rPr>
        <w:t>）下载电子招标文件。</w:t>
      </w:r>
    </w:p>
    <w:p>
      <w:pPr>
        <w:spacing w:line="360" w:lineRule="auto"/>
        <w:ind w:firstLine="480" w:firstLineChars="200"/>
        <w:rPr>
          <w:rFonts w:ascii="宋体" w:hAnsi="宋体" w:cs="宋体"/>
          <w:sz w:val="24"/>
        </w:rPr>
      </w:pPr>
      <w:r>
        <w:rPr>
          <w:rFonts w:ascii="宋体" w:hAnsi="宋体" w:cs="宋体"/>
          <w:sz w:val="24"/>
        </w:rPr>
        <w:t xml:space="preserve">4.2 </w:t>
      </w:r>
      <w:r>
        <w:rPr>
          <w:rFonts w:hint="eastAsia" w:ascii="宋体" w:hAnsi="宋体" w:cs="宋体"/>
          <w:sz w:val="24"/>
        </w:rPr>
        <w:t>发布招标公告时间（含本日）：</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03</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r>
        <w:rPr>
          <w:rFonts w:hint="eastAsia" w:ascii="宋体" w:hAnsi="宋体" w:cs="宋体"/>
          <w:sz w:val="24"/>
          <w:u w:val="single"/>
          <w:lang w:val="en-US" w:eastAsia="zh-CN"/>
        </w:rPr>
        <w:t>00</w:t>
      </w:r>
      <w:r>
        <w:rPr>
          <w:rFonts w:hint="eastAsia" w:ascii="宋体" w:hAnsi="宋体" w:cs="宋体"/>
          <w:sz w:val="24"/>
          <w:u w:val="single"/>
        </w:rPr>
        <w:t>时</w:t>
      </w:r>
      <w:r>
        <w:rPr>
          <w:rFonts w:hint="eastAsia" w:ascii="宋体" w:hAnsi="宋体" w:cs="宋体"/>
          <w:sz w:val="24"/>
          <w:u w:val="single"/>
          <w:lang w:val="en-US" w:eastAsia="zh-CN"/>
        </w:rPr>
        <w:t>00</w:t>
      </w:r>
      <w:r>
        <w:rPr>
          <w:rFonts w:hint="eastAsia" w:ascii="宋体" w:hAnsi="宋体" w:cs="宋体"/>
          <w:sz w:val="24"/>
          <w:u w:val="single"/>
        </w:rPr>
        <w:t>分至</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10</w:t>
      </w:r>
      <w:r>
        <w:rPr>
          <w:rFonts w:hint="eastAsia" w:ascii="宋体" w:hAnsi="宋体" w:cs="宋体"/>
          <w:sz w:val="24"/>
          <w:u w:val="single"/>
        </w:rPr>
        <w:t>时</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注：发布招标公告的时间为招标公告发出之日起至递交投标文件截止时间止。</w:t>
      </w:r>
    </w:p>
    <w:p>
      <w:pPr>
        <w:spacing w:line="360" w:lineRule="auto"/>
        <w:ind w:firstLine="480" w:firstLineChars="200"/>
        <w:rPr>
          <w:rFonts w:ascii="宋体" w:hAnsi="宋体" w:cs="宋体"/>
          <w:sz w:val="24"/>
        </w:rPr>
      </w:pPr>
      <w:r>
        <w:rPr>
          <w:rFonts w:ascii="宋体" w:hAnsi="宋体" w:cs="宋体"/>
          <w:sz w:val="24"/>
        </w:rPr>
        <w:t>4.2.1</w:t>
      </w:r>
      <w:r>
        <w:rPr>
          <w:rFonts w:hint="eastAsia" w:ascii="宋体" w:hAnsi="宋体" w:cs="宋体"/>
          <w:sz w:val="24"/>
        </w:rPr>
        <w:t>投标人通过</w:t>
      </w:r>
      <w:r>
        <w:rPr>
          <w:rFonts w:hint="eastAsia" w:ascii="宋体" w:hAnsi="宋体" w:cs="宋体"/>
          <w:sz w:val="24"/>
          <w:u w:val="single"/>
        </w:rPr>
        <w:t>广州公共资源交易中心</w:t>
      </w:r>
      <w:r>
        <w:rPr>
          <w:rFonts w:hint="eastAsia" w:ascii="宋体" w:hAnsi="宋体" w:cs="宋体"/>
          <w:sz w:val="24"/>
        </w:rPr>
        <w:t>交易平台递交电子投标文件。投标人应在递交投标文件截止时间前，登录</w:t>
      </w:r>
      <w:r>
        <w:rPr>
          <w:rFonts w:hint="eastAsia" w:ascii="宋体" w:hAnsi="宋体" w:cs="宋体"/>
          <w:sz w:val="24"/>
          <w:u w:val="single"/>
        </w:rPr>
        <w:t>广州公共资源交易中心</w:t>
      </w:r>
      <w:r>
        <w:rPr>
          <w:rFonts w:hint="eastAsia" w:ascii="宋体" w:hAnsi="宋体" w:cs="宋体"/>
          <w:sz w:val="24"/>
        </w:rPr>
        <w:t>交易平台网站办理网上投标登记手续。按照交易平台关于全流程电子化项目的相关指南进行操作。详见：</w:t>
      </w:r>
      <w:r>
        <w:rPr>
          <w:rFonts w:hint="eastAsia" w:ascii="宋体" w:hAnsi="宋体" w:cs="宋体"/>
          <w:sz w:val="24"/>
          <w:u w:val="single"/>
        </w:rPr>
        <w:t>广州公共资源交易中心网站</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4.2.2</w:t>
      </w:r>
      <w:r>
        <w:rPr>
          <w:rFonts w:hint="eastAsia" w:ascii="宋体" w:hAnsi="宋体" w:cs="宋体"/>
          <w:sz w:val="24"/>
        </w:rPr>
        <w:t>开标时间：</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10</w:t>
      </w:r>
      <w:r>
        <w:rPr>
          <w:rFonts w:hint="eastAsia" w:ascii="宋体" w:hAnsi="宋体" w:cs="宋体"/>
          <w:sz w:val="24"/>
          <w:u w:val="single"/>
        </w:rPr>
        <w:t>时</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 xml:space="preserve">4.3 </w:t>
      </w:r>
      <w:r>
        <w:rPr>
          <w:rFonts w:hint="eastAsia" w:ascii="宋体" w:hAnsi="宋体" w:cs="宋体"/>
          <w:sz w:val="24"/>
        </w:rPr>
        <w:t>本项目采用资格后审方式。</w:t>
      </w:r>
    </w:p>
    <w:p>
      <w:pPr>
        <w:spacing w:line="360" w:lineRule="auto"/>
        <w:ind w:firstLine="480" w:firstLineChars="200"/>
        <w:rPr>
          <w:rFonts w:ascii="宋体" w:hAnsi="宋体" w:cs="宋体"/>
          <w:sz w:val="24"/>
        </w:rPr>
      </w:pPr>
      <w:r>
        <w:rPr>
          <w:rFonts w:hint="eastAsia" w:ascii="宋体" w:hAnsi="宋体" w:cs="宋体"/>
          <w:sz w:val="24"/>
        </w:rPr>
        <w:t>注：（</w:t>
      </w:r>
      <w:r>
        <w:rPr>
          <w:rFonts w:ascii="宋体" w:hAnsi="宋体" w:cs="宋体"/>
          <w:sz w:val="24"/>
        </w:rPr>
        <w:t>1</w:t>
      </w:r>
      <w:r>
        <w:rPr>
          <w:rFonts w:hint="eastAsia" w:ascii="宋体" w:hAnsi="宋体" w:cs="宋体"/>
          <w:sz w:val="24"/>
        </w:rPr>
        <w:t>）电子招投标操作流程详见</w:t>
      </w:r>
      <w:r>
        <w:rPr>
          <w:rFonts w:hint="eastAsia" w:ascii="宋体" w:hAnsi="宋体" w:cs="宋体"/>
          <w:sz w:val="24"/>
          <w:u w:val="single"/>
        </w:rPr>
        <w:t>广州公共资源交易中心网站发布的最新版操作指引</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）本公告发布之日起开始计算备标时间。</w:t>
      </w:r>
    </w:p>
    <w:p>
      <w:pPr>
        <w:spacing w:line="360" w:lineRule="auto"/>
        <w:ind w:firstLine="480" w:firstLineChars="200"/>
        <w:rPr>
          <w:rFonts w:ascii="宋体" w:hAnsi="宋体" w:cs="宋体"/>
          <w:sz w:val="24"/>
        </w:rPr>
      </w:pPr>
      <w:r>
        <w:rPr>
          <w:rFonts w:ascii="宋体" w:hAnsi="宋体" w:cs="宋体"/>
          <w:sz w:val="24"/>
        </w:rPr>
        <w:t>4.4</w:t>
      </w:r>
      <w:r>
        <w:rPr>
          <w:rFonts w:hint="eastAsia" w:ascii="宋体" w:hAnsi="宋体" w:cs="宋体"/>
          <w:sz w:val="24"/>
          <w:szCs w:val="24"/>
        </w:rPr>
        <w:t>潜在投标人或利害关系人对本招标公告及招标内容异议的，可以通过线下或线上的形式提出异议。线上提出异议的，应通过交易平台提交，招标人也应通过交易平台答复线上提出的异议。具体按照交易平台相关指南进行操作。作出答复前，应当暂停招标投标活动</w:t>
      </w:r>
      <w:r>
        <w:rPr>
          <w:rFonts w:hint="eastAsia" w:ascii="宋体" w:hAnsi="宋体" w:cs="宋体"/>
          <w:sz w:val="24"/>
        </w:rPr>
        <w:t>。</w:t>
      </w:r>
    </w:p>
    <w:p>
      <w:pPr>
        <w:widowControl/>
        <w:spacing w:before="156" w:beforeLines="50" w:after="156" w:afterLines="50" w:line="360" w:lineRule="auto"/>
        <w:ind w:firstLine="482" w:firstLineChars="200"/>
        <w:jc w:val="left"/>
        <w:rPr>
          <w:rFonts w:ascii="宋体" w:hAnsi="宋体" w:cs="宋体"/>
          <w:b/>
          <w:bCs/>
          <w:sz w:val="24"/>
        </w:rPr>
      </w:pPr>
      <w:r>
        <w:rPr>
          <w:rFonts w:ascii="宋体" w:hAnsi="宋体" w:cs="宋体"/>
          <w:b/>
          <w:bCs/>
          <w:sz w:val="24"/>
        </w:rPr>
        <w:t>5.</w:t>
      </w:r>
      <w:r>
        <w:rPr>
          <w:rFonts w:hint="eastAsia" w:ascii="宋体" w:hAnsi="宋体" w:cs="宋体"/>
          <w:b/>
          <w:bCs/>
          <w:sz w:val="24"/>
        </w:rPr>
        <w:t>投标文件的递交</w:t>
      </w:r>
    </w:p>
    <w:p>
      <w:pPr>
        <w:tabs>
          <w:tab w:val="left" w:pos="360"/>
        </w:tabs>
        <w:spacing w:line="360" w:lineRule="auto"/>
        <w:ind w:left="237" w:leftChars="113" w:firstLine="240" w:firstLineChars="100"/>
        <w:rPr>
          <w:rFonts w:ascii="宋体" w:hAnsi="宋体" w:cs="宋体"/>
          <w:sz w:val="24"/>
        </w:rPr>
      </w:pPr>
      <w:r>
        <w:rPr>
          <w:rFonts w:ascii="宋体" w:hAnsi="宋体" w:cs="宋体"/>
          <w:sz w:val="24"/>
        </w:rPr>
        <w:t>5.1</w:t>
      </w:r>
      <w:r>
        <w:rPr>
          <w:rFonts w:hint="eastAsia" w:ascii="宋体" w:hAnsi="宋体" w:cs="宋体"/>
          <w:sz w:val="24"/>
        </w:rPr>
        <w:t>投标文件递交的截止时间（投标截止时间，下同）为</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10</w:t>
      </w:r>
      <w:r>
        <w:rPr>
          <w:rFonts w:hint="eastAsia" w:ascii="宋体" w:hAnsi="宋体" w:cs="宋体"/>
          <w:sz w:val="24"/>
          <w:u w:val="single"/>
        </w:rPr>
        <w:t>时</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，投标人应在截止时间前通过</w:t>
      </w:r>
      <w:r>
        <w:rPr>
          <w:rFonts w:hint="eastAsia" w:ascii="宋体" w:hAnsi="宋体" w:cs="宋体"/>
          <w:sz w:val="24"/>
          <w:u w:val="single"/>
        </w:rPr>
        <w:t>广州公共资源交易中心网站（</w:t>
      </w:r>
      <w:r>
        <w:rPr>
          <w:rFonts w:ascii="宋体" w:hAnsi="宋体" w:cs="宋体"/>
          <w:sz w:val="24"/>
          <w:u w:val="single"/>
        </w:rPr>
        <w:t>http://www.gzggzy.cn</w:t>
      </w:r>
      <w:r>
        <w:rPr>
          <w:rFonts w:hint="eastAsia" w:ascii="宋体" w:hAnsi="宋体" w:cs="宋体"/>
          <w:sz w:val="24"/>
          <w:u w:val="single"/>
        </w:rPr>
        <w:t>）</w:t>
      </w:r>
      <w:r>
        <w:rPr>
          <w:rFonts w:hint="eastAsia" w:ascii="宋体" w:hAnsi="宋体" w:cs="宋体"/>
          <w:sz w:val="24"/>
        </w:rPr>
        <w:t>递交电子投标文件。</w:t>
      </w:r>
    </w:p>
    <w:p>
      <w:pPr>
        <w:tabs>
          <w:tab w:val="left" w:pos="360"/>
        </w:tabs>
        <w:spacing w:line="360" w:lineRule="auto"/>
        <w:ind w:left="10" w:firstLine="468" w:firstLineChars="195"/>
        <w:rPr>
          <w:rFonts w:ascii="宋体" w:hAnsi="宋体" w:cs="宋体"/>
          <w:sz w:val="24"/>
        </w:rPr>
      </w:pPr>
      <w:r>
        <w:rPr>
          <w:rFonts w:hint="eastAsia" w:ascii="宋体" w:hAnsi="宋体" w:cs="宋体"/>
          <w:sz w:val="24"/>
        </w:rPr>
        <w:t>递交备用投标文件电子光盘的规定：时间为：</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时</w:t>
      </w:r>
      <w:r>
        <w:rPr>
          <w:rFonts w:hint="eastAsia" w:ascii="宋体" w:hAnsi="宋体" w:cs="宋体"/>
          <w:sz w:val="24"/>
          <w:u w:val="single"/>
          <w:lang w:val="en-US" w:eastAsia="zh-CN"/>
        </w:rPr>
        <w:t>45</w:t>
      </w:r>
      <w:r>
        <w:rPr>
          <w:rFonts w:hint="eastAsia" w:ascii="宋体" w:hAnsi="宋体" w:cs="宋体"/>
          <w:sz w:val="24"/>
          <w:u w:val="single"/>
        </w:rPr>
        <w:t>分至</w:t>
      </w:r>
      <w:r>
        <w:rPr>
          <w:rFonts w:ascii="宋体" w:hAnsi="宋体" w:cs="宋体"/>
          <w:sz w:val="24"/>
          <w:u w:val="single"/>
        </w:rPr>
        <w:t>202</w:t>
      </w:r>
      <w:r>
        <w:rPr>
          <w:rFonts w:hint="eastAsia" w:ascii="宋体" w:hAnsi="宋体" w:cs="宋体"/>
          <w:sz w:val="24"/>
          <w:u w:val="single"/>
        </w:rPr>
        <w:t>4年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10</w:t>
      </w:r>
      <w:r>
        <w:rPr>
          <w:rFonts w:hint="eastAsia" w:ascii="宋体" w:hAnsi="宋体" w:cs="宋体"/>
          <w:sz w:val="24"/>
          <w:u w:val="single"/>
        </w:rPr>
        <w:t>时</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；地点：</w:t>
      </w:r>
      <w:r>
        <w:rPr>
          <w:rFonts w:hint="eastAsia" w:ascii="宋体" w:hAnsi="宋体" w:cs="宋体"/>
          <w:sz w:val="24"/>
          <w:u w:val="single"/>
        </w:rPr>
        <w:t>广州公共资源交易中心开标室</w:t>
      </w:r>
      <w:r>
        <w:rPr>
          <w:rFonts w:hint="eastAsia" w:ascii="宋体" w:hAnsi="宋体" w:cs="宋体"/>
          <w:sz w:val="24"/>
        </w:rPr>
        <w:t>。（电子光盘需按规定封装。投标人将数据刻录到光盘之后，投标前自行检查文件是否可以读取。）</w:t>
      </w:r>
      <w:bookmarkStart w:id="10" w:name="_GoBack"/>
      <w:bookmarkEnd w:id="10"/>
    </w:p>
    <w:p>
      <w:pPr>
        <w:tabs>
          <w:tab w:val="left" w:pos="1100"/>
        </w:tabs>
        <w:spacing w:line="360" w:lineRule="auto"/>
        <w:ind w:firstLine="480" w:firstLineChars="200"/>
        <w:jc w:val="left"/>
        <w:rPr>
          <w:rFonts w:ascii="宋体" w:hAnsi="宋体" w:cs="宋体"/>
          <w:sz w:val="24"/>
        </w:rPr>
      </w:pPr>
      <w:r>
        <w:rPr>
          <w:rFonts w:ascii="宋体" w:hAnsi="宋体" w:cs="宋体"/>
          <w:sz w:val="24"/>
        </w:rPr>
        <w:t xml:space="preserve">5.2  </w:t>
      </w:r>
      <w:r>
        <w:rPr>
          <w:rFonts w:hint="eastAsia" w:ascii="宋体" w:hAnsi="宋体" w:cs="宋体"/>
          <w:sz w:val="24"/>
        </w:rPr>
        <w:t>采取电子投标时，逾期送达的投标文件，电子招标投标交易平台将予以拒收。逾期未上传成功的电子投标文件，招标人拒绝接收。</w:t>
      </w:r>
    </w:p>
    <w:p>
      <w:pPr>
        <w:widowControl/>
        <w:spacing w:before="156" w:beforeLines="50" w:after="156" w:afterLines="50" w:line="360" w:lineRule="auto"/>
        <w:jc w:val="left"/>
        <w:rPr>
          <w:rFonts w:ascii="宋体" w:hAnsi="宋体" w:cs="宋体"/>
          <w:b/>
          <w:bCs/>
          <w:sz w:val="24"/>
        </w:rPr>
      </w:pPr>
      <w:r>
        <w:rPr>
          <w:rFonts w:ascii="宋体" w:hAnsi="宋体" w:cs="宋体"/>
          <w:b/>
          <w:bCs/>
          <w:sz w:val="24"/>
        </w:rPr>
        <w:t>6.</w:t>
      </w:r>
      <w:r>
        <w:rPr>
          <w:rFonts w:hint="eastAsia" w:ascii="宋体" w:hAnsi="宋体" w:cs="宋体"/>
          <w:b/>
          <w:bCs/>
          <w:sz w:val="24"/>
        </w:rPr>
        <w:t>发布公告的媒介</w:t>
      </w:r>
    </w:p>
    <w:p>
      <w:pPr>
        <w:spacing w:line="360" w:lineRule="auto"/>
        <w:ind w:firstLine="480" w:firstLineChars="200"/>
        <w:rPr>
          <w:rFonts w:ascii="宋体" w:hAnsi="宋体" w:cs="宋体"/>
          <w:sz w:val="24"/>
        </w:rPr>
      </w:pPr>
      <w:r>
        <w:rPr>
          <w:rFonts w:hint="eastAsia" w:ascii="宋体" w:hAnsi="宋体" w:cs="宋体"/>
          <w:sz w:val="24"/>
        </w:rPr>
        <w:t>本次招标公告同时在</w:t>
      </w:r>
      <w:r>
        <w:rPr>
          <w:rFonts w:hint="eastAsia" w:ascii="宋体" w:hAnsi="宋体" w:cs="宋体"/>
          <w:sz w:val="24"/>
          <w:u w:val="single"/>
        </w:rPr>
        <w:t>广州公共资源交易中心网站（</w:t>
      </w:r>
      <w:r>
        <w:rPr>
          <w:rFonts w:ascii="宋体" w:hAnsi="宋体" w:cs="宋体"/>
          <w:sz w:val="24"/>
          <w:u w:val="single"/>
        </w:rPr>
        <w:t>http://www.gzggzy.cn</w:t>
      </w:r>
      <w:r>
        <w:rPr>
          <w:rFonts w:hint="eastAsia" w:ascii="宋体" w:hAnsi="宋体" w:cs="宋体"/>
          <w:sz w:val="24"/>
          <w:u w:val="single"/>
        </w:rPr>
        <w:t>）、广东省招标投标监管网（</w:t>
      </w:r>
      <w:r>
        <w:rPr>
          <w:rFonts w:ascii="宋体" w:hAnsi="宋体" w:cs="宋体"/>
          <w:sz w:val="24"/>
          <w:u w:val="single"/>
        </w:rPr>
        <w:t>https://zbtb.gd.gov.cn/#/index</w:t>
      </w:r>
      <w:r>
        <w:rPr>
          <w:rFonts w:hint="eastAsia" w:ascii="宋体" w:hAnsi="宋体" w:cs="宋体"/>
          <w:sz w:val="24"/>
          <w:u w:val="single"/>
        </w:rPr>
        <w:t>）和中国招标投标公共服务平台（</w:t>
      </w:r>
      <w:r>
        <w:rPr>
          <w:rFonts w:ascii="宋体" w:hAnsi="宋体" w:cs="宋体"/>
          <w:sz w:val="24"/>
          <w:u w:val="single"/>
        </w:rPr>
        <w:t>http</w:t>
      </w:r>
      <w:r>
        <w:rPr>
          <w:rFonts w:hint="eastAsia" w:ascii="宋体" w:hAnsi="宋体" w:cs="宋体"/>
          <w:sz w:val="24"/>
          <w:u w:val="single"/>
        </w:rPr>
        <w:t>：</w:t>
      </w:r>
      <w:r>
        <w:rPr>
          <w:rFonts w:ascii="宋体" w:hAnsi="宋体" w:cs="宋体"/>
          <w:sz w:val="24"/>
          <w:u w:val="single"/>
        </w:rPr>
        <w:t>//www.cebpubservice.com/</w:t>
      </w:r>
      <w:r>
        <w:rPr>
          <w:rFonts w:hint="eastAsia" w:ascii="宋体" w:hAnsi="宋体" w:cs="宋体"/>
          <w:sz w:val="24"/>
          <w:u w:val="single"/>
        </w:rPr>
        <w:t>）</w:t>
      </w:r>
      <w:r>
        <w:rPr>
          <w:rFonts w:hint="eastAsia" w:ascii="宋体" w:hAnsi="宋体" w:cs="宋体"/>
          <w:sz w:val="24"/>
        </w:rPr>
        <w:t>等媒体发布上发布，本公告的修改、补充，在广州公共资源交易中心网站发布。本公告在各媒体发布的文本如有不同之处，以在广州公共资源交易中心网站发布的文本为准。</w:t>
      </w:r>
    </w:p>
    <w:p>
      <w:pPr>
        <w:widowControl/>
        <w:spacing w:before="156" w:beforeLines="50" w:after="156" w:afterLines="50" w:line="360" w:lineRule="auto"/>
        <w:jc w:val="left"/>
        <w:rPr>
          <w:rFonts w:ascii="宋体" w:hAnsi="宋体" w:cs="宋体"/>
          <w:b/>
          <w:bCs/>
          <w:sz w:val="24"/>
        </w:rPr>
      </w:pPr>
      <w:r>
        <w:rPr>
          <w:rFonts w:ascii="宋体" w:hAnsi="宋体" w:cs="宋体"/>
          <w:b/>
          <w:bCs/>
          <w:sz w:val="24"/>
        </w:rPr>
        <w:t>7.</w:t>
      </w:r>
      <w:r>
        <w:rPr>
          <w:rFonts w:hint="eastAsia" w:ascii="宋体" w:hAnsi="宋体" w:cs="宋体"/>
          <w:b/>
          <w:bCs/>
          <w:sz w:val="24"/>
        </w:rPr>
        <w:t>联系方式</w:t>
      </w:r>
    </w:p>
    <w:tbl>
      <w:tblPr>
        <w:tblStyle w:val="19"/>
        <w:tblW w:w="8533" w:type="dxa"/>
        <w:tblInd w:w="0" w:type="dxa"/>
        <w:tblLayout w:type="fixed"/>
        <w:tblCellMar>
          <w:top w:w="0" w:type="dxa"/>
          <w:left w:w="108" w:type="dxa"/>
          <w:bottom w:w="0" w:type="dxa"/>
          <w:right w:w="108" w:type="dxa"/>
        </w:tblCellMar>
      </w:tblPr>
      <w:tblGrid>
        <w:gridCol w:w="4482"/>
        <w:gridCol w:w="4051"/>
      </w:tblGrid>
      <w:tr>
        <w:tc>
          <w:tcPr>
            <w:tcW w:w="4482" w:type="dxa"/>
          </w:tcPr>
          <w:p>
            <w:pPr>
              <w:spacing w:line="360" w:lineRule="auto"/>
              <w:ind w:left="1200" w:hanging="1200" w:hangingChars="500"/>
              <w:rPr>
                <w:rFonts w:ascii="宋体" w:hAnsi="宋体" w:cs="宋体"/>
                <w:sz w:val="24"/>
              </w:rPr>
            </w:pPr>
            <w:r>
              <w:rPr>
                <w:rFonts w:hint="eastAsia" w:ascii="宋体" w:hAnsi="宋体" w:cs="宋体"/>
                <w:sz w:val="24"/>
              </w:rPr>
              <w:t>招标人：</w:t>
            </w:r>
            <w:r>
              <w:rPr>
                <w:rFonts w:hint="eastAsia" w:ascii="宋体" w:hAnsi="宋体" w:cs="宋体"/>
                <w:sz w:val="24"/>
                <w:u w:val="single"/>
              </w:rPr>
              <w:t>广东省人民医院</w:t>
            </w:r>
          </w:p>
        </w:tc>
        <w:tc>
          <w:tcPr>
            <w:tcW w:w="4051" w:type="dxa"/>
          </w:tcPr>
          <w:p>
            <w:pPr>
              <w:spacing w:line="360" w:lineRule="auto"/>
              <w:ind w:left="1680" w:hanging="1680" w:hangingChars="700"/>
              <w:rPr>
                <w:rFonts w:ascii="宋体" w:hAnsi="宋体" w:cs="宋体"/>
                <w:sz w:val="24"/>
              </w:rPr>
            </w:pPr>
            <w:r>
              <w:rPr>
                <w:rFonts w:hint="eastAsia" w:ascii="宋体" w:hAnsi="宋体" w:cs="宋体"/>
                <w:sz w:val="24"/>
              </w:rPr>
              <w:t>招标代理机构：</w:t>
            </w:r>
            <w:r>
              <w:rPr>
                <w:rFonts w:hint="eastAsia" w:ascii="宋体" w:hAnsi="宋体" w:cs="宋体"/>
                <w:sz w:val="24"/>
                <w:u w:val="single"/>
              </w:rPr>
              <w:t>广东省机电设备招标有限公司</w:t>
            </w:r>
          </w:p>
        </w:tc>
      </w:tr>
      <w:tr>
        <w:tblPrEx>
          <w:tblCellMar>
            <w:top w:w="0" w:type="dxa"/>
            <w:left w:w="108" w:type="dxa"/>
            <w:bottom w:w="0" w:type="dxa"/>
            <w:right w:w="108" w:type="dxa"/>
          </w:tblCellMar>
        </w:tblPrEx>
        <w:tc>
          <w:tcPr>
            <w:tcW w:w="4482" w:type="dxa"/>
          </w:tcPr>
          <w:p>
            <w:pPr>
              <w:spacing w:line="360" w:lineRule="auto"/>
              <w:rPr>
                <w:rFonts w:ascii="宋体" w:hAnsi="宋体" w:cs="宋体"/>
                <w:sz w:val="24"/>
              </w:rPr>
            </w:pPr>
            <w:r>
              <w:rPr>
                <w:rFonts w:hint="eastAsia" w:ascii="宋体" w:hAnsi="宋体" w:cs="宋体"/>
                <w:sz w:val="24"/>
              </w:rPr>
              <w:t>地址：广东省广州越秀区中山二路106号</w:t>
            </w:r>
          </w:p>
        </w:tc>
        <w:tc>
          <w:tcPr>
            <w:tcW w:w="4051" w:type="dxa"/>
          </w:tcPr>
          <w:p>
            <w:pPr>
              <w:spacing w:line="360" w:lineRule="auto"/>
              <w:rPr>
                <w:rFonts w:ascii="宋体" w:hAnsi="宋体" w:cs="宋体"/>
                <w:sz w:val="24"/>
              </w:rPr>
            </w:pPr>
            <w:r>
              <w:rPr>
                <w:rFonts w:hint="eastAsia" w:ascii="宋体" w:hAnsi="宋体" w:cs="宋体"/>
                <w:sz w:val="24"/>
              </w:rPr>
              <w:t>地址：广州市越秀区环市中路316号金鹰大厦13楼</w:t>
            </w:r>
          </w:p>
        </w:tc>
      </w:tr>
      <w:tr>
        <w:tblPrEx>
          <w:tblCellMar>
            <w:top w:w="0" w:type="dxa"/>
            <w:left w:w="108" w:type="dxa"/>
            <w:bottom w:w="0" w:type="dxa"/>
            <w:right w:w="108" w:type="dxa"/>
          </w:tblCellMar>
        </w:tblPrEx>
        <w:tc>
          <w:tcPr>
            <w:tcW w:w="4482" w:type="dxa"/>
          </w:tcPr>
          <w:p>
            <w:pPr>
              <w:spacing w:line="360" w:lineRule="auto"/>
              <w:rPr>
                <w:rFonts w:ascii="宋体" w:hAnsi="宋体" w:cs="宋体"/>
                <w:sz w:val="24"/>
              </w:rPr>
            </w:pPr>
            <w:r>
              <w:rPr>
                <w:rFonts w:hint="eastAsia" w:ascii="宋体" w:hAnsi="宋体" w:cs="宋体"/>
                <w:sz w:val="24"/>
              </w:rPr>
              <w:t>联系人：李老师</w:t>
            </w:r>
          </w:p>
        </w:tc>
        <w:tc>
          <w:tcPr>
            <w:tcW w:w="4051" w:type="dxa"/>
          </w:tcPr>
          <w:p>
            <w:pPr>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szCs w:val="24"/>
              </w:rPr>
              <w:t>刘工、邵工</w:t>
            </w:r>
          </w:p>
        </w:tc>
      </w:tr>
      <w:tr>
        <w:tblPrEx>
          <w:tblCellMar>
            <w:top w:w="0" w:type="dxa"/>
            <w:left w:w="108" w:type="dxa"/>
            <w:bottom w:w="0" w:type="dxa"/>
            <w:right w:w="108" w:type="dxa"/>
          </w:tblCellMar>
        </w:tblPrEx>
        <w:tc>
          <w:tcPr>
            <w:tcW w:w="4482" w:type="dxa"/>
          </w:tcPr>
          <w:p>
            <w:pPr>
              <w:spacing w:line="360" w:lineRule="auto"/>
              <w:rPr>
                <w:rFonts w:ascii="宋体" w:hAnsi="宋体" w:cs="宋体"/>
                <w:sz w:val="24"/>
              </w:rPr>
            </w:pPr>
            <w:r>
              <w:rPr>
                <w:rFonts w:hint="eastAsia" w:ascii="宋体" w:hAnsi="宋体" w:cs="宋体"/>
                <w:sz w:val="24"/>
              </w:rPr>
              <w:t>电话：</w:t>
            </w:r>
            <w:r>
              <w:rPr>
                <w:rFonts w:hint="eastAsia" w:ascii="宋体" w:hAnsi="宋体" w:cs="宋体"/>
              </w:rPr>
              <w:t>020-83827812</w:t>
            </w:r>
          </w:p>
        </w:tc>
        <w:tc>
          <w:tcPr>
            <w:tcW w:w="4051" w:type="dxa"/>
          </w:tcPr>
          <w:p>
            <w:pPr>
              <w:spacing w:line="360" w:lineRule="auto"/>
              <w:rPr>
                <w:rFonts w:ascii="宋体" w:hAnsi="宋体" w:cs="宋体"/>
                <w:sz w:val="24"/>
              </w:rPr>
            </w:pPr>
            <w:r>
              <w:rPr>
                <w:rFonts w:hint="eastAsia" w:ascii="宋体" w:hAnsi="宋体" w:cs="宋体"/>
                <w:sz w:val="24"/>
              </w:rPr>
              <w:t>电话：020-83545535,020-83543065</w:t>
            </w:r>
          </w:p>
        </w:tc>
      </w:tr>
    </w:tbl>
    <w:p>
      <w:pPr>
        <w:widowControl/>
        <w:snapToGrid w:val="0"/>
        <w:spacing w:line="360" w:lineRule="auto"/>
        <w:jc w:val="left"/>
        <w:rPr>
          <w:rFonts w:ascii="宋体" w:hAnsi="宋体" w:cs="宋体"/>
          <w:b/>
          <w:bCs/>
          <w:kern w:val="0"/>
          <w:sz w:val="24"/>
          <w:shd w:val="clear" w:color="auto" w:fill="FFFFFF"/>
        </w:rPr>
      </w:pPr>
    </w:p>
    <w:p>
      <w:pPr>
        <w:widowControl/>
        <w:snapToGrid w:val="0"/>
        <w:spacing w:line="360" w:lineRule="auto"/>
        <w:jc w:val="left"/>
        <w:rPr>
          <w:rFonts w:ascii="宋体" w:hAnsi="宋体" w:cs="宋体"/>
          <w:b/>
          <w:bCs/>
          <w:sz w:val="24"/>
          <w:shd w:val="clear" w:color="auto" w:fill="FFFFFF"/>
        </w:rPr>
      </w:pPr>
      <w:r>
        <w:rPr>
          <w:rFonts w:ascii="宋体" w:hAnsi="宋体" w:cs="宋体"/>
          <w:b/>
          <w:bCs/>
          <w:kern w:val="0"/>
          <w:sz w:val="24"/>
          <w:shd w:val="clear" w:color="auto" w:fill="FFFFFF"/>
        </w:rPr>
        <w:t>8.</w:t>
      </w:r>
      <w:r>
        <w:rPr>
          <w:rFonts w:hint="eastAsia" w:ascii="宋体" w:hAnsi="宋体" w:cs="宋体"/>
          <w:b/>
          <w:bCs/>
          <w:kern w:val="0"/>
          <w:sz w:val="24"/>
          <w:shd w:val="clear" w:color="auto" w:fill="FFFFFF"/>
        </w:rPr>
        <w:t>潜在投标人或利害关系人对本招标公告及招标文件内容异议的，向招标人书面提出。</w:t>
      </w:r>
    </w:p>
    <w:p>
      <w:pPr>
        <w:spacing w:line="360" w:lineRule="auto"/>
        <w:rPr>
          <w:rFonts w:ascii="宋体" w:hAnsi="宋体" w:cs="宋体"/>
          <w:sz w:val="24"/>
        </w:rPr>
      </w:pPr>
    </w:p>
    <w:p>
      <w:pPr>
        <w:spacing w:line="360" w:lineRule="auto"/>
        <w:ind w:firstLine="360" w:firstLineChars="150"/>
        <w:rPr>
          <w:rFonts w:ascii="宋体" w:hAnsi="宋体" w:cs="宋体"/>
          <w:sz w:val="24"/>
          <w:u w:val="single"/>
        </w:rPr>
      </w:pPr>
      <w:r>
        <w:rPr>
          <w:rFonts w:hint="eastAsia" w:ascii="宋体" w:hAnsi="宋体" w:cs="宋体"/>
          <w:sz w:val="24"/>
          <w:u w:val="single"/>
        </w:rPr>
        <w:t>异议受理部门：广东省人民医院</w:t>
      </w:r>
    </w:p>
    <w:p>
      <w:pPr>
        <w:spacing w:line="360" w:lineRule="auto"/>
        <w:ind w:firstLine="360" w:firstLineChars="150"/>
        <w:rPr>
          <w:rFonts w:ascii="宋体" w:hAnsi="宋体" w:cs="宋体"/>
          <w:sz w:val="24"/>
          <w:u w:val="single"/>
        </w:rPr>
      </w:pPr>
      <w:r>
        <w:rPr>
          <w:rFonts w:hint="eastAsia" w:ascii="宋体" w:hAnsi="宋体" w:cs="宋体"/>
          <w:sz w:val="24"/>
          <w:u w:val="single"/>
        </w:rPr>
        <w:t>地址：广东省广州越秀区中山二路106号</w:t>
      </w:r>
    </w:p>
    <w:p>
      <w:pPr>
        <w:spacing w:line="360" w:lineRule="auto"/>
        <w:ind w:firstLine="360" w:firstLineChars="150"/>
        <w:rPr>
          <w:rFonts w:ascii="宋体" w:hAnsi="宋体" w:cs="宋体"/>
          <w:sz w:val="24"/>
          <w:u w:val="single"/>
        </w:rPr>
      </w:pPr>
      <w:r>
        <w:rPr>
          <w:rFonts w:hint="eastAsia" w:ascii="宋体" w:hAnsi="宋体" w:cs="宋体"/>
          <w:sz w:val="24"/>
          <w:u w:val="single"/>
        </w:rPr>
        <w:t>电话：020-83827812-21223</w:t>
      </w:r>
    </w:p>
    <w:p>
      <w:pPr>
        <w:widowControl/>
        <w:snapToGrid w:val="0"/>
        <w:spacing w:line="360" w:lineRule="auto"/>
        <w:ind w:firstLine="360" w:firstLineChars="150"/>
        <w:jc w:val="left"/>
        <w:rPr>
          <w:rFonts w:ascii="宋体" w:hAnsi="宋体" w:cs="宋体"/>
          <w:sz w:val="24"/>
          <w:u w:val="single"/>
        </w:rPr>
      </w:pPr>
    </w:p>
    <w:p>
      <w:pPr>
        <w:widowControl/>
        <w:snapToGrid w:val="0"/>
        <w:spacing w:line="360" w:lineRule="auto"/>
        <w:ind w:firstLine="360" w:firstLineChars="150"/>
        <w:jc w:val="left"/>
        <w:rPr>
          <w:rFonts w:ascii="宋体" w:hAnsi="宋体" w:cs="宋体"/>
          <w:sz w:val="24"/>
          <w:u w:val="single"/>
        </w:rPr>
      </w:pPr>
      <w:r>
        <w:rPr>
          <w:rFonts w:hint="eastAsia" w:ascii="宋体" w:hAnsi="宋体" w:cs="宋体"/>
          <w:sz w:val="24"/>
          <w:u w:val="single"/>
        </w:rPr>
        <w:t>招标监督机构：广东省人民医院</w:t>
      </w:r>
    </w:p>
    <w:p>
      <w:pPr>
        <w:widowControl/>
        <w:snapToGrid w:val="0"/>
        <w:spacing w:line="360" w:lineRule="auto"/>
        <w:ind w:firstLine="360" w:firstLineChars="150"/>
        <w:jc w:val="left"/>
      </w:pPr>
      <w:r>
        <w:rPr>
          <w:rFonts w:hint="eastAsia" w:ascii="宋体" w:hAnsi="宋体" w:cs="宋体"/>
          <w:sz w:val="24"/>
          <w:u w:val="single"/>
        </w:rPr>
        <w:t>监督电话：020-83827812-20888</w:t>
      </w:r>
    </w:p>
    <w:p/>
    <w:p>
      <w:pPr>
        <w:spacing w:line="360" w:lineRule="auto"/>
        <w:rPr>
          <w:rFonts w:ascii="宋体" w:hAnsi="宋体" w:cs="宋体"/>
          <w:b/>
          <w:bCs/>
          <w:szCs w:val="21"/>
          <w:shd w:val="clear" w:color="auto" w:fill="FFFFFF"/>
        </w:rPr>
      </w:pPr>
      <w:r>
        <w:rPr>
          <w:rFonts w:ascii="宋体" w:hAnsi="宋体" w:cs="宋体"/>
          <w:b/>
          <w:bCs/>
          <w:szCs w:val="21"/>
          <w:shd w:val="clear" w:color="auto" w:fill="FFFFFF"/>
        </w:rPr>
        <w:br w:type="page"/>
      </w:r>
      <w:r>
        <w:rPr>
          <w:rFonts w:hint="eastAsia" w:ascii="宋体" w:hAnsi="宋体" w:cs="宋体"/>
          <w:b/>
          <w:bCs/>
          <w:szCs w:val="21"/>
          <w:shd w:val="clear" w:color="auto" w:fill="FFFFFF"/>
        </w:rPr>
        <w:t>附件一：</w:t>
      </w:r>
    </w:p>
    <w:p>
      <w:pPr>
        <w:shd w:val="clear" w:color="auto" w:fill="FFFFFF"/>
        <w:spacing w:line="360" w:lineRule="auto"/>
        <w:jc w:val="center"/>
        <w:rPr>
          <w:rFonts w:ascii="宋体" w:hAnsi="宋体" w:cs="宋体"/>
          <w:b/>
          <w:bCs/>
          <w:sz w:val="32"/>
          <w:szCs w:val="28"/>
          <w:shd w:val="clear" w:color="auto" w:fill="FFFFFF"/>
        </w:rPr>
      </w:pPr>
      <w:bookmarkStart w:id="2" w:name="_Toc416357992"/>
      <w:bookmarkStart w:id="3" w:name="_Toc253143224"/>
      <w:bookmarkStart w:id="4" w:name="_Toc266093553"/>
      <w:bookmarkStart w:id="5" w:name="_Toc266881405"/>
      <w:bookmarkStart w:id="6" w:name="_Toc249845977"/>
      <w:bookmarkStart w:id="7" w:name="_Toc416358163"/>
      <w:bookmarkStart w:id="8" w:name="_Toc249846232"/>
      <w:bookmarkStart w:id="9" w:name="_Toc245024005"/>
      <w:r>
        <w:rPr>
          <w:rFonts w:hint="eastAsia" w:ascii="宋体" w:hAnsi="宋体" w:cs="宋体"/>
          <w:b/>
          <w:bCs/>
          <w:sz w:val="32"/>
          <w:szCs w:val="28"/>
          <w:shd w:val="clear" w:color="auto" w:fill="FFFFFF"/>
        </w:rPr>
        <w:t>投标人声明</w:t>
      </w:r>
    </w:p>
    <w:bookmarkEnd w:id="2"/>
    <w:bookmarkEnd w:id="3"/>
    <w:bookmarkEnd w:id="4"/>
    <w:bookmarkEnd w:id="5"/>
    <w:bookmarkEnd w:id="6"/>
    <w:bookmarkEnd w:id="7"/>
    <w:bookmarkEnd w:id="8"/>
    <w:bookmarkEnd w:id="9"/>
    <w:p>
      <w:pPr>
        <w:snapToGrid w:val="0"/>
        <w:spacing w:line="360" w:lineRule="exact"/>
        <w:rPr>
          <w:rFonts w:ascii="宋体" w:hAnsi="宋体" w:cs="宋体"/>
          <w:kern w:val="0"/>
          <w:sz w:val="24"/>
        </w:rPr>
      </w:pPr>
      <w:r>
        <w:rPr>
          <w:rFonts w:hint="eastAsia" w:ascii="宋体" w:hAnsi="宋体" w:cs="宋体"/>
          <w:kern w:val="0"/>
          <w:sz w:val="24"/>
        </w:rPr>
        <w:t>广州市住房和城乡建设局、本招标项目招标人及招标监管机构：</w:t>
      </w:r>
    </w:p>
    <w:p>
      <w:pPr>
        <w:snapToGrid w:val="0"/>
        <w:spacing w:line="360" w:lineRule="exact"/>
        <w:ind w:firstLine="480" w:firstLineChars="200"/>
        <w:rPr>
          <w:rFonts w:ascii="宋体" w:hAnsi="宋体" w:cs="宋体"/>
          <w:kern w:val="0"/>
          <w:sz w:val="24"/>
        </w:rPr>
      </w:pPr>
      <w:r>
        <w:rPr>
          <w:rFonts w:hint="eastAsia" w:ascii="宋体" w:hAnsi="宋体" w:cs="宋体"/>
          <w:kern w:val="0"/>
          <w:sz w:val="24"/>
        </w:rPr>
        <w:t>本公司就参加</w:t>
      </w:r>
      <w:r>
        <w:rPr>
          <w:rFonts w:hint="eastAsia" w:ascii="宋体" w:hAnsi="宋体" w:cs="宋体"/>
          <w:kern w:val="0"/>
          <w:sz w:val="24"/>
          <w:u w:val="single"/>
        </w:rPr>
        <w:t xml:space="preserve">                         </w:t>
      </w:r>
      <w:r>
        <w:rPr>
          <w:rFonts w:ascii="宋体" w:hAnsi="宋体" w:cs="宋体"/>
          <w:kern w:val="0"/>
          <w:sz w:val="24"/>
        </w:rPr>
        <w:t>投标工作，作出郑重声明：</w:t>
      </w:r>
    </w:p>
    <w:p>
      <w:pPr>
        <w:snapToGrid w:val="0"/>
        <w:spacing w:line="360" w:lineRule="exact"/>
        <w:ind w:firstLine="480" w:firstLineChars="200"/>
        <w:rPr>
          <w:rFonts w:ascii="宋体" w:hAnsi="宋体" w:cs="宋体"/>
          <w:kern w:val="0"/>
          <w:sz w:val="24"/>
        </w:rPr>
      </w:pPr>
      <w:r>
        <w:rPr>
          <w:rFonts w:hint="eastAsia" w:ascii="宋体" w:hAnsi="宋体" w:cs="宋体"/>
          <w:kern w:val="0"/>
          <w:sz w:val="24"/>
        </w:rPr>
        <w:t>一、本公司保证投标材料及其后提供的一切材料都是真实的。</w:t>
      </w:r>
      <w:r>
        <w:rPr>
          <w:rFonts w:ascii="宋体" w:hAnsi="宋体" w:cs="宋体"/>
          <w:kern w:val="0"/>
          <w:sz w:val="24"/>
        </w:rPr>
        <w:t>如我司成为本项目中标候选人，我司同意并授权招标人将我司投标文件商务部分的人员、业绩、奖项等资料进行公</w:t>
      </w:r>
      <w:r>
        <w:rPr>
          <w:rFonts w:hint="eastAsia" w:ascii="宋体" w:hAnsi="宋体" w:cs="宋体"/>
          <w:kern w:val="0"/>
          <w:sz w:val="24"/>
        </w:rPr>
        <w:t>开</w:t>
      </w:r>
      <w:r>
        <w:rPr>
          <w:rFonts w:ascii="宋体" w:hAnsi="宋体" w:cs="宋体"/>
          <w:kern w:val="0"/>
          <w:sz w:val="24"/>
        </w:rPr>
        <w:t>。</w:t>
      </w:r>
    </w:p>
    <w:p>
      <w:pPr>
        <w:snapToGrid w:val="0"/>
        <w:spacing w:line="360" w:lineRule="exact"/>
        <w:ind w:firstLine="480" w:firstLineChars="200"/>
        <w:rPr>
          <w:rFonts w:ascii="宋体" w:hAnsi="宋体" w:cs="宋体"/>
          <w:kern w:val="0"/>
          <w:sz w:val="24"/>
        </w:rPr>
      </w:pPr>
      <w:r>
        <w:rPr>
          <w:rFonts w:hint="eastAsia" w:ascii="宋体" w:hAnsi="宋体" w:cs="宋体"/>
          <w:kern w:val="0"/>
          <w:sz w:val="24"/>
        </w:rPr>
        <w:t>二、本公司保证不与其他单位围标、串标，不出让投标资格，不向招标人或评标委员会成员行贿。</w:t>
      </w:r>
    </w:p>
    <w:p>
      <w:pPr>
        <w:snapToGrid w:val="0"/>
        <w:spacing w:line="360" w:lineRule="exact"/>
        <w:ind w:firstLine="480" w:firstLineChars="200"/>
        <w:rPr>
          <w:rFonts w:ascii="宋体" w:hAnsi="宋体" w:cs="宋体"/>
          <w:kern w:val="0"/>
          <w:sz w:val="24"/>
        </w:rPr>
      </w:pPr>
      <w:r>
        <w:rPr>
          <w:rFonts w:hint="eastAsia" w:ascii="宋体" w:hAnsi="宋体" w:cs="宋体"/>
          <w:kern w:val="0"/>
          <w:sz w:val="24"/>
        </w:rPr>
        <w:t>三、本公司不存在招标文件第二章投标人须知第1.4.3项所规定的任何一种情形。</w:t>
      </w:r>
    </w:p>
    <w:p>
      <w:pPr>
        <w:snapToGrid w:val="0"/>
        <w:spacing w:line="360" w:lineRule="exact"/>
        <w:ind w:firstLine="480" w:firstLineChars="200"/>
        <w:rPr>
          <w:rFonts w:ascii="宋体" w:hAnsi="宋体" w:cs="宋体"/>
          <w:kern w:val="0"/>
          <w:sz w:val="24"/>
        </w:rPr>
      </w:pPr>
      <w:r>
        <w:rPr>
          <w:rFonts w:hint="eastAsia" w:ascii="宋体" w:hAnsi="宋体" w:cs="宋体"/>
          <w:kern w:val="0"/>
          <w:sz w:val="24"/>
        </w:rPr>
        <w:t>四、本公司及其有隶属关系的机构，没有参加本项目招标文件的编写工作；本公司与本次招标的招标代理机构没有隶属关系或其他利害关系。</w:t>
      </w:r>
    </w:p>
    <w:p>
      <w:pPr>
        <w:snapToGrid w:val="0"/>
        <w:spacing w:line="360" w:lineRule="exact"/>
        <w:ind w:firstLine="480" w:firstLineChars="200"/>
        <w:rPr>
          <w:rFonts w:ascii="宋体" w:hAnsi="宋体" w:cs="宋体"/>
          <w:kern w:val="0"/>
          <w:sz w:val="24"/>
        </w:rPr>
      </w:pPr>
      <w:r>
        <w:rPr>
          <w:rFonts w:ascii="宋体" w:hAnsi="宋体" w:cs="宋体"/>
          <w:kern w:val="0"/>
          <w:sz w:val="24"/>
        </w:rPr>
        <w:t>五、本公司承诺，中标后严格执行安全生产相关管理规定。</w:t>
      </w:r>
    </w:p>
    <w:p>
      <w:pPr>
        <w:snapToGrid w:val="0"/>
        <w:spacing w:line="360" w:lineRule="exact"/>
        <w:ind w:firstLine="482" w:firstLineChars="200"/>
        <w:rPr>
          <w:rFonts w:ascii="宋体" w:hAnsi="宋体" w:cs="宋体"/>
          <w:b/>
          <w:bCs/>
          <w:kern w:val="0"/>
          <w:sz w:val="24"/>
        </w:rPr>
      </w:pPr>
      <w:r>
        <w:rPr>
          <w:rFonts w:hint="eastAsia" w:ascii="宋体" w:hAnsi="宋体" w:cs="宋体"/>
          <w:b/>
          <w:bCs/>
          <w:kern w:val="0"/>
          <w:sz w:val="24"/>
        </w:rPr>
        <w:t>六、本公司承诺与本项目的建设单位、勘察设计企业无隶属关系或者其他利害关系。</w:t>
      </w:r>
    </w:p>
    <w:p>
      <w:pPr>
        <w:snapToGrid w:val="0"/>
        <w:spacing w:line="360" w:lineRule="exact"/>
        <w:ind w:firstLine="482" w:firstLineChars="200"/>
        <w:rPr>
          <w:rFonts w:ascii="宋体" w:hAnsi="宋体" w:cs="宋体"/>
          <w:b/>
          <w:kern w:val="0"/>
          <w:sz w:val="24"/>
        </w:rPr>
      </w:pPr>
      <w:r>
        <w:rPr>
          <w:rFonts w:hint="eastAsia" w:ascii="宋体" w:hAnsi="宋体" w:cs="宋体"/>
          <w:b/>
          <w:kern w:val="0"/>
          <w:sz w:val="24"/>
        </w:rPr>
        <w:t>七、与本公司单位负责人为同一人或者与本公司存在控股、管理关系的其他单位包括：</w:t>
      </w:r>
      <w:r>
        <w:rPr>
          <w:rFonts w:hint="eastAsia" w:ascii="宋体" w:hAnsi="宋体" w:cs="宋体"/>
          <w:b/>
          <w:kern w:val="0"/>
          <w:sz w:val="24"/>
          <w:u w:val="single"/>
        </w:rPr>
        <w:t xml:space="preserve">                       </w:t>
      </w:r>
      <w:r>
        <w:rPr>
          <w:rFonts w:hint="eastAsia" w:ascii="宋体" w:hAnsi="宋体" w:cs="宋体"/>
          <w:b/>
          <w:kern w:val="0"/>
          <w:sz w:val="24"/>
        </w:rPr>
        <w:t>。（注：本条由投标人如实填写，如有，应列出全部满足招标公告资质要求的相关单位的名称；如无，则填写“无”。）</w:t>
      </w:r>
    </w:p>
    <w:p>
      <w:pPr>
        <w:snapToGrid w:val="0"/>
        <w:spacing w:line="360" w:lineRule="exact"/>
        <w:ind w:firstLine="480" w:firstLineChars="200"/>
      </w:pPr>
      <w:r>
        <w:rPr>
          <w:rFonts w:hint="eastAsia" w:ascii="宋体" w:hAnsi="宋体" w:cs="宋体"/>
          <w:kern w:val="0"/>
          <w:sz w:val="24"/>
        </w:rPr>
        <w:t>八</w:t>
      </w:r>
      <w:r>
        <w:rPr>
          <w:rFonts w:hint="eastAsia"/>
        </w:rPr>
        <w:t>、</w:t>
      </w:r>
      <w:r>
        <w:rPr>
          <w:rFonts w:hint="eastAsia"/>
          <w:sz w:val="24"/>
        </w:rPr>
        <w:t>如果我司中标，我司承诺严格按照合同和招投标文件规定履行义务，并同意招标人将其履行合同、招投标文件义务的履约情况和不诚信行为（包括但不限于由招标人作出的违约责任处理决定等）在招标人网站和建设项目业主网站及其他媒体上公开披露，由此造成的一切损失和不利后果均由我司自行承担。</w:t>
      </w:r>
    </w:p>
    <w:p>
      <w:pPr>
        <w:snapToGrid w:val="0"/>
        <w:spacing w:line="360" w:lineRule="exact"/>
        <w:ind w:firstLine="480" w:firstLineChars="200"/>
        <w:rPr>
          <w:rFonts w:ascii="宋体" w:hAnsi="宋体" w:cs="宋体"/>
          <w:kern w:val="0"/>
          <w:sz w:val="24"/>
        </w:rPr>
      </w:pPr>
      <w:r>
        <w:rPr>
          <w:rFonts w:ascii="宋体" w:hAnsi="宋体" w:cs="宋体"/>
          <w:kern w:val="0"/>
          <w:sz w:val="24"/>
        </w:rPr>
        <w:t>本公司违反上述保证，或本声明陈述与事实不符，</w:t>
      </w:r>
      <w:r>
        <w:rPr>
          <w:rFonts w:hint="eastAsia" w:ascii="宋体" w:hAnsi="宋体"/>
          <w:kern w:val="0"/>
          <w:sz w:val="24"/>
          <w:szCs w:val="24"/>
        </w:rPr>
        <w:t>一经查实将按相关规定进行信用记录。本公司对失信行为产生的一切后果已知悉。其中，本声明陈述与事实不符的，属于弄虚作假骗取中标，将依法接受监管部门的处罚。</w:t>
      </w:r>
    </w:p>
    <w:p>
      <w:pPr>
        <w:widowControl/>
        <w:spacing w:line="360" w:lineRule="exact"/>
        <w:ind w:firstLine="480" w:firstLineChars="200"/>
        <w:rPr>
          <w:rFonts w:ascii="宋体" w:hAnsi="宋体" w:cs="宋体"/>
          <w:kern w:val="0"/>
          <w:sz w:val="24"/>
        </w:rPr>
      </w:pPr>
      <w:r>
        <w:rPr>
          <w:rFonts w:hint="eastAsia" w:ascii="宋体" w:hAnsi="宋体" w:cs="宋体"/>
          <w:kern w:val="0"/>
          <w:sz w:val="24"/>
        </w:rPr>
        <w:t>特此声明。</w:t>
      </w:r>
    </w:p>
    <w:p>
      <w:pPr>
        <w:snapToGrid w:val="0"/>
        <w:spacing w:line="360" w:lineRule="exact"/>
        <w:ind w:firstLine="4320" w:firstLineChars="1800"/>
        <w:rPr>
          <w:rFonts w:ascii="宋体" w:hAnsi="宋体" w:cs="宋体"/>
          <w:kern w:val="0"/>
          <w:sz w:val="24"/>
        </w:rPr>
      </w:pPr>
    </w:p>
    <w:p>
      <w:pPr>
        <w:snapToGrid w:val="0"/>
        <w:spacing w:line="360" w:lineRule="exact"/>
        <w:ind w:firstLine="4320" w:firstLineChars="1800"/>
        <w:rPr>
          <w:rFonts w:ascii="宋体" w:hAnsi="宋体" w:cs="宋体"/>
          <w:kern w:val="0"/>
          <w:sz w:val="24"/>
        </w:rPr>
      </w:pPr>
      <w:r>
        <w:rPr>
          <w:rFonts w:hint="eastAsia" w:ascii="宋体" w:hAnsi="宋体" w:cs="宋体"/>
          <w:kern w:val="0"/>
          <w:sz w:val="24"/>
        </w:rPr>
        <w:t>声明企业：            (企业公章)</w:t>
      </w:r>
    </w:p>
    <w:p>
      <w:pPr>
        <w:snapToGrid w:val="0"/>
        <w:spacing w:line="360" w:lineRule="exact"/>
        <w:ind w:firstLine="4252" w:firstLineChars="1772"/>
        <w:rPr>
          <w:rFonts w:ascii="宋体" w:hAnsi="宋体" w:cs="宋体"/>
          <w:kern w:val="0"/>
          <w:sz w:val="24"/>
        </w:rPr>
      </w:pPr>
      <w:r>
        <w:rPr>
          <w:rFonts w:hint="eastAsia" w:ascii="宋体" w:hAnsi="宋体" w:cs="宋体"/>
          <w:kern w:val="0"/>
          <w:sz w:val="24"/>
        </w:rPr>
        <w:t>法定代表人签字：</w:t>
      </w:r>
    </w:p>
    <w:p>
      <w:pPr>
        <w:snapToGrid w:val="0"/>
        <w:spacing w:line="360" w:lineRule="exact"/>
        <w:ind w:firstLine="4252" w:firstLineChars="1772"/>
        <w:rPr>
          <w:rFonts w:ascii="宋体" w:hAnsi="宋体" w:cs="宋体"/>
          <w:kern w:val="0"/>
          <w:sz w:val="24"/>
        </w:rPr>
      </w:pPr>
      <w:r>
        <w:rPr>
          <w:rFonts w:hint="eastAsia" w:ascii="宋体" w:hAnsi="宋体" w:cs="宋体"/>
          <w:kern w:val="0"/>
          <w:sz w:val="24"/>
        </w:rPr>
        <w:t>项目负责人签字：</w:t>
      </w:r>
    </w:p>
    <w:p>
      <w:pPr>
        <w:snapToGrid w:val="0"/>
        <w:spacing w:line="360" w:lineRule="auto"/>
        <w:ind w:firstLine="4252" w:firstLineChars="1772"/>
        <w:rPr>
          <w:rFonts w:ascii="宋体" w:hAnsi="宋体" w:cs="宋体"/>
          <w:kern w:val="0"/>
          <w:sz w:val="24"/>
          <w:szCs w:val="24"/>
        </w:rPr>
      </w:pPr>
      <w:r>
        <w:rPr>
          <w:rFonts w:hint="eastAsia" w:ascii="宋体" w:hAnsi="宋体" w:cs="宋体"/>
          <w:kern w:val="0"/>
          <w:sz w:val="24"/>
        </w:rPr>
        <w:t>年   月   日</w:t>
      </w:r>
    </w:p>
    <w:p>
      <w:pPr>
        <w:widowControl/>
        <w:jc w:val="left"/>
      </w:pPr>
    </w:p>
    <w:sectPr>
      <w:pgSz w:w="11906" w:h="16838"/>
      <w:pgMar w:top="1134" w:right="1134" w:bottom="1134"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F78AA"/>
    <w:multiLevelType w:val="multilevel"/>
    <w:tmpl w:val="5FFF78AA"/>
    <w:lvl w:ilvl="0" w:tentative="0">
      <w:start w:val="1"/>
      <w:numFmt w:val="decimal"/>
      <w:lvlText w:val="%1."/>
      <w:lvlJc w:val="left"/>
      <w:pPr>
        <w:tabs>
          <w:tab w:val="left" w:pos="0"/>
        </w:tabs>
        <w:ind w:left="0" w:firstLine="0"/>
      </w:pPr>
      <w:rPr>
        <w:rFonts w:hint="default" w:ascii="Times New Roman" w:hAnsi="Times New Roman" w:cs="Times New Roman"/>
      </w:rPr>
    </w:lvl>
    <w:lvl w:ilvl="1" w:tentative="0">
      <w:start w:val="0"/>
      <w:numFmt w:val="decimal"/>
      <w:lvlText w:val="%2."/>
      <w:lvlJc w:val="left"/>
      <w:pPr>
        <w:tabs>
          <w:tab w:val="left" w:pos="1440"/>
        </w:tabs>
        <w:ind w:left="1440" w:hanging="360"/>
      </w:pPr>
    </w:lvl>
    <w:lvl w:ilvl="2" w:tentative="0">
      <w:start w:val="0"/>
      <w:numFmt w:val="decimal"/>
      <w:lvlText w:val="%3."/>
      <w:lvlJc w:val="left"/>
      <w:pPr>
        <w:tabs>
          <w:tab w:val="left" w:pos="2160"/>
        </w:tabs>
        <w:ind w:left="2160" w:hanging="360"/>
      </w:pPr>
    </w:lvl>
    <w:lvl w:ilvl="3" w:tentative="0">
      <w:start w:val="0"/>
      <w:numFmt w:val="decimal"/>
      <w:lvlText w:val="%4."/>
      <w:lvlJc w:val="left"/>
      <w:pPr>
        <w:tabs>
          <w:tab w:val="left" w:pos="2880"/>
        </w:tabs>
        <w:ind w:left="2880" w:hanging="360"/>
      </w:pPr>
    </w:lvl>
    <w:lvl w:ilvl="4" w:tentative="0">
      <w:start w:val="0"/>
      <w:numFmt w:val="decimal"/>
      <w:lvlText w:val="%5."/>
      <w:lvlJc w:val="left"/>
      <w:pPr>
        <w:tabs>
          <w:tab w:val="left" w:pos="3600"/>
        </w:tabs>
        <w:ind w:left="3600" w:hanging="360"/>
      </w:pPr>
    </w:lvl>
    <w:lvl w:ilvl="5" w:tentative="0">
      <w:start w:val="0"/>
      <w:numFmt w:val="decimal"/>
      <w:lvlText w:val="%6."/>
      <w:lvlJc w:val="left"/>
      <w:pPr>
        <w:tabs>
          <w:tab w:val="left" w:pos="4320"/>
        </w:tabs>
        <w:ind w:left="4320" w:hanging="360"/>
      </w:pPr>
    </w:lvl>
    <w:lvl w:ilvl="6" w:tentative="0">
      <w:start w:val="0"/>
      <w:numFmt w:val="decimal"/>
      <w:lvlText w:val="%7."/>
      <w:lvlJc w:val="left"/>
      <w:pPr>
        <w:tabs>
          <w:tab w:val="left" w:pos="5040"/>
        </w:tabs>
        <w:ind w:left="5040" w:hanging="360"/>
      </w:pPr>
    </w:lvl>
    <w:lvl w:ilvl="7" w:tentative="0">
      <w:start w:val="0"/>
      <w:numFmt w:val="decimal"/>
      <w:lvlText w:val="%8."/>
      <w:lvlJc w:val="left"/>
      <w:pPr>
        <w:tabs>
          <w:tab w:val="left" w:pos="5760"/>
        </w:tabs>
        <w:ind w:left="5760" w:hanging="360"/>
      </w:pPr>
    </w:lvl>
    <w:lvl w:ilvl="8" w:tentative="0">
      <w:start w:val="0"/>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MzdhODMwZjQxZjJjNDA2MmQwNDBkYWZiOTFlZGUifQ=="/>
  </w:docVars>
  <w:rsids>
    <w:rsidRoot w:val="00890B99"/>
    <w:rsid w:val="00077C6C"/>
    <w:rsid w:val="00110188"/>
    <w:rsid w:val="001142B2"/>
    <w:rsid w:val="0012280B"/>
    <w:rsid w:val="0016790C"/>
    <w:rsid w:val="001B205B"/>
    <w:rsid w:val="001C0947"/>
    <w:rsid w:val="002A0C9D"/>
    <w:rsid w:val="002B0915"/>
    <w:rsid w:val="00317D2D"/>
    <w:rsid w:val="0032524F"/>
    <w:rsid w:val="0034285A"/>
    <w:rsid w:val="003566EF"/>
    <w:rsid w:val="00365086"/>
    <w:rsid w:val="00393973"/>
    <w:rsid w:val="003A6176"/>
    <w:rsid w:val="003D47C4"/>
    <w:rsid w:val="003F1067"/>
    <w:rsid w:val="00401AB9"/>
    <w:rsid w:val="004548B4"/>
    <w:rsid w:val="004562A4"/>
    <w:rsid w:val="00473307"/>
    <w:rsid w:val="004A6D21"/>
    <w:rsid w:val="004D7CCD"/>
    <w:rsid w:val="004F156C"/>
    <w:rsid w:val="005034CF"/>
    <w:rsid w:val="00523B3E"/>
    <w:rsid w:val="00535668"/>
    <w:rsid w:val="005B57A7"/>
    <w:rsid w:val="005B6842"/>
    <w:rsid w:val="00650224"/>
    <w:rsid w:val="00650F75"/>
    <w:rsid w:val="0067734F"/>
    <w:rsid w:val="006931C6"/>
    <w:rsid w:val="006B31DA"/>
    <w:rsid w:val="007517D3"/>
    <w:rsid w:val="0079173F"/>
    <w:rsid w:val="007C35A1"/>
    <w:rsid w:val="007E6509"/>
    <w:rsid w:val="00855F1C"/>
    <w:rsid w:val="00890B99"/>
    <w:rsid w:val="008A60C2"/>
    <w:rsid w:val="008C5DBF"/>
    <w:rsid w:val="00913929"/>
    <w:rsid w:val="0097026B"/>
    <w:rsid w:val="00992F4D"/>
    <w:rsid w:val="00A26102"/>
    <w:rsid w:val="00A46790"/>
    <w:rsid w:val="00A775E0"/>
    <w:rsid w:val="00B112D3"/>
    <w:rsid w:val="00B84E8A"/>
    <w:rsid w:val="00B87D36"/>
    <w:rsid w:val="00BC47FE"/>
    <w:rsid w:val="00BF4DDD"/>
    <w:rsid w:val="00C013EB"/>
    <w:rsid w:val="00C51415"/>
    <w:rsid w:val="00C715F7"/>
    <w:rsid w:val="00CE7169"/>
    <w:rsid w:val="00D120D1"/>
    <w:rsid w:val="00D31193"/>
    <w:rsid w:val="00D66484"/>
    <w:rsid w:val="00D70D8D"/>
    <w:rsid w:val="00ED6E04"/>
    <w:rsid w:val="00F060D7"/>
    <w:rsid w:val="00F27305"/>
    <w:rsid w:val="01E063FD"/>
    <w:rsid w:val="020C34CA"/>
    <w:rsid w:val="04CB7FEB"/>
    <w:rsid w:val="04F857AE"/>
    <w:rsid w:val="06D1147F"/>
    <w:rsid w:val="08F071A4"/>
    <w:rsid w:val="09A94FE9"/>
    <w:rsid w:val="09AD38B6"/>
    <w:rsid w:val="0B9736F2"/>
    <w:rsid w:val="0CCD584F"/>
    <w:rsid w:val="0D474317"/>
    <w:rsid w:val="10C55B9D"/>
    <w:rsid w:val="113E1E1F"/>
    <w:rsid w:val="15E2459B"/>
    <w:rsid w:val="1A08377B"/>
    <w:rsid w:val="1A4F6669"/>
    <w:rsid w:val="1C6E7533"/>
    <w:rsid w:val="1C945F5E"/>
    <w:rsid w:val="1E5D0198"/>
    <w:rsid w:val="1F8028F5"/>
    <w:rsid w:val="21221859"/>
    <w:rsid w:val="215E1EEE"/>
    <w:rsid w:val="23B96593"/>
    <w:rsid w:val="23C26642"/>
    <w:rsid w:val="24BA15B0"/>
    <w:rsid w:val="254716DD"/>
    <w:rsid w:val="25672C24"/>
    <w:rsid w:val="263D0E06"/>
    <w:rsid w:val="26B345B4"/>
    <w:rsid w:val="29F05FAB"/>
    <w:rsid w:val="2CE960BE"/>
    <w:rsid w:val="2D8378B6"/>
    <w:rsid w:val="2EFFDDAA"/>
    <w:rsid w:val="2FB85411"/>
    <w:rsid w:val="32761463"/>
    <w:rsid w:val="384947E4"/>
    <w:rsid w:val="38DD53F8"/>
    <w:rsid w:val="38DE382B"/>
    <w:rsid w:val="39AD7CF8"/>
    <w:rsid w:val="3AD9457D"/>
    <w:rsid w:val="3B881A3E"/>
    <w:rsid w:val="3D0D58A3"/>
    <w:rsid w:val="3D7F8341"/>
    <w:rsid w:val="3DC7137D"/>
    <w:rsid w:val="3F7FCDD0"/>
    <w:rsid w:val="3F8FA4E8"/>
    <w:rsid w:val="3F922241"/>
    <w:rsid w:val="40083DE9"/>
    <w:rsid w:val="452439BC"/>
    <w:rsid w:val="457CBE2D"/>
    <w:rsid w:val="45A26BD8"/>
    <w:rsid w:val="46523385"/>
    <w:rsid w:val="4A7E09F0"/>
    <w:rsid w:val="4B5F82E3"/>
    <w:rsid w:val="4B876873"/>
    <w:rsid w:val="4C8B7FA1"/>
    <w:rsid w:val="4FC21A6F"/>
    <w:rsid w:val="4FFF0EEB"/>
    <w:rsid w:val="502D7800"/>
    <w:rsid w:val="55F1E074"/>
    <w:rsid w:val="58813509"/>
    <w:rsid w:val="5B7E05FA"/>
    <w:rsid w:val="5DCC0FFF"/>
    <w:rsid w:val="5DF26781"/>
    <w:rsid w:val="5E4263E3"/>
    <w:rsid w:val="5F210E5C"/>
    <w:rsid w:val="5FF7D7CC"/>
    <w:rsid w:val="6227101A"/>
    <w:rsid w:val="637200CA"/>
    <w:rsid w:val="68263A25"/>
    <w:rsid w:val="69D63085"/>
    <w:rsid w:val="6AA60A9A"/>
    <w:rsid w:val="6B1004D6"/>
    <w:rsid w:val="6B4F5CD7"/>
    <w:rsid w:val="6BFF043A"/>
    <w:rsid w:val="6D9E3515"/>
    <w:rsid w:val="6E613370"/>
    <w:rsid w:val="6E733537"/>
    <w:rsid w:val="6FB32545"/>
    <w:rsid w:val="6FFF011B"/>
    <w:rsid w:val="73DA083B"/>
    <w:rsid w:val="766C18E3"/>
    <w:rsid w:val="777D0688"/>
    <w:rsid w:val="77AC42BF"/>
    <w:rsid w:val="7BF7DF74"/>
    <w:rsid w:val="7CFB0C64"/>
    <w:rsid w:val="7DBD32C9"/>
    <w:rsid w:val="7DD620CC"/>
    <w:rsid w:val="7EF746DD"/>
    <w:rsid w:val="7F5DF83F"/>
    <w:rsid w:val="7F7F7B28"/>
    <w:rsid w:val="7FDD8D14"/>
    <w:rsid w:val="7FE7EE66"/>
    <w:rsid w:val="7FEB3646"/>
    <w:rsid w:val="7FF6601D"/>
    <w:rsid w:val="7FFF7B31"/>
    <w:rsid w:val="97F8EF05"/>
    <w:rsid w:val="9FE62076"/>
    <w:rsid w:val="9FEF61CF"/>
    <w:rsid w:val="9FFE352B"/>
    <w:rsid w:val="AFFFD7BF"/>
    <w:rsid w:val="B7FF42C2"/>
    <w:rsid w:val="B97C8042"/>
    <w:rsid w:val="BA37311A"/>
    <w:rsid w:val="BFE27215"/>
    <w:rsid w:val="CF95E846"/>
    <w:rsid w:val="D274059A"/>
    <w:rsid w:val="D7FE2BA8"/>
    <w:rsid w:val="DFBFAD81"/>
    <w:rsid w:val="E6DF196A"/>
    <w:rsid w:val="EBE9EB35"/>
    <w:rsid w:val="EBFF857D"/>
    <w:rsid w:val="EFDDE029"/>
    <w:rsid w:val="EFFD611B"/>
    <w:rsid w:val="F52F22B5"/>
    <w:rsid w:val="F5AF2F6B"/>
    <w:rsid w:val="FADC3C11"/>
    <w:rsid w:val="FB5D8A7B"/>
    <w:rsid w:val="FB7E3CCD"/>
    <w:rsid w:val="FBEB4BC8"/>
    <w:rsid w:val="FE7EE62F"/>
    <w:rsid w:val="FFDC118E"/>
    <w:rsid w:val="FFE7EF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name="table of authorities"/>
    <w:lsdException w:uiPriority="0" w:name="macro"/>
    <w:lsdException w:uiPriority="0" w:name="toa heading"/>
    <w:lsdException w:unhideWhenUsed="0" w:uiPriority="0" w:name="List"/>
    <w:lsdException w:unhideWhenUsed="0"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name="Body Text Indent"/>
    <w:lsdException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27"/>
    <w:qFormat/>
    <w:uiPriority w:val="0"/>
    <w:pPr>
      <w:keepNext/>
      <w:keepLines/>
      <w:spacing w:before="260" w:after="260" w:line="412" w:lineRule="auto"/>
      <w:outlineLvl w:val="1"/>
    </w:pPr>
    <w:rPr>
      <w:rFonts w:ascii="Arial" w:hAnsi="Arial" w:eastAsia="黑体"/>
      <w:b/>
      <w:kern w:val="0"/>
      <w:sz w:val="32"/>
      <w:szCs w:val="20"/>
    </w:rPr>
  </w:style>
  <w:style w:type="paragraph" w:styleId="4">
    <w:name w:val="heading 3"/>
    <w:basedOn w:val="1"/>
    <w:next w:val="1"/>
    <w:link w:val="28"/>
    <w:qFormat/>
    <w:uiPriority w:val="0"/>
    <w:pPr>
      <w:keepNext/>
      <w:keepLines/>
      <w:spacing w:before="260" w:after="260" w:line="416" w:lineRule="auto"/>
      <w:outlineLvl w:val="2"/>
    </w:pPr>
    <w:rPr>
      <w:rFonts w:ascii="Times New Roman" w:hAnsi="Times New Roman"/>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bCs/>
    </w:rPr>
  </w:style>
  <w:style w:type="paragraph" w:styleId="5">
    <w:name w:val="annotation text"/>
    <w:basedOn w:val="1"/>
    <w:link w:val="38"/>
    <w:qFormat/>
    <w:uiPriority w:val="0"/>
    <w:pPr>
      <w:widowControl/>
      <w:spacing w:line="360" w:lineRule="auto"/>
      <w:ind w:firstLine="200" w:firstLineChars="200"/>
      <w:jc w:val="left"/>
    </w:pPr>
    <w:rPr>
      <w:rFonts w:hint="eastAsia" w:ascii="宋体" w:hAnsi="Times New Roman"/>
      <w:kern w:val="0"/>
      <w:sz w:val="24"/>
      <w:szCs w:val="20"/>
    </w:rPr>
  </w:style>
  <w:style w:type="paragraph" w:styleId="6">
    <w:name w:val="Body Text"/>
    <w:basedOn w:val="1"/>
    <w:next w:val="7"/>
    <w:link w:val="30"/>
    <w:qFormat/>
    <w:uiPriority w:val="0"/>
    <w:pPr>
      <w:spacing w:after="120"/>
    </w:pPr>
  </w:style>
  <w:style w:type="paragraph" w:customStyle="1" w:styleId="7">
    <w:name w:val="目录 61"/>
    <w:next w:val="1"/>
    <w:qFormat/>
    <w:uiPriority w:val="99"/>
    <w:pPr>
      <w:wordWrap w:val="0"/>
      <w:ind w:left="2125"/>
      <w:jc w:val="both"/>
    </w:pPr>
    <w:rPr>
      <w:rFonts w:ascii="Times New Roman" w:hAnsi="Times New Roman" w:eastAsia="宋体" w:cs="Times New Roman"/>
      <w:sz w:val="21"/>
      <w:szCs w:val="21"/>
      <w:lang w:val="en-US" w:eastAsia="zh-CN" w:bidi="ar-SA"/>
    </w:rPr>
  </w:style>
  <w:style w:type="paragraph" w:styleId="8">
    <w:name w:val="Body Text Indent"/>
    <w:basedOn w:val="1"/>
    <w:link w:val="36"/>
    <w:semiHidden/>
    <w:unhideWhenUsed/>
    <w:qFormat/>
    <w:uiPriority w:val="0"/>
    <w:pPr>
      <w:spacing w:after="120"/>
      <w:ind w:left="420" w:leftChars="200"/>
    </w:pPr>
  </w:style>
  <w:style w:type="paragraph" w:styleId="9">
    <w:name w:val="Block Text"/>
    <w:basedOn w:val="1"/>
    <w:qFormat/>
    <w:uiPriority w:val="0"/>
    <w:pPr>
      <w:spacing w:line="440" w:lineRule="exact"/>
      <w:ind w:left="-540" w:leftChars="-257" w:right="-334" w:rightChars="-159" w:firstLine="1140"/>
    </w:pPr>
    <w:rPr>
      <w:rFonts w:ascii="Times New Roman" w:hAnsi="Times New Roman"/>
      <w:sz w:val="24"/>
      <w:szCs w:val="20"/>
    </w:rPr>
  </w:style>
  <w:style w:type="paragraph" w:styleId="10">
    <w:name w:val="Plain Text"/>
    <w:basedOn w:val="1"/>
    <w:link w:val="34"/>
    <w:qFormat/>
    <w:uiPriority w:val="0"/>
    <w:rPr>
      <w:rFonts w:hint="eastAsia" w:ascii="宋体" w:hAnsi="Courier New"/>
      <w:kern w:val="0"/>
      <w:sz w:val="20"/>
      <w:szCs w:val="21"/>
    </w:rPr>
  </w:style>
  <w:style w:type="paragraph" w:styleId="11">
    <w:name w:val="Balloon Text"/>
    <w:basedOn w:val="1"/>
    <w:link w:val="24"/>
    <w:qFormat/>
    <w:uiPriority w:val="0"/>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unhideWhenUsed/>
    <w:qFormat/>
    <w:uiPriority w:val="39"/>
    <w:pPr>
      <w:ind w:left="420" w:leftChars="200"/>
    </w:p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4"/>
    </w:rPr>
  </w:style>
  <w:style w:type="paragraph" w:styleId="16">
    <w:name w:val="annotation subject"/>
    <w:basedOn w:val="5"/>
    <w:next w:val="5"/>
    <w:link w:val="31"/>
    <w:qFormat/>
    <w:uiPriority w:val="0"/>
    <w:rPr>
      <w:b/>
      <w:bCs/>
      <w:sz w:val="20"/>
    </w:rPr>
  </w:style>
  <w:style w:type="paragraph" w:styleId="17">
    <w:name w:val="Body Text First Indent"/>
    <w:basedOn w:val="6"/>
    <w:next w:val="18"/>
    <w:link w:val="32"/>
    <w:qFormat/>
    <w:uiPriority w:val="0"/>
    <w:pPr>
      <w:ind w:firstLine="420" w:firstLineChars="100"/>
    </w:pPr>
    <w:rPr>
      <w:rFonts w:ascii="Times New Roman" w:hAnsi="Times New Roman"/>
    </w:rPr>
  </w:style>
  <w:style w:type="paragraph" w:styleId="18">
    <w:name w:val="Body Text First Indent 2"/>
    <w:basedOn w:val="8"/>
    <w:link w:val="37"/>
    <w:unhideWhenUsed/>
    <w:qFormat/>
    <w:uiPriority w:val="99"/>
    <w:pPr>
      <w:widowControl/>
      <w:spacing w:line="256" w:lineRule="auto"/>
      <w:ind w:firstLine="420" w:firstLineChars="200"/>
      <w:jc w:val="left"/>
    </w:pPr>
    <w:rPr>
      <w:rFonts w:eastAsia="Calibri"/>
      <w:color w:val="000000"/>
      <w:sz w:val="22"/>
    </w:rPr>
  </w:style>
  <w:style w:type="character" w:styleId="21">
    <w:name w:val="Hyperlink"/>
    <w:unhideWhenUsed/>
    <w:qFormat/>
    <w:uiPriority w:val="99"/>
    <w:rPr>
      <w:color w:val="0563C1"/>
      <w:u w:val="single"/>
    </w:rPr>
  </w:style>
  <w:style w:type="character" w:styleId="22">
    <w:name w:val="annotation reference"/>
    <w:basedOn w:val="20"/>
    <w:semiHidden/>
    <w:unhideWhenUsed/>
    <w:qFormat/>
    <w:uiPriority w:val="0"/>
    <w:rPr>
      <w:sz w:val="21"/>
      <w:szCs w:val="21"/>
    </w:rPr>
  </w:style>
  <w:style w:type="paragraph" w:customStyle="1" w:styleId="23">
    <w:name w:val="首行缩进"/>
    <w:basedOn w:val="1"/>
    <w:qFormat/>
    <w:uiPriority w:val="0"/>
    <w:pPr>
      <w:spacing w:line="300" w:lineRule="auto"/>
      <w:ind w:firstLine="420"/>
    </w:pPr>
    <w:rPr>
      <w:rFonts w:eastAsia="方正书宋简体"/>
    </w:rPr>
  </w:style>
  <w:style w:type="character" w:customStyle="1" w:styleId="24">
    <w:name w:val="批注框文本 字符"/>
    <w:basedOn w:val="20"/>
    <w:link w:val="11"/>
    <w:qFormat/>
    <w:uiPriority w:val="0"/>
    <w:rPr>
      <w:rFonts w:ascii="Calibri" w:hAnsi="Calibri" w:eastAsia="宋体" w:cs="Times New Roman"/>
      <w:kern w:val="2"/>
      <w:sz w:val="18"/>
      <w:szCs w:val="18"/>
    </w:rPr>
  </w:style>
  <w:style w:type="character" w:customStyle="1" w:styleId="25">
    <w:name w:val="页眉 字符"/>
    <w:basedOn w:val="20"/>
    <w:link w:val="13"/>
    <w:qFormat/>
    <w:uiPriority w:val="0"/>
    <w:rPr>
      <w:rFonts w:ascii="Calibri" w:hAnsi="Calibri" w:eastAsia="宋体" w:cs="Times New Roman"/>
      <w:kern w:val="2"/>
      <w:sz w:val="18"/>
      <w:szCs w:val="18"/>
    </w:rPr>
  </w:style>
  <w:style w:type="character" w:customStyle="1" w:styleId="26">
    <w:name w:val="页脚 字符"/>
    <w:basedOn w:val="20"/>
    <w:link w:val="12"/>
    <w:qFormat/>
    <w:uiPriority w:val="0"/>
    <w:rPr>
      <w:rFonts w:ascii="Calibri" w:hAnsi="Calibri" w:eastAsia="宋体" w:cs="Times New Roman"/>
      <w:kern w:val="2"/>
      <w:sz w:val="18"/>
      <w:szCs w:val="18"/>
    </w:rPr>
  </w:style>
  <w:style w:type="character" w:customStyle="1" w:styleId="27">
    <w:name w:val="标题 2 字符"/>
    <w:basedOn w:val="20"/>
    <w:link w:val="3"/>
    <w:qFormat/>
    <w:uiPriority w:val="0"/>
    <w:rPr>
      <w:rFonts w:ascii="Arial" w:hAnsi="Arial" w:eastAsia="黑体" w:cs="Times New Roman"/>
      <w:b/>
      <w:sz w:val="32"/>
    </w:rPr>
  </w:style>
  <w:style w:type="character" w:customStyle="1" w:styleId="28">
    <w:name w:val="标题 3 字符"/>
    <w:basedOn w:val="20"/>
    <w:link w:val="4"/>
    <w:qFormat/>
    <w:uiPriority w:val="0"/>
    <w:rPr>
      <w:rFonts w:ascii="Times New Roman" w:hAnsi="Times New Roman" w:eastAsia="宋体" w:cs="Times New Roman"/>
      <w:b/>
      <w:bCs/>
      <w:kern w:val="2"/>
      <w:sz w:val="32"/>
      <w:szCs w:val="32"/>
    </w:rPr>
  </w:style>
  <w:style w:type="character" w:customStyle="1" w:styleId="29">
    <w:name w:val="批注文字 字符"/>
    <w:basedOn w:val="20"/>
    <w:qFormat/>
    <w:uiPriority w:val="0"/>
    <w:rPr>
      <w:rFonts w:ascii="Calibri" w:hAnsi="Calibri" w:eastAsia="宋体" w:cs="Times New Roman"/>
      <w:kern w:val="2"/>
      <w:sz w:val="21"/>
      <w:szCs w:val="22"/>
    </w:rPr>
  </w:style>
  <w:style w:type="character" w:customStyle="1" w:styleId="30">
    <w:name w:val="正文文本 字符"/>
    <w:basedOn w:val="20"/>
    <w:link w:val="6"/>
    <w:qFormat/>
    <w:uiPriority w:val="0"/>
    <w:rPr>
      <w:rFonts w:ascii="Calibri" w:hAnsi="Calibri" w:eastAsia="宋体" w:cs="Times New Roman"/>
      <w:kern w:val="2"/>
      <w:sz w:val="21"/>
      <w:szCs w:val="22"/>
    </w:rPr>
  </w:style>
  <w:style w:type="character" w:customStyle="1" w:styleId="31">
    <w:name w:val="批注主题 字符"/>
    <w:basedOn w:val="29"/>
    <w:link w:val="16"/>
    <w:qFormat/>
    <w:uiPriority w:val="0"/>
    <w:rPr>
      <w:rFonts w:ascii="Calibri" w:hAnsi="Calibri" w:eastAsia="宋体" w:cs="Times New Roman"/>
      <w:b/>
      <w:bCs/>
      <w:kern w:val="2"/>
      <w:sz w:val="21"/>
      <w:szCs w:val="22"/>
    </w:rPr>
  </w:style>
  <w:style w:type="character" w:customStyle="1" w:styleId="32">
    <w:name w:val="正文首行缩进 字符"/>
    <w:basedOn w:val="30"/>
    <w:link w:val="17"/>
    <w:qFormat/>
    <w:uiPriority w:val="0"/>
    <w:rPr>
      <w:rFonts w:ascii="Times New Roman" w:hAnsi="Times New Roman" w:eastAsia="宋体" w:cs="Times New Roman"/>
      <w:kern w:val="2"/>
      <w:sz w:val="21"/>
      <w:szCs w:val="22"/>
    </w:rPr>
  </w:style>
  <w:style w:type="paragraph" w:customStyle="1" w:styleId="33">
    <w:name w:val="xl84"/>
    <w:basedOn w:val="1"/>
    <w:qFormat/>
    <w:uiPriority w:val="0"/>
    <w:pPr>
      <w:widowControl/>
      <w:spacing w:before="100" w:beforeAutospacing="1" w:after="100" w:afterAutospacing="1"/>
      <w:jc w:val="left"/>
    </w:pPr>
    <w:rPr>
      <w:rFonts w:ascii="宋体" w:hAnsi="宋体" w:cs="宋体"/>
      <w:b/>
      <w:bCs/>
      <w:kern w:val="0"/>
      <w:sz w:val="18"/>
      <w:szCs w:val="18"/>
    </w:rPr>
  </w:style>
  <w:style w:type="character" w:customStyle="1" w:styleId="34">
    <w:name w:val="纯文本 字符"/>
    <w:basedOn w:val="20"/>
    <w:link w:val="10"/>
    <w:qFormat/>
    <w:uiPriority w:val="0"/>
    <w:rPr>
      <w:rFonts w:ascii="宋体" w:hAnsi="Courier New" w:eastAsia="宋体" w:cs="Times New Roman"/>
      <w:szCs w:val="21"/>
    </w:rPr>
  </w:style>
  <w:style w:type="paragraph" w:customStyle="1" w:styleId="35">
    <w:name w:val="_Style 44"/>
    <w:basedOn w:val="6"/>
    <w:next w:val="17"/>
    <w:qFormat/>
    <w:uiPriority w:val="99"/>
    <w:pPr>
      <w:spacing w:before="100" w:beforeAutospacing="1"/>
      <w:ind w:firstLine="420"/>
    </w:pPr>
    <w:rPr>
      <w:rFonts w:ascii="Times New Roman" w:hAnsi="Times New Roman"/>
    </w:rPr>
  </w:style>
  <w:style w:type="character" w:customStyle="1" w:styleId="36">
    <w:name w:val="正文文本缩进 字符"/>
    <w:basedOn w:val="20"/>
    <w:link w:val="8"/>
    <w:qFormat/>
    <w:uiPriority w:val="0"/>
    <w:rPr>
      <w:rFonts w:hint="default" w:ascii="Calibri" w:hAnsi="Calibri" w:eastAsia="宋体" w:cs="Times New Roman"/>
      <w:kern w:val="2"/>
      <w:sz w:val="21"/>
      <w:szCs w:val="22"/>
    </w:rPr>
  </w:style>
  <w:style w:type="character" w:customStyle="1" w:styleId="37">
    <w:name w:val="正文首行缩进 2 字符"/>
    <w:basedOn w:val="36"/>
    <w:link w:val="18"/>
    <w:qFormat/>
    <w:uiPriority w:val="0"/>
    <w:rPr>
      <w:rFonts w:hint="default" w:ascii="Calibri" w:hAnsi="Calibri" w:eastAsia="宋体" w:cs="Times New Roman"/>
      <w:kern w:val="2"/>
      <w:sz w:val="21"/>
      <w:szCs w:val="22"/>
    </w:rPr>
  </w:style>
  <w:style w:type="character" w:customStyle="1" w:styleId="38">
    <w:name w:val="批注文字 字符1"/>
    <w:basedOn w:val="20"/>
    <w:link w:val="5"/>
    <w:qFormat/>
    <w:uiPriority w:val="0"/>
    <w:rPr>
      <w:rFonts w:hint="eastAsia" w:ascii="宋体" w:hAnsi="宋体" w:eastAsia="宋体" w:cs="宋体"/>
      <w:sz w:val="24"/>
    </w:rPr>
  </w:style>
  <w:style w:type="paragraph" w:customStyle="1" w:styleId="3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修订1"/>
    <w:hidden/>
    <w:unhideWhenUsed/>
    <w:qFormat/>
    <w:uiPriority w:val="99"/>
    <w:rPr>
      <w:rFonts w:ascii="Calibri" w:hAnsi="Calibri" w:eastAsia="宋体" w:cs="Times New Roman"/>
      <w:kern w:val="2"/>
      <w:sz w:val="21"/>
      <w:szCs w:val="22"/>
      <w:lang w:val="en-US" w:eastAsia="zh-CN" w:bidi="ar-SA"/>
    </w:rPr>
  </w:style>
  <w:style w:type="paragraph" w:customStyle="1" w:styleId="41">
    <w:name w:val="修订2"/>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618</Words>
  <Characters>3524</Characters>
  <Lines>29</Lines>
  <Paragraphs>8</Paragraphs>
  <TotalTime>18</TotalTime>
  <ScaleCrop>false</ScaleCrop>
  <LinksUpToDate>false</LinksUpToDate>
  <CharactersWithSpaces>4134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2023-10-07T01:44:00Z</dcterms:created>
  <dc:creator>广东工程经办人</dc:creator>
  <cp:lastModifiedBy>省机电</cp:lastModifiedBy>
  <dcterms:modified xsi:type="dcterms:W3CDTF">2024-03-26T10:06:30Z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7E9C9B45797A4A0180C3AE5C53BA1B81</vt:lpwstr>
  </property>
</Properties>
</file>