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ind w:right="102"/>
        <w:jc w:val="left"/>
        <w:rPr>
          <w:rFonts w:ascii="Arial" w:hAnsi="Arial" w:cs="Arial"/>
          <w:color w:val="auto"/>
          <w:szCs w:val="21"/>
          <w:highlight w:val="none"/>
          <w:shd w:val="clear" w:color="auto" w:fill="auto"/>
        </w:rPr>
      </w:pPr>
    </w:p>
    <w:p>
      <w:pPr>
        <w:spacing w:line="360" w:lineRule="auto"/>
        <w:ind w:left="359" w:leftChars="171"/>
        <w:jc w:val="left"/>
        <w:rPr>
          <w:rFonts w:ascii="Arial" w:hAnsi="Arial" w:cs="Arial"/>
          <w:b/>
          <w:bCs/>
          <w:color w:val="auto"/>
          <w:spacing w:val="40"/>
          <w:sz w:val="44"/>
          <w:szCs w:val="44"/>
          <w:highlight w:val="none"/>
          <w:shd w:val="clear" w:color="auto" w:fill="auto"/>
        </w:rPr>
      </w:pPr>
    </w:p>
    <w:p>
      <w:pPr>
        <w:spacing w:line="360" w:lineRule="auto"/>
        <w:rPr>
          <w:rFonts w:ascii="Arial" w:hAnsi="Arial" w:cs="Arial"/>
          <w:b/>
          <w:bCs/>
          <w:color w:val="auto"/>
          <w:spacing w:val="40"/>
          <w:sz w:val="44"/>
          <w:szCs w:val="44"/>
          <w:highlight w:val="none"/>
          <w:shd w:val="clear" w:color="auto" w:fill="auto"/>
        </w:rPr>
      </w:pPr>
    </w:p>
    <w:p>
      <w:pPr>
        <w:spacing w:line="360" w:lineRule="auto"/>
        <w:ind w:left="359" w:leftChars="171"/>
        <w:jc w:val="center"/>
        <w:rPr>
          <w:rFonts w:ascii="Arial" w:hAnsi="Arial" w:cs="Arial"/>
          <w:b/>
          <w:bCs/>
          <w:color w:val="auto"/>
          <w:spacing w:val="40"/>
          <w:sz w:val="44"/>
          <w:szCs w:val="44"/>
          <w:highlight w:val="none"/>
          <w:shd w:val="clear" w:color="auto" w:fill="auto"/>
        </w:rPr>
      </w:pPr>
      <w:r>
        <w:rPr>
          <w:rFonts w:hint="eastAsia" w:ascii="Arial" w:hAnsi="Arial" w:cs="Arial"/>
          <w:b/>
          <w:bCs/>
          <w:color w:val="auto"/>
          <w:spacing w:val="40"/>
          <w:sz w:val="52"/>
          <w:szCs w:val="52"/>
          <w:highlight w:val="none"/>
          <w:shd w:val="clear" w:color="auto" w:fill="auto"/>
        </w:rPr>
        <w:t>2023年琶洲大桥维修专项施工</w:t>
      </w:r>
    </w:p>
    <w:p>
      <w:pPr>
        <w:spacing w:line="360" w:lineRule="auto"/>
        <w:jc w:val="center"/>
        <w:rPr>
          <w:rFonts w:ascii="Arial" w:hAnsi="Arial" w:cs="Arial"/>
          <w:color w:val="auto"/>
          <w:sz w:val="36"/>
          <w:highlight w:val="none"/>
          <w:u w:val="single"/>
          <w:shd w:val="clear" w:color="auto" w:fill="auto"/>
        </w:rPr>
      </w:pPr>
    </w:p>
    <w:p>
      <w:pPr>
        <w:spacing w:line="360" w:lineRule="auto"/>
        <w:jc w:val="center"/>
        <w:rPr>
          <w:rFonts w:ascii="Arial" w:hAnsi="Arial" w:cs="Arial"/>
          <w:b/>
          <w:bCs/>
          <w:color w:val="auto"/>
          <w:spacing w:val="26"/>
          <w:sz w:val="110"/>
          <w:szCs w:val="110"/>
          <w:highlight w:val="none"/>
          <w:shd w:val="clear" w:color="auto" w:fill="auto"/>
        </w:rPr>
      </w:pPr>
    </w:p>
    <w:p>
      <w:pPr>
        <w:spacing w:line="360" w:lineRule="auto"/>
        <w:jc w:val="center"/>
        <w:rPr>
          <w:rFonts w:ascii="Arial" w:hAnsi="Arial" w:cs="Arial"/>
          <w:b/>
          <w:bCs/>
          <w:color w:val="auto"/>
          <w:spacing w:val="26"/>
          <w:sz w:val="110"/>
          <w:szCs w:val="110"/>
          <w:highlight w:val="none"/>
          <w:shd w:val="clear" w:color="auto" w:fill="auto"/>
        </w:rPr>
      </w:pPr>
    </w:p>
    <w:p>
      <w:pPr>
        <w:spacing w:line="360" w:lineRule="auto"/>
        <w:jc w:val="center"/>
        <w:rPr>
          <w:rFonts w:ascii="Arial" w:hAnsi="Arial" w:cs="Arial"/>
          <w:b/>
          <w:bCs/>
          <w:color w:val="auto"/>
          <w:spacing w:val="26"/>
          <w:sz w:val="110"/>
          <w:szCs w:val="110"/>
          <w:highlight w:val="none"/>
          <w:shd w:val="clear" w:color="auto" w:fill="auto"/>
        </w:rPr>
      </w:pPr>
      <w:r>
        <w:rPr>
          <w:rFonts w:ascii="Arial" w:hAnsi="Arial" w:cs="Arial"/>
          <w:b/>
          <w:bCs/>
          <w:color w:val="auto"/>
          <w:spacing w:val="26"/>
          <w:sz w:val="110"/>
          <w:szCs w:val="110"/>
          <w:highlight w:val="none"/>
          <w:shd w:val="clear" w:color="auto" w:fill="auto"/>
        </w:rPr>
        <w:t>招标文件</w:t>
      </w:r>
    </w:p>
    <w:p>
      <w:pPr>
        <w:spacing w:line="360" w:lineRule="auto"/>
        <w:jc w:val="center"/>
        <w:rPr>
          <w:rFonts w:ascii="Arial" w:hAnsi="Arial" w:cs="Arial"/>
          <w:color w:val="auto"/>
          <w:sz w:val="32"/>
          <w:highlight w:val="none"/>
          <w:shd w:val="clear" w:color="auto" w:fill="auto"/>
        </w:rPr>
      </w:pPr>
    </w:p>
    <w:p>
      <w:pPr>
        <w:spacing w:line="360" w:lineRule="auto"/>
        <w:ind w:firstLine="2560" w:firstLineChars="800"/>
        <w:rPr>
          <w:rFonts w:ascii="Arial" w:hAnsi="Arial" w:cs="Arial"/>
          <w:color w:val="auto"/>
          <w:sz w:val="32"/>
          <w:highlight w:val="none"/>
          <w:shd w:val="clear" w:color="auto" w:fill="auto"/>
        </w:rPr>
      </w:pPr>
    </w:p>
    <w:p>
      <w:pPr>
        <w:spacing w:line="360" w:lineRule="auto"/>
        <w:rPr>
          <w:rFonts w:ascii="Arial" w:hAnsi="Arial" w:cs="Arial"/>
          <w:color w:val="auto"/>
          <w:sz w:val="52"/>
          <w:highlight w:val="none"/>
          <w:shd w:val="clear" w:color="auto" w:fill="auto"/>
        </w:rPr>
      </w:pPr>
    </w:p>
    <w:p>
      <w:pPr>
        <w:spacing w:line="360" w:lineRule="auto"/>
        <w:rPr>
          <w:rFonts w:ascii="Arial" w:hAnsi="Arial" w:cs="Arial"/>
          <w:color w:val="auto"/>
          <w:sz w:val="52"/>
          <w:highlight w:val="none"/>
          <w:shd w:val="clear" w:color="auto" w:fill="auto"/>
        </w:rPr>
      </w:pPr>
    </w:p>
    <w:p>
      <w:pPr>
        <w:spacing w:line="360" w:lineRule="auto"/>
        <w:ind w:firstLine="900" w:firstLineChars="300"/>
        <w:rPr>
          <w:rFonts w:ascii="宋体" w:hAnsi="宋体" w:cs="Arial"/>
          <w:color w:val="auto"/>
          <w:sz w:val="30"/>
          <w:szCs w:val="30"/>
          <w:highlight w:val="none"/>
          <w:u w:val="none"/>
          <w:shd w:val="clear" w:color="auto" w:fill="auto"/>
        </w:rPr>
      </w:pPr>
      <w:r>
        <w:rPr>
          <w:rFonts w:hint="eastAsia" w:ascii="宋体" w:hAnsi="宋体" w:cs="Arial"/>
          <w:color w:val="auto"/>
          <w:sz w:val="30"/>
          <w:szCs w:val="30"/>
          <w:highlight w:val="none"/>
          <w:shd w:val="clear" w:color="auto" w:fill="auto"/>
        </w:rPr>
        <w:t>招</w:t>
      </w:r>
      <w:r>
        <w:rPr>
          <w:rFonts w:ascii="宋体" w:hAnsi="宋体" w:cs="Arial"/>
          <w:color w:val="auto"/>
          <w:sz w:val="30"/>
          <w:szCs w:val="30"/>
          <w:highlight w:val="none"/>
          <w:shd w:val="clear" w:color="auto" w:fill="auto"/>
        </w:rPr>
        <w:t xml:space="preserve">  </w:t>
      </w:r>
      <w:r>
        <w:rPr>
          <w:rFonts w:hint="eastAsia" w:ascii="宋体" w:hAnsi="宋体" w:cs="Arial"/>
          <w:color w:val="auto"/>
          <w:sz w:val="30"/>
          <w:szCs w:val="30"/>
          <w:highlight w:val="none"/>
          <w:shd w:val="clear" w:color="auto" w:fill="auto"/>
        </w:rPr>
        <w:t>标</w:t>
      </w:r>
      <w:r>
        <w:rPr>
          <w:rFonts w:ascii="宋体" w:hAnsi="宋体" w:cs="Arial"/>
          <w:color w:val="auto"/>
          <w:sz w:val="30"/>
          <w:szCs w:val="30"/>
          <w:highlight w:val="none"/>
          <w:shd w:val="clear" w:color="auto" w:fill="auto"/>
        </w:rPr>
        <w:t xml:space="preserve"> </w:t>
      </w:r>
      <w:r>
        <w:rPr>
          <w:rFonts w:hint="eastAsia" w:ascii="宋体" w:hAnsi="宋体" w:cs="Arial"/>
          <w:color w:val="auto"/>
          <w:sz w:val="30"/>
          <w:szCs w:val="30"/>
          <w:highlight w:val="none"/>
          <w:shd w:val="clear" w:color="auto" w:fill="auto"/>
        </w:rPr>
        <w:t>单</w:t>
      </w:r>
      <w:r>
        <w:rPr>
          <w:rFonts w:ascii="宋体" w:hAnsi="宋体" w:cs="Arial"/>
          <w:color w:val="auto"/>
          <w:sz w:val="30"/>
          <w:szCs w:val="30"/>
          <w:highlight w:val="none"/>
          <w:shd w:val="clear" w:color="auto" w:fill="auto"/>
        </w:rPr>
        <w:t xml:space="preserve"> </w:t>
      </w:r>
      <w:r>
        <w:rPr>
          <w:rFonts w:hint="eastAsia" w:ascii="宋体" w:hAnsi="宋体" w:cs="Arial"/>
          <w:color w:val="auto"/>
          <w:sz w:val="30"/>
          <w:szCs w:val="30"/>
          <w:highlight w:val="none"/>
          <w:shd w:val="clear" w:color="auto" w:fill="auto"/>
        </w:rPr>
        <w:t>位：</w:t>
      </w:r>
      <w:r>
        <w:rPr>
          <w:rFonts w:hint="eastAsia" w:ascii="宋体" w:hAnsi="宋体" w:cs="Arial"/>
          <w:color w:val="auto"/>
          <w:sz w:val="30"/>
          <w:szCs w:val="30"/>
          <w:highlight w:val="none"/>
          <w:u w:val="none"/>
          <w:shd w:val="clear" w:color="auto" w:fill="auto"/>
        </w:rPr>
        <w:t>广州市城市年票项目建设有限公司</w:t>
      </w:r>
    </w:p>
    <w:p>
      <w:pPr>
        <w:spacing w:line="360" w:lineRule="auto"/>
        <w:ind w:firstLine="945"/>
        <w:rPr>
          <w:rFonts w:ascii="宋体" w:hAnsi="宋体" w:cs="Arial"/>
          <w:color w:val="auto"/>
          <w:sz w:val="30"/>
          <w:szCs w:val="30"/>
          <w:highlight w:val="none"/>
          <w:u w:val="none"/>
          <w:shd w:val="clear" w:color="auto" w:fill="auto"/>
        </w:rPr>
      </w:pPr>
      <w:r>
        <w:rPr>
          <w:rFonts w:hint="eastAsia" w:ascii="宋体" w:hAnsi="宋体" w:cs="Arial"/>
          <w:color w:val="auto"/>
          <w:sz w:val="30"/>
          <w:szCs w:val="30"/>
          <w:highlight w:val="none"/>
          <w:shd w:val="clear" w:color="auto" w:fill="auto"/>
        </w:rPr>
        <w:t>招标代理单位：</w:t>
      </w:r>
      <w:r>
        <w:rPr>
          <w:rFonts w:ascii="宋体" w:hAnsi="宋体" w:cs="Arial"/>
          <w:color w:val="auto"/>
          <w:sz w:val="30"/>
          <w:szCs w:val="30"/>
          <w:highlight w:val="none"/>
          <w:u w:val="none"/>
          <w:shd w:val="clear" w:color="auto" w:fill="auto"/>
        </w:rPr>
        <w:t xml:space="preserve"> </w:t>
      </w:r>
      <w:r>
        <w:rPr>
          <w:rFonts w:hint="eastAsia" w:ascii="宋体" w:hAnsi="宋体" w:cs="Arial"/>
          <w:color w:val="auto"/>
          <w:sz w:val="30"/>
          <w:szCs w:val="30"/>
          <w:highlight w:val="none"/>
          <w:u w:val="none"/>
          <w:shd w:val="clear" w:color="auto" w:fill="auto"/>
        </w:rPr>
        <w:t>广东粤信项目管理有限公司</w:t>
      </w:r>
      <w:r>
        <w:rPr>
          <w:rFonts w:ascii="宋体" w:hAnsi="宋体" w:cs="Arial"/>
          <w:color w:val="auto"/>
          <w:sz w:val="30"/>
          <w:szCs w:val="30"/>
          <w:highlight w:val="none"/>
          <w:u w:val="none"/>
          <w:shd w:val="clear" w:color="auto" w:fill="auto"/>
        </w:rPr>
        <w:t xml:space="preserve">  </w:t>
      </w:r>
    </w:p>
    <w:p>
      <w:pPr>
        <w:spacing w:line="360" w:lineRule="auto"/>
        <w:ind w:firstLine="945"/>
        <w:rPr>
          <w:rFonts w:ascii="宋体" w:hAnsi="宋体" w:cs="Arial"/>
          <w:color w:val="auto"/>
          <w:sz w:val="32"/>
          <w:highlight w:val="none"/>
          <w:shd w:val="clear" w:color="auto" w:fill="auto"/>
        </w:rPr>
      </w:pPr>
      <w:r>
        <w:rPr>
          <w:rFonts w:hint="eastAsia" w:ascii="宋体" w:hAnsi="宋体" w:cs="Arial"/>
          <w:color w:val="auto"/>
          <w:sz w:val="32"/>
          <w:highlight w:val="none"/>
          <w:shd w:val="clear" w:color="auto" w:fill="auto"/>
        </w:rPr>
        <w:t>日</w:t>
      </w:r>
      <w:r>
        <w:rPr>
          <w:rFonts w:ascii="宋体" w:hAnsi="宋体" w:cs="Arial"/>
          <w:color w:val="auto"/>
          <w:sz w:val="32"/>
          <w:highlight w:val="none"/>
          <w:shd w:val="clear" w:color="auto" w:fill="auto"/>
        </w:rPr>
        <w:t xml:space="preserve">        </w:t>
      </w:r>
      <w:r>
        <w:rPr>
          <w:rFonts w:hint="eastAsia" w:ascii="宋体" w:hAnsi="宋体" w:cs="Arial"/>
          <w:color w:val="auto"/>
          <w:sz w:val="32"/>
          <w:highlight w:val="none"/>
          <w:shd w:val="clear" w:color="auto" w:fill="auto"/>
        </w:rPr>
        <w:t>期：</w:t>
      </w:r>
      <w:r>
        <w:rPr>
          <w:rFonts w:ascii="宋体" w:hAnsi="宋体" w:cs="Arial"/>
          <w:color w:val="auto"/>
          <w:sz w:val="32"/>
          <w:highlight w:val="none"/>
          <w:u w:val="none"/>
          <w:shd w:val="clear" w:color="auto" w:fill="auto"/>
        </w:rPr>
        <w:t>2024</w:t>
      </w:r>
      <w:r>
        <w:rPr>
          <w:rFonts w:hint="eastAsia" w:ascii="宋体" w:hAnsi="宋体" w:cs="Arial"/>
          <w:color w:val="auto"/>
          <w:sz w:val="32"/>
          <w:highlight w:val="none"/>
          <w:shd w:val="clear" w:color="auto" w:fill="auto"/>
        </w:rPr>
        <w:t>年</w:t>
      </w:r>
      <w:r>
        <w:rPr>
          <w:rFonts w:ascii="宋体" w:hAnsi="宋体" w:cs="Arial"/>
          <w:color w:val="auto"/>
          <w:sz w:val="32"/>
          <w:highlight w:val="none"/>
          <w:shd w:val="clear" w:color="auto" w:fill="auto"/>
        </w:rPr>
        <w:t>3</w:t>
      </w:r>
      <w:r>
        <w:rPr>
          <w:rFonts w:hint="eastAsia" w:ascii="宋体" w:hAnsi="宋体" w:cs="Arial"/>
          <w:color w:val="auto"/>
          <w:sz w:val="32"/>
          <w:highlight w:val="none"/>
          <w:shd w:val="clear" w:color="auto" w:fill="auto"/>
        </w:rPr>
        <w:t>月</w:t>
      </w:r>
    </w:p>
    <w:p>
      <w:pPr>
        <w:spacing w:line="480" w:lineRule="auto"/>
        <w:jc w:val="center"/>
        <w:rPr>
          <w:rFonts w:ascii="宋体" w:hAnsi="宋体" w:cs="Arial"/>
          <w:b/>
          <w:caps/>
          <w:color w:val="auto"/>
          <w:kern w:val="0"/>
          <w:sz w:val="36"/>
          <w:szCs w:val="36"/>
          <w:highlight w:val="none"/>
          <w:shd w:val="clear" w:color="auto" w:fill="auto"/>
        </w:rPr>
      </w:pPr>
      <w:r>
        <w:rPr>
          <w:rStyle w:val="64"/>
          <w:rFonts w:ascii="Arial" w:hAnsi="Arial" w:cs="Arial"/>
          <w:b/>
          <w:bCs/>
          <w:color w:val="auto"/>
          <w:highlight w:val="none"/>
          <w:shd w:val="clear" w:color="auto" w:fill="auto"/>
        </w:rPr>
        <w:br w:type="page"/>
      </w:r>
      <w:r>
        <w:rPr>
          <w:rStyle w:val="64"/>
          <w:rFonts w:ascii="宋体" w:hAnsi="宋体" w:cs="Arial"/>
          <w:b/>
          <w:bCs/>
          <w:color w:val="auto"/>
          <w:sz w:val="36"/>
          <w:szCs w:val="36"/>
          <w:highlight w:val="none"/>
          <w:u w:val="none"/>
          <w:shd w:val="clear" w:color="auto" w:fill="auto"/>
        </w:rPr>
        <w:t>目录</w:t>
      </w:r>
    </w:p>
    <w:p>
      <w:pPr>
        <w:pStyle w:val="38"/>
        <w:tabs>
          <w:tab w:val="right" w:leader="dot" w:pos="9070"/>
          <w:tab w:val="clear" w:pos="9060"/>
        </w:tabs>
        <w:spacing w:line="480" w:lineRule="auto"/>
        <w:rPr>
          <w:b/>
          <w:bCs/>
          <w:color w:val="auto"/>
          <w:highlight w:val="none"/>
          <w:shd w:val="clear" w:color="auto" w:fill="auto"/>
        </w:rPr>
      </w:pPr>
      <w:r>
        <w:rPr>
          <w:rFonts w:cs="Arial"/>
          <w:b/>
          <w:bCs/>
          <w:color w:val="auto"/>
          <w:highlight w:val="none"/>
          <w:shd w:val="clear" w:color="auto" w:fill="auto"/>
        </w:rPr>
        <w:fldChar w:fldCharType="begin"/>
      </w:r>
      <w:r>
        <w:rPr>
          <w:rFonts w:cs="Arial"/>
          <w:b/>
          <w:bCs/>
          <w:color w:val="auto"/>
          <w:highlight w:val="none"/>
          <w:shd w:val="clear" w:color="auto" w:fill="auto"/>
        </w:rPr>
        <w:instrText xml:space="preserve"> TOC \o "1-3" \h \z \u </w:instrText>
      </w:r>
      <w:r>
        <w:rPr>
          <w:rFonts w:cs="Arial"/>
          <w:b/>
          <w:bCs/>
          <w:color w:val="auto"/>
          <w:highlight w:val="none"/>
          <w:shd w:val="clear" w:color="auto" w:fill="auto"/>
        </w:rPr>
        <w:fldChar w:fldCharType="separate"/>
      </w: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_Toc23701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第一章  投标须知</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_Toc23701 \h </w:instrText>
      </w:r>
      <w:r>
        <w:rPr>
          <w:b/>
          <w:bCs/>
          <w:color w:val="auto"/>
          <w:highlight w:val="none"/>
          <w:shd w:val="clear" w:color="auto" w:fill="auto"/>
        </w:rPr>
        <w:fldChar w:fldCharType="separate"/>
      </w:r>
      <w:r>
        <w:rPr>
          <w:b/>
          <w:bCs/>
          <w:color w:val="auto"/>
          <w:highlight w:val="none"/>
          <w:shd w:val="clear" w:color="auto" w:fill="auto"/>
        </w:rPr>
        <w:t>2</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_Toc784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一、投标须知前附表</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_Toc784 \h </w:instrText>
      </w:r>
      <w:r>
        <w:rPr>
          <w:b/>
          <w:bCs/>
          <w:color w:val="auto"/>
          <w:highlight w:val="none"/>
          <w:shd w:val="clear" w:color="auto" w:fill="auto"/>
        </w:rPr>
        <w:fldChar w:fldCharType="separate"/>
      </w:r>
      <w:r>
        <w:rPr>
          <w:b/>
          <w:bCs/>
          <w:color w:val="auto"/>
          <w:highlight w:val="none"/>
          <w:shd w:val="clear" w:color="auto" w:fill="auto"/>
        </w:rPr>
        <w:t>2</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_Toc15500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二、投标须知修改表</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_Toc15500 \h </w:instrText>
      </w:r>
      <w:r>
        <w:rPr>
          <w:b/>
          <w:bCs/>
          <w:color w:val="auto"/>
          <w:highlight w:val="none"/>
          <w:shd w:val="clear" w:color="auto" w:fill="auto"/>
        </w:rPr>
        <w:fldChar w:fldCharType="separate"/>
      </w:r>
      <w:r>
        <w:rPr>
          <w:b/>
          <w:bCs/>
          <w:color w:val="auto"/>
          <w:highlight w:val="none"/>
          <w:shd w:val="clear" w:color="auto" w:fill="auto"/>
        </w:rPr>
        <w:t>7</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_Toc12031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三、投标须知通用条款</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_Toc12031 \h </w:instrText>
      </w:r>
      <w:r>
        <w:rPr>
          <w:b/>
          <w:bCs/>
          <w:color w:val="auto"/>
          <w:highlight w:val="none"/>
          <w:shd w:val="clear" w:color="auto" w:fill="auto"/>
        </w:rPr>
        <w:fldChar w:fldCharType="separate"/>
      </w:r>
      <w:r>
        <w:rPr>
          <w:b/>
          <w:bCs/>
          <w:color w:val="auto"/>
          <w:highlight w:val="none"/>
          <w:shd w:val="clear" w:color="auto" w:fill="auto"/>
        </w:rPr>
        <w:t>19</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_Toc20735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第二章  开标、评标及定标办法</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_Toc20735 \h </w:instrText>
      </w:r>
      <w:r>
        <w:rPr>
          <w:b/>
          <w:bCs/>
          <w:color w:val="auto"/>
          <w:highlight w:val="none"/>
          <w:shd w:val="clear" w:color="auto" w:fill="auto"/>
        </w:rPr>
        <w:fldChar w:fldCharType="separate"/>
      </w:r>
      <w:r>
        <w:rPr>
          <w:b/>
          <w:bCs/>
          <w:color w:val="auto"/>
          <w:highlight w:val="none"/>
          <w:shd w:val="clear" w:color="auto" w:fill="auto"/>
        </w:rPr>
        <w:t>32</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_Toc10049 </w:instrText>
      </w:r>
      <w:r>
        <w:rPr>
          <w:rFonts w:ascii="宋体" w:hAnsi="宋体" w:cs="Arial"/>
          <w:b/>
          <w:bCs/>
          <w:color w:val="auto"/>
          <w:highlight w:val="none"/>
          <w:shd w:val="clear" w:color="auto" w:fill="auto"/>
        </w:rPr>
        <w:fldChar w:fldCharType="separate"/>
      </w:r>
      <w:r>
        <w:rPr>
          <w:rFonts w:cs="Arial"/>
          <w:b/>
          <w:bCs/>
          <w:color w:val="auto"/>
          <w:szCs w:val="28"/>
          <w:highlight w:val="none"/>
          <w:shd w:val="clear" w:color="auto" w:fill="auto"/>
        </w:rPr>
        <w:t>一、</w:t>
      </w:r>
      <w:r>
        <w:rPr>
          <w:rFonts w:cs="Arial"/>
          <w:b/>
          <w:bCs/>
          <w:color w:val="auto"/>
          <w:highlight w:val="none"/>
          <w:shd w:val="clear" w:color="auto" w:fill="auto"/>
        </w:rPr>
        <w:t>开标、评标及定标办法修改表</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_Toc10049 \h </w:instrText>
      </w:r>
      <w:r>
        <w:rPr>
          <w:b/>
          <w:bCs/>
          <w:color w:val="auto"/>
          <w:highlight w:val="none"/>
          <w:shd w:val="clear" w:color="auto" w:fill="auto"/>
        </w:rPr>
        <w:fldChar w:fldCharType="separate"/>
      </w:r>
      <w:r>
        <w:rPr>
          <w:b/>
          <w:bCs/>
          <w:color w:val="auto"/>
          <w:highlight w:val="none"/>
          <w:shd w:val="clear" w:color="auto" w:fill="auto"/>
        </w:rPr>
        <w:t>32</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_Toc16347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二、开标、评标及定标办法</w:t>
      </w:r>
      <w:r>
        <w:rPr>
          <w:rFonts w:cs="Arial"/>
          <w:b/>
          <w:bCs/>
          <w:color w:val="auto"/>
          <w:szCs w:val="30"/>
          <w:highlight w:val="none"/>
          <w:shd w:val="clear" w:color="auto" w:fill="auto"/>
        </w:rPr>
        <w:t>通用条款</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_Toc16347 \h </w:instrText>
      </w:r>
      <w:r>
        <w:rPr>
          <w:b/>
          <w:bCs/>
          <w:color w:val="auto"/>
          <w:highlight w:val="none"/>
          <w:shd w:val="clear" w:color="auto" w:fill="auto"/>
        </w:rPr>
        <w:fldChar w:fldCharType="separate"/>
      </w:r>
      <w:r>
        <w:rPr>
          <w:b/>
          <w:bCs/>
          <w:color w:val="auto"/>
          <w:highlight w:val="none"/>
          <w:shd w:val="clear" w:color="auto" w:fill="auto"/>
        </w:rPr>
        <w:t>40</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_Toc5360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第三章  合同条款</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_Toc5360 \h </w:instrText>
      </w:r>
      <w:r>
        <w:rPr>
          <w:b/>
          <w:bCs/>
          <w:color w:val="auto"/>
          <w:highlight w:val="none"/>
          <w:shd w:val="clear" w:color="auto" w:fill="auto"/>
        </w:rPr>
        <w:fldChar w:fldCharType="separate"/>
      </w:r>
      <w:r>
        <w:rPr>
          <w:b/>
          <w:bCs/>
          <w:color w:val="auto"/>
          <w:highlight w:val="none"/>
          <w:shd w:val="clear" w:color="auto" w:fill="auto"/>
        </w:rPr>
        <w:t>61</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_Toc9325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第四章  投标文件格式</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_Toc9325 \h </w:instrText>
      </w:r>
      <w:r>
        <w:rPr>
          <w:b/>
          <w:bCs/>
          <w:color w:val="auto"/>
          <w:highlight w:val="none"/>
          <w:shd w:val="clear" w:color="auto" w:fill="auto"/>
        </w:rPr>
        <w:fldChar w:fldCharType="separate"/>
      </w:r>
      <w:r>
        <w:rPr>
          <w:b/>
          <w:bCs/>
          <w:color w:val="auto"/>
          <w:highlight w:val="none"/>
          <w:shd w:val="clear" w:color="auto" w:fill="auto"/>
        </w:rPr>
        <w:t>62</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_Toc12575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第五章  技术条件（工程建设标准）</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_Toc12575 \h </w:instrText>
      </w:r>
      <w:r>
        <w:rPr>
          <w:b/>
          <w:bCs/>
          <w:color w:val="auto"/>
          <w:highlight w:val="none"/>
          <w:shd w:val="clear" w:color="auto" w:fill="auto"/>
        </w:rPr>
        <w:fldChar w:fldCharType="separate"/>
      </w:r>
      <w:r>
        <w:rPr>
          <w:b/>
          <w:bCs/>
          <w:color w:val="auto"/>
          <w:highlight w:val="none"/>
          <w:shd w:val="clear" w:color="auto" w:fill="auto"/>
        </w:rPr>
        <w:t>69</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_Toc24446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第六章  图纸及勘察资料</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_Toc24446 \h </w:instrText>
      </w:r>
      <w:r>
        <w:rPr>
          <w:b/>
          <w:bCs/>
          <w:color w:val="auto"/>
          <w:highlight w:val="none"/>
          <w:shd w:val="clear" w:color="auto" w:fill="auto"/>
        </w:rPr>
        <w:fldChar w:fldCharType="separate"/>
      </w:r>
      <w:r>
        <w:rPr>
          <w:b/>
          <w:bCs/>
          <w:color w:val="auto"/>
          <w:highlight w:val="none"/>
          <w:shd w:val="clear" w:color="auto" w:fill="auto"/>
        </w:rPr>
        <w:t>72</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_Toc1327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第七章  工程量清单</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_Toc1327 \h </w:instrText>
      </w:r>
      <w:r>
        <w:rPr>
          <w:b/>
          <w:bCs/>
          <w:color w:val="auto"/>
          <w:highlight w:val="none"/>
          <w:shd w:val="clear" w:color="auto" w:fill="auto"/>
        </w:rPr>
        <w:fldChar w:fldCharType="separate"/>
      </w:r>
      <w:r>
        <w:rPr>
          <w:b/>
          <w:bCs/>
          <w:color w:val="auto"/>
          <w:highlight w:val="none"/>
          <w:shd w:val="clear" w:color="auto" w:fill="auto"/>
        </w:rPr>
        <w:t>73</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rFonts w:ascii="宋体" w:hAnsi="宋体" w:cs="Arial"/>
          <w:b/>
          <w:bCs/>
          <w:color w:val="auto"/>
          <w:highlight w:val="none"/>
          <w:shd w:val="clear" w:color="auto" w:fill="auto"/>
        </w:rPr>
        <w:fldChar w:fldCharType="begin"/>
      </w:r>
      <w:r>
        <w:rPr>
          <w:rFonts w:ascii="宋体" w:hAnsi="宋体" w:cs="Arial"/>
          <w:b/>
          <w:bCs/>
          <w:color w:val="auto"/>
          <w:highlight w:val="none"/>
          <w:shd w:val="clear" w:color="auto" w:fill="auto"/>
        </w:rPr>
        <w:instrText xml:space="preserve"> HYPERLINK \l _Toc14113 </w:instrText>
      </w:r>
      <w:r>
        <w:rPr>
          <w:rFonts w:ascii="宋体" w:hAnsi="宋体" w:cs="Arial"/>
          <w:b/>
          <w:bCs/>
          <w:color w:val="auto"/>
          <w:highlight w:val="none"/>
          <w:shd w:val="clear" w:color="auto" w:fill="auto"/>
        </w:rPr>
        <w:fldChar w:fldCharType="separate"/>
      </w:r>
      <w:r>
        <w:rPr>
          <w:rFonts w:cs="Arial"/>
          <w:b/>
          <w:bCs/>
          <w:color w:val="auto"/>
          <w:highlight w:val="none"/>
          <w:shd w:val="clear" w:color="auto" w:fill="auto"/>
        </w:rPr>
        <w:t>第八章  最高投标限价</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_Toc14113 \h </w:instrText>
      </w:r>
      <w:r>
        <w:rPr>
          <w:b/>
          <w:bCs/>
          <w:color w:val="auto"/>
          <w:highlight w:val="none"/>
          <w:shd w:val="clear" w:color="auto" w:fill="auto"/>
        </w:rPr>
        <w:fldChar w:fldCharType="separate"/>
      </w:r>
      <w:r>
        <w:rPr>
          <w:b/>
          <w:bCs/>
          <w:color w:val="auto"/>
          <w:highlight w:val="none"/>
          <w:shd w:val="clear" w:color="auto" w:fill="auto"/>
        </w:rPr>
        <w:t>74</w:t>
      </w:r>
      <w:r>
        <w:rPr>
          <w:b/>
          <w:bCs/>
          <w:color w:val="auto"/>
          <w:highlight w:val="none"/>
          <w:shd w:val="clear" w:color="auto" w:fill="auto"/>
        </w:rPr>
        <w:fldChar w:fldCharType="end"/>
      </w:r>
      <w:r>
        <w:rPr>
          <w:rFonts w:ascii="宋体" w:hAnsi="宋体" w:cs="Arial"/>
          <w:b/>
          <w:bCs/>
          <w:color w:val="auto"/>
          <w:highlight w:val="none"/>
          <w:shd w:val="clear" w:color="auto" w:fill="auto"/>
        </w:rPr>
        <w:fldChar w:fldCharType="end"/>
      </w:r>
    </w:p>
    <w:p>
      <w:pPr>
        <w:pStyle w:val="2"/>
        <w:spacing w:line="480" w:lineRule="auto"/>
        <w:jc w:val="center"/>
        <w:rPr>
          <w:rFonts w:ascii="宋体" w:hAnsi="宋体" w:cs="Arial"/>
          <w:b/>
          <w:bCs/>
          <w:color w:val="auto"/>
          <w:highlight w:val="none"/>
          <w:shd w:val="clear" w:color="auto" w:fill="auto"/>
        </w:rPr>
      </w:pPr>
      <w:r>
        <w:rPr>
          <w:rFonts w:ascii="宋体" w:hAnsi="宋体" w:cs="Arial"/>
          <w:b/>
          <w:bCs/>
          <w:color w:val="auto"/>
          <w:highlight w:val="none"/>
          <w:shd w:val="clear" w:color="auto" w:fill="auto"/>
        </w:rPr>
        <w:fldChar w:fldCharType="end"/>
      </w:r>
      <w:bookmarkStart w:id="0" w:name="_Toc159334839"/>
      <w:bookmarkStart w:id="1" w:name="_Toc2272545"/>
    </w:p>
    <w:p>
      <w:pPr>
        <w:rPr>
          <w:color w:val="auto"/>
          <w:kern w:val="44"/>
          <w:sz w:val="28"/>
          <w:szCs w:val="28"/>
          <w:highlight w:val="none"/>
          <w:shd w:val="clear" w:color="auto" w:fill="auto"/>
        </w:rPr>
      </w:pPr>
      <w:r>
        <w:rPr>
          <w:color w:val="auto"/>
          <w:highlight w:val="none"/>
          <w:shd w:val="clear" w:color="auto" w:fill="auto"/>
        </w:rPr>
        <w:br w:type="page"/>
      </w:r>
    </w:p>
    <w:p>
      <w:pPr>
        <w:pStyle w:val="2"/>
        <w:jc w:val="center"/>
        <w:rPr>
          <w:rFonts w:cs="Arial"/>
          <w:b/>
          <w:color w:val="auto"/>
          <w:highlight w:val="none"/>
          <w:shd w:val="clear" w:color="auto" w:fill="auto"/>
        </w:rPr>
      </w:pPr>
      <w:bookmarkStart w:id="2" w:name="_Toc23701"/>
      <w:r>
        <w:rPr>
          <w:rFonts w:cs="Arial"/>
          <w:b/>
          <w:color w:val="auto"/>
          <w:highlight w:val="none"/>
          <w:shd w:val="clear" w:color="auto" w:fill="auto"/>
        </w:rPr>
        <w:t>第一章  投标须知</w:t>
      </w:r>
      <w:bookmarkEnd w:id="0"/>
      <w:bookmarkEnd w:id="1"/>
      <w:bookmarkEnd w:id="2"/>
    </w:p>
    <w:p>
      <w:pPr>
        <w:pStyle w:val="3"/>
        <w:rPr>
          <w:rFonts w:cs="Arial"/>
          <w:color w:val="auto"/>
          <w:highlight w:val="none"/>
          <w:shd w:val="clear" w:color="auto" w:fill="auto"/>
        </w:rPr>
      </w:pPr>
      <w:bookmarkStart w:id="3" w:name="_Toc2272546"/>
      <w:bookmarkStart w:id="4" w:name="_Toc159334840"/>
      <w:bookmarkStart w:id="5" w:name="_Toc784"/>
      <w:bookmarkStart w:id="6" w:name="_Toc101266279"/>
      <w:r>
        <w:rPr>
          <w:rFonts w:cs="Arial"/>
          <w:color w:val="auto"/>
          <w:highlight w:val="none"/>
          <w:shd w:val="clear" w:color="auto" w:fill="auto"/>
        </w:rPr>
        <w:t>一、投标须知前附表</w:t>
      </w:r>
      <w:bookmarkEnd w:id="3"/>
      <w:bookmarkEnd w:id="4"/>
      <w:bookmarkEnd w:id="5"/>
      <w:bookmarkEnd w:id="6"/>
    </w:p>
    <w:p>
      <w:pPr>
        <w:pStyle w:val="4"/>
        <w:spacing w:line="360" w:lineRule="auto"/>
        <w:ind w:firstLine="0"/>
        <w:rPr>
          <w:rFonts w:ascii="Arial" w:hAnsi="Arial" w:cs="Arial"/>
          <w:b/>
          <w:color w:val="auto"/>
          <w:sz w:val="24"/>
          <w:szCs w:val="24"/>
          <w:highlight w:val="none"/>
          <w:shd w:val="clear" w:color="auto" w:fill="auto"/>
        </w:rPr>
      </w:pPr>
      <w:r>
        <w:rPr>
          <w:rFonts w:ascii="Arial" w:hAnsi="Arial" w:cs="Arial"/>
          <w:b/>
          <w:color w:val="auto"/>
          <w:sz w:val="24"/>
          <w:szCs w:val="24"/>
          <w:highlight w:val="none"/>
          <w:shd w:val="clear" w:color="auto" w:fill="auto"/>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5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项目</w:t>
            </w:r>
          </w:p>
        </w:tc>
        <w:tc>
          <w:tcPr>
            <w:tcW w:w="981" w:type="dxa"/>
            <w:tcBorders>
              <w:top w:val="doub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条款号</w:t>
            </w:r>
          </w:p>
        </w:tc>
        <w:tc>
          <w:tcPr>
            <w:tcW w:w="1810" w:type="dxa"/>
            <w:tcBorders>
              <w:top w:val="double" w:color="auto" w:sz="4" w:space="0"/>
              <w:left w:val="single" w:color="auto" w:sz="4" w:space="0"/>
              <w:bottom w:val="single" w:color="auto" w:sz="4" w:space="0"/>
              <w:right w:val="single" w:color="auto" w:sz="4" w:space="0"/>
            </w:tcBorders>
            <w:shd w:val="clear" w:color="auto" w:fill="auto"/>
            <w:vAlign w:val="center"/>
          </w:tcPr>
          <w:p>
            <w:pPr>
              <w:ind w:firstLine="458"/>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内容</w:t>
            </w:r>
          </w:p>
        </w:tc>
        <w:tc>
          <w:tcPr>
            <w:tcW w:w="5857" w:type="dxa"/>
            <w:tcBorders>
              <w:top w:val="double" w:color="auto" w:sz="4" w:space="0"/>
              <w:left w:val="single" w:color="auto" w:sz="4" w:space="0"/>
              <w:bottom w:val="single" w:color="auto" w:sz="4" w:space="0"/>
              <w:right w:val="double" w:color="auto" w:sz="4" w:space="0"/>
            </w:tcBorders>
            <w:shd w:val="clear" w:color="auto" w:fill="auto"/>
            <w:vAlign w:val="center"/>
          </w:tcPr>
          <w:p>
            <w:pPr>
              <w:pStyle w:val="31"/>
              <w:ind w:firstLine="458"/>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定义</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招标人（即发包人）：</w:t>
            </w:r>
            <w:r>
              <w:rPr>
                <w:rFonts w:hint="eastAsia" w:ascii="Arial" w:hAnsi="Arial" w:cs="Arial"/>
                <w:color w:val="auto"/>
                <w:szCs w:val="21"/>
                <w:highlight w:val="none"/>
                <w:u w:val="single"/>
                <w:shd w:val="clear" w:color="auto" w:fill="auto"/>
              </w:rPr>
              <w:t>广州市城市年票项目建设有限公司</w:t>
            </w:r>
            <w:r>
              <w:rPr>
                <w:rFonts w:ascii="Arial" w:hAnsi="Arial" w:cs="Arial"/>
                <w:color w:val="auto"/>
                <w:szCs w:val="21"/>
                <w:highlight w:val="none"/>
                <w:u w:val="single"/>
                <w:shd w:val="clear" w:color="auto" w:fill="auto"/>
              </w:rPr>
              <w:t xml:space="preserve">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招标代理：</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广东粤信项目管理有限公司</w:t>
            </w:r>
            <w:r>
              <w:rPr>
                <w:rFonts w:ascii="Arial" w:hAnsi="Arial" w:cs="Arial"/>
                <w:color w:val="auto"/>
                <w:szCs w:val="21"/>
                <w:highlight w:val="none"/>
                <w:u w:val="single"/>
                <w:shd w:val="clear" w:color="auto" w:fill="auto"/>
              </w:rPr>
              <w:t xml:space="preserve">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设计单位：</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 xml:space="preserve"> 广州市交通设计研究院有限公司</w:t>
            </w:r>
            <w:r>
              <w:rPr>
                <w:rFonts w:ascii="Arial" w:hAnsi="Arial" w:cs="Arial"/>
                <w:color w:val="auto"/>
                <w:szCs w:val="21"/>
                <w:highlight w:val="none"/>
                <w:u w:val="single"/>
                <w:shd w:val="clear" w:color="auto" w:fill="auto"/>
              </w:rPr>
              <w:t xml:space="preserve">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监理单位：</w:t>
            </w:r>
            <w:r>
              <w:rPr>
                <w:rFonts w:hint="eastAsia" w:ascii="Arial" w:hAnsi="Arial" w:cs="Arial"/>
                <w:color w:val="auto"/>
                <w:szCs w:val="21"/>
                <w:highlight w:val="none"/>
                <w:shd w:val="clear" w:color="auto" w:fill="auto"/>
              </w:rPr>
              <w:t xml:space="preserve"> </w:t>
            </w:r>
            <w:r>
              <w:rPr>
                <w:rFonts w:hint="eastAsia" w:ascii="Arial" w:hAnsi="Arial" w:cs="Arial"/>
                <w:color w:val="auto"/>
                <w:szCs w:val="21"/>
                <w:highlight w:val="none"/>
                <w:u w:val="single"/>
                <w:shd w:val="clear" w:color="auto" w:fill="auto"/>
              </w:rPr>
              <w:t xml:space="preserve"> /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检测机构：</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 xml:space="preserve"> /</w:t>
            </w:r>
            <w:r>
              <w:rPr>
                <w:rFonts w:ascii="Arial" w:hAnsi="Arial" w:cs="Arial"/>
                <w:color w:val="auto"/>
                <w:szCs w:val="21"/>
                <w:highlight w:val="none"/>
                <w:u w:val="single"/>
                <w:shd w:val="clear" w:color="auto" w:fill="auto"/>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u w:val="single"/>
                <w:shd w:val="clear" w:color="auto" w:fill="auto"/>
              </w:rPr>
            </w:pPr>
            <w:r>
              <w:rPr>
                <w:rFonts w:hint="eastAsia" w:ascii="Arial" w:hAnsi="Arial" w:cs="Arial"/>
                <w:color w:val="auto"/>
                <w:szCs w:val="21"/>
                <w:highlight w:val="none"/>
                <w:u w:val="single"/>
                <w:shd w:val="clear" w:color="auto" w:fill="auto"/>
              </w:rPr>
              <w:t>2023年琶洲大桥维修专项施工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建设地点</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广州市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建设规模</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承包方式</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宋体" w:hAnsi="宋体"/>
                <w:color w:val="auto"/>
                <w:szCs w:val="21"/>
                <w:highlight w:val="none"/>
                <w:u w:val="single"/>
                <w:shd w:val="clear" w:color="auto" w:fill="auto"/>
              </w:rPr>
            </w:pPr>
            <w:r>
              <w:rPr>
                <w:rFonts w:hint="eastAsia" w:ascii="宋体" w:hAnsi="宋体"/>
                <w:color w:val="auto"/>
                <w:szCs w:val="21"/>
                <w:highlight w:val="none"/>
                <w:u w:val="single"/>
                <w:shd w:val="clear" w:color="auto" w:fill="auto"/>
              </w:rPr>
              <w:t>投标人根据招标人的招标文件、施工图纸及工程量清单等规定的范围内的工程内容。</w:t>
            </w:r>
          </w:p>
          <w:p>
            <w:pPr>
              <w:rPr>
                <w:rFonts w:ascii="Arial" w:hAnsi="Arial" w:cs="Arial"/>
                <w:color w:val="auto"/>
                <w:szCs w:val="21"/>
                <w:highlight w:val="none"/>
                <w:shd w:val="clear" w:color="auto" w:fill="auto"/>
              </w:rPr>
            </w:pPr>
            <w:r>
              <w:rPr>
                <w:rFonts w:hint="eastAsia" w:ascii="宋体" w:hAnsi="宋体"/>
                <w:color w:val="auto"/>
                <w:szCs w:val="21"/>
                <w:highlight w:val="none"/>
                <w:u w:val="single"/>
                <w:shd w:val="clear" w:color="auto" w:fill="auto"/>
              </w:rPr>
              <w:t>本工程由中标人按工程量清单综合单价包干、项目措施费包干，包工、包料、包工期、包质量、包安全、包文明施工、包验收。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质量标准</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color w:val="auto"/>
                <w:highlight w:val="none"/>
                <w:shd w:val="clear" w:color="auto" w:fill="auto"/>
              </w:rPr>
            </w:pPr>
            <w:r>
              <w:rPr>
                <w:rFonts w:hint="eastAsia"/>
                <w:color w:val="auto"/>
                <w:highlight w:val="none"/>
                <w:shd w:val="clear" w:color="auto" w:fill="auto"/>
              </w:rPr>
              <w:t>质量标准：确保符合国家、省、市的工程施工质量验收规范，质量验收标准达到合格或以上标准。</w:t>
            </w:r>
          </w:p>
          <w:p>
            <w:pPr>
              <w:rPr>
                <w:rFonts w:ascii="Arial" w:hAnsi="Arial" w:cs="Arial"/>
                <w:color w:val="auto"/>
                <w:szCs w:val="21"/>
                <w:highlight w:val="none"/>
                <w:u w:val="single"/>
                <w:shd w:val="clear" w:color="auto" w:fill="auto"/>
              </w:rPr>
            </w:pPr>
            <w:r>
              <w:rPr>
                <w:rFonts w:hint="eastAsia" w:ascii="宋体" w:hAnsi="宋体"/>
                <w:color w:val="auto"/>
                <w:szCs w:val="21"/>
                <w:highlight w:val="none"/>
                <w:u w:val="single"/>
                <w:shd w:val="clear" w:color="auto" w:fill="auto"/>
              </w:rPr>
              <w:t>安全目标：严格执行有关安全生产的法律法规和规章制度，确保合同期内无安全生产责任事故（零死亡）。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招标范围</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工期要求</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2023年琶洲大桥维修专项施工</w:t>
            </w:r>
            <w:r>
              <w:rPr>
                <w:rFonts w:hint="eastAsia" w:ascii="宋体" w:hAnsi="宋体" w:cs="宋体"/>
                <w:color w:val="auto"/>
                <w:highlight w:val="none"/>
                <w:shd w:val="clear" w:color="auto" w:fill="auto"/>
                <w:lang w:bidi="ar"/>
              </w:rPr>
              <w:t>工期为12个月，</w:t>
            </w:r>
            <w:r>
              <w:rPr>
                <w:rFonts w:hint="eastAsia" w:ascii="宋体" w:hAnsi="宋体" w:cs="宋体"/>
                <w:color w:val="auto"/>
                <w:highlight w:val="none"/>
                <w:shd w:val="clear" w:color="auto" w:fill="auto"/>
              </w:rPr>
              <w:t>开工日期具体以招标人批复的开工报告为准。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9</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资金来源</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财政性资金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10</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资格审查方式</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工程量清单计价，按国家、省有关计价规范执行。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15.1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投标有效期</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 xml:space="preserve"> 90</w:t>
            </w:r>
            <w:r>
              <w:rPr>
                <w:rFonts w:ascii="Arial" w:hAnsi="Arial" w:cs="Arial"/>
                <w:color w:val="auto"/>
                <w:szCs w:val="21"/>
                <w:highlight w:val="none"/>
                <w:shd w:val="clear" w:color="auto" w:fill="auto"/>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14</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投标保证金</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highlight w:val="none"/>
                <w:shd w:val="clear" w:color="auto" w:fill="auto"/>
              </w:rPr>
            </w:pPr>
            <w:r>
              <w:rPr>
                <w:rFonts w:hint="eastAsia" w:ascii="宋体" w:hAnsi="宋体" w:cs="宋体"/>
                <w:color w:val="auto"/>
                <w:szCs w:val="21"/>
                <w:highlight w:val="none"/>
                <w:u w:val="single"/>
                <w:shd w:val="clear" w:color="auto" w:fill="auto"/>
              </w:rPr>
              <w:t>本项目不收取投标保证金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踏勘现场</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pStyle w:val="31"/>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招标人不集中组织，由投标人自行踏勘。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投标答疑</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疑问提交时间：投标人在递交投标文件截止时间18天前提出；</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形式：投标人的疑问通过</w:t>
            </w:r>
            <w:r>
              <w:rPr>
                <w:rFonts w:hint="eastAsia" w:ascii="宋体" w:hAnsi="宋体" w:cs="宋体"/>
                <w:bCs/>
                <w:color w:val="auto"/>
                <w:szCs w:val="21"/>
                <w:highlight w:val="none"/>
                <w:u w:val="single"/>
                <w:shd w:val="clear" w:color="auto" w:fill="auto"/>
              </w:rPr>
              <w:t>广州交易集团有限公司（广州公共资源交易中心）</w:t>
            </w:r>
            <w:r>
              <w:rPr>
                <w:rFonts w:hint="eastAsia" w:ascii="Arial" w:hAnsi="Arial" w:cs="Arial"/>
                <w:color w:val="auto"/>
                <w:szCs w:val="21"/>
                <w:highlight w:val="none"/>
                <w:shd w:val="clear" w:color="auto" w:fill="auto"/>
              </w:rPr>
              <w:t>网站提交。</w:t>
            </w:r>
          </w:p>
          <w:p>
            <w:pPr>
              <w:wordWrap w:val="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具体要求：按照交易平台关于全流程电子化项目的相关指南进行操作，详见：【房建市政】【交易系统】【投标人】全流程电子化交易系统操作手册（http://www.gzggzy.cn/cms/wz/view/index/layout3/index.jsp?siteId=1&amp;infoId=486799&amp;channelId=942&amp;tdsourcetag=s_pcqq_aiomsg）。</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进入到提问区域的密码为123456，提问一律不得署名。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17</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20.1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投标截止时间</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strike/>
                <w:color w:val="auto"/>
                <w:szCs w:val="21"/>
                <w:highlight w:val="none"/>
                <w:shd w:val="clear" w:color="auto" w:fill="auto"/>
              </w:rPr>
            </w:pP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18</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20.1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开标开始时间和地点</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（技术标和经济标同时开标）</w:t>
            </w:r>
          </w:p>
          <w:p>
            <w:pPr>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1、开标开始时间：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分（与投标截止时间为同一时间），地点：</w:t>
            </w:r>
            <w:r>
              <w:rPr>
                <w:rFonts w:hint="eastAsia" w:ascii="宋体" w:hAnsi="宋体" w:cs="宋体"/>
                <w:bCs/>
                <w:color w:val="auto"/>
                <w:szCs w:val="21"/>
                <w:highlight w:val="none"/>
                <w:u w:val="single"/>
                <w:shd w:val="clear" w:color="auto" w:fill="auto"/>
              </w:rPr>
              <w:t>广州交易集团有限公司（广州公共资源交易中心）</w:t>
            </w:r>
          </w:p>
          <w:p>
            <w:pPr>
              <w:wordWrap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注：</w:t>
            </w:r>
            <w:r>
              <w:rPr>
                <w:rFonts w:hint="eastAsia" w:ascii="Arial" w:hAnsi="Arial" w:cs="Arial"/>
                <w:color w:val="auto"/>
                <w:szCs w:val="21"/>
                <w:highlight w:val="none"/>
                <w:shd w:val="clear" w:color="auto" w:fill="auto"/>
              </w:rPr>
              <w:t>①投标人也可选择参加在线开标，具体按照交易平台相关指南进行操作。详见：【房建市政】【交易系统】【投标人】全流程电子化交易系统操作手册（http://www.gzggzy.cn/cms/wz/view/index/layout3/index.jsp?siteId=1&amp;infoId=486799&amp;channelId=942&amp;tdsourcetag=s_pcqq_</w:t>
            </w:r>
            <w:bookmarkStart w:id="105" w:name="_GoBack"/>
            <w:bookmarkEnd w:id="105"/>
            <w:r>
              <w:rPr>
                <w:rFonts w:hint="eastAsia" w:ascii="Arial" w:hAnsi="Arial" w:cs="Arial"/>
                <w:color w:val="auto"/>
                <w:szCs w:val="21"/>
                <w:highlight w:val="none"/>
                <w:shd w:val="clear" w:color="auto" w:fill="auto"/>
              </w:rPr>
              <w:t>aiomsg）。</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②</w:t>
            </w:r>
            <w:r>
              <w:rPr>
                <w:rFonts w:ascii="Arial" w:hAnsi="Arial" w:cs="Arial"/>
                <w:color w:val="auto"/>
                <w:szCs w:val="21"/>
                <w:highlight w:val="none"/>
                <w:shd w:val="clear" w:color="auto" w:fill="auto"/>
              </w:rPr>
              <w:t>投标文件解密问题。投标人只用执行一次解密，招标人执行解密次数根据招标文件开标次数确定。</w:t>
            </w:r>
          </w:p>
          <w:p>
            <w:pPr>
              <w:rPr>
                <w:rFonts w:ascii="Arial" w:hAnsi="Arial" w:cs="Arial"/>
                <w:color w:val="auto"/>
                <w:highlight w:val="none"/>
                <w:shd w:val="clear" w:color="auto" w:fill="auto"/>
              </w:rPr>
            </w:pPr>
            <w:r>
              <w:rPr>
                <w:rFonts w:ascii="Arial" w:hAnsi="Arial" w:cs="Arial"/>
                <w:color w:val="auto"/>
                <w:szCs w:val="21"/>
                <w:highlight w:val="none"/>
                <w:shd w:val="clear" w:color="auto" w:fill="auto"/>
              </w:rPr>
              <w:t>2、递交投标文件备用光盘时间：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分至</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分；递交地点：</w:t>
            </w:r>
            <w:r>
              <w:rPr>
                <w:rFonts w:ascii="Arial" w:hAnsi="Arial" w:cs="Arial"/>
                <w:color w:val="auto"/>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highlight w:val="none"/>
                <w:shd w:val="clear" w:color="auto" w:fill="auto"/>
              </w:rPr>
              <w:t>。(建议安排在投标文件截止时间前15分钟至投标文件截止时间）</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3、本项目不设置项目负责人签到。</w:t>
            </w:r>
          </w:p>
          <w:p>
            <w:pPr>
              <w:rPr>
                <w:rFonts w:ascii="Arial" w:hAnsi="Arial" w:cs="Arial"/>
                <w:color w:val="auto"/>
                <w:szCs w:val="21"/>
                <w:highlight w:val="none"/>
                <w:shd w:val="clear" w:color="auto" w:fill="auto"/>
              </w:rPr>
            </w:pPr>
            <w:r>
              <w:rPr>
                <w:rFonts w:ascii="Arial" w:hAnsi="Arial" w:cs="Arial"/>
                <w:color w:val="auto"/>
                <w:highlight w:val="none"/>
                <w:shd w:val="clear" w:color="auto" w:fill="auto"/>
              </w:rPr>
              <w:t>上述时间及地点是否有改变，请密切留意</w:t>
            </w:r>
            <w:r>
              <w:rPr>
                <w:rFonts w:hint="eastAsia" w:ascii="Arial" w:hAnsi="Arial" w:cs="Arial"/>
                <w:color w:val="auto"/>
                <w:highlight w:val="none"/>
                <w:shd w:val="clear" w:color="auto" w:fill="auto"/>
              </w:rPr>
              <w:t>补充公告和</w:t>
            </w:r>
            <w:r>
              <w:rPr>
                <w:rFonts w:ascii="Arial" w:hAnsi="Arial" w:cs="Arial"/>
                <w:color w:val="auto"/>
                <w:highlight w:val="none"/>
                <w:shd w:val="clear" w:color="auto" w:fill="auto"/>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19</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26</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开标评标办法</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pStyle w:val="53"/>
              <w:ind w:firstLine="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方式一：选取方法七（综合评分法四，技术标与经济标同时开启）；</w:t>
            </w:r>
          </w:p>
          <w:p>
            <w:pPr>
              <w:pStyle w:val="53"/>
              <w:ind w:firstLine="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投标人总得分=技术得分（满分100分）×技术得分权重（20%）＋经济得分（满分100分）×经济得分权重（80%）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20</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29.1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履约担保</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highlight w:val="none"/>
                <w:shd w:val="clear" w:color="auto" w:fill="auto"/>
              </w:rPr>
            </w:pPr>
            <w:r>
              <w:rPr>
                <w:rFonts w:hint="eastAsia" w:ascii="Arial" w:hAnsi="Arial" w:cs="Arial"/>
                <w:color w:val="auto"/>
                <w:highlight w:val="none"/>
                <w:shd w:val="clear" w:color="auto" w:fill="auto"/>
              </w:rPr>
              <w:t>中标人提供的履约保证金为中标价款的10%，由投标人自主选择采用现金（或支票）、或银行保函、或担保保证或其他合法形式。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21</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最高投标限价</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宋体" w:hAnsi="宋体" w:cs="宋体"/>
                <w:color w:val="auto"/>
                <w:highlight w:val="none"/>
                <w:shd w:val="clear" w:color="auto" w:fill="auto"/>
              </w:rPr>
            </w:pPr>
            <w:r>
              <w:rPr>
                <w:rFonts w:hint="eastAsia" w:ascii="宋体" w:hAnsi="宋体" w:cs="宋体"/>
                <w:color w:val="auto"/>
                <w:szCs w:val="21"/>
                <w:highlight w:val="none"/>
                <w:shd w:val="clear" w:color="auto" w:fill="auto"/>
              </w:rPr>
              <w:t>本项目工程施工费最高投标限价为</w:t>
            </w:r>
            <w:r>
              <w:rPr>
                <w:rFonts w:hint="eastAsia" w:ascii="宋体" w:hAnsi="宋体" w:cs="宋体"/>
                <w:color w:val="auto"/>
                <w:szCs w:val="21"/>
                <w:highlight w:val="none"/>
                <w:u w:val="single"/>
                <w:shd w:val="clear" w:color="auto" w:fill="auto"/>
              </w:rPr>
              <w:t>8688851.01</w:t>
            </w:r>
            <w:r>
              <w:rPr>
                <w:rFonts w:hint="eastAsia" w:ascii="宋体" w:hAnsi="宋体" w:cs="宋体"/>
                <w:color w:val="auto"/>
                <w:szCs w:val="21"/>
                <w:highlight w:val="none"/>
                <w:shd w:val="clear" w:color="auto" w:fill="auto"/>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非竞争费用</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本项目绿色施工安全防护措施费为</w:t>
            </w:r>
            <w:r>
              <w:rPr>
                <w:rFonts w:hint="eastAsia" w:ascii="宋体" w:hAnsi="宋体" w:cs="宋体"/>
                <w:color w:val="auto"/>
                <w:szCs w:val="21"/>
                <w:highlight w:val="none"/>
                <w:u w:val="single"/>
                <w:shd w:val="clear" w:color="auto" w:fill="auto"/>
              </w:rPr>
              <w:t>175519.34</w:t>
            </w:r>
            <w:r>
              <w:rPr>
                <w:rFonts w:hint="eastAsia" w:ascii="宋体" w:hAnsi="宋体" w:cs="宋体"/>
                <w:color w:val="auto"/>
                <w:szCs w:val="21"/>
                <w:highlight w:val="none"/>
                <w:shd w:val="clear" w:color="auto" w:fill="auto"/>
              </w:rPr>
              <w:t>元（道路</w:t>
            </w:r>
            <w:r>
              <w:rPr>
                <w:rFonts w:ascii="宋体" w:hAnsi="宋体" w:cs="宋体"/>
                <w:color w:val="auto"/>
                <w:szCs w:val="21"/>
                <w:highlight w:val="none"/>
                <w:shd w:val="clear" w:color="auto" w:fill="auto"/>
              </w:rPr>
              <w:t>工程为</w:t>
            </w:r>
            <w:r>
              <w:rPr>
                <w:rFonts w:hint="eastAsia" w:ascii="宋体" w:hAnsi="宋体" w:cs="宋体"/>
                <w:color w:val="auto"/>
                <w:szCs w:val="21"/>
                <w:highlight w:val="none"/>
                <w:shd w:val="clear" w:color="auto" w:fill="auto"/>
              </w:rPr>
              <w:t>62531.56元</w:t>
            </w:r>
            <w:r>
              <w:rPr>
                <w:rFonts w:ascii="宋体" w:hAnsi="宋体" w:cs="宋体"/>
                <w:color w:val="auto"/>
                <w:szCs w:val="21"/>
                <w:highlight w:val="none"/>
                <w:shd w:val="clear" w:color="auto" w:fill="auto"/>
              </w:rPr>
              <w:t>；桥梁工程为</w:t>
            </w:r>
            <w:r>
              <w:rPr>
                <w:rFonts w:hint="eastAsia" w:ascii="宋体" w:hAnsi="宋体" w:cs="宋体"/>
                <w:color w:val="auto"/>
                <w:szCs w:val="21"/>
                <w:highlight w:val="none"/>
                <w:shd w:val="clear" w:color="auto" w:fill="auto"/>
              </w:rPr>
              <w:t>77959.57元</w:t>
            </w:r>
            <w:r>
              <w:rPr>
                <w:rFonts w:ascii="宋体" w:hAnsi="宋体" w:cs="宋体"/>
                <w:color w:val="auto"/>
                <w:szCs w:val="21"/>
                <w:highlight w:val="none"/>
                <w:shd w:val="clear" w:color="auto" w:fill="auto"/>
              </w:rPr>
              <w:t>；交通工程为</w:t>
            </w:r>
            <w:r>
              <w:rPr>
                <w:rFonts w:hint="eastAsia" w:ascii="宋体" w:hAnsi="宋体" w:cs="宋体"/>
                <w:color w:val="auto"/>
                <w:szCs w:val="21"/>
                <w:highlight w:val="none"/>
                <w:shd w:val="clear" w:color="auto" w:fill="auto"/>
              </w:rPr>
              <w:t>9113.71元</w:t>
            </w:r>
            <w:r>
              <w:rPr>
                <w:rFonts w:ascii="宋体" w:hAnsi="宋体" w:cs="宋体"/>
                <w:color w:val="auto"/>
                <w:szCs w:val="21"/>
                <w:highlight w:val="none"/>
                <w:shd w:val="clear" w:color="auto" w:fill="auto"/>
              </w:rPr>
              <w:t>；机电工程为</w:t>
            </w:r>
            <w:r>
              <w:rPr>
                <w:rFonts w:hint="eastAsia" w:ascii="宋体" w:hAnsi="宋体" w:cs="宋体"/>
                <w:color w:val="auto"/>
                <w:szCs w:val="21"/>
                <w:highlight w:val="none"/>
                <w:shd w:val="clear" w:color="auto" w:fill="auto"/>
              </w:rPr>
              <w:t>25914.50元），暂列金额为</w:t>
            </w:r>
            <w:r>
              <w:rPr>
                <w:rFonts w:hint="eastAsia" w:ascii="宋体" w:hAnsi="宋体" w:cs="宋体"/>
                <w:color w:val="auto"/>
                <w:szCs w:val="21"/>
                <w:highlight w:val="none"/>
                <w:u w:val="single"/>
                <w:shd w:val="clear" w:color="auto" w:fill="auto"/>
              </w:rPr>
              <w:t>673528.25</w:t>
            </w:r>
            <w:r>
              <w:rPr>
                <w:rFonts w:hint="eastAsia" w:ascii="宋体" w:hAnsi="宋体" w:cs="宋体"/>
                <w:color w:val="auto"/>
                <w:szCs w:val="21"/>
                <w:highlight w:val="none"/>
                <w:shd w:val="clear" w:color="auto" w:fill="auto"/>
              </w:rPr>
              <w:t>元（道路</w:t>
            </w:r>
            <w:r>
              <w:rPr>
                <w:rFonts w:ascii="宋体" w:hAnsi="宋体" w:cs="宋体"/>
                <w:color w:val="auto"/>
                <w:szCs w:val="21"/>
                <w:highlight w:val="none"/>
                <w:shd w:val="clear" w:color="auto" w:fill="auto"/>
              </w:rPr>
              <w:t>工程为568757.25</w:t>
            </w:r>
            <w:r>
              <w:rPr>
                <w:rFonts w:hint="eastAsia" w:ascii="宋体" w:hAnsi="宋体" w:cs="宋体"/>
                <w:color w:val="auto"/>
                <w:szCs w:val="21"/>
                <w:highlight w:val="none"/>
                <w:shd w:val="clear" w:color="auto" w:fill="auto"/>
              </w:rPr>
              <w:t>元</w:t>
            </w:r>
            <w:r>
              <w:rPr>
                <w:rFonts w:ascii="宋体" w:hAnsi="宋体" w:cs="宋体"/>
                <w:color w:val="auto"/>
                <w:szCs w:val="21"/>
                <w:highlight w:val="none"/>
                <w:shd w:val="clear" w:color="auto" w:fill="auto"/>
              </w:rPr>
              <w:t>；桥梁工程为15766.08</w:t>
            </w:r>
            <w:r>
              <w:rPr>
                <w:rFonts w:hint="eastAsia" w:ascii="宋体" w:hAnsi="宋体" w:cs="宋体"/>
                <w:color w:val="auto"/>
                <w:szCs w:val="21"/>
                <w:highlight w:val="none"/>
                <w:shd w:val="clear" w:color="auto" w:fill="auto"/>
              </w:rPr>
              <w:t>元</w:t>
            </w:r>
            <w:r>
              <w:rPr>
                <w:rFonts w:ascii="宋体" w:hAnsi="宋体" w:cs="宋体"/>
                <w:color w:val="auto"/>
                <w:szCs w:val="21"/>
                <w:highlight w:val="none"/>
                <w:shd w:val="clear" w:color="auto" w:fill="auto"/>
              </w:rPr>
              <w:t>；交通工程为16636.32</w:t>
            </w:r>
            <w:r>
              <w:rPr>
                <w:rFonts w:hint="eastAsia" w:ascii="宋体" w:hAnsi="宋体" w:cs="宋体"/>
                <w:color w:val="auto"/>
                <w:szCs w:val="21"/>
                <w:highlight w:val="none"/>
                <w:shd w:val="clear" w:color="auto" w:fill="auto"/>
              </w:rPr>
              <w:t>元</w:t>
            </w:r>
            <w:r>
              <w:rPr>
                <w:rFonts w:ascii="宋体" w:hAnsi="宋体" w:cs="宋体"/>
                <w:color w:val="auto"/>
                <w:szCs w:val="21"/>
                <w:highlight w:val="none"/>
                <w:shd w:val="clear" w:color="auto" w:fill="auto"/>
              </w:rPr>
              <w:t>；机电工程为72368.60</w:t>
            </w:r>
            <w:r>
              <w:rPr>
                <w:rFonts w:hint="eastAsia" w:ascii="宋体" w:hAnsi="宋体" w:cs="宋体"/>
                <w:color w:val="auto"/>
                <w:szCs w:val="21"/>
                <w:highlight w:val="none"/>
                <w:shd w:val="clear" w:color="auto" w:fill="auto"/>
              </w:rPr>
              <w:t>元），暂估价为</w:t>
            </w:r>
            <w:r>
              <w:rPr>
                <w:rFonts w:hint="eastAsia" w:ascii="宋体" w:hAnsi="宋体" w:cs="宋体"/>
                <w:color w:val="auto"/>
                <w:szCs w:val="21"/>
                <w:highlight w:val="none"/>
                <w:u w:val="single"/>
                <w:shd w:val="clear" w:color="auto" w:fill="auto"/>
              </w:rPr>
              <w:t xml:space="preserve"> / </w:t>
            </w:r>
            <w:r>
              <w:rPr>
                <w:rFonts w:hint="eastAsia" w:ascii="宋体" w:hAnsi="宋体" w:cs="宋体"/>
                <w:color w:val="auto"/>
                <w:szCs w:val="21"/>
                <w:highlight w:val="none"/>
                <w:shd w:val="clear" w:color="auto" w:fill="auto"/>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23</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ind w:firstLine="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保修期</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24</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计算评标参考价的等分点值</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进入第二阶段评审的家数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26</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工程成本警戒价</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工程成本警戒价为</w:t>
            </w:r>
            <w:r>
              <w:rPr>
                <w:rFonts w:hint="eastAsia" w:ascii="Arial" w:hAnsi="Arial" w:cs="Arial"/>
                <w:color w:val="auto"/>
                <w:szCs w:val="21"/>
                <w:highlight w:val="none"/>
                <w:u w:val="single"/>
                <w:shd w:val="clear" w:color="auto" w:fill="auto"/>
              </w:rPr>
              <w:t>7819965.91</w:t>
            </w:r>
            <w:r>
              <w:rPr>
                <w:rFonts w:ascii="Arial" w:hAnsi="Arial" w:cs="Arial"/>
                <w:color w:val="auto"/>
                <w:szCs w:val="21"/>
                <w:highlight w:val="none"/>
                <w:u w:val="single"/>
                <w:shd w:val="clear" w:color="auto" w:fill="auto"/>
              </w:rPr>
              <w:t>元</w:t>
            </w:r>
            <w:r>
              <w:rPr>
                <w:rFonts w:ascii="Arial" w:hAnsi="Arial" w:cs="Arial"/>
                <w:color w:val="auto"/>
                <w:szCs w:val="21"/>
                <w:highlight w:val="none"/>
                <w:shd w:val="clear" w:color="auto" w:fill="auto"/>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27</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第一阶段各分值的权重</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28</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评标委员会构成：</w:t>
            </w:r>
            <w:r>
              <w:rPr>
                <w:rFonts w:hint="eastAsia" w:ascii="宋体" w:hAnsi="宋体" w:cs="宋体"/>
                <w:color w:val="auto"/>
                <w:szCs w:val="21"/>
                <w:highlight w:val="none"/>
                <w:u w:val="single"/>
                <w:shd w:val="clear" w:color="auto" w:fill="auto"/>
              </w:rPr>
              <w:t>由招标人依法组建</w:t>
            </w:r>
            <w:r>
              <w:rPr>
                <w:rFonts w:hint="eastAsia" w:ascii="宋体" w:hAnsi="宋体" w:cs="Arial"/>
                <w:color w:val="auto"/>
                <w:szCs w:val="21"/>
                <w:highlight w:val="none"/>
                <w:shd w:val="clear" w:color="auto" w:fill="auto"/>
              </w:rPr>
              <w:t>；</w:t>
            </w:r>
          </w:p>
          <w:p>
            <w:pPr>
              <w:rPr>
                <w:rFonts w:ascii="宋体" w:hAnsi="宋体" w:cs="Arial"/>
                <w:color w:val="auto"/>
                <w:szCs w:val="21"/>
                <w:highlight w:val="none"/>
                <w:shd w:val="clear" w:color="auto" w:fill="auto"/>
              </w:rPr>
            </w:pPr>
            <w:r>
              <w:rPr>
                <w:rFonts w:hint="eastAsia" w:ascii="宋体" w:hAnsi="宋体" w:cs="宋体"/>
                <w:color w:val="auto"/>
                <w:szCs w:val="21"/>
                <w:highlight w:val="none"/>
                <w:shd w:val="clear" w:color="auto" w:fill="auto"/>
              </w:rPr>
              <w:t>评标专家确定方式：</w:t>
            </w:r>
            <w:r>
              <w:rPr>
                <w:rFonts w:hint="eastAsia" w:ascii="宋体" w:hAnsi="宋体" w:cs="Arial"/>
                <w:color w:val="auto"/>
                <w:szCs w:val="21"/>
                <w:highlight w:val="none"/>
                <w:u w:val="single"/>
                <w:shd w:val="clear" w:color="auto" w:fill="auto"/>
              </w:rPr>
              <w:t>评标专家人数为5人</w:t>
            </w:r>
            <w:r>
              <w:rPr>
                <w:rFonts w:hint="eastAsia" w:ascii="Arial" w:hAnsi="Arial" w:cs="Arial"/>
                <w:color w:val="auto"/>
                <w:szCs w:val="21"/>
                <w:highlight w:val="none"/>
                <w:shd w:val="clear" w:color="auto" w:fill="auto"/>
              </w:rPr>
              <w:t>或以上</w:t>
            </w:r>
            <w:r>
              <w:rPr>
                <w:rFonts w:hint="eastAsia" w:ascii="宋体" w:hAnsi="宋体" w:cs="宋体"/>
                <w:color w:val="auto"/>
                <w:szCs w:val="21"/>
                <w:highlight w:val="none"/>
                <w:u w:val="single"/>
                <w:shd w:val="clear" w:color="auto" w:fill="auto"/>
              </w:rPr>
              <w:t>，其中招标人代表不超过总人数的1/3</w:t>
            </w:r>
            <w:r>
              <w:rPr>
                <w:rFonts w:hint="eastAsia" w:ascii="宋体" w:hAnsi="宋体" w:cs="宋体"/>
                <w:color w:val="auto"/>
                <w:szCs w:val="21"/>
                <w:highlight w:val="none"/>
                <w:shd w:val="clear" w:color="auto" w:fil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29</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企业综合诚信评价分数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本项目不采用企业诚信综合评价分数。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30</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31</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33</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13.4、13.5.2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合同价款的调整办法</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 xml:space="preserve">按合同条款相关约定调整。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34</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hint="eastAsia" w:ascii="Arial" w:hAnsi="Arial" w:cs="Arial"/>
                <w:color w:val="auto"/>
                <w:kern w:val="0"/>
                <w:szCs w:val="21"/>
                <w:highlight w:val="none"/>
                <w:shd w:val="clear" w:color="auto" w:fill="auto"/>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分包</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sym w:font="Wingdings 2" w:char="0052"/>
            </w:r>
            <w:r>
              <w:rPr>
                <w:rFonts w:ascii="Arial" w:hAnsi="Arial" w:cs="Arial"/>
                <w:color w:val="auto"/>
                <w:kern w:val="0"/>
                <w:szCs w:val="21"/>
                <w:highlight w:val="none"/>
                <w:shd w:val="clear" w:color="auto" w:fill="auto"/>
                <w:lang w:val="zh-CN"/>
              </w:rPr>
              <w:t>不允许；</w:t>
            </w:r>
          </w:p>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□允许：分包内容要要求：</w:t>
            </w:r>
          </w:p>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 xml:space="preserve">        分包金额要求：</w:t>
            </w:r>
          </w:p>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 xml:space="preserve">        对分包人的资质要求：</w:t>
            </w:r>
          </w:p>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 xml:space="preserve">        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36</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auto"/>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auto"/>
                <w:highlight w:val="none"/>
                <w:shd w:val="clear" w:color="auto" w:fill="auto"/>
              </w:rPr>
            </w:pPr>
            <w:r>
              <w:rPr>
                <w:rFonts w:ascii="Arial" w:hAnsi="Arial" w:cs="Arial"/>
                <w:color w:val="auto"/>
                <w:highlight w:val="none"/>
                <w:shd w:val="clear" w:color="auto" w:fill="auto"/>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1、按照交易平台关于全流程电子化项目的相关指南进行操作。详见：</w:t>
            </w:r>
            <w:r>
              <w:rPr>
                <w:rFonts w:hint="eastAsia" w:ascii="Arial" w:hAnsi="Arial" w:cs="Arial"/>
                <w:color w:val="auto"/>
                <w:szCs w:val="24"/>
                <w:highlight w:val="none"/>
                <w:u w:val="single"/>
                <w:shd w:val="clear" w:color="auto" w:fill="auto"/>
              </w:rPr>
              <w:t>【房建市政】【交易系统】【投标人】全流程电子化交易系统操作手册</w:t>
            </w:r>
            <w:r>
              <w:rPr>
                <w:rFonts w:ascii="Arial" w:hAnsi="Arial" w:cs="Arial"/>
                <w:color w:val="auto"/>
                <w:szCs w:val="21"/>
                <w:highlight w:val="none"/>
                <w:shd w:val="clear" w:color="auto" w:fill="auto"/>
              </w:rPr>
              <w:t xml:space="preserve">。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2、提交投标文件光盘备用</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3、补救方案</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（1）投标文件解密失败的补救方案：</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（2）评标时突发情况的补救方案</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若遇不可抗力发生（指网络瘫痪、服务器损坏、交易系统故障短期无法恢复等因素），由评标委员会开启投标人递交的全部投标文件光盘，并按光盘内容进行评审。</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37</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auto"/>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其他</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numPr>
                <w:ilvl w:val="0"/>
                <w:numId w:val="7"/>
              </w:numPr>
              <w:shd w:val="clear" w:color="auto" w:fill="FFFFFF"/>
              <w:adjustRightInd w:val="0"/>
              <w:spacing w:line="480" w:lineRule="exact"/>
              <w:ind w:firstLine="420" w:firstLineChars="200"/>
              <w:jc w:val="left"/>
              <w:rPr>
                <w:color w:val="auto"/>
                <w:highlight w:val="none"/>
                <w:shd w:val="clear" w:color="auto" w:fill="auto"/>
              </w:rPr>
            </w:pPr>
            <w:r>
              <w:rPr>
                <w:rFonts w:hint="eastAsia"/>
                <w:color w:val="auto"/>
                <w:highlight w:val="none"/>
                <w:shd w:val="clear" w:color="auto" w:fill="auto"/>
              </w:rPr>
              <w:t>中标后，中标单位在领取中标通知书时须提交与网上上传电子投标文件完全一致的纸质投标文件（一式三份，加盖公章）给招标单位。</w:t>
            </w:r>
          </w:p>
          <w:p>
            <w:pPr>
              <w:widowControl/>
              <w:numPr>
                <w:ilvl w:val="0"/>
                <w:numId w:val="7"/>
              </w:numPr>
              <w:shd w:val="clear" w:color="auto" w:fill="FFFFFF"/>
              <w:adjustRightInd w:val="0"/>
              <w:spacing w:line="480" w:lineRule="exact"/>
              <w:ind w:firstLine="420" w:firstLineChars="200"/>
              <w:jc w:val="left"/>
              <w:rPr>
                <w:color w:val="auto"/>
                <w:highlight w:val="none"/>
                <w:shd w:val="clear" w:color="auto" w:fill="auto"/>
              </w:rPr>
            </w:pPr>
            <w:r>
              <w:rPr>
                <w:rFonts w:hint="eastAsia"/>
                <w:color w:val="auto"/>
                <w:highlight w:val="none"/>
                <w:shd w:val="clear" w:color="auto" w:fill="auto"/>
              </w:rPr>
              <w:t>根据招标人及其上级管理单位的相关规定，本项目的全部投标单位应积极配合招标人及其上级管理单位关于本项目进行的监督和检查工作。</w:t>
            </w:r>
          </w:p>
          <w:p>
            <w:pPr>
              <w:pStyle w:val="22"/>
              <w:rPr>
                <w:color w:val="auto"/>
                <w:highlight w:val="none"/>
                <w:shd w:val="clear" w:color="auto" w:fill="auto"/>
              </w:rPr>
            </w:pPr>
          </w:p>
        </w:tc>
      </w:tr>
    </w:tbl>
    <w:p>
      <w:pPr>
        <w:pStyle w:val="3"/>
        <w:rPr>
          <w:rFonts w:cs="Arial"/>
          <w:color w:val="auto"/>
          <w:highlight w:val="none"/>
          <w:shd w:val="clear" w:color="auto" w:fill="auto"/>
        </w:rPr>
      </w:pPr>
      <w:r>
        <w:rPr>
          <w:rFonts w:cs="Arial"/>
          <w:color w:val="auto"/>
          <w:highlight w:val="none"/>
          <w:shd w:val="clear" w:color="auto" w:fill="auto"/>
        </w:rPr>
        <w:br w:type="page"/>
      </w:r>
      <w:bookmarkStart w:id="7" w:name="_Toc159334841"/>
      <w:bookmarkStart w:id="8" w:name="_Toc15500"/>
      <w:bookmarkStart w:id="9" w:name="_Toc101266280"/>
      <w:bookmarkStart w:id="10" w:name="_Toc2272547"/>
      <w:r>
        <w:rPr>
          <w:rFonts w:cs="Arial"/>
          <w:color w:val="auto"/>
          <w:highlight w:val="none"/>
          <w:shd w:val="clear" w:color="auto" w:fill="auto"/>
        </w:rPr>
        <w:t>二、投标须知修改表</w:t>
      </w:r>
      <w:bookmarkEnd w:id="7"/>
      <w:bookmarkEnd w:id="8"/>
      <w:bookmarkEnd w:id="9"/>
      <w:bookmarkEnd w:id="10"/>
    </w:p>
    <w:p>
      <w:pPr>
        <w:pStyle w:val="53"/>
        <w:spacing w:line="360" w:lineRule="auto"/>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Arial" w:hAnsi="Arial" w:cs="Arial"/>
          <w:b/>
          <w:color w:val="auto"/>
          <w:szCs w:val="21"/>
          <w:highlight w:val="none"/>
          <w:shd w:val="clear" w:color="auto" w:fill="auto"/>
        </w:rPr>
        <w:t>http://zfcj.gz.gov.cn/</w:t>
      </w:r>
      <w:r>
        <w:rPr>
          <w:rFonts w:ascii="Arial" w:hAnsi="Arial" w:cs="Arial"/>
          <w:b/>
          <w:color w:val="auto"/>
          <w:szCs w:val="21"/>
          <w:highlight w:val="none"/>
          <w:shd w:val="clear" w:color="auto" w:fill="auto"/>
        </w:rPr>
        <w:t>）下载查阅。</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条款号：2.5    修改类型：增加</w:t>
      </w:r>
    </w:p>
    <w:p>
      <w:pPr>
        <w:pBdr>
          <w:bottom w:val="single" w:color="auto" w:sz="6" w:space="1"/>
        </w:pBd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2.5 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5620"/>
        </w:tabs>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条款号：5.1                     修改类型：修改</w:t>
      </w:r>
    </w:p>
    <w:p>
      <w:pPr>
        <w:tabs>
          <w:tab w:val="left" w:pos="5620"/>
        </w:tabs>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原文：5</w:t>
      </w:r>
      <w:r>
        <w:rPr>
          <w:rFonts w:ascii="Arial" w:hAnsi="Arial" w:cs="Arial"/>
          <w:color w:val="auto"/>
          <w:szCs w:val="21"/>
          <w:highlight w:val="none"/>
          <w:shd w:val="clear" w:color="auto" w:fill="auto"/>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22" w:firstLineChars="200"/>
        <w:rPr>
          <w:rFonts w:ascii="Arial" w:hAnsi="Arial" w:cs="Arial"/>
          <w:color w:val="auto"/>
          <w:szCs w:val="21"/>
          <w:highlight w:val="none"/>
          <w:u w:val="singl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Arial" w:hAnsi="Arial" w:cs="Arial"/>
          <w:color w:val="auto"/>
          <w:szCs w:val="21"/>
          <w:highlight w:val="none"/>
          <w:u w:val="single"/>
          <w:shd w:val="clear" w:color="auto" w:fill="auto"/>
        </w:rPr>
        <w:t>投标人不进行踏勘的，视为已孰知现场条件，自行承担相关风险。</w:t>
      </w:r>
      <w:r>
        <w:rPr>
          <w:rFonts w:ascii="Arial" w:hAnsi="Arial" w:cs="Arial"/>
          <w:color w:val="auto"/>
          <w:szCs w:val="21"/>
          <w:highlight w:val="none"/>
          <w:shd w:val="clear" w:color="auto" w:fill="auto"/>
        </w:rPr>
        <w:t>一旦中标，这种考察即被认为其结果已在中标文件中得到充分反映。考察现场的费用由投标人自己承担。</w:t>
      </w:r>
    </w:p>
    <w:p>
      <w:pPr>
        <w:spacing w:line="360" w:lineRule="auto"/>
        <w:ind w:firstLine="413" w:firstLineChars="196"/>
        <w:jc w:val="left"/>
        <w:rPr>
          <w:rFonts w:ascii="宋体" w:hAnsi="宋体" w:cs="宋体"/>
          <w:color w:val="auto"/>
          <w:szCs w:val="21"/>
          <w:highlight w:val="none"/>
          <w:shd w:val="clear" w:color="auto" w:fill="auto"/>
        </w:rPr>
      </w:pPr>
      <w:r>
        <w:rPr>
          <w:rFonts w:hint="eastAsia" w:ascii="宋体" w:hAnsi="宋体" w:cs="宋体"/>
          <w:b/>
          <w:bCs/>
          <w:color w:val="auto"/>
          <w:szCs w:val="21"/>
          <w:highlight w:val="none"/>
          <w:shd w:val="clear" w:color="auto" w:fill="auto"/>
        </w:rPr>
        <w:t xml:space="preserve">条款号：6.2 </w:t>
      </w:r>
      <w:r>
        <w:rPr>
          <w:rFonts w:hint="eastAsia" w:ascii="宋体" w:hAnsi="宋体" w:cs="宋体"/>
          <w:color w:val="auto"/>
          <w:szCs w:val="21"/>
          <w:highlight w:val="none"/>
          <w:shd w:val="clear" w:color="auto" w:fill="auto"/>
        </w:rPr>
        <w:t xml:space="preserve">                    </w:t>
      </w:r>
      <w:r>
        <w:rPr>
          <w:rFonts w:hint="eastAsia" w:ascii="宋体" w:hAnsi="宋体" w:cs="宋体"/>
          <w:b/>
          <w:color w:val="auto"/>
          <w:szCs w:val="21"/>
          <w:highlight w:val="none"/>
          <w:shd w:val="clear" w:color="auto" w:fill="auto"/>
        </w:rPr>
        <w:t>修改类型：增加</w:t>
      </w:r>
    </w:p>
    <w:p>
      <w:pPr>
        <w:pStyle w:val="53"/>
        <w:pBdr>
          <w:bottom w:val="single" w:color="auto" w:sz="6" w:space="1"/>
        </w:pBdr>
        <w:spacing w:after="0" w:line="360" w:lineRule="auto"/>
        <w:ind w:firstLine="422" w:firstLineChars="200"/>
        <w:rPr>
          <w:rFonts w:ascii="宋体" w:hAnsi="宋体" w:cs="宋体"/>
          <w:color w:val="auto"/>
          <w:szCs w:val="21"/>
          <w:highlight w:val="none"/>
          <w:shd w:val="clear" w:color="auto" w:fill="auto"/>
        </w:rPr>
      </w:pPr>
      <w:r>
        <w:rPr>
          <w:rFonts w:hint="eastAsia" w:ascii="宋体" w:hAnsi="宋体" w:cs="宋体"/>
          <w:b/>
          <w:bCs/>
          <w:color w:val="auto"/>
          <w:szCs w:val="21"/>
          <w:highlight w:val="none"/>
          <w:shd w:val="clear" w:color="auto" w:fill="auto"/>
        </w:rPr>
        <w:t>现文：6.2</w:t>
      </w:r>
      <w:r>
        <w:rPr>
          <w:rFonts w:hint="eastAsia" w:ascii="宋体" w:hAnsi="宋体" w:cs="宋体"/>
          <w:color w:val="auto"/>
          <w:szCs w:val="21"/>
          <w:highlight w:val="none"/>
          <w:shd w:val="clear" w:color="auto" w:fill="auto"/>
        </w:rPr>
        <w:t>中标人按《广州市发展改革委转发省发展改革委关于规范公共资源交易服务收费及有关问题的通知》（穗发改〔2017〕811号）文件的规定，向广州公共资源交易中心代缴交易服务费，交易服务费的金额为中标总金额的0.9‰，其费用包含在中标人投标报价中，招标人不另行支付。</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hint="eastAsia" w:ascii="Arial" w:hAnsi="Arial" w:cs="Arial"/>
          <w:b/>
          <w:color w:val="auto"/>
          <w:szCs w:val="21"/>
          <w:highlight w:val="none"/>
          <w:shd w:val="clear" w:color="auto" w:fill="auto"/>
        </w:rPr>
        <w:t>7</w:t>
      </w:r>
      <w:r>
        <w:rPr>
          <w:rFonts w:ascii="Arial" w:hAnsi="Arial" w:cs="Arial"/>
          <w:b/>
          <w:color w:val="auto"/>
          <w:szCs w:val="21"/>
          <w:highlight w:val="none"/>
          <w:shd w:val="clear" w:color="auto" w:fill="auto"/>
        </w:rPr>
        <w:t xml:space="preserve">.1           </w:t>
      </w:r>
      <w:r>
        <w:rPr>
          <w:rFonts w:hint="eastAsia" w:ascii="Arial" w:hAnsi="Arial" w:cs="Arial"/>
          <w:b/>
          <w:color w:val="auto"/>
          <w:szCs w:val="21"/>
          <w:highlight w:val="none"/>
          <w:shd w:val="clear" w:color="auto" w:fill="auto"/>
        </w:rPr>
        <w:t xml:space="preserve">           </w:t>
      </w:r>
      <w:r>
        <w:rPr>
          <w:rFonts w:ascii="Arial" w:hAnsi="Arial" w:cs="Arial"/>
          <w:b/>
          <w:color w:val="auto"/>
          <w:szCs w:val="21"/>
          <w:highlight w:val="none"/>
          <w:shd w:val="clear" w:color="auto" w:fill="auto"/>
        </w:rPr>
        <w:t>修改类型：修改</w:t>
      </w:r>
    </w:p>
    <w:p>
      <w:pPr>
        <w:tabs>
          <w:tab w:val="left" w:pos="5620"/>
        </w:tabs>
        <w:spacing w:line="360" w:lineRule="auto"/>
        <w:ind w:firstLine="472" w:firstLineChars="224"/>
        <w:rPr>
          <w:rFonts w:ascii="Arial" w:hAnsi="Arial" w:cs="Arial"/>
          <w:color w:val="auto"/>
          <w:szCs w:val="21"/>
          <w:highlight w:val="none"/>
          <w:shd w:val="clear" w:color="auto" w:fill="auto"/>
        </w:rPr>
      </w:pPr>
      <w:r>
        <w:rPr>
          <w:rFonts w:hint="eastAsia" w:ascii="宋体" w:hAnsi="宋体" w:cs="宋体"/>
          <w:b/>
          <w:bCs/>
          <w:color w:val="auto"/>
          <w:szCs w:val="21"/>
          <w:highlight w:val="none"/>
          <w:shd w:val="clear" w:color="auto" w:fill="auto"/>
        </w:rPr>
        <w:t>原文：</w:t>
      </w:r>
      <w:r>
        <w:rPr>
          <w:rFonts w:ascii="Arial" w:hAnsi="Arial" w:cs="Arial"/>
          <w:color w:val="auto"/>
          <w:szCs w:val="21"/>
          <w:highlight w:val="none"/>
          <w:shd w:val="clear" w:color="auto" w:fill="auto"/>
        </w:rPr>
        <w:t>7.1本招标文件包括下列文件，以及所有按本须知第8条发出的招标答疑会会议纪要和按本须知第9条发出的澄清或修改：</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第一章  投标须知</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第二章  开标、评标及定标办法</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第三章  合同条款</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第四章  投标文件格式</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第五章  技术条件（工程建设标准）（另册）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第六章  图纸及勘察资料（另册）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第七章  招标工程量清单（另册）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第八章  最高投标限价</w:t>
      </w:r>
    </w:p>
    <w:p>
      <w:pPr>
        <w:tabs>
          <w:tab w:val="left" w:pos="5620"/>
        </w:tabs>
        <w:spacing w:line="360" w:lineRule="auto"/>
        <w:ind w:firstLine="472" w:firstLineChars="224"/>
        <w:rPr>
          <w:rFonts w:ascii="Arial" w:hAnsi="Arial" w:cs="Arial"/>
          <w:color w:val="auto"/>
          <w:szCs w:val="21"/>
          <w:highlight w:val="none"/>
          <w:shd w:val="clear" w:color="auto" w:fill="auto"/>
        </w:rPr>
      </w:pPr>
      <w:r>
        <w:rPr>
          <w:rFonts w:hint="eastAsia" w:ascii="宋体" w:hAnsi="Courier New"/>
          <w:b/>
          <w:bCs/>
          <w:color w:val="auto"/>
          <w:szCs w:val="20"/>
          <w:highlight w:val="none"/>
          <w:shd w:val="clear" w:color="auto" w:fill="auto"/>
        </w:rPr>
        <w:t>现文：</w:t>
      </w:r>
      <w:r>
        <w:rPr>
          <w:rFonts w:ascii="Arial" w:hAnsi="Arial" w:cs="Arial"/>
          <w:color w:val="auto"/>
          <w:szCs w:val="21"/>
          <w:highlight w:val="none"/>
          <w:shd w:val="clear" w:color="auto" w:fill="auto"/>
        </w:rPr>
        <w:t>7.1本招标文件包括下列文件，以及所有按本须知第8条发出的招标答疑会会议纪要和按本须知第9条发出的澄清或修改：</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第一章  投标须知</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第二章  开标、评标及定标办法</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第三章  合同条款</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第四章  投标文件格式</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第五章  技术条件（工程建设标准）（另册）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第六章  图纸及勘察资料（另册）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第七章  招标工程量清单（另册）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第八章  最高投标限价</w:t>
      </w:r>
    </w:p>
    <w:p>
      <w:pPr>
        <w:pBdr>
          <w:bottom w:val="single" w:color="auto" w:sz="4" w:space="0"/>
        </w:pBdr>
        <w:tabs>
          <w:tab w:val="left" w:pos="5620"/>
        </w:tabs>
        <w:spacing w:line="360" w:lineRule="auto"/>
        <w:ind w:firstLine="472" w:firstLineChars="224"/>
        <w:rPr>
          <w:rFonts w:ascii="Arial" w:hAnsi="Arial" w:cs="Arial"/>
          <w:b/>
          <w:bCs/>
          <w:color w:val="auto"/>
          <w:szCs w:val="21"/>
          <w:highlight w:val="none"/>
          <w:shd w:val="clear" w:color="auto" w:fill="auto"/>
        </w:rPr>
      </w:pPr>
      <w:r>
        <w:rPr>
          <w:rFonts w:ascii="Arial" w:hAnsi="Arial" w:cs="Arial"/>
          <w:b/>
          <w:bCs/>
          <w:color w:val="auto"/>
          <w:szCs w:val="21"/>
          <w:highlight w:val="none"/>
          <w:shd w:val="clear" w:color="auto" w:fill="auto"/>
        </w:rPr>
        <w:t>注：招标人应在技术条件（工程建设标准）中明确施工现场建筑垃圾源头减量的具体要求和建筑垃圾综合利用产品的使用要求。</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 8.1           修改类型：修改</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8.1 投标人若对招标文件（包括招标图纸）中有疑问，可以书面形式通过</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交易平台提交给招标人或招标代理人，提交形式见本须知前附表第16项。</w:t>
      </w:r>
    </w:p>
    <w:p>
      <w:pPr>
        <w:pBdr>
          <w:bottom w:val="single" w:color="auto" w:sz="6" w:space="1"/>
        </w:pBdr>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宋体" w:hAnsi="宋体" w:cs="宋体"/>
          <w:color w:val="auto"/>
          <w:szCs w:val="21"/>
          <w:highlight w:val="none"/>
          <w:shd w:val="clear" w:color="auto" w:fill="auto"/>
        </w:rPr>
        <w:t>8.1 招标答疑采用网上答疑方式进行。投标人若对招标文件（包括招标图纸、清单、最高投标限价）有疑问的，可在规定的时间内通过</w:t>
      </w:r>
      <w:r>
        <w:rPr>
          <w:rFonts w:hint="eastAsia" w:ascii="宋体" w:hAnsi="宋体" w:cs="宋体"/>
          <w:bCs/>
          <w:color w:val="auto"/>
          <w:szCs w:val="21"/>
          <w:highlight w:val="none"/>
          <w:u w:val="single"/>
          <w:shd w:val="clear" w:color="auto" w:fill="auto"/>
        </w:rPr>
        <w:t>广州交易集团有限公司（广州公共资源交易中心）</w:t>
      </w:r>
      <w:r>
        <w:rPr>
          <w:rFonts w:hint="eastAsia" w:ascii="宋体" w:hAnsi="宋体" w:cs="宋体"/>
          <w:color w:val="auto"/>
          <w:szCs w:val="21"/>
          <w:highlight w:val="none"/>
          <w:shd w:val="clear" w:color="auto" w:fill="auto"/>
        </w:rPr>
        <w:t>网站凭密码进入提问区域将问题提交给招标人或招标代理人，提交问题时一律不得署名。提交形式见本须知前附表第16项。</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 8.2           修改类型：修改</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highlight w:val="none"/>
          <w:shd w:val="clear" w:color="auto" w:fill="auto"/>
        </w:rPr>
        <w:t>8.2招标答疑会会议纪要将在提交投标文件截止时间15日前在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 xml:space="preserve"> “项目答疑纪要”专区公开发布。答疑纪要一经在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发布，视作已发放给所有投标人。</w:t>
      </w:r>
    </w:p>
    <w:p>
      <w:pPr>
        <w:pBdr>
          <w:bottom w:val="single" w:color="auto" w:sz="6" w:space="1"/>
        </w:pBdr>
        <w:spacing w:line="360" w:lineRule="auto"/>
        <w:ind w:firstLine="527" w:firstLineChars="250"/>
        <w:rPr>
          <w:rFonts w:ascii="Arial" w:hAnsi="Arial" w:cs="Arial"/>
          <w:color w:val="auto"/>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8.2招标答疑会会议纪要将在提交投标文件截止时间15日前在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 xml:space="preserve"> “项目答疑纪要”专区公开发布。答疑纪要一经在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发布，视作已发放给所有投标人。</w:t>
      </w:r>
    </w:p>
    <w:p>
      <w:pPr>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条款号：8.4             修改类型：修改</w:t>
      </w:r>
    </w:p>
    <w:p>
      <w:pPr>
        <w:spacing w:line="360" w:lineRule="auto"/>
        <w:ind w:firstLine="472" w:firstLineChars="224"/>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color w:val="auto"/>
          <w:szCs w:val="21"/>
          <w:highlight w:val="none"/>
          <w:shd w:val="clear" w:color="auto" w:fill="auto"/>
        </w:rPr>
        <w:t>8.4若招标答疑会会议纪要与招标文件有矛盾，以答疑会议纪要最后发出的书面形式的文件为准。</w:t>
      </w:r>
    </w:p>
    <w:p>
      <w:pPr>
        <w:pBdr>
          <w:bottom w:val="single" w:color="auto" w:sz="6" w:space="1"/>
        </w:pBdr>
        <w:spacing w:line="360" w:lineRule="auto"/>
        <w:ind w:firstLine="527" w:firstLineChars="25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color w:val="auto"/>
          <w:szCs w:val="21"/>
          <w:highlight w:val="none"/>
          <w:shd w:val="clear" w:color="auto" w:fill="auto"/>
        </w:rPr>
        <w:t>8.4若</w:t>
      </w:r>
      <w:r>
        <w:rPr>
          <w:rFonts w:hint="eastAsia" w:ascii="宋体" w:hAnsi="宋体" w:cs="宋体"/>
          <w:color w:val="auto"/>
          <w:szCs w:val="21"/>
          <w:highlight w:val="none"/>
          <w:u w:val="single"/>
          <w:shd w:val="clear" w:color="auto" w:fill="auto"/>
        </w:rPr>
        <w:t>招标答疑纪要</w:t>
      </w:r>
      <w:r>
        <w:rPr>
          <w:rFonts w:hint="eastAsia" w:ascii="宋体" w:hAnsi="宋体" w:cs="宋体"/>
          <w:color w:val="auto"/>
          <w:szCs w:val="21"/>
          <w:highlight w:val="none"/>
          <w:shd w:val="clear" w:color="auto" w:fill="auto"/>
        </w:rPr>
        <w:t>与招标文件有矛盾时，以</w:t>
      </w:r>
      <w:r>
        <w:rPr>
          <w:rFonts w:hint="eastAsia" w:ascii="宋体" w:hAnsi="宋体" w:cs="宋体"/>
          <w:color w:val="auto"/>
          <w:szCs w:val="21"/>
          <w:highlight w:val="none"/>
          <w:u w:val="single"/>
          <w:shd w:val="clear" w:color="auto" w:fill="auto"/>
        </w:rPr>
        <w:t>广州公共资源交易中心交易平台</w:t>
      </w:r>
      <w:r>
        <w:rPr>
          <w:rFonts w:hint="eastAsia" w:ascii="宋体" w:hAnsi="宋体" w:cs="宋体"/>
          <w:color w:val="auto"/>
          <w:szCs w:val="21"/>
          <w:highlight w:val="none"/>
          <w:shd w:val="clear" w:color="auto" w:fill="auto"/>
        </w:rPr>
        <w:t>最后发布的答疑纪要为准。</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条款号：9.2           修改类型：修改</w:t>
      </w:r>
    </w:p>
    <w:p>
      <w:pPr>
        <w:spacing w:line="480" w:lineRule="auto"/>
        <w:ind w:firstLine="472" w:firstLineChars="224"/>
        <w:rPr>
          <w:rFonts w:ascii="Arial" w:hAnsi="Arial" w:cs="Arial"/>
          <w:b/>
          <w:color w:val="auto"/>
          <w:sz w:val="18"/>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highlight w:val="none"/>
          <w:shd w:val="clear" w:color="auto" w:fill="auto"/>
        </w:rPr>
        <w:t>9.2招标文件的澄清或修改将在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“项目答疑纪要”专区公开发布。答疑纪要一经在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发布，视作已发放给所有投标人，以</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上网发布时间作为送达时间。</w:t>
      </w:r>
    </w:p>
    <w:p>
      <w:pPr>
        <w:spacing w:line="440" w:lineRule="exact"/>
        <w:ind w:firstLine="472" w:firstLineChars="224"/>
        <w:rPr>
          <w:rFonts w:ascii="Arial" w:hAnsi="Arial" w:cs="Arial"/>
          <w:bCs/>
          <w:color w:val="auto"/>
          <w:sz w:val="24"/>
          <w:highlight w:val="none"/>
          <w:u w:val="singl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9.2招标文件的澄清或修改将在</w:t>
      </w:r>
      <w:r>
        <w:rPr>
          <w:rFonts w:ascii="Arial" w:hAnsi="Arial" w:cs="Arial"/>
          <w:color w:val="auto"/>
          <w:szCs w:val="24"/>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“项目答疑纪要”专区公开发布。答疑纪要一经在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发布，视作已发放给所有投标人，以</w:t>
      </w:r>
      <w:r>
        <w:rPr>
          <w:rFonts w:ascii="Arial" w:hAnsi="Arial" w:cs="Arial"/>
          <w:color w:val="auto"/>
          <w:szCs w:val="24"/>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上网发布时间作为送达时间。</w:t>
      </w:r>
    </w:p>
    <w:p>
      <w:pPr>
        <w:pBdr>
          <w:bottom w:val="single" w:color="auto" w:sz="6" w:space="1"/>
        </w:pBdr>
        <w:spacing w:line="440" w:lineRule="exact"/>
        <w:rPr>
          <w:rFonts w:ascii="Arial" w:hAnsi="Arial" w:cs="Arial"/>
          <w:bCs/>
          <w:color w:val="auto"/>
          <w:sz w:val="24"/>
          <w:highlight w:val="none"/>
          <w:u w:val="single"/>
          <w:shd w:val="clear" w:color="auto" w:fill="auto"/>
        </w:rPr>
      </w:pP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 xml:space="preserve">9.4             </w:t>
      </w:r>
      <w:r>
        <w:rPr>
          <w:rFonts w:ascii="Arial" w:hAnsi="Arial" w:cs="Arial"/>
          <w:b/>
          <w:color w:val="auto"/>
          <w:szCs w:val="21"/>
          <w:highlight w:val="none"/>
          <w:shd w:val="clear" w:color="auto" w:fill="auto"/>
        </w:rPr>
        <w:t>修改类型：修改</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9.4招标文件的澄清或修改均</w:t>
      </w:r>
      <w:r>
        <w:rPr>
          <w:rFonts w:ascii="Arial" w:hAnsi="Arial" w:cs="Arial"/>
          <w:color w:val="auto"/>
          <w:szCs w:val="21"/>
          <w:highlight w:val="none"/>
          <w:u w:val="single"/>
          <w:shd w:val="clear" w:color="auto" w:fill="auto"/>
        </w:rPr>
        <w:t>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网站“网上答疑”专区公开发布。</w:t>
      </w:r>
      <w:r>
        <w:rPr>
          <w:rFonts w:ascii="Arial" w:hAnsi="Arial" w:cs="Arial"/>
          <w:color w:val="auto"/>
          <w:szCs w:val="21"/>
          <w:highlight w:val="none"/>
          <w:shd w:val="clear" w:color="auto" w:fill="auto"/>
        </w:rPr>
        <w:t>当招标文件的澄清、修改、补充等在同一内容的表述不一致时，以最后发出的文件为准。</w:t>
      </w:r>
    </w:p>
    <w:p>
      <w:pPr>
        <w:spacing w:line="440" w:lineRule="exact"/>
        <w:ind w:firstLine="472" w:firstLineChars="224"/>
        <w:rPr>
          <w:rFonts w:ascii="Arial" w:hAnsi="Arial" w:cs="Arial"/>
          <w:b/>
          <w:color w:val="auto"/>
          <w:highlight w:val="none"/>
          <w:shd w:val="clear" w:color="auto" w:fill="auto"/>
        </w:rPr>
      </w:pPr>
      <w:r>
        <w:rPr>
          <w:rFonts w:ascii="Arial" w:hAnsi="Arial" w:cs="Arial"/>
          <w:b/>
          <w:color w:val="auto"/>
          <w:highlight w:val="none"/>
          <w:shd w:val="clear" w:color="auto" w:fill="auto"/>
        </w:rPr>
        <w:t>条款号：11.2.2            修改类型：修改</w:t>
      </w:r>
    </w:p>
    <w:p>
      <w:pPr>
        <w:spacing w:line="440" w:lineRule="exact"/>
        <w:ind w:firstLine="422" w:firstLineChars="200"/>
        <w:rPr>
          <w:rFonts w:ascii="Arial" w:hAnsi="Arial" w:cs="Arial"/>
          <w:bCs/>
          <w:color w:val="auto"/>
          <w:highlight w:val="none"/>
          <w:shd w:val="clear" w:color="auto" w:fill="auto"/>
        </w:rPr>
      </w:pPr>
      <w:r>
        <w:rPr>
          <w:rFonts w:ascii="Arial" w:hAnsi="Arial" w:cs="Arial"/>
          <w:b/>
          <w:color w:val="auto"/>
          <w:highlight w:val="none"/>
          <w:shd w:val="clear" w:color="auto" w:fill="auto"/>
        </w:rPr>
        <w:t>原文：</w:t>
      </w:r>
      <w:r>
        <w:rPr>
          <w:rFonts w:ascii="Arial" w:hAnsi="Arial" w:cs="Arial"/>
          <w:bCs/>
          <w:color w:val="auto"/>
          <w:highlight w:val="none"/>
          <w:shd w:val="clear" w:color="auto" w:fill="auto"/>
        </w:rPr>
        <w:t>资格审查文件：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 xml:space="preserve">（1）投标人声明； </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（2）法定代表人证明书、法定代表人签字或盖章的本投标文件授权委托证明书；</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（3）企业营业执照（取自平台内上传件）；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（4）企业资质证书（取自平台内上传件）；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（5）建筑施工企业安全生产许可证（取自平台内上传件）；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（6）项目负责人（按网上投标登记时选择拟投标的项目负责人）</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（7）专职安全员（按网上投标登记时选择拟投标的专职安全员）</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（8）拟委托技术负责人的相关证书、资料（具体要求由招标人明确）</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 xml:space="preserve">（9）拟委派项目负责人的建造师注册证书或小型项目负责人相关证明（取自平台内上传件）； </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（10）项目负责人安全培训考核合格证明或在有效期内的安全考核合格证书（B类）或建筑施工企业项目负责人安全生产考核合格证书（取自平台内上传件）；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（11）专职安全员须具有在有效期内的安全考核合格证书（C类）或建筑施工企业专职安全生产管理人员安全生产考核合格证书（取自平台内上传件）；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（12）用于资格审查的业绩（设置业绩要求时选择此项，投标人须提供类似工程业绩的项目名称及项目编号，具体格式由招标人自定）；</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（13）资格审查前，投标人须在广州市住房和城乡建设局建立企业信用档案，拟担任本工程项目负责人、专职安全员须是本企业信用档案中的在册人员。</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440" w:lineRule="exact"/>
        <w:ind w:firstLine="420" w:firstLineChars="200"/>
        <w:rPr>
          <w:rFonts w:ascii="Arial" w:hAnsi="Arial" w:cs="Arial"/>
          <w:color w:val="auto"/>
          <w:highlight w:val="none"/>
          <w:shd w:val="clear" w:color="auto" w:fill="auto"/>
        </w:rPr>
      </w:pPr>
      <w:r>
        <w:rPr>
          <w:rFonts w:ascii="Arial" w:hAnsi="Arial" w:cs="Arial"/>
          <w:bCs/>
          <w:color w:val="auto"/>
          <w:highlight w:val="none"/>
          <w:shd w:val="clear" w:color="auto" w:fill="auto"/>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440" w:lineRule="exact"/>
        <w:ind w:firstLine="422" w:firstLineChars="200"/>
        <w:rPr>
          <w:rFonts w:ascii="Arial" w:hAnsi="Arial" w:cs="Arial"/>
          <w:bCs/>
          <w:color w:val="auto"/>
          <w:highlight w:val="none"/>
          <w:shd w:val="clear" w:color="auto" w:fill="auto"/>
        </w:rPr>
      </w:pPr>
      <w:r>
        <w:rPr>
          <w:rFonts w:ascii="Arial" w:hAnsi="Arial" w:cs="Arial"/>
          <w:b/>
          <w:color w:val="auto"/>
          <w:highlight w:val="none"/>
          <w:shd w:val="clear" w:color="auto" w:fill="auto"/>
        </w:rPr>
        <w:t>现文：</w:t>
      </w:r>
      <w:r>
        <w:rPr>
          <w:rFonts w:ascii="Arial" w:hAnsi="Arial" w:cs="Arial"/>
          <w:bCs/>
          <w:color w:val="auto"/>
          <w:highlight w:val="none"/>
          <w:shd w:val="clear" w:color="auto" w:fill="auto"/>
        </w:rPr>
        <w:t>资格审查文件：</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（1）投标人声明</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（2）法定代表人证明书、法定代表人签字或盖章的本投标文件授权委托证明书</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（3）企业营业执照</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（4）企业资质证书</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（5）建筑施工企业安全生产许可证</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（6）项目负责人（按网上投标登记时选择拟投标的项目负责人）</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（7）专职安全员（按网上投标登记时选择拟投标的专职安全员）</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（8）拟委托技术负责人的相关证书、资料（</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（9）</w:t>
      </w:r>
      <w:r>
        <w:rPr>
          <w:rFonts w:ascii="Arial" w:hAnsi="Arial" w:cs="Arial"/>
          <w:bCs/>
          <w:color w:val="auto"/>
          <w:highlight w:val="none"/>
          <w:u w:val="single"/>
          <w:shd w:val="clear" w:color="auto" w:fill="auto"/>
        </w:rPr>
        <w:t>拟委派项目负责人的建造师注册证书</w:t>
      </w:r>
      <w:r>
        <w:rPr>
          <w:rFonts w:ascii="Arial" w:hAnsi="Arial" w:cs="Arial"/>
          <w:bCs/>
          <w:color w:val="auto"/>
          <w:highlight w:val="none"/>
          <w:shd w:val="clear" w:color="auto" w:fill="auto"/>
        </w:rPr>
        <w:t>（</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ascii="Arial" w:hAnsi="Arial" w:cs="Arial"/>
          <w:bCs/>
          <w:color w:val="auto"/>
          <w:highlight w:val="none"/>
          <w:shd w:val="clear" w:color="auto" w:fill="auto"/>
        </w:rPr>
        <w:t xml:space="preserve">）； </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（10）项目负责人安全</w:t>
      </w:r>
      <w:r>
        <w:rPr>
          <w:rFonts w:hint="eastAsia" w:ascii="Arial" w:hAnsi="Arial" w:cs="Arial"/>
          <w:bCs/>
          <w:color w:val="auto"/>
          <w:highlight w:val="none"/>
          <w:shd w:val="clear" w:color="auto" w:fill="auto"/>
        </w:rPr>
        <w:t>生产</w:t>
      </w:r>
      <w:r>
        <w:rPr>
          <w:rFonts w:ascii="Arial" w:hAnsi="Arial" w:cs="Arial"/>
          <w:bCs/>
          <w:color w:val="auto"/>
          <w:highlight w:val="none"/>
          <w:shd w:val="clear" w:color="auto" w:fill="auto"/>
        </w:rPr>
        <w:t>合格证明或在有效期内的安全考核合格证书（B类）或建筑施工企业项目负责人安全生产考核合格证书（</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（11）专职安全员须具有在有效期内的安全考核合格证书（C类）或建筑施工企业专职安全生产管理人员安全生产考核合格证书</w:t>
      </w:r>
      <w:r>
        <w:rPr>
          <w:rFonts w:hint="eastAsia" w:ascii="Arial" w:hAnsi="Arial" w:cs="Arial"/>
          <w:bCs/>
          <w:color w:val="auto"/>
          <w:highlight w:val="none"/>
          <w:shd w:val="clear" w:color="auto" w:fill="auto"/>
        </w:rPr>
        <w:t>（C3类）</w:t>
      </w:r>
      <w:r>
        <w:rPr>
          <w:rFonts w:ascii="Arial" w:hAnsi="Arial" w:cs="Arial"/>
          <w:bCs/>
          <w:color w:val="auto"/>
          <w:highlight w:val="none"/>
          <w:shd w:val="clear" w:color="auto" w:fill="auto"/>
        </w:rPr>
        <w:t>（</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（12）</w:t>
      </w:r>
      <w:r>
        <w:rPr>
          <w:rFonts w:hint="eastAsia" w:ascii="宋体" w:hAnsi="宋体" w:cs="宋体"/>
          <w:bCs/>
          <w:color w:val="auto"/>
          <w:szCs w:val="21"/>
          <w:highlight w:val="none"/>
          <w:u w:val="single"/>
          <w:shd w:val="clear" w:color="auto" w:fill="auto"/>
        </w:rPr>
        <w:t>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hint="eastAsia" w:ascii="宋体" w:hAnsi="宋体" w:cs="宋体"/>
          <w:bCs/>
          <w:color w:val="auto"/>
          <w:szCs w:val="21"/>
          <w:highlight w:val="none"/>
          <w:u w:val="single"/>
          <w:shd w:val="clear" w:color="auto" w:fill="auto"/>
        </w:rPr>
        <w:t>（13）本项目不接受联合体单位投标；</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hint="eastAsia" w:ascii="Arial" w:hAnsi="Arial" w:cs="Arial"/>
          <w:bCs/>
          <w:color w:val="auto"/>
          <w:highlight w:val="none"/>
          <w:shd w:val="clear" w:color="auto" w:fill="auto"/>
        </w:rPr>
        <w:t>（14）投标人声明中签字的项目负责人和技术负责人与本项目拟派的项目负责人和技术负责人一致。</w:t>
      </w:r>
    </w:p>
    <w:p>
      <w:pPr>
        <w:pBdr>
          <w:top w:val="single" w:color="auto" w:sz="4" w:space="0"/>
        </w:pBdr>
        <w:spacing w:line="440" w:lineRule="exact"/>
        <w:ind w:firstLine="472" w:firstLineChars="224"/>
        <w:rPr>
          <w:rFonts w:ascii="Arial" w:hAnsi="Arial" w:cs="Arial"/>
          <w:b/>
          <w:color w:val="auto"/>
          <w:highlight w:val="none"/>
          <w:shd w:val="clear" w:color="auto" w:fill="auto"/>
        </w:rPr>
      </w:pPr>
      <w:r>
        <w:rPr>
          <w:rFonts w:hint="eastAsia" w:ascii="Arial" w:hAnsi="Arial" w:cs="Arial"/>
          <w:b/>
          <w:color w:val="auto"/>
          <w:highlight w:val="none"/>
          <w:shd w:val="clear" w:color="auto" w:fill="auto"/>
        </w:rPr>
        <w:t>条款号：11.2.3</w:t>
      </w:r>
      <w:r>
        <w:rPr>
          <w:rFonts w:ascii="Arial" w:hAnsi="Arial" w:cs="Arial"/>
          <w:b/>
          <w:color w:val="auto"/>
          <w:highlight w:val="none"/>
          <w:shd w:val="clear" w:color="auto" w:fill="auto"/>
        </w:rPr>
        <w:t xml:space="preserve"> </w:t>
      </w:r>
      <w:r>
        <w:rPr>
          <w:rFonts w:hint="eastAsia" w:ascii="Arial" w:hAnsi="Arial" w:cs="Arial"/>
          <w:b/>
          <w:color w:val="auto"/>
          <w:highlight w:val="none"/>
          <w:shd w:val="clear" w:color="auto" w:fill="auto"/>
        </w:rPr>
        <w:t>-11.2.7</w:t>
      </w:r>
      <w:r>
        <w:rPr>
          <w:rFonts w:ascii="Arial" w:hAnsi="Arial" w:cs="Arial"/>
          <w:b/>
          <w:color w:val="auto"/>
          <w:highlight w:val="none"/>
          <w:shd w:val="clear" w:color="auto" w:fill="auto"/>
        </w:rPr>
        <w:t xml:space="preserve">           </w:t>
      </w:r>
      <w:r>
        <w:rPr>
          <w:rFonts w:hint="eastAsia" w:ascii="Arial" w:hAnsi="Arial" w:cs="Arial"/>
          <w:b/>
          <w:color w:val="auto"/>
          <w:highlight w:val="none"/>
          <w:shd w:val="clear" w:color="auto" w:fill="auto"/>
        </w:rPr>
        <w:t>修改类型：修改</w:t>
      </w:r>
    </w:p>
    <w:p>
      <w:pPr>
        <w:spacing w:line="360" w:lineRule="auto"/>
        <w:ind w:firstLine="422" w:firstLineChars="200"/>
        <w:rPr>
          <w:rFonts w:ascii="Arial" w:hAnsi="Arial" w:cs="Arial"/>
          <w:color w:val="auto"/>
          <w:highlight w:val="none"/>
          <w:shd w:val="clear" w:color="auto" w:fill="auto"/>
        </w:rPr>
      </w:pPr>
      <w:r>
        <w:rPr>
          <w:rFonts w:hint="eastAsia" w:ascii="Arial" w:hAnsi="Arial" w:cs="Arial"/>
          <w:b/>
          <w:color w:val="auto"/>
          <w:highlight w:val="none"/>
          <w:shd w:val="clear" w:color="auto" w:fill="auto"/>
        </w:rPr>
        <w:t>原文：</w:t>
      </w:r>
      <w:r>
        <w:rPr>
          <w:rFonts w:hint="eastAsia" w:ascii="Arial" w:hAnsi="Arial" w:cs="Arial"/>
          <w:color w:val="auto"/>
          <w:highlight w:val="none"/>
          <w:shd w:val="clear" w:color="auto" w:fill="auto"/>
        </w:rPr>
        <w:t>11.2.3项目管理机构配备。</w:t>
      </w:r>
    </w:p>
    <w:p>
      <w:pPr>
        <w:spacing w:line="360" w:lineRule="auto"/>
        <w:ind w:firstLine="420" w:firstLineChars="200"/>
        <w:rPr>
          <w:rFonts w:ascii="Arial" w:hAnsi="Arial" w:cs="Arial"/>
          <w:color w:val="auto"/>
          <w:highlight w:val="none"/>
          <w:shd w:val="clear" w:color="auto" w:fill="auto"/>
        </w:rPr>
      </w:pPr>
      <w:r>
        <w:rPr>
          <w:rFonts w:hint="eastAsia" w:ascii="Arial" w:hAnsi="Arial" w:cs="Arial"/>
          <w:color w:val="auto"/>
          <w:highlight w:val="none"/>
          <w:shd w:val="clear" w:color="auto" w:fill="auto"/>
        </w:rPr>
        <w:t>（1）投标人应列出该项目工程的施工组织机构构成和画出机构框架图及其负责人；</w:t>
      </w:r>
    </w:p>
    <w:p>
      <w:pPr>
        <w:spacing w:line="360" w:lineRule="auto"/>
        <w:ind w:firstLine="420" w:firstLineChars="200"/>
        <w:rPr>
          <w:rFonts w:ascii="Arial" w:hAnsi="Arial" w:cs="Arial"/>
          <w:color w:val="auto"/>
          <w:highlight w:val="none"/>
          <w:shd w:val="clear" w:color="auto" w:fill="auto"/>
        </w:rPr>
      </w:pPr>
      <w:r>
        <w:rPr>
          <w:rFonts w:hint="eastAsia" w:ascii="Arial" w:hAnsi="Arial" w:cs="Arial"/>
          <w:color w:val="auto"/>
          <w:highlight w:val="none"/>
          <w:shd w:val="clear" w:color="auto" w:fill="auto"/>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Arial" w:hAnsi="Arial" w:cs="Arial"/>
          <w:color w:val="auto"/>
          <w:highlight w:val="none"/>
          <w:shd w:val="clear" w:color="auto" w:fill="auto"/>
        </w:rPr>
      </w:pPr>
      <w:r>
        <w:rPr>
          <w:rFonts w:hint="eastAsia" w:ascii="Arial" w:hAnsi="Arial" w:cs="Arial"/>
          <w:color w:val="auto"/>
          <w:highlight w:val="none"/>
          <w:shd w:val="clear" w:color="auto" w:fill="auto"/>
        </w:rPr>
        <w:t>（3）其他辅助说明资料。</w:t>
      </w:r>
    </w:p>
    <w:p>
      <w:pPr>
        <w:spacing w:line="460" w:lineRule="exact"/>
        <w:ind w:firstLine="422" w:firstLineChars="200"/>
        <w:rPr>
          <w:rFonts w:ascii="Arial" w:hAnsi="Arial" w:cs="Arial"/>
          <w:color w:val="auto"/>
          <w:highlight w:val="none"/>
          <w:shd w:val="clear" w:color="auto" w:fill="auto"/>
        </w:rPr>
      </w:pPr>
      <w:r>
        <w:rPr>
          <w:rFonts w:hint="eastAsia" w:ascii="宋体" w:hAnsi="宋体" w:cs="宋体"/>
          <w:b/>
          <w:color w:val="auto"/>
          <w:szCs w:val="21"/>
          <w:highlight w:val="none"/>
          <w:shd w:val="clear" w:color="auto" w:fill="auto"/>
        </w:rPr>
        <w:t>现文：</w:t>
      </w:r>
      <w:r>
        <w:rPr>
          <w:rFonts w:hint="eastAsia" w:ascii="Arial" w:hAnsi="Arial" w:cs="Arial"/>
          <w:color w:val="auto"/>
          <w:highlight w:val="none"/>
          <w:shd w:val="clear" w:color="auto" w:fill="auto"/>
        </w:rPr>
        <w:t>11.2.3项目管理机构配备。</w:t>
      </w:r>
    </w:p>
    <w:p>
      <w:pPr>
        <w:spacing w:line="460" w:lineRule="exact"/>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u w:val="single"/>
          <w:shd w:val="clear" w:color="auto" w:fill="auto"/>
        </w:rPr>
        <w:t>（1）投标人应列出该项目工程的施工组织机构构成和画出机构框架图及其负责人；</w:t>
      </w:r>
    </w:p>
    <w:p>
      <w:pPr>
        <w:spacing w:line="460" w:lineRule="exact"/>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u w:val="single"/>
          <w:shd w:val="clear" w:color="auto" w:fill="auto"/>
        </w:rPr>
        <w:t>（2）投标人应详细列出该施工组织机构中主要成员的名单、简历资料、职务职称和在本项目中拟担任的职务等资料，并附上有关证明材料扫描件；</w:t>
      </w:r>
    </w:p>
    <w:p>
      <w:pPr>
        <w:spacing w:line="460" w:lineRule="exact"/>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u w:val="single"/>
          <w:shd w:val="clear" w:color="auto" w:fill="auto"/>
        </w:rPr>
        <w:t>（3）其他辅助说明资料。</w:t>
      </w:r>
    </w:p>
    <w:p>
      <w:pPr>
        <w:spacing w:line="460" w:lineRule="exact"/>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11.2.4</w:t>
      </w:r>
      <w:r>
        <w:rPr>
          <w:rFonts w:hint="eastAsia" w:ascii="宋体" w:hAnsi="宋体" w:cs="宋体"/>
          <w:bCs/>
          <w:color w:val="auto"/>
          <w:szCs w:val="21"/>
          <w:highlight w:val="none"/>
          <w:u w:val="single"/>
          <w:shd w:val="clear" w:color="auto" w:fill="auto"/>
        </w:rPr>
        <w:t>按照招标文件要求填写的《投标文件编制人员名单》（详见格式三）</w:t>
      </w:r>
      <w:r>
        <w:rPr>
          <w:rFonts w:hint="eastAsia" w:ascii="宋体" w:hAnsi="宋体" w:cs="宋体"/>
          <w:bCs/>
          <w:color w:val="auto"/>
          <w:szCs w:val="21"/>
          <w:highlight w:val="none"/>
          <w:shd w:val="clear" w:color="auto" w:fill="auto"/>
        </w:rPr>
        <w:t>。</w:t>
      </w:r>
    </w:p>
    <w:p>
      <w:pPr>
        <w:pBdr>
          <w:bottom w:val="single" w:color="auto" w:sz="4" w:space="0"/>
        </w:pBdr>
        <w:spacing w:line="360" w:lineRule="auto"/>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u w:val="single"/>
          <w:shd w:val="clear" w:color="auto" w:fill="auto"/>
        </w:rPr>
        <w:t>11.2.5承诺书（必须按照招标文件中提供的承诺书格式进行承诺，详见格式四）。</w:t>
      </w:r>
    </w:p>
    <w:p>
      <w:pPr>
        <w:pBdr>
          <w:bottom w:val="single" w:color="auto" w:sz="4" w:space="0"/>
        </w:pBd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u w:val="single"/>
          <w:shd w:val="clear" w:color="auto" w:fill="auto"/>
        </w:rPr>
        <w:t>11.2.6响应招标文件所附施工组织设计。</w:t>
      </w:r>
    </w:p>
    <w:p>
      <w:pPr>
        <w:pBdr>
          <w:bottom w:val="single" w:color="auto" w:sz="4" w:space="0"/>
        </w:pBdr>
        <w:spacing w:line="360" w:lineRule="auto"/>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shd w:val="clear" w:color="auto" w:fill="auto"/>
        </w:rPr>
        <w:t>11.2.7</w:t>
      </w:r>
      <w:r>
        <w:rPr>
          <w:rFonts w:hint="eastAsia" w:ascii="宋体" w:hAnsi="宋体" w:cs="宋体"/>
          <w:bCs/>
          <w:color w:val="auto"/>
          <w:szCs w:val="21"/>
          <w:highlight w:val="none"/>
          <w:u w:val="single"/>
          <w:shd w:val="clear" w:color="auto" w:fill="auto"/>
        </w:rPr>
        <w:t>投标人认为应提交其他的资料。</w:t>
      </w:r>
    </w:p>
    <w:p>
      <w:pPr>
        <w:pBdr>
          <w:bottom w:val="single" w:color="auto" w:sz="6" w:space="1"/>
        </w:pBdr>
        <w:spacing w:line="440" w:lineRule="exact"/>
        <w:ind w:firstLine="472" w:firstLineChars="224"/>
        <w:rPr>
          <w:rFonts w:ascii="Arial" w:hAnsi="Arial" w:cs="Arial"/>
          <w:b/>
          <w:color w:val="auto"/>
          <w:highlight w:val="none"/>
          <w:shd w:val="clear" w:color="auto" w:fill="auto"/>
        </w:rPr>
      </w:pPr>
    </w:p>
    <w:p>
      <w:pPr>
        <w:pBdr>
          <w:bottom w:val="single" w:color="auto" w:sz="6" w:space="1"/>
        </w:pBdr>
        <w:spacing w:line="440" w:lineRule="exact"/>
        <w:ind w:firstLine="472" w:firstLineChars="224"/>
        <w:rPr>
          <w:rFonts w:ascii="Arial" w:hAnsi="Arial" w:cs="Arial"/>
          <w:b/>
          <w:color w:val="auto"/>
          <w:highlight w:val="none"/>
          <w:shd w:val="clear" w:color="auto" w:fill="auto"/>
        </w:rPr>
      </w:pPr>
      <w:r>
        <w:rPr>
          <w:rFonts w:ascii="Arial" w:hAnsi="Arial" w:cs="Arial"/>
          <w:b/>
          <w:color w:val="auto"/>
          <w:highlight w:val="none"/>
          <w:shd w:val="clear" w:color="auto" w:fill="auto"/>
        </w:rPr>
        <w:t>条款号：11.3            修改类型：修改</w:t>
      </w:r>
    </w:p>
    <w:p>
      <w:pPr>
        <w:pBdr>
          <w:bottom w:val="single" w:color="auto" w:sz="6" w:space="1"/>
        </w:pBdr>
        <w:spacing w:line="440" w:lineRule="exact"/>
        <w:ind w:firstLine="472" w:firstLineChars="224"/>
        <w:rPr>
          <w:rFonts w:ascii="Arial" w:hAnsi="Arial" w:cs="Arial"/>
          <w:color w:val="auto"/>
          <w:highlight w:val="none"/>
          <w:shd w:val="clear" w:color="auto" w:fill="auto"/>
        </w:rPr>
      </w:pPr>
      <w:r>
        <w:rPr>
          <w:rFonts w:ascii="Arial" w:hAnsi="Arial" w:cs="Arial"/>
          <w:b/>
          <w:color w:val="auto"/>
          <w:highlight w:val="none"/>
          <w:shd w:val="clear" w:color="auto" w:fill="auto"/>
        </w:rPr>
        <w:t>原文：</w:t>
      </w:r>
      <w:r>
        <w:rPr>
          <w:rFonts w:ascii="Arial" w:hAnsi="Arial" w:cs="Arial"/>
          <w:color w:val="auto"/>
          <w:highlight w:val="none"/>
          <w:shd w:val="clear" w:color="auto" w:fill="auto"/>
        </w:rPr>
        <w:t>11.3 经济部分投标文件主要包括下列内容：</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11.3.1 经济投标文件(按招标文件的要求填写)。</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（1）投标总价封面、扉页；</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（2）总说明</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（3）工程项目投标报价汇总表；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（4）单项工程投标报价汇总表；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（5）单位工程投标报价汇总表；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（6）分部分项工程清单与计价表；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（7）单价措施项目清单与计价表；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（8）总价措施项目清单与计价表；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（9）综合单价分析表；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（10）其他项目清单与计价汇总表；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（11）暂列金额明细表；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（12）材料（工程设备）暂估价明细表；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（13）专业工程暂估价明细表；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（14）计日工表；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（15）总承包服务计价表；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（16）规费和税金项目计价表；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 xml:space="preserve"> （17）人工、主要材料和设备一览表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11.3.3按照招标文件要求填写的《参与编制经济标投标文件人员名单》。</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snapToGrid w:val="0"/>
        <w:spacing w:line="360" w:lineRule="auto"/>
        <w:ind w:firstLine="472" w:firstLineChars="224"/>
        <w:rPr>
          <w:rFonts w:ascii="Arial" w:hAnsi="Arial" w:cs="Arial"/>
          <w:color w:val="auto"/>
          <w:highlight w:val="none"/>
          <w:shd w:val="clear" w:color="auto" w:fill="auto"/>
        </w:rPr>
      </w:pPr>
      <w:r>
        <w:rPr>
          <w:rFonts w:ascii="Arial" w:hAnsi="Arial" w:cs="Arial"/>
          <w:b/>
          <w:color w:val="auto"/>
          <w:highlight w:val="none"/>
          <w:shd w:val="clear" w:color="auto" w:fill="auto"/>
        </w:rPr>
        <w:t>现文：</w:t>
      </w:r>
      <w:r>
        <w:rPr>
          <w:rFonts w:ascii="Arial" w:hAnsi="Arial" w:cs="Arial"/>
          <w:color w:val="auto"/>
          <w:highlight w:val="none"/>
          <w:shd w:val="clear" w:color="auto" w:fill="auto"/>
        </w:rPr>
        <w:t>11.3 经济部分投标文件主要包括下列内容：</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11.3.1 广州建设工程施工招标投标书(按招标文件</w:t>
      </w:r>
      <w:r>
        <w:rPr>
          <w:rFonts w:hint="eastAsia" w:ascii="Arial" w:hAnsi="Arial" w:cs="Arial"/>
          <w:color w:val="auto"/>
          <w:highlight w:val="none"/>
          <w:shd w:val="clear" w:color="auto" w:fill="auto"/>
        </w:rPr>
        <w:t>格式二</w:t>
      </w:r>
      <w:r>
        <w:rPr>
          <w:rFonts w:ascii="Arial" w:hAnsi="Arial" w:cs="Arial"/>
          <w:color w:val="auto"/>
          <w:highlight w:val="none"/>
          <w:shd w:val="clear" w:color="auto" w:fill="auto"/>
        </w:rPr>
        <w:t>的要求填写)。</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投标报价的工程量清单的组成、格式等由</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highlight w:val="none"/>
          <w:shd w:val="clear" w:color="auto" w:fill="auto"/>
        </w:rPr>
        <w:t>的投标文件管理软件自动生成）</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11.3.3 按照招标文件要求填写的《参与编制经济标投标文件人员名单》。</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11.3.4 《对投标文件编制的承诺》(按招标文件</w:t>
      </w:r>
      <w:r>
        <w:rPr>
          <w:rFonts w:hint="eastAsia" w:ascii="Arial" w:hAnsi="Arial" w:cs="Arial"/>
          <w:color w:val="auto"/>
          <w:highlight w:val="none"/>
          <w:shd w:val="clear" w:color="auto" w:fill="auto"/>
        </w:rPr>
        <w:t>格式四</w:t>
      </w:r>
      <w:r>
        <w:rPr>
          <w:rFonts w:ascii="Arial" w:hAnsi="Arial" w:cs="Arial"/>
          <w:color w:val="auto"/>
          <w:highlight w:val="none"/>
          <w:shd w:val="clear" w:color="auto" w:fill="auto"/>
        </w:rPr>
        <w:t>的要求填写)。</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11.3.5 若投标人的投标报价低于工程成本警戒价的，投标人还须提供详细的施工组织设计、单价、措施性费用、单价分析表、主要材料价格表、投标人成本分析供评标委员会评审。</w:t>
      </w:r>
    </w:p>
    <w:p>
      <w:pPr>
        <w:snapToGrid w:val="0"/>
        <w:spacing w:line="360" w:lineRule="auto"/>
        <w:ind w:firstLine="495" w:firstLineChars="224"/>
        <w:rPr>
          <w:rFonts w:ascii="Arial" w:hAnsi="Arial" w:cs="Arial"/>
          <w:b/>
          <w:color w:val="auto"/>
          <w:sz w:val="22"/>
          <w:highlight w:val="none"/>
          <w:shd w:val="clear" w:color="auto" w:fill="auto"/>
        </w:rPr>
      </w:pPr>
      <w:r>
        <w:rPr>
          <w:rFonts w:ascii="Arial" w:hAnsi="Arial" w:cs="Arial"/>
          <w:b/>
          <w:color w:val="auto"/>
          <w:sz w:val="22"/>
          <w:highlight w:val="none"/>
          <w:shd w:val="clear" w:color="auto" w:fill="auto"/>
        </w:rPr>
        <w:t>条款号：12.2、12.3          修改类型：修改</w:t>
      </w:r>
    </w:p>
    <w:p>
      <w:pPr>
        <w:snapToGrid w:val="0"/>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 xml:space="preserve"> 。</w:t>
      </w:r>
    </w:p>
    <w:p>
      <w:pP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12.3 投标文件应按照交易平台关于全流程电子化项目的相关指南进行编制，详见：</w:t>
      </w:r>
      <w:r>
        <w:rPr>
          <w:rFonts w:ascii="Arial" w:hAnsi="Arial" w:cs="Arial"/>
          <w:color w:val="auto"/>
          <w:highlight w:val="none"/>
          <w:u w:val="single"/>
          <w:shd w:val="clear" w:color="auto" w:fill="auto"/>
        </w:rPr>
        <w:t xml:space="preserve">            </w:t>
      </w:r>
      <w:r>
        <w:rPr>
          <w:rFonts w:ascii="Arial" w:hAnsi="Arial" w:cs="Arial"/>
          <w:color w:val="auto"/>
          <w:highlight w:val="none"/>
          <w:shd w:val="clear" w:color="auto" w:fill="auto"/>
        </w:rPr>
        <w:t>。</w:t>
      </w:r>
    </w:p>
    <w:p>
      <w:pPr>
        <w:pBdr>
          <w:bottom w:val="single" w:color="auto" w:sz="6" w:space="1"/>
        </w:pBdr>
        <w:snapToGrid w:val="0"/>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网站</w:t>
      </w:r>
      <w:r>
        <w:rPr>
          <w:rFonts w:ascii="Arial" w:hAnsi="Arial" w:cs="Arial"/>
          <w:color w:val="auto"/>
          <w:szCs w:val="21"/>
          <w:highlight w:val="none"/>
          <w:shd w:val="clear" w:color="auto" w:fill="auto"/>
        </w:rPr>
        <w:t xml:space="preserve"> 。</w:t>
      </w:r>
    </w:p>
    <w:p>
      <w:pPr>
        <w:pBdr>
          <w:bottom w:val="single" w:color="auto" w:sz="6" w:space="1"/>
        </w:pBdr>
        <w:snapToGrid w:val="0"/>
        <w:spacing w:line="360" w:lineRule="auto"/>
        <w:ind w:firstLine="470" w:firstLineChars="224"/>
        <w:rPr>
          <w:rFonts w:ascii="Arial" w:hAnsi="Arial" w:cs="Arial"/>
          <w:color w:val="auto"/>
          <w:sz w:val="22"/>
          <w:highlight w:val="none"/>
          <w:shd w:val="clear" w:color="auto" w:fill="auto"/>
        </w:rPr>
      </w:pPr>
      <w:r>
        <w:rPr>
          <w:rFonts w:ascii="Arial" w:hAnsi="Arial" w:cs="Arial"/>
          <w:color w:val="auto"/>
          <w:szCs w:val="21"/>
          <w:highlight w:val="none"/>
          <w:shd w:val="clear" w:color="auto" w:fill="auto"/>
        </w:rPr>
        <w:t>12.3</w:t>
      </w:r>
      <w:r>
        <w:rPr>
          <w:rFonts w:ascii="Arial" w:hAnsi="Arial" w:cs="Arial"/>
          <w:color w:val="auto"/>
          <w:sz w:val="24"/>
          <w:highlight w:val="none"/>
          <w:shd w:val="clear" w:color="auto" w:fill="auto"/>
        </w:rPr>
        <w:t xml:space="preserve"> </w:t>
      </w:r>
      <w:r>
        <w:rPr>
          <w:rFonts w:ascii="Arial" w:hAnsi="Arial" w:cs="Arial"/>
          <w:bCs/>
          <w:color w:val="auto"/>
          <w:szCs w:val="21"/>
          <w:highlight w:val="none"/>
          <w:shd w:val="clear" w:color="auto" w:fill="auto"/>
        </w:rPr>
        <w:t>投标文件应按</w:t>
      </w:r>
      <w:r>
        <w:rPr>
          <w:rFonts w:ascii="Arial" w:hAnsi="Arial" w:cs="Arial"/>
          <w:color w:val="auto"/>
          <w:szCs w:val="21"/>
          <w:highlight w:val="none"/>
          <w:shd w:val="clear" w:color="auto" w:fill="auto"/>
        </w:rPr>
        <w:t>照交易平台关于全流程电子化项目的相关指南进行编制，详见：</w:t>
      </w:r>
      <w:r>
        <w:rPr>
          <w:rFonts w:ascii="Arial" w:hAnsi="Arial" w:cs="Arial"/>
          <w:color w:val="auto"/>
          <w:szCs w:val="21"/>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网站</w:t>
      </w:r>
      <w:r>
        <w:rPr>
          <w:rFonts w:ascii="Arial" w:hAnsi="Arial" w:cs="Arial"/>
          <w:color w:val="auto"/>
          <w:szCs w:val="21"/>
          <w:highlight w:val="none"/>
          <w:shd w:val="clear" w:color="auto" w:fill="auto"/>
        </w:rPr>
        <w:t>。</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条款号：13.1          修改类型：修改</w:t>
      </w:r>
    </w:p>
    <w:p>
      <w:pPr>
        <w:spacing w:line="440" w:lineRule="exact"/>
        <w:ind w:firstLine="472" w:firstLineChars="224"/>
        <w:rPr>
          <w:rFonts w:ascii="Arial" w:hAnsi="Arial" w:cs="Arial"/>
          <w:color w:val="auto"/>
          <w:sz w:val="18"/>
          <w:highlight w:val="none"/>
          <w:shd w:val="clear" w:color="auto" w:fill="auto"/>
        </w:rPr>
      </w:pPr>
      <w:r>
        <w:rPr>
          <w:rFonts w:ascii="Arial" w:hAnsi="Arial" w:cs="Arial"/>
          <w:b/>
          <w:color w:val="auto"/>
          <w:highlight w:val="none"/>
          <w:shd w:val="clear" w:color="auto" w:fill="auto"/>
        </w:rPr>
        <w:t>原文：</w:t>
      </w:r>
      <w:r>
        <w:rPr>
          <w:rFonts w:ascii="Arial" w:hAnsi="Arial" w:cs="Arial"/>
          <w:color w:val="auto"/>
          <w:highlight w:val="none"/>
          <w:shd w:val="clear" w:color="auto" w:fill="auto"/>
        </w:rPr>
        <w:t>13.1 本工程的投标报价采用投标须知前附表第12项所规定的方式。投标报价（含单价及总价）精确到“分”。</w:t>
      </w:r>
    </w:p>
    <w:p>
      <w:pPr>
        <w:pBdr>
          <w:bottom w:val="single" w:color="auto" w:sz="6" w:space="1"/>
        </w:pBdr>
        <w:spacing w:line="440" w:lineRule="exact"/>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13.1 本工程的投标报价采用投标须知前附表第12项所规定的方式。</w:t>
      </w:r>
      <w:r>
        <w:rPr>
          <w:rFonts w:ascii="Arial" w:hAnsi="Arial" w:cs="Arial"/>
          <w:color w:val="auto"/>
          <w:szCs w:val="21"/>
          <w:highlight w:val="none"/>
          <w:u w:val="single"/>
          <w:shd w:val="clear" w:color="auto" w:fill="auto"/>
        </w:rPr>
        <w:t>投标文件中的大写金额和小写金额不一致的，以大写金额为准，</w:t>
      </w:r>
      <w:r>
        <w:rPr>
          <w:rFonts w:ascii="Arial" w:hAnsi="Arial" w:cs="Arial"/>
          <w:color w:val="auto"/>
          <w:highlight w:val="none"/>
          <w:shd w:val="clear" w:color="auto" w:fill="auto"/>
        </w:rPr>
        <w:t>投标报价（含单价及总价）精确到“分”。</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 xml:space="preserve">条款号： </w:t>
      </w:r>
      <w:r>
        <w:rPr>
          <w:rFonts w:ascii="Arial" w:hAnsi="Arial" w:cs="Arial"/>
          <w:color w:val="auto"/>
          <w:szCs w:val="21"/>
          <w:highlight w:val="none"/>
          <w:shd w:val="clear" w:color="auto" w:fill="auto"/>
        </w:rPr>
        <w:t>13.3</w:t>
      </w:r>
      <w:r>
        <w:rPr>
          <w:rFonts w:ascii="Arial" w:hAnsi="Arial" w:cs="Arial"/>
          <w:b/>
          <w:color w:val="auto"/>
          <w:szCs w:val="21"/>
          <w:highlight w:val="none"/>
          <w:shd w:val="clear" w:color="auto" w:fill="auto"/>
        </w:rPr>
        <w:t xml:space="preserve">            修改类型：修改</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13.3</w:t>
      </w:r>
      <w:r>
        <w:rPr>
          <w:rFonts w:ascii="Arial" w:hAnsi="Arial" w:cs="Arial"/>
          <w:bCs/>
          <w:color w:val="auto"/>
          <w:szCs w:val="21"/>
          <w:highlight w:val="none"/>
          <w:shd w:val="clear" w:color="auto" w:fill="auto"/>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460" w:lineRule="exact"/>
        <w:ind w:firstLine="413" w:firstLineChars="196"/>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宋体" w:hAnsi="宋体" w:cs="宋体"/>
          <w:bCs/>
          <w:color w:val="auto"/>
          <w:szCs w:val="21"/>
          <w:highlight w:val="none"/>
          <w:shd w:val="clear" w:color="auto" w:fill="auto"/>
        </w:rPr>
        <w:t>13.3投标人的投标报价，应是按照投标须知前附表第8项的工期要求，在投标须知前附表第3项的建设地点，完成投标须知前附表第7项的招标范围内已由招标人</w:t>
      </w:r>
      <w:r>
        <w:rPr>
          <w:rFonts w:hint="eastAsia" w:ascii="宋体" w:hAnsi="宋体" w:cs="宋体"/>
          <w:bCs/>
          <w:color w:val="auto"/>
          <w:szCs w:val="21"/>
          <w:highlight w:val="none"/>
          <w:u w:val="single"/>
          <w:shd w:val="clear" w:color="auto" w:fill="auto"/>
        </w:rPr>
        <w:t>提供的招标图纸（包括有关于本项目招标的相关资料）及</w:t>
      </w:r>
      <w:r>
        <w:rPr>
          <w:rFonts w:hint="eastAsia" w:ascii="宋体" w:hAnsi="宋体" w:cs="宋体"/>
          <w:bCs/>
          <w:color w:val="auto"/>
          <w:szCs w:val="21"/>
          <w:highlight w:val="none"/>
          <w:shd w:val="clear" w:color="auto" w:fill="auto"/>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w:t>
      </w:r>
      <w:r>
        <w:rPr>
          <w:rFonts w:hint="eastAsia" w:ascii="宋体" w:hAnsi="宋体" w:cs="宋体"/>
          <w:bCs/>
          <w:color w:val="auto"/>
          <w:szCs w:val="21"/>
          <w:highlight w:val="none"/>
          <w:u w:val="single"/>
          <w:shd w:val="clear" w:color="auto" w:fill="auto"/>
        </w:rPr>
        <w:t>费率</w:t>
      </w:r>
      <w:r>
        <w:rPr>
          <w:rFonts w:hint="eastAsia" w:ascii="宋体" w:hAnsi="宋体" w:cs="宋体"/>
          <w:bCs/>
          <w:color w:val="auto"/>
          <w:szCs w:val="21"/>
          <w:highlight w:val="none"/>
          <w:shd w:val="clear" w:color="auto" w:fill="auto"/>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 xml:space="preserve">条款号： </w:t>
      </w:r>
      <w:r>
        <w:rPr>
          <w:rFonts w:ascii="Arial" w:hAnsi="Arial" w:cs="Arial"/>
          <w:color w:val="auto"/>
          <w:szCs w:val="21"/>
          <w:highlight w:val="none"/>
          <w:shd w:val="clear" w:color="auto" w:fill="auto"/>
        </w:rPr>
        <w:t>13.4</w:t>
      </w:r>
      <w:r>
        <w:rPr>
          <w:rFonts w:ascii="Arial" w:hAnsi="Arial" w:cs="Arial"/>
          <w:b/>
          <w:color w:val="auto"/>
          <w:szCs w:val="21"/>
          <w:highlight w:val="none"/>
          <w:shd w:val="clear" w:color="auto" w:fill="auto"/>
        </w:rPr>
        <w:t xml:space="preserve">            修改类型：修改</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原文：13.4</w:t>
      </w:r>
      <w:r>
        <w:rPr>
          <w:rFonts w:ascii="Arial" w:hAnsi="Arial" w:cs="Arial"/>
          <w:color w:val="auto"/>
          <w:szCs w:val="21"/>
          <w:highlight w:val="none"/>
          <w:shd w:val="clear" w:color="auto" w:fill="auto"/>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440" w:lineRule="exact"/>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现文：13.4</w:t>
      </w:r>
      <w:r>
        <w:rPr>
          <w:rFonts w:hint="eastAsia" w:ascii="Arial" w:hAnsi="Arial" w:cs="Arial"/>
          <w:color w:val="auto"/>
          <w:szCs w:val="21"/>
          <w:highlight w:val="none"/>
          <w:u w:val="single"/>
          <w:shd w:val="clear" w:color="auto" w:fill="auto"/>
        </w:rPr>
        <w:t>该约定内容按本招标文件第七章《工程量清单》相关要求及本工程施工合同专用条款约定执行。</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13.5</w:t>
      </w:r>
      <w:r>
        <w:rPr>
          <w:rFonts w:ascii="Arial" w:hAnsi="Arial" w:cs="Arial"/>
          <w:b/>
          <w:color w:val="auto"/>
          <w:szCs w:val="21"/>
          <w:highlight w:val="none"/>
          <w:shd w:val="clear" w:color="auto" w:fill="auto"/>
        </w:rPr>
        <w:t xml:space="preserve">  </w:t>
      </w:r>
      <w:r>
        <w:rPr>
          <w:rFonts w:ascii="Arial" w:hAnsi="Arial" w:cs="Arial"/>
          <w:color w:val="auto"/>
          <w:szCs w:val="21"/>
          <w:highlight w:val="none"/>
          <w:shd w:val="clear" w:color="auto" w:fill="auto"/>
        </w:rPr>
        <w:t>13.5.1</w:t>
      </w:r>
      <w:r>
        <w:rPr>
          <w:rFonts w:ascii="Arial" w:hAnsi="Arial" w:cs="Arial"/>
          <w:b/>
          <w:color w:val="auto"/>
          <w:szCs w:val="21"/>
          <w:highlight w:val="none"/>
          <w:shd w:val="clear" w:color="auto" w:fill="auto"/>
        </w:rPr>
        <w:t xml:space="preserve">  </w:t>
      </w:r>
      <w:r>
        <w:rPr>
          <w:rFonts w:ascii="Arial" w:hAnsi="Arial" w:cs="Arial"/>
          <w:color w:val="auto"/>
          <w:szCs w:val="21"/>
          <w:highlight w:val="none"/>
          <w:shd w:val="clear" w:color="auto" w:fill="auto"/>
        </w:rPr>
        <w:t>13.5.2</w:t>
      </w:r>
      <w:r>
        <w:rPr>
          <w:rFonts w:ascii="Arial" w:hAnsi="Arial" w:cs="Arial"/>
          <w:b/>
          <w:color w:val="auto"/>
          <w:szCs w:val="21"/>
          <w:highlight w:val="none"/>
          <w:shd w:val="clear" w:color="auto" w:fill="auto"/>
        </w:rPr>
        <w:t xml:space="preserve">  </w:t>
      </w:r>
      <w:r>
        <w:rPr>
          <w:rFonts w:ascii="Arial" w:hAnsi="Arial" w:cs="Arial"/>
          <w:color w:val="auto"/>
          <w:szCs w:val="21"/>
          <w:highlight w:val="none"/>
          <w:shd w:val="clear" w:color="auto" w:fill="auto"/>
        </w:rPr>
        <w:t>13.5.3</w:t>
      </w:r>
      <w:r>
        <w:rPr>
          <w:rFonts w:ascii="Arial" w:hAnsi="Arial" w:cs="Arial"/>
          <w:b/>
          <w:color w:val="auto"/>
          <w:szCs w:val="21"/>
          <w:highlight w:val="none"/>
          <w:shd w:val="clear" w:color="auto" w:fill="auto"/>
        </w:rPr>
        <w:t xml:space="preserve">  </w:t>
      </w:r>
      <w:r>
        <w:rPr>
          <w:rFonts w:ascii="Arial" w:hAnsi="Arial" w:cs="Arial"/>
          <w:color w:val="auto"/>
          <w:szCs w:val="21"/>
          <w:highlight w:val="none"/>
          <w:shd w:val="clear" w:color="auto" w:fill="auto"/>
        </w:rPr>
        <w:t>13.5.4</w:t>
      </w:r>
      <w:r>
        <w:rPr>
          <w:rFonts w:ascii="Arial" w:hAnsi="Arial" w:cs="Arial"/>
          <w:b/>
          <w:color w:val="auto"/>
          <w:szCs w:val="21"/>
          <w:highlight w:val="none"/>
          <w:shd w:val="clear" w:color="auto" w:fill="auto"/>
        </w:rPr>
        <w:t xml:space="preserve">          修改类型：修改</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13.5工程项目实施期间……，中标后双方协商约定。</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13.5</w:t>
      </w:r>
      <w:r>
        <w:rPr>
          <w:rFonts w:ascii="Arial" w:hAnsi="Arial" w:cs="Arial"/>
          <w:color w:val="auto"/>
          <w:szCs w:val="21"/>
          <w:highlight w:val="none"/>
          <w:u w:val="single"/>
          <w:shd w:val="clear" w:color="auto" w:fill="auto"/>
        </w:rPr>
        <w:t>变更结算方式按招标文件及施工合同相关规定执行。</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13.6</w:t>
      </w:r>
      <w:r>
        <w:rPr>
          <w:rFonts w:ascii="Arial" w:hAnsi="Arial" w:cs="Arial"/>
          <w:b/>
          <w:color w:val="auto"/>
          <w:szCs w:val="21"/>
          <w:highlight w:val="none"/>
          <w:shd w:val="clear" w:color="auto" w:fill="auto"/>
        </w:rPr>
        <w:t xml:space="preserve">              修改类型：修改</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13.6 暂列金额、暂估价</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13.6</w:t>
      </w:r>
      <w:r>
        <w:rPr>
          <w:rFonts w:ascii="Arial" w:hAnsi="Arial" w:cs="Arial"/>
          <w:color w:val="auto"/>
          <w:szCs w:val="21"/>
          <w:highlight w:val="none"/>
          <w:u w:val="single"/>
          <w:shd w:val="clear" w:color="auto" w:fill="auto"/>
        </w:rPr>
        <w:t>暂列金额、暂估价按施工合同相关规定执行。</w:t>
      </w:r>
    </w:p>
    <w:p>
      <w:pPr>
        <w:spacing w:line="360" w:lineRule="auto"/>
        <w:ind w:firstLine="472" w:firstLineChars="224"/>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条款号：16.1-16.6            修改类型：修改</w:t>
      </w:r>
    </w:p>
    <w:p>
      <w:pPr>
        <w:widowControl/>
        <w:spacing w:line="360" w:lineRule="auto"/>
        <w:ind w:firstLine="422" w:firstLineChars="200"/>
        <w:jc w:val="left"/>
        <w:rPr>
          <w:rFonts w:ascii="宋体" w:hAnsi="宋体" w:cs="宋体"/>
          <w:color w:val="auto"/>
          <w:kern w:val="0"/>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
          <w:color w:val="auto"/>
          <w:kern w:val="0"/>
          <w:szCs w:val="21"/>
          <w:highlight w:val="none"/>
          <w:shd w:val="clear" w:color="auto" w:fill="auto"/>
        </w:rPr>
        <w:t>16.1</w:t>
      </w:r>
      <w:r>
        <w:rPr>
          <w:rFonts w:hint="eastAsia" w:ascii="宋体" w:hAnsi="宋体" w:cs="宋体"/>
          <w:color w:val="auto"/>
          <w:kern w:val="0"/>
          <w:szCs w:val="21"/>
          <w:highlight w:val="none"/>
          <w:shd w:val="clear" w:color="auto" w:fill="auto"/>
        </w:rPr>
        <w:t>投标人应按投标须知前附表第14项所述金额和时间递交投标保证金。招标人不得限定投标保证金只能以现金形式提交。投标保证金以现金或者支票形式提交的，必须由投标人的银行基本账户转出。</w:t>
      </w:r>
    </w:p>
    <w:p>
      <w:pPr>
        <w:widowControl/>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16.2招标人可委托</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交易平台具体实施保证金的收取和退还工作。通过</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交易平台递交投标保证金的相关事宜，请自行咨询</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w:t>
      </w:r>
    </w:p>
    <w:p>
      <w:pPr>
        <w:widowControl/>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16.3</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交易平台代收投标保证金的，其缴纳情况以</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交易平台数据库记录的信息为准。</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16.4开标时投标人没有按要求提供投标保证金的，其投标文件将被否决。</w:t>
      </w:r>
    </w:p>
    <w:p>
      <w:pPr>
        <w:widowControl/>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16.5中标候选人以外的投标人的投标保证金将尽快退还，最迟不超过中标通知书发出之日起五日内。</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16.6中标人和其他中标候选人的投标保证金，在书面合同订立之日起五日内予以退还。</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16.7如有下列情况之一的，招标人不予退还投标保证金：</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16.7.1因投标人原因造成投标文件未解密的；</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16.7.2投标人在投标有效期内撤回投标文件；</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16.7.3中标人未能在规定期限内按要求提交履约担保；</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16.7.4中标人未能在规定期限内签署合同协议。</w:t>
      </w:r>
    </w:p>
    <w:p>
      <w:pPr>
        <w:pStyle w:val="53"/>
        <w:pBdr>
          <w:bottom w:val="single" w:color="auto" w:sz="6" w:space="1"/>
        </w:pBdr>
        <w:spacing w:after="0" w:line="360" w:lineRule="auto"/>
        <w:ind w:firstLine="422" w:firstLineChars="200"/>
        <w:rPr>
          <w:rFonts w:ascii="Arial" w:hAnsi="Arial" w:cs="Arial"/>
          <w:bCs/>
          <w:color w:val="auto"/>
          <w:szCs w:val="21"/>
          <w:highlight w:val="none"/>
          <w:shd w:val="clear" w:color="auto" w:fill="auto"/>
        </w:rPr>
      </w:pPr>
      <w:r>
        <w:rPr>
          <w:rFonts w:hint="eastAsia" w:ascii="Arial" w:hAnsi="Arial" w:cs="Arial"/>
          <w:b/>
          <w:color w:val="auto"/>
          <w:szCs w:val="21"/>
          <w:highlight w:val="none"/>
          <w:shd w:val="clear" w:color="auto" w:fill="auto"/>
        </w:rPr>
        <w:t>现文：16.1</w:t>
      </w:r>
      <w:r>
        <w:rPr>
          <w:rFonts w:hint="eastAsia" w:ascii="Arial" w:hAnsi="Arial" w:cs="Arial"/>
          <w:bCs/>
          <w:color w:val="auto"/>
          <w:szCs w:val="21"/>
          <w:highlight w:val="none"/>
          <w:shd w:val="clear" w:color="auto" w:fill="auto"/>
        </w:rPr>
        <w:t>本项目不收取投标保证金。</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17.1</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highlight w:val="none"/>
          <w:shd w:val="clear" w:color="auto" w:fill="auto"/>
        </w:rPr>
        <w:t>原文：</w:t>
      </w:r>
      <w:r>
        <w:rPr>
          <w:rFonts w:ascii="Arial" w:hAnsi="Arial" w:cs="Arial"/>
          <w:color w:val="auto"/>
          <w:szCs w:val="21"/>
          <w:highlight w:val="none"/>
          <w:shd w:val="clear" w:color="auto" w:fill="auto"/>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 xml:space="preserve"> 。</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Arial" w:hAnsi="Arial" w:cs="Arial"/>
          <w:color w:val="auto"/>
          <w:szCs w:val="21"/>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网站 </w:t>
      </w:r>
      <w:r>
        <w:rPr>
          <w:rFonts w:ascii="Arial" w:hAnsi="Arial" w:cs="Arial"/>
          <w:color w:val="auto"/>
          <w:szCs w:val="21"/>
          <w:highlight w:val="none"/>
          <w:shd w:val="clear" w:color="auto" w:fill="auto"/>
        </w:rPr>
        <w:t xml:space="preserve"> </w:t>
      </w:r>
      <w:r>
        <w:rPr>
          <w:rFonts w:ascii="Arial" w:hAnsi="Arial" w:cs="Arial"/>
          <w:color w:val="auto"/>
          <w:szCs w:val="21"/>
          <w:highlight w:val="none"/>
          <w:u w:val="single"/>
          <w:shd w:val="clear" w:color="auto" w:fill="auto"/>
        </w:rPr>
        <w:t>。</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18、19</w:t>
      </w:r>
      <w:r>
        <w:rPr>
          <w:rFonts w:ascii="Arial" w:hAnsi="Arial" w:cs="Arial"/>
          <w:b/>
          <w:color w:val="auto"/>
          <w:szCs w:val="21"/>
          <w:highlight w:val="none"/>
          <w:shd w:val="clear" w:color="auto" w:fill="auto"/>
        </w:rPr>
        <w:t xml:space="preserve">          修改类型：修改</w:t>
      </w:r>
    </w:p>
    <w:p>
      <w:pPr>
        <w:pStyle w:val="53"/>
        <w:spacing w:after="0" w:line="360" w:lineRule="auto"/>
        <w:ind w:firstLine="422" w:firstLineChars="200"/>
        <w:rPr>
          <w:rFonts w:ascii="Arial" w:hAnsi="Arial" w:cs="Arial"/>
          <w:b/>
          <w:bCs/>
          <w:color w:val="auto"/>
          <w:szCs w:val="21"/>
          <w:highlight w:val="none"/>
          <w:shd w:val="clear" w:color="auto" w:fill="auto"/>
        </w:rPr>
      </w:pPr>
      <w:r>
        <w:rPr>
          <w:rFonts w:ascii="Arial" w:hAnsi="Arial" w:cs="Arial"/>
          <w:b/>
          <w:color w:val="auto"/>
          <w:highlight w:val="none"/>
          <w:shd w:val="clear" w:color="auto" w:fill="auto"/>
        </w:rPr>
        <w:t>原文：</w:t>
      </w:r>
      <w:r>
        <w:rPr>
          <w:rFonts w:ascii="Arial" w:hAnsi="Arial" w:cs="Arial"/>
          <w:b/>
          <w:bCs/>
          <w:color w:val="auto"/>
          <w:szCs w:val="21"/>
          <w:highlight w:val="none"/>
          <w:shd w:val="clear" w:color="auto" w:fill="auto"/>
        </w:rPr>
        <w:t>18．</w:t>
      </w:r>
      <w:r>
        <w:rPr>
          <w:rFonts w:ascii="Arial" w:hAnsi="Arial" w:cs="Arial"/>
          <w:b/>
          <w:color w:val="auto"/>
          <w:szCs w:val="21"/>
          <w:highlight w:val="none"/>
          <w:shd w:val="clear" w:color="auto" w:fill="auto"/>
        </w:rPr>
        <w:t>投标文件的密封和标记</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18.1递交的电子投标文件（不含备用光盘）必须进行加密。按照交易平台关于</w:t>
      </w:r>
      <w:r>
        <w:rPr>
          <w:rFonts w:ascii="Arial" w:hAnsi="Arial" w:cs="Arial"/>
          <w:color w:val="auto"/>
          <w:szCs w:val="21"/>
          <w:highlight w:val="none"/>
          <w:shd w:val="clear" w:color="auto" w:fill="auto"/>
        </w:rPr>
        <w:t>全流程电子化项目的相关指南进行操作。详见：</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 xml:space="preserve"> 。</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18.2 未按要求加密的投标文件，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w:t>
      </w:r>
      <w:r>
        <w:rPr>
          <w:rFonts w:ascii="Arial" w:hAnsi="Arial" w:cs="Arial"/>
          <w:bCs/>
          <w:color w:val="auto"/>
          <w:szCs w:val="21"/>
          <w:highlight w:val="none"/>
          <w:shd w:val="clear" w:color="auto" w:fill="auto"/>
        </w:rPr>
        <w:t>将予以拒收。</w:t>
      </w:r>
    </w:p>
    <w:p>
      <w:pPr>
        <w:spacing w:line="360" w:lineRule="auto"/>
        <w:ind w:firstLine="422" w:firstLineChars="200"/>
        <w:rPr>
          <w:rFonts w:ascii="Arial" w:hAnsi="Arial" w:cs="Arial"/>
          <w:b/>
          <w:bCs/>
          <w:color w:val="auto"/>
          <w:szCs w:val="21"/>
          <w:highlight w:val="none"/>
          <w:shd w:val="clear" w:color="auto" w:fill="auto"/>
        </w:rPr>
      </w:pPr>
      <w:r>
        <w:rPr>
          <w:rFonts w:ascii="Arial" w:hAnsi="Arial" w:cs="Arial"/>
          <w:b/>
          <w:bCs/>
          <w:color w:val="auto"/>
          <w:szCs w:val="21"/>
          <w:highlight w:val="none"/>
          <w:shd w:val="clear" w:color="auto" w:fill="auto"/>
        </w:rPr>
        <w:t>19．投标文件的递交和接收</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19.1投标人通过</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交易平台递交电子投标文件。</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19.2投标人完成电子</w:t>
      </w:r>
      <w:r>
        <w:rPr>
          <w:rFonts w:ascii="Arial" w:hAnsi="Arial" w:cs="Arial"/>
          <w:color w:val="auto"/>
          <w:szCs w:val="21"/>
          <w:highlight w:val="none"/>
          <w:shd w:val="clear" w:color="auto" w:fill="auto"/>
        </w:rPr>
        <w:t>投标文件</w:t>
      </w:r>
      <w:r>
        <w:rPr>
          <w:rFonts w:ascii="Arial" w:hAnsi="Arial" w:cs="Arial"/>
          <w:bCs/>
          <w:color w:val="auto"/>
          <w:szCs w:val="21"/>
          <w:highlight w:val="none"/>
          <w:shd w:val="clear" w:color="auto" w:fill="auto"/>
        </w:rPr>
        <w:t>上传后，</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交易平台即时向投标人发出递交回执通知。递交时间以递交回执通知载明的传输完成时间为准。</w:t>
      </w:r>
    </w:p>
    <w:p>
      <w:pPr>
        <w:spacing w:line="360" w:lineRule="auto"/>
        <w:ind w:firstLine="420" w:firstLineChars="200"/>
        <w:rPr>
          <w:rFonts w:ascii="Arial" w:hAnsi="Arial" w:cs="Arial"/>
          <w:color w:val="auto"/>
          <w:szCs w:val="21"/>
          <w:highlight w:val="none"/>
          <w:shd w:val="clear" w:color="auto" w:fill="auto"/>
        </w:rPr>
      </w:pPr>
      <w:r>
        <w:rPr>
          <w:rFonts w:ascii="Arial" w:hAnsi="Arial" w:cs="Arial"/>
          <w:bCs/>
          <w:color w:val="auto"/>
          <w:szCs w:val="21"/>
          <w:highlight w:val="none"/>
          <w:shd w:val="clear" w:color="auto" w:fill="auto"/>
        </w:rPr>
        <w:t>19.3逾期送达的电子投标文件，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交易平台将予以拒收。</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19.4 投标截止前，招标人拒绝接收符合条件的投标文件，投标人可向招标投标监督机构投诉。</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19.5如技术标和经济标先后分别开启，</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交易平台将按招标文件规定的时间分别开启技术标和经济标。</w:t>
      </w:r>
    </w:p>
    <w:p>
      <w:pPr>
        <w:spacing w:line="360" w:lineRule="auto"/>
        <w:ind w:firstLine="470" w:firstLineChars="224"/>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53"/>
        <w:spacing w:after="0" w:line="360" w:lineRule="auto"/>
        <w:ind w:firstLine="422" w:firstLineChars="200"/>
        <w:rPr>
          <w:rFonts w:ascii="Arial" w:hAnsi="Arial" w:cs="Arial"/>
          <w:b/>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
          <w:bCs/>
          <w:color w:val="auto"/>
          <w:szCs w:val="21"/>
          <w:highlight w:val="none"/>
          <w:shd w:val="clear" w:color="auto" w:fill="auto"/>
        </w:rPr>
        <w:t>18．</w:t>
      </w:r>
      <w:r>
        <w:rPr>
          <w:rFonts w:ascii="Arial" w:hAnsi="Arial" w:cs="Arial"/>
          <w:b/>
          <w:color w:val="auto"/>
          <w:szCs w:val="21"/>
          <w:highlight w:val="none"/>
          <w:shd w:val="clear" w:color="auto" w:fill="auto"/>
        </w:rPr>
        <w:t>投标文件的密封和标记</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18.1递交的电子投标文件（不含备用光盘）必须进行加密。按照交易平台关于</w:t>
      </w:r>
      <w:r>
        <w:rPr>
          <w:rFonts w:ascii="Arial" w:hAnsi="Arial" w:cs="Arial"/>
          <w:color w:val="auto"/>
          <w:szCs w:val="21"/>
          <w:highlight w:val="none"/>
          <w:shd w:val="clear" w:color="auto" w:fill="auto"/>
        </w:rPr>
        <w:t>全流程电子化项目的相关指南进行操作。详见：</w:t>
      </w:r>
      <w:r>
        <w:rPr>
          <w:rFonts w:ascii="Arial" w:hAnsi="Arial" w:cs="Arial"/>
          <w:color w:val="auto"/>
          <w:szCs w:val="21"/>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心网站  </w:t>
      </w:r>
      <w:r>
        <w:rPr>
          <w:rFonts w:ascii="Arial" w:hAnsi="Arial" w:cs="Arial"/>
          <w:color w:val="auto"/>
          <w:szCs w:val="21"/>
          <w:highlight w:val="none"/>
          <w:shd w:val="clear" w:color="auto" w:fill="auto"/>
        </w:rPr>
        <w:t xml:space="preserve"> 。</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18.2 未按要求加密的投标文件，</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shd w:val="clear" w:color="auto" w:fill="auto"/>
        </w:rPr>
        <w:t>交易平台</w:t>
      </w:r>
      <w:r>
        <w:rPr>
          <w:rFonts w:ascii="Arial" w:hAnsi="Arial" w:cs="Arial"/>
          <w:bCs/>
          <w:color w:val="auto"/>
          <w:szCs w:val="21"/>
          <w:highlight w:val="none"/>
          <w:shd w:val="clear" w:color="auto" w:fill="auto"/>
        </w:rPr>
        <w:t>将予以拒收。</w:t>
      </w:r>
    </w:p>
    <w:p>
      <w:pPr>
        <w:spacing w:line="360" w:lineRule="auto"/>
        <w:ind w:firstLine="422" w:firstLineChars="200"/>
        <w:rPr>
          <w:rFonts w:ascii="Arial" w:hAnsi="Arial" w:cs="Arial"/>
          <w:b/>
          <w:bCs/>
          <w:color w:val="auto"/>
          <w:szCs w:val="21"/>
          <w:highlight w:val="none"/>
          <w:shd w:val="clear" w:color="auto" w:fill="auto"/>
        </w:rPr>
      </w:pPr>
      <w:r>
        <w:rPr>
          <w:rFonts w:ascii="Arial" w:hAnsi="Arial" w:cs="Arial"/>
          <w:b/>
          <w:bCs/>
          <w:color w:val="auto"/>
          <w:szCs w:val="21"/>
          <w:highlight w:val="none"/>
          <w:shd w:val="clear" w:color="auto" w:fill="auto"/>
        </w:rPr>
        <w:t>19．投标文件的递交和接收</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19.1投标人通过</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交易平台递交电子投标文件。</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19.2投标人完成电子</w:t>
      </w:r>
      <w:r>
        <w:rPr>
          <w:rFonts w:ascii="Arial" w:hAnsi="Arial" w:cs="Arial"/>
          <w:color w:val="auto"/>
          <w:szCs w:val="21"/>
          <w:highlight w:val="none"/>
          <w:shd w:val="clear" w:color="auto" w:fill="auto"/>
        </w:rPr>
        <w:t>投标文件</w:t>
      </w:r>
      <w:r>
        <w:rPr>
          <w:rFonts w:ascii="Arial" w:hAnsi="Arial" w:cs="Arial"/>
          <w:bCs/>
          <w:color w:val="auto"/>
          <w:szCs w:val="21"/>
          <w:highlight w:val="none"/>
          <w:shd w:val="clear" w:color="auto" w:fill="auto"/>
        </w:rPr>
        <w:t>上传后，</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交易平台即时向投标人发出递交回执通知。递交时间以递交回执通知载明的传输完成时间为准。</w:t>
      </w:r>
    </w:p>
    <w:p>
      <w:pPr>
        <w:spacing w:line="360" w:lineRule="auto"/>
        <w:ind w:firstLine="420" w:firstLineChars="200"/>
        <w:rPr>
          <w:rFonts w:ascii="Arial" w:hAnsi="Arial" w:cs="Arial"/>
          <w:color w:val="auto"/>
          <w:szCs w:val="21"/>
          <w:highlight w:val="none"/>
          <w:shd w:val="clear" w:color="auto" w:fill="auto"/>
        </w:rPr>
      </w:pPr>
      <w:r>
        <w:rPr>
          <w:rFonts w:ascii="Arial" w:hAnsi="Arial" w:cs="Arial"/>
          <w:bCs/>
          <w:color w:val="auto"/>
          <w:szCs w:val="21"/>
          <w:highlight w:val="none"/>
          <w:shd w:val="clear" w:color="auto" w:fill="auto"/>
        </w:rPr>
        <w:t>19.3逾期送达的电子投标文件，</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交易平台将予以拒收。</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19.4 投标截止前，招标人拒绝接收符合条件的投标文件，投标人可向招标投标监督机构投诉。</w:t>
      </w:r>
    </w:p>
    <w:p>
      <w:pPr>
        <w:pStyle w:val="53"/>
        <w:pBdr>
          <w:bottom w:val="single" w:color="auto" w:sz="6" w:space="1"/>
        </w:pBdr>
        <w:spacing w:after="0" w:line="360" w:lineRule="auto"/>
        <w:ind w:firstLineChars="20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19.5技术标和经济标同时开启，</w:t>
      </w:r>
      <w:r>
        <w:rPr>
          <w:rFonts w:hint="eastAsia" w:ascii="宋体" w:hAnsi="宋体" w:cs="宋体"/>
          <w:bCs/>
          <w:color w:val="auto"/>
          <w:szCs w:val="21"/>
          <w:highlight w:val="none"/>
          <w:u w:val="single"/>
          <w:shd w:val="clear" w:color="auto" w:fill="auto"/>
        </w:rPr>
        <w:t>广州交易集团有限公司（广州公共资源交易中心）</w:t>
      </w:r>
      <w:r>
        <w:rPr>
          <w:rFonts w:hint="eastAsia" w:ascii="Arial" w:hAnsi="Arial" w:cs="Arial"/>
          <w:color w:val="auto"/>
          <w:szCs w:val="21"/>
          <w:highlight w:val="none"/>
          <w:shd w:val="clear" w:color="auto" w:fill="auto"/>
        </w:rPr>
        <w:t>交易平台将按招标文件规定的时间同时开启技术标和经济标。</w:t>
      </w:r>
    </w:p>
    <w:p>
      <w:pPr>
        <w:adjustRightInd w:val="0"/>
        <w:spacing w:line="360" w:lineRule="auto"/>
        <w:ind w:firstLine="470" w:firstLineChars="223"/>
        <w:rPr>
          <w:rFonts w:ascii="Arial" w:hAnsi="Arial" w:cs="Arial"/>
          <w:b/>
          <w:color w:val="auto"/>
          <w:szCs w:val="21"/>
          <w:highlight w:val="none"/>
          <w:shd w:val="clear" w:color="auto" w:fill="auto"/>
          <w:lang w:bidi="ar"/>
        </w:rPr>
      </w:pPr>
      <w:r>
        <w:rPr>
          <w:rFonts w:ascii="Arial" w:hAnsi="Arial" w:cs="Arial"/>
          <w:b/>
          <w:color w:val="auto"/>
          <w:szCs w:val="21"/>
          <w:highlight w:val="none"/>
          <w:shd w:val="clear" w:color="auto" w:fill="auto"/>
          <w:lang w:bidi="ar"/>
        </w:rPr>
        <w:t>条款号：20.3             修改类型：修改</w:t>
      </w:r>
    </w:p>
    <w:p>
      <w:pPr>
        <w:adjustRightInd w:val="0"/>
        <w:spacing w:line="360" w:lineRule="auto"/>
        <w:ind w:firstLine="472" w:firstLineChars="224"/>
        <w:rPr>
          <w:rFonts w:ascii="Arial" w:hAnsi="Arial" w:cs="Arial"/>
          <w:b/>
          <w:color w:val="auto"/>
          <w:szCs w:val="21"/>
          <w:highlight w:val="none"/>
          <w:shd w:val="clear" w:color="auto" w:fill="auto"/>
        </w:rPr>
      </w:pPr>
      <w:r>
        <w:rPr>
          <w:rFonts w:ascii="Arial" w:hAnsi="Arial" w:cs="Arial"/>
          <w:b/>
          <w:bCs/>
          <w:color w:val="auto"/>
          <w:szCs w:val="21"/>
          <w:highlight w:val="none"/>
          <w:shd w:val="clear" w:color="auto" w:fill="auto"/>
        </w:rPr>
        <w:t>原文：</w:t>
      </w:r>
      <w:r>
        <w:rPr>
          <w:rFonts w:ascii="Arial" w:hAnsi="Arial" w:cs="Arial"/>
          <w:color w:val="auto"/>
          <w:szCs w:val="21"/>
          <w:highlight w:val="none"/>
          <w:shd w:val="clear" w:color="auto" w:fill="auto"/>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527" w:firstLineChars="250"/>
        <w:rPr>
          <w:rFonts w:ascii="Arial" w:hAnsi="Arial" w:cs="Arial"/>
          <w:b/>
          <w:color w:val="auto"/>
          <w:szCs w:val="21"/>
          <w:highlight w:val="none"/>
          <w:shd w:val="clear" w:color="auto" w:fill="auto"/>
        </w:rPr>
      </w:pPr>
      <w:r>
        <w:rPr>
          <w:rFonts w:ascii="Arial" w:hAnsi="Arial" w:cs="Arial"/>
          <w:b/>
          <w:bCs/>
          <w:color w:val="auto"/>
          <w:szCs w:val="21"/>
          <w:highlight w:val="none"/>
          <w:shd w:val="clear" w:color="auto" w:fill="auto"/>
        </w:rPr>
        <w:t>现文：</w:t>
      </w:r>
      <w:r>
        <w:rPr>
          <w:rFonts w:ascii="Arial" w:hAnsi="Arial" w:cs="Arial"/>
          <w:color w:val="auto"/>
          <w:szCs w:val="21"/>
          <w:highlight w:val="none"/>
          <w:shd w:val="clear" w:color="auto" w:fill="auto"/>
        </w:rPr>
        <w:t>20.3 到投标截止时间止，招标人收到的投标文件少于</w:t>
      </w:r>
      <w:r>
        <w:rPr>
          <w:rFonts w:ascii="Arial" w:hAnsi="Arial" w:cs="Arial"/>
          <w:color w:val="auto"/>
          <w:szCs w:val="21"/>
          <w:highlight w:val="none"/>
          <w:u w:val="single"/>
          <w:shd w:val="clear" w:color="auto" w:fill="auto"/>
        </w:rPr>
        <w:t>3家</w:t>
      </w:r>
      <w:r>
        <w:rPr>
          <w:rFonts w:ascii="Arial" w:hAnsi="Arial" w:cs="Arial"/>
          <w:color w:val="auto"/>
          <w:szCs w:val="21"/>
          <w:highlight w:val="none"/>
          <w:shd w:val="clear" w:color="auto" w:fill="auto"/>
        </w:rPr>
        <w:t>的，招标人将重新组织招标。</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21.1</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highlight w:val="none"/>
          <w:shd w:val="clear" w:color="auto" w:fill="auto"/>
        </w:rPr>
        <w:t>原文：</w:t>
      </w:r>
      <w:r>
        <w:rPr>
          <w:rFonts w:ascii="Arial" w:hAnsi="Arial" w:cs="Arial"/>
          <w:color w:val="auto"/>
          <w:szCs w:val="21"/>
          <w:highlight w:val="none"/>
          <w:shd w:val="clear" w:color="auto" w:fill="auto"/>
        </w:rPr>
        <w:t>21.1 本须知前附表第17项规定的投标截止时间后送达的电子投标文件，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交易平台将予以拒收。</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21.1 本须知前附表第17项规定的投标截止时间后送达的电子投标文件，</w:t>
      </w:r>
      <w:r>
        <w:rPr>
          <w:rFonts w:ascii="Arial" w:hAnsi="Arial" w:cs="Arial"/>
          <w:color w:val="auto"/>
          <w:szCs w:val="21"/>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shd w:val="clear" w:color="auto" w:fill="auto"/>
        </w:rPr>
        <w:t xml:space="preserve"> 交易平台将予以拒收。</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27.1</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highlight w:val="none"/>
          <w:shd w:val="clear" w:color="auto" w:fill="auto"/>
        </w:rPr>
        <w:t>原文：27.1</w:t>
      </w:r>
      <w:r>
        <w:rPr>
          <w:rFonts w:ascii="Arial" w:hAnsi="Arial" w:cs="Arial"/>
          <w:color w:val="auto"/>
          <w:szCs w:val="21"/>
          <w:highlight w:val="none"/>
          <w:shd w:val="clear" w:color="auto" w:fill="auto"/>
        </w:rPr>
        <w:t>招标人将在</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交易平台、广东省招标投标监管网和中国招标投标公共服务平台公示中标候选人，公示期为三天。</w:t>
      </w:r>
    </w:p>
    <w:p>
      <w:pPr>
        <w:pStyle w:val="53"/>
        <w:pBdr>
          <w:bottom w:val="single" w:color="auto" w:sz="6" w:space="1"/>
        </w:pBdr>
        <w:spacing w:after="0" w:line="360" w:lineRule="auto"/>
        <w:ind w:firstLine="422" w:firstLineChars="200"/>
        <w:rPr>
          <w:rFonts w:ascii="Arial" w:hAnsi="Arial" w:cs="Arial"/>
          <w:b/>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
          <w:color w:val="auto"/>
          <w:highlight w:val="none"/>
          <w:shd w:val="clear" w:color="auto" w:fill="auto"/>
        </w:rPr>
        <w:t>27.1</w:t>
      </w:r>
      <w:r>
        <w:rPr>
          <w:rFonts w:hint="eastAsia" w:ascii="宋体" w:hAnsi="宋体"/>
          <w:color w:val="auto"/>
          <w:sz w:val="21"/>
          <w:szCs w:val="21"/>
          <w:highlight w:val="none"/>
          <w:shd w:val="clear" w:color="auto" w:fill="auto"/>
        </w:rPr>
        <w:t>招标人将在</w:t>
      </w:r>
      <w:r>
        <w:rPr>
          <w:rFonts w:hint="eastAsia" w:ascii="宋体" w:hAnsi="宋体"/>
          <w:color w:val="auto"/>
          <w:sz w:val="21"/>
          <w:szCs w:val="21"/>
          <w:highlight w:val="none"/>
          <w:u w:val="single"/>
          <w:shd w:val="clear" w:color="auto" w:fill="auto"/>
        </w:rPr>
        <w:t>广州交易集团有限公司（广州公共资源交易中心）</w:t>
      </w:r>
      <w:r>
        <w:rPr>
          <w:rFonts w:hint="eastAsia" w:ascii="宋体" w:hAnsi="宋体"/>
          <w:color w:val="auto"/>
          <w:sz w:val="21"/>
          <w:szCs w:val="21"/>
          <w:highlight w:val="none"/>
          <w:shd w:val="clear" w:color="auto" w:fill="auto"/>
        </w:rPr>
        <w:t>交易平台、广东省招标投标监管网和中国招标投标公共服务平台公示中标候选人，公示期为三天。投标人或其他利害关系人对评标结果有异议的，应当在中标候选人公示期间</w:t>
      </w:r>
      <w:r>
        <w:rPr>
          <w:rFonts w:hint="eastAsia" w:ascii="宋体" w:hAnsi="宋体"/>
          <w:b/>
          <w:bCs/>
          <w:strike w:val="0"/>
          <w:color w:val="auto"/>
          <w:sz w:val="21"/>
          <w:szCs w:val="21"/>
          <w:highlight w:val="none"/>
          <w:u w:val="single"/>
          <w:shd w:val="clear" w:color="auto" w:fill="auto"/>
          <w:lang w:eastAsia="zh-CN"/>
        </w:rPr>
        <w:t>通过电子交易系统</w:t>
      </w:r>
      <w:r>
        <w:rPr>
          <w:rFonts w:hint="eastAsia" w:ascii="宋体" w:hAnsi="宋体"/>
          <w:b/>
          <w:bCs/>
          <w:strike w:val="0"/>
          <w:color w:val="auto"/>
          <w:sz w:val="21"/>
          <w:szCs w:val="21"/>
          <w:highlight w:val="none"/>
          <w:u w:val="single"/>
          <w:shd w:val="clear" w:color="auto" w:fill="auto"/>
        </w:rPr>
        <w:t>提出，</w:t>
      </w:r>
      <w:r>
        <w:rPr>
          <w:rFonts w:hint="eastAsia" w:ascii="宋体" w:hAnsi="宋体"/>
          <w:b/>
          <w:bCs/>
          <w:strike w:val="0"/>
          <w:color w:val="auto"/>
          <w:sz w:val="21"/>
          <w:szCs w:val="21"/>
          <w:highlight w:val="none"/>
          <w:u w:val="single"/>
          <w:shd w:val="clear" w:color="auto" w:fill="auto"/>
          <w:lang w:eastAsia="zh-CN"/>
        </w:rPr>
        <w:t>招标人应当在规定的异议答复期限内作出答复。</w:t>
      </w:r>
      <w:r>
        <w:rPr>
          <w:rFonts w:hint="eastAsia" w:ascii="宋体" w:hAnsi="宋体"/>
          <w:color w:val="auto"/>
          <w:sz w:val="21"/>
          <w:szCs w:val="21"/>
          <w:highlight w:val="none"/>
          <w:shd w:val="clear" w:color="auto" w:fill="auto"/>
        </w:rPr>
        <w:t>作出答复前，应当暂停招标投标活动。</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27.4</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b/>
          <w:color w:val="auto"/>
          <w:sz w:val="18"/>
          <w:szCs w:val="21"/>
          <w:highlight w:val="none"/>
          <w:shd w:val="clear" w:color="auto" w:fill="auto"/>
        </w:rPr>
      </w:pPr>
      <w:r>
        <w:rPr>
          <w:rFonts w:ascii="Arial" w:hAnsi="Arial" w:cs="Arial"/>
          <w:b/>
          <w:color w:val="auto"/>
          <w:highlight w:val="none"/>
          <w:shd w:val="clear" w:color="auto" w:fill="auto"/>
        </w:rPr>
        <w:t>原文：</w:t>
      </w:r>
      <w:r>
        <w:rPr>
          <w:rFonts w:ascii="Arial" w:hAnsi="Arial" w:cs="Arial"/>
          <w:color w:val="auto"/>
          <w:highlight w:val="none"/>
          <w:shd w:val="clear" w:color="auto" w:fill="auto"/>
        </w:rPr>
        <w:t>27.4在产生中标候选人后，招标人将中标候选人的投标文件商务部分文件的所有内容（包括报价清单、人员、业绩、奖项等资料）在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交易平台和广东省招标投标监管网</w:t>
      </w:r>
      <w:r>
        <w:rPr>
          <w:rFonts w:ascii="Arial" w:hAnsi="Arial" w:cs="Arial"/>
          <w:color w:val="auto"/>
          <w:highlight w:val="none"/>
          <w:shd w:val="clear" w:color="auto" w:fill="auto"/>
        </w:rPr>
        <w:t>公开。</w:t>
      </w:r>
    </w:p>
    <w:p>
      <w:pPr>
        <w:pStyle w:val="53"/>
        <w:pBdr>
          <w:bottom w:val="single" w:color="auto" w:sz="6" w:space="1"/>
        </w:pBdr>
        <w:spacing w:after="0" w:line="360" w:lineRule="auto"/>
        <w:ind w:firstLine="422" w:firstLineChars="200"/>
        <w:rPr>
          <w:rFonts w:ascii="Arial" w:hAnsi="Arial" w:cs="Arial"/>
          <w:color w:val="auto"/>
          <w:sz w:val="18"/>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27.4在产生中标候选人后，招标人将中标候选人的投标文件商务部分文件的所有内容（包括人员、业绩、奖项等资料）在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highlight w:val="none"/>
          <w:shd w:val="clear" w:color="auto" w:fill="auto"/>
        </w:rPr>
        <w:t>交易平台和广东省招标投标监管网公开。</w:t>
      </w:r>
    </w:p>
    <w:p>
      <w:pPr>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条款号：28.4                       修改类型：修改</w:t>
      </w:r>
    </w:p>
    <w:p>
      <w:pPr>
        <w:spacing w:line="360" w:lineRule="auto"/>
        <w:ind w:firstLine="422" w:firstLineChars="20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color w:val="auto"/>
          <w:szCs w:val="21"/>
          <w:highlight w:val="none"/>
          <w:shd w:val="clear" w:color="auto" w:fill="auto"/>
        </w:rPr>
        <w:t>28.4招标人支付工程款时，中标人应按规定开具发票。</w:t>
      </w:r>
    </w:p>
    <w:p>
      <w:pPr>
        <w:pBdr>
          <w:bottom w:val="single" w:color="auto" w:sz="6" w:space="1"/>
        </w:pBdr>
        <w:spacing w:line="360" w:lineRule="auto"/>
        <w:ind w:firstLine="422" w:firstLineChars="20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bCs/>
          <w:color w:val="auto"/>
          <w:szCs w:val="21"/>
          <w:highlight w:val="none"/>
          <w:shd w:val="clear" w:color="auto" w:fill="auto"/>
        </w:rPr>
        <w:t>28.4招标人支付工程款时，中标人应提供</w:t>
      </w:r>
      <w:r>
        <w:rPr>
          <w:rFonts w:hint="eastAsia" w:ascii="宋体" w:hAnsi="宋体" w:cs="宋体"/>
          <w:bCs/>
          <w:color w:val="auto"/>
          <w:szCs w:val="21"/>
          <w:highlight w:val="none"/>
          <w:u w:val="single"/>
          <w:shd w:val="clear" w:color="auto" w:fill="auto"/>
        </w:rPr>
        <w:t>符合国家税务相关部门要求的</w:t>
      </w:r>
      <w:r>
        <w:rPr>
          <w:rFonts w:hint="eastAsia" w:ascii="宋体" w:hAnsi="宋体" w:cs="宋体"/>
          <w:bCs/>
          <w:color w:val="auto"/>
          <w:szCs w:val="21"/>
          <w:highlight w:val="none"/>
          <w:shd w:val="clear" w:color="auto" w:fill="auto"/>
        </w:rPr>
        <w:t>发票。</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 xml:space="preserve">29    </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color w:val="auto"/>
          <w:highlight w:val="none"/>
          <w:shd w:val="clear" w:color="auto" w:fill="auto"/>
        </w:rPr>
      </w:pPr>
      <w:r>
        <w:rPr>
          <w:rFonts w:ascii="Arial" w:hAnsi="Arial" w:cs="Arial"/>
          <w:b/>
          <w:color w:val="auto"/>
          <w:highlight w:val="none"/>
          <w:shd w:val="clear" w:color="auto" w:fill="auto"/>
        </w:rPr>
        <w:t>原文：</w:t>
      </w:r>
      <w:r>
        <w:rPr>
          <w:rFonts w:ascii="Arial" w:hAnsi="Arial" w:cs="Arial"/>
          <w:color w:val="auto"/>
          <w:highlight w:val="none"/>
          <w:shd w:val="clear" w:color="auto" w:fill="auto"/>
        </w:rPr>
        <w:t>29．履约担保</w:t>
      </w:r>
    </w:p>
    <w:p>
      <w:pPr>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29.1 在收到中标通知书后的15日内，中标人应按本须知前附表第20项的规定向招标人提交履约担保。</w:t>
      </w:r>
    </w:p>
    <w:p>
      <w:pPr>
        <w:spacing w:line="360" w:lineRule="auto"/>
        <w:ind w:firstLine="470" w:firstLineChars="224"/>
        <w:rPr>
          <w:rFonts w:ascii="Arial" w:hAnsi="Arial" w:cs="Arial"/>
          <w:b/>
          <w:color w:val="auto"/>
          <w:sz w:val="18"/>
          <w:szCs w:val="21"/>
          <w:highlight w:val="none"/>
          <w:shd w:val="clear" w:color="auto" w:fill="auto"/>
        </w:rPr>
      </w:pPr>
      <w:r>
        <w:rPr>
          <w:rFonts w:ascii="Arial" w:hAnsi="Arial" w:cs="Arial"/>
          <w:color w:val="auto"/>
          <w:highlight w:val="none"/>
          <w:shd w:val="clear" w:color="auto" w:fill="auto"/>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Style w:val="53"/>
        <w:pBdr>
          <w:bottom w:val="single" w:color="auto" w:sz="6" w:space="1"/>
        </w:pBdr>
        <w:spacing w:after="0" w:line="360" w:lineRule="auto"/>
        <w:ind w:firstLine="422" w:firstLineChars="200"/>
        <w:rPr>
          <w:rFonts w:ascii="Arial" w:hAnsi="Arial" w:cs="Arial"/>
          <w:color w:val="auto"/>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29．履约担保</w:t>
      </w:r>
    </w:p>
    <w:p>
      <w:pPr>
        <w:pStyle w:val="53"/>
        <w:pBdr>
          <w:bottom w:val="single" w:color="auto" w:sz="6" w:space="1"/>
        </w:pBdr>
        <w:spacing w:after="0" w:line="360" w:lineRule="auto"/>
        <w:ind w:firstLineChars="200"/>
        <w:rPr>
          <w:rFonts w:ascii="Arial" w:hAnsi="Arial" w:cs="Arial"/>
          <w:color w:val="auto"/>
          <w:highlight w:val="none"/>
          <w:shd w:val="clear" w:color="auto" w:fill="auto"/>
        </w:rPr>
      </w:pPr>
      <w:r>
        <w:rPr>
          <w:rFonts w:ascii="Arial" w:hAnsi="Arial" w:cs="Arial"/>
          <w:color w:val="auto"/>
          <w:highlight w:val="none"/>
          <w:shd w:val="clear" w:color="auto" w:fill="auto"/>
        </w:rPr>
        <w:t>29.1在签订合同后</w:t>
      </w:r>
      <w:r>
        <w:rPr>
          <w:rFonts w:hint="eastAsia" w:ascii="Arial" w:hAnsi="Arial" w:cs="Arial"/>
          <w:color w:val="auto"/>
          <w:highlight w:val="none"/>
          <w:shd w:val="clear" w:color="auto" w:fill="auto"/>
        </w:rPr>
        <w:t>15</w:t>
      </w:r>
      <w:r>
        <w:rPr>
          <w:rFonts w:ascii="Arial" w:hAnsi="Arial" w:cs="Arial"/>
          <w:color w:val="auto"/>
          <w:highlight w:val="none"/>
          <w:shd w:val="clear" w:color="auto" w:fill="auto"/>
        </w:rPr>
        <w:t>个工作日内，中标人应按本须知前附表第20项的规定向招标人提交履约担保；</w:t>
      </w:r>
    </w:p>
    <w:p>
      <w:pPr>
        <w:pStyle w:val="53"/>
        <w:pBdr>
          <w:bottom w:val="single" w:color="auto" w:sz="6" w:space="1"/>
        </w:pBdr>
        <w:spacing w:after="0" w:line="360" w:lineRule="auto"/>
        <w:ind w:firstLineChars="200"/>
        <w:rPr>
          <w:rFonts w:ascii="Arial" w:hAnsi="Arial" w:cs="Arial"/>
          <w:color w:val="auto"/>
          <w:sz w:val="18"/>
          <w:szCs w:val="21"/>
          <w:highlight w:val="none"/>
          <w:shd w:val="clear" w:color="auto" w:fill="auto"/>
        </w:rPr>
      </w:pPr>
      <w:r>
        <w:rPr>
          <w:rFonts w:ascii="Arial" w:hAnsi="Arial" w:cs="Arial"/>
          <w:color w:val="auto"/>
          <w:highlight w:val="none"/>
          <w:shd w:val="clear" w:color="auto" w:fill="auto"/>
        </w:rPr>
        <w:t>29.2</w:t>
      </w:r>
      <w:r>
        <w:rPr>
          <w:rFonts w:hint="eastAsia" w:ascii="宋体" w:hAnsi="宋体" w:cs="宋体"/>
          <w:color w:val="auto"/>
          <w:szCs w:val="21"/>
          <w:highlight w:val="none"/>
          <w:u w:val="single"/>
          <w:shd w:val="clear" w:color="auto" w:fill="auto"/>
        </w:rPr>
        <w:t>在签订合同后的15日后，</w:t>
      </w:r>
      <w:r>
        <w:rPr>
          <w:rFonts w:hint="eastAsia" w:ascii="宋体" w:hAnsi="宋体" w:cs="宋体"/>
          <w:color w:val="auto"/>
          <w:szCs w:val="21"/>
          <w:highlight w:val="none"/>
          <w:shd w:val="clear" w:color="auto" w:fill="auto"/>
        </w:rPr>
        <w:t>中标人未按上款的规定提交履约担保，招标人将解除中标通知书，且依法承担相应法律责任。原中标人有异议的，可以向人民法院起诉。</w:t>
      </w:r>
    </w:p>
    <w:p>
      <w:pPr>
        <w:spacing w:line="360" w:lineRule="auto"/>
        <w:ind w:firstLine="424" w:firstLineChars="20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 30.1        修改类型：修改</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Cs/>
          <w:color w:val="auto"/>
          <w:szCs w:val="21"/>
          <w:highlight w:val="none"/>
          <w:shd w:val="clear" w:color="auto" w:fill="auto"/>
        </w:rPr>
        <w:t>30.1在合同双方全权代表在合同协议书上签字，并分别加盖双方单位的公章后，合同正式生效。</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bCs/>
          <w:color w:val="auto"/>
          <w:szCs w:val="21"/>
          <w:highlight w:val="none"/>
          <w:shd w:val="clear" w:color="auto" w:fill="auto"/>
        </w:rPr>
        <w:t>30.1合同自发包人、承包人双方法定代表人或委托代理人签字并加盖公章之日起生效。</w:t>
      </w:r>
    </w:p>
    <w:p>
      <w:pPr>
        <w:pBdr>
          <w:top w:val="single" w:color="auto" w:sz="4" w:space="0"/>
        </w:pBdr>
        <w:spacing w:line="360" w:lineRule="auto"/>
        <w:ind w:firstLine="424" w:firstLineChars="20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 30.2        修改类型：新增</w:t>
      </w:r>
    </w:p>
    <w:p>
      <w:pPr>
        <w:spacing w:line="360" w:lineRule="auto"/>
        <w:ind w:firstLine="424" w:firstLineChars="20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现文：30.2</w:t>
      </w:r>
      <w:r>
        <w:rPr>
          <w:rFonts w:hint="eastAsia" w:ascii="宋体" w:hAnsi="宋体" w:cs="宋体"/>
          <w:bCs/>
          <w:color w:val="auto"/>
          <w:szCs w:val="21"/>
          <w:highlight w:val="none"/>
          <w:shd w:val="clear" w:color="auto" w:fill="auto"/>
        </w:rPr>
        <w:t>本次招标由总承包单位和中标单位签订双方合同。</w:t>
      </w:r>
    </w:p>
    <w:p>
      <w:pPr>
        <w:pBdr>
          <w:top w:val="single" w:color="auto" w:sz="4" w:space="0"/>
        </w:pBdr>
        <w:spacing w:line="360" w:lineRule="auto"/>
        <w:ind w:firstLine="424" w:firstLineChars="201"/>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条款号：31.1       修改类型：增加</w:t>
      </w:r>
    </w:p>
    <w:p>
      <w:pPr>
        <w:pBdr>
          <w:bottom w:val="single" w:color="auto" w:sz="6" w:space="1"/>
        </w:pBdr>
        <w:spacing w:line="360" w:lineRule="auto"/>
        <w:ind w:firstLine="527" w:firstLineChars="250"/>
        <w:rPr>
          <w:rFonts w:ascii="Arial" w:hAnsi="Arial" w:cs="Arial"/>
          <w:color w:val="auto"/>
          <w:szCs w:val="21"/>
          <w:highlight w:val="none"/>
          <w:u w:val="single"/>
          <w:shd w:val="clear" w:color="auto" w:fill="auto"/>
        </w:rPr>
      </w:pPr>
      <w:r>
        <w:rPr>
          <w:rFonts w:ascii="Arial" w:hAnsi="Arial" w:cs="Arial"/>
          <w:b/>
          <w:color w:val="auto"/>
          <w:szCs w:val="21"/>
          <w:highlight w:val="none"/>
          <w:shd w:val="clear" w:color="auto" w:fill="auto"/>
        </w:rPr>
        <w:t>现文：31.1</w:t>
      </w:r>
      <w:r>
        <w:rPr>
          <w:rFonts w:hint="eastAsia" w:ascii="宋体" w:hAnsi="宋体" w:cs="宋体"/>
          <w:color w:val="auto"/>
          <w:szCs w:val="21"/>
          <w:highlight w:val="none"/>
          <w:shd w:val="clear" w:color="auto" w:fill="auto"/>
        </w:rPr>
        <w:t>中标人应向</w:t>
      </w:r>
      <w:r>
        <w:rPr>
          <w:rFonts w:hint="eastAsia" w:ascii="宋体" w:hAnsi="宋体" w:cs="宋体"/>
          <w:bCs/>
          <w:color w:val="auto"/>
          <w:szCs w:val="21"/>
          <w:highlight w:val="none"/>
          <w:u w:val="single"/>
          <w:shd w:val="clear" w:color="auto" w:fill="auto"/>
        </w:rPr>
        <w:t>广州交易集团有限公司（广州公共资源交易中心）</w:t>
      </w:r>
      <w:r>
        <w:rPr>
          <w:rFonts w:hint="eastAsia" w:ascii="宋体" w:hAnsi="宋体" w:cs="宋体"/>
          <w:color w:val="auto"/>
          <w:szCs w:val="21"/>
          <w:highlight w:val="none"/>
          <w:shd w:val="clear" w:color="auto" w:fill="auto"/>
        </w:rPr>
        <w:t>交纳公共资源交易服务费, 其费用包含在中标人投标报价中，招标人不另行支付。</w:t>
      </w:r>
    </w:p>
    <w:p>
      <w:pP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条款号：32.3       修改类型：修改</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Cs/>
          <w:color w:val="auto"/>
          <w:szCs w:val="21"/>
          <w:highlight w:val="none"/>
          <w:shd w:val="clear" w:color="auto" w:fill="auto"/>
        </w:rPr>
        <w:t>32.3投标人如在本项目中存在串通投标、弄虚作假、行贿情形的，中标无效，行政监督部门将对其违法行为进行政处罚并通报。该投标人将被招标人列入黑名单并限制其参与招标人后续项目的投标。</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bCs/>
          <w:color w:val="auto"/>
          <w:szCs w:val="21"/>
          <w:highlight w:val="none"/>
          <w:shd w:val="clear" w:color="auto" w:fill="auto"/>
        </w:rPr>
        <w:t>32.3投标人如在本项目中存在串通投标、弄虚作假骗取中标、行贿情形的，中标无效，行政监督部门将对其违法行为进行政处罚。该投标人将被招标人列入黑名单并限制其参与招标人后续项目的投标。</w:t>
      </w:r>
    </w:p>
    <w:p>
      <w:pPr>
        <w:pBdr>
          <w:top w:val="single" w:color="auto" w:sz="4" w:space="0"/>
        </w:pBdr>
        <w:spacing w:line="360" w:lineRule="auto"/>
        <w:ind w:firstLine="211" w:firstLineChars="1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w:t>
      </w:r>
      <w:r>
        <w:rPr>
          <w:rFonts w:hint="eastAsia" w:ascii="Arial" w:hAnsi="Arial" w:cs="Arial"/>
          <w:b/>
          <w:color w:val="auto"/>
          <w:szCs w:val="21"/>
          <w:highlight w:val="none"/>
          <w:shd w:val="clear" w:color="auto" w:fill="auto"/>
        </w:rPr>
        <w:t xml:space="preserve">3  </w:t>
      </w:r>
      <w:r>
        <w:rPr>
          <w:rFonts w:ascii="Arial" w:hAnsi="Arial" w:cs="Arial"/>
          <w:b/>
          <w:color w:val="auto"/>
          <w:szCs w:val="21"/>
          <w:highlight w:val="none"/>
          <w:shd w:val="clear" w:color="auto" w:fill="auto"/>
        </w:rPr>
        <w:t xml:space="preserve">       修改类型：</w:t>
      </w:r>
      <w:r>
        <w:rPr>
          <w:rFonts w:hint="eastAsia" w:ascii="Arial" w:hAnsi="Arial" w:cs="Arial"/>
          <w:b/>
          <w:color w:val="auto"/>
          <w:szCs w:val="21"/>
          <w:highlight w:val="none"/>
          <w:shd w:val="clear" w:color="auto" w:fill="auto"/>
        </w:rPr>
        <w:t>删除</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Cs/>
          <w:color w:val="auto"/>
          <w:szCs w:val="21"/>
          <w:highlight w:val="none"/>
          <w:shd w:val="clear" w:color="auto" w:fill="auto"/>
        </w:rPr>
        <w:t>：33. 投标人信誉的要求</w:t>
      </w:r>
    </w:p>
    <w:p>
      <w:pP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存在下列情形之一的，招标人可以限制其投标（需在招标文件中明确评定方法）</w:t>
      </w:r>
    </w:p>
    <w:p>
      <w:pP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（1）被住房城乡建设行政主管部门在全国建筑市场监管一体化工作平台列入建筑市场主体“黑名单”；</w:t>
      </w:r>
    </w:p>
    <w:p>
      <w:pPr>
        <w:pBdr>
          <w:bottom w:val="single" w:color="auto" w:sz="4" w:space="0"/>
        </w:pBd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（2）被发改委、人力资源社会保障、质检总局等有关部门、单位在“信用中国”网站中列入联合惩戒失信黑名单。</w:t>
      </w:r>
    </w:p>
    <w:p>
      <w:pPr>
        <w:pStyle w:val="29"/>
        <w:pBdr>
          <w:bottom w:val="single" w:color="auto" w:sz="4" w:space="0"/>
        </w:pBdr>
        <w:rPr>
          <w:rFonts w:ascii="Arial" w:hAnsi="Arial" w:cs="Arial"/>
          <w:color w:val="auto"/>
          <w:highlight w:val="none"/>
          <w:shd w:val="clear" w:color="auto" w:fill="auto"/>
        </w:rPr>
      </w:pPr>
    </w:p>
    <w:p>
      <w:pPr>
        <w:spacing w:line="360" w:lineRule="auto"/>
        <w:ind w:firstLine="211" w:firstLineChars="1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注：以上修改，仅限于本范本中有可供选择条款的情形。</w:t>
      </w:r>
    </w:p>
    <w:p>
      <w:pPr>
        <w:spacing w:line="360" w:lineRule="auto"/>
        <w:rPr>
          <w:rFonts w:ascii="Arial" w:hAnsi="Arial" w:cs="Arial"/>
          <w:color w:val="auto"/>
          <w:highlight w:val="none"/>
          <w:shd w:val="clear" w:color="auto" w:fill="auto"/>
        </w:rPr>
      </w:pPr>
      <w:r>
        <w:rPr>
          <w:rFonts w:ascii="Arial" w:hAnsi="Arial" w:cs="Arial"/>
          <w:b/>
          <w:color w:val="auto"/>
          <w:szCs w:val="21"/>
          <w:highlight w:val="none"/>
          <w:shd w:val="clear" w:color="auto" w:fill="auto"/>
        </w:rPr>
        <w:t>（以下无正文）</w:t>
      </w:r>
    </w:p>
    <w:p>
      <w:pPr>
        <w:pStyle w:val="3"/>
        <w:rPr>
          <w:rFonts w:cs="Arial"/>
          <w:color w:val="auto"/>
          <w:highlight w:val="none"/>
          <w:shd w:val="clear" w:color="auto" w:fill="auto"/>
        </w:rPr>
      </w:pPr>
      <w:r>
        <w:rPr>
          <w:rFonts w:cs="Arial"/>
          <w:color w:val="auto"/>
          <w:highlight w:val="none"/>
          <w:shd w:val="clear" w:color="auto" w:fill="auto"/>
        </w:rPr>
        <w:br w:type="page"/>
      </w:r>
      <w:bookmarkStart w:id="11" w:name="_Toc2272548"/>
      <w:bookmarkStart w:id="12" w:name="_Toc159334842"/>
      <w:bookmarkStart w:id="13" w:name="_Toc12031"/>
      <w:bookmarkStart w:id="14" w:name="_Toc101266281"/>
      <w:r>
        <w:rPr>
          <w:rFonts w:cs="Arial"/>
          <w:color w:val="auto"/>
          <w:highlight w:val="none"/>
          <w:shd w:val="clear" w:color="auto" w:fill="auto"/>
        </w:rPr>
        <w:t>三、投标须知通用条款</w:t>
      </w:r>
      <w:bookmarkEnd w:id="11"/>
      <w:bookmarkEnd w:id="12"/>
      <w:bookmarkEnd w:id="13"/>
      <w:bookmarkEnd w:id="14"/>
    </w:p>
    <w:p>
      <w:pPr>
        <w:pStyle w:val="5"/>
        <w:spacing w:before="156" w:after="156"/>
        <w:rPr>
          <w:rFonts w:ascii="Arial" w:hAnsi="Arial" w:cs="Arial"/>
          <w:color w:val="auto"/>
          <w:highlight w:val="none"/>
          <w:shd w:val="clear" w:color="auto" w:fill="auto"/>
        </w:rPr>
      </w:pPr>
      <w:bookmarkStart w:id="15" w:name="_Toc2272549"/>
      <w:bookmarkStart w:id="16" w:name="_Toc18915"/>
      <w:bookmarkStart w:id="17" w:name="_Toc101266282"/>
      <w:bookmarkStart w:id="18" w:name="_Toc159334843"/>
      <w:r>
        <w:rPr>
          <w:rFonts w:ascii="Arial" w:hAnsi="Arial" w:cs="Arial"/>
          <w:color w:val="auto"/>
          <w:highlight w:val="none"/>
          <w:shd w:val="clear" w:color="auto" w:fill="auto"/>
        </w:rPr>
        <w:t>（一）总则</w:t>
      </w:r>
      <w:bookmarkEnd w:id="15"/>
      <w:bookmarkEnd w:id="16"/>
      <w:bookmarkEnd w:id="17"/>
      <w:bookmarkEnd w:id="18"/>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1、定义</w:t>
      </w:r>
    </w:p>
    <w:p>
      <w:pPr>
        <w:pStyle w:val="53"/>
        <w:spacing w:after="0" w:line="360" w:lineRule="auto"/>
        <w:ind w:firstLine="480" w:firstLineChars="200"/>
        <w:rPr>
          <w:rFonts w:ascii="Arial" w:hAnsi="Arial" w:cs="Arial"/>
          <w:b/>
          <w:bCs/>
          <w:color w:val="auto"/>
          <w:sz w:val="24"/>
          <w:highlight w:val="none"/>
          <w:shd w:val="clear" w:color="auto" w:fill="auto"/>
        </w:rPr>
      </w:pPr>
      <w:r>
        <w:rPr>
          <w:rFonts w:ascii="Arial" w:hAnsi="Arial" w:cs="Arial"/>
          <w:color w:val="auto"/>
          <w:sz w:val="24"/>
          <w:highlight w:val="none"/>
          <w:shd w:val="clear" w:color="auto" w:fill="auto"/>
        </w:rPr>
        <w:t>本招标文件使用的下列词语具有如下规定的意义：</w:t>
      </w:r>
    </w:p>
    <w:p>
      <w:pPr>
        <w:pStyle w:val="53"/>
        <w:spacing w:after="0" w:line="360" w:lineRule="auto"/>
        <w:ind w:firstLine="480" w:firstLineChars="200"/>
        <w:rPr>
          <w:rFonts w:ascii="Arial" w:hAnsi="Arial" w:cs="Arial"/>
          <w:b/>
          <w:bCs/>
          <w:color w:val="auto"/>
          <w:sz w:val="24"/>
          <w:highlight w:val="none"/>
          <w:u w:val="single"/>
          <w:shd w:val="clear" w:color="auto" w:fill="auto"/>
        </w:rPr>
      </w:pPr>
      <w:r>
        <w:rPr>
          <w:rFonts w:ascii="Arial" w:hAnsi="Arial" w:cs="Arial"/>
          <w:color w:val="auto"/>
          <w:sz w:val="24"/>
          <w:highlight w:val="none"/>
          <w:shd w:val="clear" w:color="auto" w:fill="auto"/>
        </w:rPr>
        <w:t>（1）“招标人”（即发包人）、“项目建设管理单位”（或称“项目代建单位”）、“招标代理”、“设计单位”、“监理单位”均已在投标须知前附表中列明。</w:t>
      </w:r>
    </w:p>
    <w:p>
      <w:pPr>
        <w:pStyle w:val="53"/>
        <w:spacing w:after="0" w:line="360" w:lineRule="auto"/>
        <w:ind w:firstLine="480" w:firstLineChars="200"/>
        <w:rPr>
          <w:rFonts w:ascii="Arial" w:hAnsi="Arial" w:cs="Arial"/>
          <w:color w:val="auto"/>
          <w:sz w:val="24"/>
          <w:highlight w:val="none"/>
          <w:u w:val="single"/>
          <w:shd w:val="clear" w:color="auto" w:fill="auto"/>
        </w:rPr>
      </w:pPr>
      <w:r>
        <w:rPr>
          <w:rFonts w:ascii="Arial" w:hAnsi="Arial" w:cs="Arial"/>
          <w:color w:val="auto"/>
          <w:sz w:val="24"/>
          <w:highlight w:val="none"/>
          <w:shd w:val="clear" w:color="auto" w:fill="auto"/>
        </w:rPr>
        <w:t xml:space="preserve">（2）“投标人”指向招标人提交投标文件的当事人。   </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（3）“承包人”指其投标被招标人接受并与其签订承包合同的当事人。</w:t>
      </w:r>
    </w:p>
    <w:p>
      <w:pPr>
        <w:pStyle w:val="53"/>
        <w:spacing w:after="0" w:line="360" w:lineRule="auto"/>
        <w:ind w:firstLine="480" w:firstLineChars="200"/>
        <w:rPr>
          <w:rFonts w:ascii="Arial" w:hAnsi="Arial" w:cs="Arial"/>
          <w:color w:val="auto"/>
          <w:sz w:val="24"/>
          <w:highlight w:val="none"/>
          <w:u w:val="single"/>
          <w:shd w:val="clear" w:color="auto" w:fill="auto"/>
        </w:rPr>
      </w:pPr>
      <w:r>
        <w:rPr>
          <w:rFonts w:ascii="Arial" w:hAnsi="Arial" w:cs="Arial"/>
          <w:color w:val="auto"/>
          <w:sz w:val="24"/>
          <w:highlight w:val="none"/>
          <w:shd w:val="clear" w:color="auto" w:fill="auto"/>
        </w:rPr>
        <w:t>（4）“招标文件”指由招标代理发出的本文件（包括全部章节、附件）及招标答疑会会议纪要和</w:t>
      </w:r>
      <w:r>
        <w:rPr>
          <w:rFonts w:ascii="Arial" w:hAnsi="Arial" w:cs="Arial"/>
          <w:bCs/>
          <w:color w:val="auto"/>
          <w:sz w:val="24"/>
          <w:highlight w:val="none"/>
          <w:shd w:val="clear" w:color="auto" w:fill="auto"/>
        </w:rPr>
        <w:t>招标文件的澄清与修改</w:t>
      </w:r>
      <w:r>
        <w:rPr>
          <w:rFonts w:ascii="Arial" w:hAnsi="Arial" w:cs="Arial"/>
          <w:color w:val="auto"/>
          <w:sz w:val="24"/>
          <w:highlight w:val="none"/>
          <w:shd w:val="clear" w:color="auto" w:fill="auto"/>
        </w:rPr>
        <w:t>文件。</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（5）“投标文件”指投标人根据本项目招标文件向招标人提交的全部文件。</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（6）“书面形式”指打字或印刷的文件和数据电文（包括电报、电传、传真、电子数据交换和电子邮件）。</w:t>
      </w:r>
    </w:p>
    <w:p>
      <w:pPr>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2、招标说明</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2.1本招标工程项目按照《中华人民共和国招标投标法》等有关法律、行政法规、规章和规范性文件，通过招标方式选定承包人。</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2.2工程名称、建设地点、建设规模、承包方式、质量标准、招标范围、工期要求等均在投标须知前附表中列明。</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2.3设计说明：详见招标图纸。</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2.4工程施工特点：详见招标图纸。</w:t>
      </w:r>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3．资金来源</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3.1本招标工程项目资金来源见投标须知前附表第9项</w:t>
      </w:r>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4．合格投标人的条件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4.1详见本项目招标公告</w:t>
      </w:r>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5．踏勘现场</w:t>
      </w:r>
    </w:p>
    <w:p>
      <w:pPr>
        <w:spacing w:line="360" w:lineRule="auto"/>
        <w:ind w:firstLine="480" w:firstLineChars="200"/>
        <w:rPr>
          <w:rFonts w:ascii="Arial" w:hAnsi="Arial" w:cs="Arial"/>
          <w:bCs/>
          <w:color w:val="auto"/>
          <w:sz w:val="24"/>
          <w:highlight w:val="none"/>
          <w:u w:val="single"/>
          <w:shd w:val="clear" w:color="auto" w:fill="auto"/>
        </w:rPr>
      </w:pPr>
      <w:r>
        <w:rPr>
          <w:rFonts w:ascii="Arial" w:hAnsi="Arial" w:cs="Arial"/>
          <w:bCs/>
          <w:color w:val="auto"/>
          <w:sz w:val="24"/>
          <w:highlight w:val="none"/>
          <w:shd w:val="clear" w:color="auto" w:fill="auto"/>
        </w:rPr>
        <w:t>5.1 投标人应按本投标须知前附表第15项所述时间和要求对工程现场及周围环境进行踏勘，</w:t>
      </w:r>
      <w:r>
        <w:rPr>
          <w:rFonts w:ascii="Arial" w:hAnsi="Arial" w:cs="Arial"/>
          <w:color w:val="auto"/>
          <w:sz w:val="24"/>
          <w:highlight w:val="none"/>
          <w:shd w:val="clear" w:color="auto" w:fill="auto"/>
        </w:rPr>
        <w:t>投标人应充分重视和仔细地进行这种考察，</w:t>
      </w:r>
      <w:r>
        <w:rPr>
          <w:rFonts w:ascii="Arial" w:hAnsi="Arial" w:cs="Arial"/>
          <w:bCs/>
          <w:color w:val="auto"/>
          <w:sz w:val="24"/>
          <w:highlight w:val="none"/>
          <w:shd w:val="clear" w:color="auto" w:fill="auto"/>
        </w:rPr>
        <w:t>以便投标人获取</w:t>
      </w:r>
      <w:r>
        <w:rPr>
          <w:rFonts w:ascii="Arial" w:hAnsi="Arial" w:cs="Arial"/>
          <w:color w:val="auto"/>
          <w:sz w:val="24"/>
          <w:highlight w:val="none"/>
          <w:shd w:val="clear" w:color="auto" w:fill="auto"/>
        </w:rPr>
        <w:t>那些须投标人自己负责的</w:t>
      </w:r>
      <w:r>
        <w:rPr>
          <w:rFonts w:ascii="Arial" w:hAnsi="Arial" w:cs="Arial"/>
          <w:bCs/>
          <w:color w:val="auto"/>
          <w:sz w:val="24"/>
          <w:highlight w:val="none"/>
          <w:shd w:val="clear" w:color="auto" w:fill="auto"/>
        </w:rPr>
        <w:t>有关编制投标文件和签署合同所涉及现场所有的资料。</w:t>
      </w:r>
      <w:r>
        <w:rPr>
          <w:rFonts w:ascii="Arial" w:hAnsi="Arial" w:cs="Arial"/>
          <w:color w:val="auto"/>
          <w:sz w:val="24"/>
          <w:highlight w:val="none"/>
          <w:shd w:val="clear" w:color="auto" w:fill="auto"/>
        </w:rPr>
        <w:t>一旦中标，这种考察即被认为其结果已在中标文件中得到充分反映。考察现场的费用由投标人自己承担。</w:t>
      </w:r>
    </w:p>
    <w:p>
      <w:pPr>
        <w:tabs>
          <w:tab w:val="left" w:pos="105"/>
        </w:tabs>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5.3 经招标人允许，投标人可为踏勘目的进入招标人的项目现场。</w:t>
      </w:r>
      <w:r>
        <w:rPr>
          <w:rFonts w:ascii="Arial" w:hAnsi="Arial" w:cs="Arial"/>
          <w:color w:val="auto"/>
          <w:sz w:val="24"/>
          <w:highlight w:val="none"/>
          <w:shd w:val="clear" w:color="auto" w:fill="auto"/>
        </w:rPr>
        <w:t>在考察过程中，投标人及其代表必须承担那些进入现场后，由于他们的行为所造成的人身伤害（不管是否致命）、财产损失或损坏，以及其他任何原因造成的损失、损坏或费用，</w:t>
      </w:r>
      <w:r>
        <w:rPr>
          <w:rFonts w:ascii="Arial" w:hAnsi="Arial" w:cs="Arial"/>
          <w:bCs/>
          <w:color w:val="auto"/>
          <w:sz w:val="24"/>
          <w:highlight w:val="none"/>
          <w:shd w:val="clear" w:color="auto" w:fill="auto"/>
        </w:rPr>
        <w:t>投标人不得因此使招标人承担有关的责任和蒙受损失。</w:t>
      </w:r>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6．投标费用</w:t>
      </w:r>
    </w:p>
    <w:p>
      <w:pPr>
        <w:tabs>
          <w:tab w:val="left" w:pos="105"/>
        </w:tabs>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6.1</w:t>
      </w:r>
      <w:r>
        <w:rPr>
          <w:rFonts w:ascii="Arial" w:hAnsi="Arial" w:cs="Arial"/>
          <w:color w:val="auto"/>
          <w:sz w:val="24"/>
          <w:highlight w:val="none"/>
          <w:shd w:val="clear" w:color="auto" w:fill="auto"/>
        </w:rPr>
        <w:t>不论投标结果如何，投标人应承担</w:t>
      </w:r>
      <w:r>
        <w:rPr>
          <w:rFonts w:ascii="Arial" w:hAnsi="Arial" w:cs="Arial"/>
          <w:bCs/>
          <w:color w:val="auto"/>
          <w:sz w:val="24"/>
          <w:highlight w:val="none"/>
          <w:shd w:val="clear" w:color="auto" w:fill="auto"/>
        </w:rPr>
        <w:t>自身</w:t>
      </w:r>
      <w:r>
        <w:rPr>
          <w:rFonts w:ascii="Arial" w:hAnsi="Arial" w:cs="Arial"/>
          <w:color w:val="auto"/>
          <w:sz w:val="24"/>
          <w:highlight w:val="none"/>
          <w:shd w:val="clear" w:color="auto" w:fill="auto"/>
        </w:rPr>
        <w:t>因投标文件编制、递交及其他</w:t>
      </w:r>
      <w:r>
        <w:rPr>
          <w:rFonts w:ascii="Arial" w:hAnsi="Arial" w:cs="Arial"/>
          <w:bCs/>
          <w:color w:val="auto"/>
          <w:sz w:val="24"/>
          <w:highlight w:val="none"/>
          <w:shd w:val="clear" w:color="auto" w:fill="auto"/>
        </w:rPr>
        <w:t>参加本招标活动</w:t>
      </w:r>
      <w:r>
        <w:rPr>
          <w:rFonts w:ascii="Arial" w:hAnsi="Arial" w:cs="Arial"/>
          <w:color w:val="auto"/>
          <w:sz w:val="24"/>
          <w:highlight w:val="none"/>
          <w:shd w:val="clear" w:color="auto" w:fill="auto"/>
        </w:rPr>
        <w:t>所涉及的一切费用，招标人对上述费用不负任何责任。</w:t>
      </w:r>
    </w:p>
    <w:p>
      <w:pPr>
        <w:pStyle w:val="5"/>
        <w:spacing w:before="156" w:after="156"/>
        <w:rPr>
          <w:rFonts w:ascii="Arial" w:hAnsi="Arial" w:cs="Arial"/>
          <w:color w:val="auto"/>
          <w:highlight w:val="none"/>
          <w:shd w:val="clear" w:color="auto" w:fill="auto"/>
        </w:rPr>
      </w:pPr>
      <w:bookmarkStart w:id="19" w:name="_Toc101266283"/>
      <w:bookmarkStart w:id="20" w:name="_Toc30133"/>
      <w:bookmarkStart w:id="21" w:name="_Toc159334844"/>
      <w:bookmarkStart w:id="22" w:name="_Toc2272550"/>
      <w:r>
        <w:rPr>
          <w:rFonts w:ascii="Arial" w:hAnsi="Arial" w:cs="Arial"/>
          <w:color w:val="auto"/>
          <w:highlight w:val="none"/>
          <w:shd w:val="clear" w:color="auto" w:fill="auto"/>
        </w:rPr>
        <w:t>（二）招标文件</w:t>
      </w:r>
      <w:bookmarkEnd w:id="19"/>
      <w:bookmarkEnd w:id="20"/>
      <w:bookmarkEnd w:id="21"/>
      <w:bookmarkEnd w:id="22"/>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7.招标文件的组成</w:t>
      </w:r>
    </w:p>
    <w:p>
      <w:pPr>
        <w:spacing w:line="360" w:lineRule="auto"/>
        <w:ind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7.1</w:t>
      </w:r>
      <w:r>
        <w:rPr>
          <w:rFonts w:ascii="Arial" w:hAnsi="Arial" w:cs="Arial"/>
          <w:color w:val="auto"/>
          <w:sz w:val="24"/>
          <w:highlight w:val="none"/>
          <w:shd w:val="clear" w:color="auto" w:fill="auto"/>
        </w:rPr>
        <w:t>本招标文件包括下列文件，以及所有按本须知第8条发出的招标答疑会会议纪要和按本须知第9条发出的澄清或修改：</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第一章  </w:t>
      </w:r>
      <w:r>
        <w:rPr>
          <w:rFonts w:ascii="Arial" w:hAnsi="Arial" w:cs="Arial"/>
          <w:color w:val="auto"/>
          <w:sz w:val="24"/>
          <w:highlight w:val="none"/>
          <w:shd w:val="clear" w:color="auto" w:fill="auto"/>
        </w:rPr>
        <w:t>投标须知</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第二章  </w:t>
      </w:r>
      <w:r>
        <w:rPr>
          <w:rFonts w:ascii="Arial" w:hAnsi="Arial" w:cs="Arial"/>
          <w:color w:val="auto"/>
          <w:sz w:val="24"/>
          <w:highlight w:val="none"/>
          <w:shd w:val="clear" w:color="auto" w:fill="auto"/>
        </w:rPr>
        <w:t>开标、评标及定标办法</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第三章  合同条款</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第四章  </w:t>
      </w:r>
      <w:r>
        <w:rPr>
          <w:rFonts w:ascii="Arial" w:hAnsi="Arial" w:cs="Arial"/>
          <w:color w:val="auto"/>
          <w:sz w:val="24"/>
          <w:highlight w:val="none"/>
          <w:shd w:val="clear" w:color="auto" w:fill="auto"/>
        </w:rPr>
        <w:t>投标文件格式</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第五章  </w:t>
      </w:r>
      <w:r>
        <w:rPr>
          <w:rFonts w:ascii="Arial" w:hAnsi="Arial" w:cs="Arial"/>
          <w:color w:val="auto"/>
          <w:sz w:val="24"/>
          <w:highlight w:val="none"/>
          <w:shd w:val="clear" w:color="auto" w:fill="auto"/>
        </w:rPr>
        <w:t>技术条件（工程建设标准）（另册）</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第六章  </w:t>
      </w:r>
      <w:r>
        <w:rPr>
          <w:rFonts w:ascii="Arial" w:hAnsi="Arial" w:cs="Arial"/>
          <w:color w:val="auto"/>
          <w:sz w:val="24"/>
          <w:highlight w:val="none"/>
          <w:shd w:val="clear" w:color="auto" w:fill="auto"/>
        </w:rPr>
        <w:t>图纸及勘察资料（另册）</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第七章  招标</w:t>
      </w:r>
      <w:r>
        <w:rPr>
          <w:rFonts w:ascii="Arial" w:hAnsi="Arial" w:cs="Arial"/>
          <w:color w:val="auto"/>
          <w:sz w:val="24"/>
          <w:highlight w:val="none"/>
          <w:shd w:val="clear" w:color="auto" w:fill="auto"/>
        </w:rPr>
        <w:t>工程量清单（另册）</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第八章  最高投标限价</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7.3 投标人一旦中标，招标文件的内容对招标人和中标人双方均有约束力。</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8．招标答疑</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8.1 投标人若对招标文件（包括招标图纸）中有疑问，可以书面形式</w:t>
      </w:r>
      <w:r>
        <w:rPr>
          <w:rFonts w:ascii="Arial" w:hAnsi="Arial" w:cs="Arial"/>
          <w:color w:val="auto"/>
          <w:sz w:val="24"/>
          <w:szCs w:val="24"/>
          <w:highlight w:val="none"/>
          <w:shd w:val="clear" w:color="auto" w:fill="auto"/>
        </w:rPr>
        <w:t>通过</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交易平台提交</w:t>
      </w:r>
      <w:r>
        <w:rPr>
          <w:rFonts w:ascii="Arial" w:hAnsi="Arial" w:cs="Arial"/>
          <w:color w:val="auto"/>
          <w:sz w:val="24"/>
          <w:highlight w:val="none"/>
          <w:shd w:val="clear" w:color="auto" w:fill="auto"/>
        </w:rPr>
        <w:t>给招标人或招标代理人，提交形式见本须知前附表第16项。</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8.2招标答疑会会议纪要将在提交投标文件截止时间15日前在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 xml:space="preserve"> “项目答疑纪要”专区公开发布。答疑纪要一经在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发布，视作已发放给所有投标人。</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8.3答疑会会议纪要为招标文件的一部分。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8.4若招标答疑会会议纪要与招标文件有矛盾，以答疑会议纪要最后发出的书面形式的文件为准。</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9.招标文件的澄清与修改</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9.1招标文件发出后,在提交投标文件截止时间15日前，招标人可对招标文件进行必要的澄清或修改。</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9.2招标文件的澄清或修改将在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“项目答疑纪要”专区公开发布。答疑纪要一经在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发布，视作已发放给所有投标人，以</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上网发布时间作为送达时间。</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9.3招标文件的修改内容为招标文件的组成部分。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9.4招标文件的澄清或修改均以书面形式明确的内容为准。当招标文件的澄清、修改、补充等在同一内容的表述不一致时，以最后发出的书面形式的文件为准。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5"/>
        <w:spacing w:before="156" w:after="156"/>
        <w:rPr>
          <w:rFonts w:ascii="Arial" w:hAnsi="Arial" w:cs="Arial"/>
          <w:color w:val="auto"/>
          <w:highlight w:val="none"/>
          <w:shd w:val="clear" w:color="auto" w:fill="auto"/>
        </w:rPr>
      </w:pPr>
      <w:bookmarkStart w:id="23" w:name="_Toc159334845"/>
      <w:bookmarkStart w:id="24" w:name="_Toc2272551"/>
      <w:bookmarkStart w:id="25" w:name="_Toc101266284"/>
      <w:bookmarkStart w:id="26" w:name="_Toc17200"/>
      <w:r>
        <w:rPr>
          <w:rFonts w:ascii="Arial" w:hAnsi="Arial" w:cs="Arial"/>
          <w:color w:val="auto"/>
          <w:highlight w:val="none"/>
          <w:shd w:val="clear" w:color="auto" w:fill="auto"/>
        </w:rPr>
        <w:t>（三）投标文件的编制</w:t>
      </w:r>
      <w:bookmarkEnd w:id="23"/>
      <w:bookmarkEnd w:id="24"/>
      <w:bookmarkEnd w:id="25"/>
      <w:bookmarkEnd w:id="26"/>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10．投标文件的语言及度量衡单位</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10.1 投标文件和与投标有关的所有文件均应使用中文。</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10.2 除工程规范另有规定外，投标文件使用的度量衡单位，均采用中华人民共和国法定计量单位。</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11．投标文件的组成</w:t>
      </w:r>
    </w:p>
    <w:p>
      <w:pPr>
        <w:pStyle w:val="53"/>
        <w:spacing w:after="0" w:line="360" w:lineRule="auto"/>
        <w:ind w:firstLine="480" w:firstLineChars="200"/>
        <w:rPr>
          <w:rFonts w:ascii="Arial" w:hAnsi="Arial" w:cs="Arial"/>
          <w:b/>
          <w:color w:val="auto"/>
          <w:sz w:val="24"/>
          <w:highlight w:val="none"/>
          <w:shd w:val="clear" w:color="auto" w:fill="auto"/>
        </w:rPr>
      </w:pPr>
      <w:r>
        <w:rPr>
          <w:rFonts w:ascii="Arial" w:hAnsi="Arial" w:cs="Arial"/>
          <w:color w:val="auto"/>
          <w:sz w:val="24"/>
          <w:highlight w:val="none"/>
          <w:shd w:val="clear" w:color="auto" w:fill="auto"/>
        </w:rPr>
        <w:t>11.1 投标文件由技术部分（含资格审查文件）和经济部分二部分投标文件组成</w:t>
      </w:r>
      <w:r>
        <w:rPr>
          <w:rFonts w:ascii="Arial" w:hAnsi="Arial" w:cs="Arial"/>
          <w:b/>
          <w:color w:val="auto"/>
          <w:sz w:val="24"/>
          <w:highlight w:val="none"/>
          <w:shd w:val="clear" w:color="auto" w:fill="auto"/>
        </w:rPr>
        <w:t>。</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11.2投标文件技术标部分主要包括下列内容:</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11.2.1 技术投标文件</w:t>
      </w:r>
      <w:r>
        <w:rPr>
          <w:rFonts w:ascii="Arial" w:hAnsi="Arial" w:cs="Arial"/>
          <w:color w:val="auto"/>
          <w:sz w:val="24"/>
          <w:highlight w:val="none"/>
          <w:shd w:val="clear" w:color="auto" w:fill="auto"/>
        </w:rPr>
        <w:t>(按招标文件的要求填写)</w:t>
      </w:r>
      <w:r>
        <w:rPr>
          <w:rFonts w:ascii="Arial" w:hAnsi="Arial" w:cs="Arial"/>
          <w:bCs/>
          <w:color w:val="auto"/>
          <w:sz w:val="24"/>
          <w:highlight w:val="none"/>
          <w:shd w:val="clear" w:color="auto" w:fill="auto"/>
        </w:rPr>
        <w:t>；</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11.2.2 资格审查文件：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 xml:space="preserve">（1）投标人声明； </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（2）法定代表人证明书、法定代表人签字或盖章的本投标文件授权委托证明书；</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（3）企业营业执照（取自平台内上传件）；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（4）企业资质证书（取自平台内上传件）；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（5）建筑施工企业安全生产许可证（取自平台内上传件）；</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highlight w:val="none"/>
          <w:shd w:val="clear" w:color="auto" w:fill="auto"/>
        </w:rPr>
        <w:t>（6）</w:t>
      </w:r>
      <w:r>
        <w:rPr>
          <w:rFonts w:ascii="Arial" w:hAnsi="Arial" w:cs="Arial"/>
          <w:bCs/>
          <w:color w:val="auto"/>
          <w:sz w:val="24"/>
          <w:szCs w:val="24"/>
          <w:highlight w:val="none"/>
          <w:shd w:val="clear" w:color="auto" w:fill="auto"/>
        </w:rPr>
        <w:t>项目负责人（按网上投标登记时选择拟投标的项目负责人）</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szCs w:val="24"/>
          <w:highlight w:val="none"/>
          <w:shd w:val="clear" w:color="auto" w:fill="auto"/>
        </w:rPr>
        <w:t>（7）专职安全员（按网上投标登记时选择拟投标的专职安全员）</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（8）拟委托技术负责人的相关证书、资料（具体要求由招标人明确）</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 xml:space="preserve">（9）拟委派项目负责人的建造师注册证书或小型项目负责人相关证明（取自平台内上传件）； </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（10）项目负责人安全培训考核合格证明或在有效期内的安全考核合格证书（B类）或建筑施工企业项目负责人安全生产考核合格证书（取自平台内上传件）</w:t>
      </w:r>
      <w:r>
        <w:rPr>
          <w:rFonts w:ascii="Arial" w:hAnsi="Arial" w:cs="Arial"/>
          <w:bCs/>
          <w:color w:val="auto"/>
          <w:sz w:val="24"/>
          <w:szCs w:val="24"/>
          <w:highlight w:val="none"/>
          <w:shd w:val="clear" w:color="auto" w:fill="auto"/>
        </w:rPr>
        <w:t>；</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highlight w:val="none"/>
          <w:shd w:val="clear" w:color="auto" w:fill="auto"/>
        </w:rPr>
        <w:t>（11）专职安全员须具有在有效期内的安全考核合格证书（C类）或建筑施工企业专职安全生产管理人员安全生产考核合格证书</w:t>
      </w:r>
      <w:r>
        <w:rPr>
          <w:rFonts w:ascii="Arial" w:hAnsi="Arial" w:cs="Arial"/>
          <w:bCs/>
          <w:color w:val="auto"/>
          <w:sz w:val="24"/>
          <w:szCs w:val="24"/>
          <w:highlight w:val="none"/>
          <w:shd w:val="clear" w:color="auto" w:fill="auto"/>
        </w:rPr>
        <w:t>（取自平台内上传件）；</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szCs w:val="24"/>
          <w:highlight w:val="none"/>
          <w:shd w:val="clear" w:color="auto" w:fill="auto"/>
        </w:rPr>
        <w:t>（12）用于资格审查的业绩（设置业绩要求时选择此项，投标人</w:t>
      </w:r>
      <w:r>
        <w:rPr>
          <w:rFonts w:ascii="Arial" w:hAnsi="Arial" w:cs="Arial"/>
          <w:color w:val="auto"/>
          <w:sz w:val="24"/>
          <w:highlight w:val="none"/>
          <w:shd w:val="clear" w:color="auto" w:fill="auto"/>
        </w:rPr>
        <w:t>须提供类似工程业绩的项目名称及项目编号，具体格式由招标人自定</w:t>
      </w:r>
      <w:r>
        <w:rPr>
          <w:rFonts w:ascii="Arial" w:hAnsi="Arial" w:cs="Arial"/>
          <w:bCs/>
          <w:color w:val="auto"/>
          <w:sz w:val="24"/>
          <w:szCs w:val="24"/>
          <w:highlight w:val="none"/>
          <w:shd w:val="clear" w:color="auto" w:fill="auto"/>
        </w:rPr>
        <w:t>）；</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szCs w:val="24"/>
          <w:highlight w:val="none"/>
          <w:shd w:val="clear" w:color="auto" w:fill="auto"/>
        </w:rPr>
        <w:t>（14）列明主办单位的联合体工作协议（采用联合体投标时需递交，投标人拟任本工程项目负责人应为联合体主办方信用档案中的在册人员，</w:t>
      </w:r>
      <w:r>
        <w:rPr>
          <w:rFonts w:ascii="Arial" w:hAnsi="Arial" w:cs="Arial"/>
          <w:color w:val="auto"/>
          <w:sz w:val="24"/>
          <w:szCs w:val="24"/>
          <w:highlight w:val="none"/>
          <w:shd w:val="clear" w:color="auto" w:fill="auto"/>
        </w:rPr>
        <w:t>联合体工作协议应明确约定各方拟承担的工作和责任</w:t>
      </w:r>
      <w:r>
        <w:rPr>
          <w:rFonts w:ascii="Arial" w:hAnsi="Arial" w:cs="Arial"/>
          <w:bCs/>
          <w:color w:val="auto"/>
          <w:sz w:val="24"/>
          <w:szCs w:val="24"/>
          <w:highlight w:val="none"/>
          <w:shd w:val="clear" w:color="auto" w:fill="auto"/>
        </w:rPr>
        <w:t xml:space="preserve">）； </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szCs w:val="24"/>
          <w:highlight w:val="none"/>
          <w:shd w:val="clear" w:color="auto" w:fill="auto"/>
        </w:rPr>
        <w:t>（15）</w:t>
      </w:r>
      <w:r>
        <w:rPr>
          <w:rFonts w:ascii="Arial" w:hAnsi="Arial" w:cs="Arial"/>
          <w:color w:val="auto"/>
          <w:sz w:val="24"/>
          <w:szCs w:val="24"/>
          <w:highlight w:val="none"/>
          <w:shd w:val="clear" w:color="auto" w:fill="auto"/>
        </w:rPr>
        <w:t>投标人具有在广州地区可使用适合本工程的机械设备的证明文件（</w:t>
      </w:r>
      <w:r>
        <w:rPr>
          <w:rFonts w:ascii="Arial" w:hAnsi="Arial" w:cs="Arial"/>
          <w:color w:val="auto"/>
          <w:sz w:val="24"/>
          <w:highlight w:val="none"/>
          <w:shd w:val="clear" w:color="auto" w:fill="auto"/>
        </w:rPr>
        <w:t>提供沥青摊铺机自有发票或权属证明及设备现场全貌彩照（彩照须能反映其规格型号）</w:t>
      </w:r>
      <w:r>
        <w:rPr>
          <w:rFonts w:ascii="Arial" w:hAnsi="Arial" w:cs="Arial"/>
          <w:color w:val="auto"/>
          <w:sz w:val="24"/>
          <w:szCs w:val="24"/>
          <w:highlight w:val="none"/>
          <w:shd w:val="clear" w:color="auto" w:fill="auto"/>
        </w:rPr>
        <w:t>）。（含有市政道路面层沥青摊铺且沥青摊铺占预计发包价50%或以上的大、中修市政公用工程需提供该项内容的证明文件）。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11.2.3项目管理机构配备。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（1）投标人应列出该项目工程的施工组织机构构成和画出机构框架图及其负责人；</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（3）其他辅助说明资料。</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11.2.5施工组织设计或施工方案</w:t>
      </w:r>
      <w:r>
        <w:rPr>
          <w:rFonts w:hint="eastAsia" w:ascii="Arial" w:hAnsi="Arial" w:cs="Arial"/>
          <w:b/>
          <w:bCs/>
          <w:color w:val="auto"/>
          <w:sz w:val="24"/>
          <w:highlight w:val="none"/>
          <w:shd w:val="clear" w:color="auto" w:fill="auto"/>
        </w:rPr>
        <w:t>（投标人在编制施工组织设计或施工方案时应按照招标人提出的施工现场建筑垃圾源头减量的具体要求以及建筑垃圾综合利用产品的使用要求提供相应措施。）</w:t>
      </w:r>
      <w:r>
        <w:rPr>
          <w:rFonts w:ascii="Arial" w:hAnsi="Arial" w:cs="Arial"/>
          <w:b/>
          <w:bCs/>
          <w:color w:val="auto"/>
          <w:sz w:val="24"/>
          <w:highlight w:val="none"/>
          <w:shd w:val="clear" w:color="auto" w:fill="auto"/>
        </w:rPr>
        <w:t>。</w:t>
      </w:r>
    </w:p>
    <w:p>
      <w:pPr>
        <w:tabs>
          <w:tab w:val="left" w:pos="1125"/>
        </w:tabs>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11.2.6按照</w:t>
      </w:r>
      <w:r>
        <w:rPr>
          <w:rFonts w:ascii="Arial" w:hAnsi="Arial" w:cs="Arial"/>
          <w:bCs/>
          <w:color w:val="auto"/>
          <w:sz w:val="24"/>
          <w:highlight w:val="none"/>
          <w:shd w:val="clear" w:color="auto" w:fill="auto"/>
        </w:rPr>
        <w:t>招标文件要求</w:t>
      </w:r>
      <w:r>
        <w:rPr>
          <w:rFonts w:ascii="Arial" w:hAnsi="Arial" w:cs="Arial"/>
          <w:color w:val="auto"/>
          <w:sz w:val="24"/>
          <w:highlight w:val="none"/>
          <w:shd w:val="clear" w:color="auto" w:fill="auto"/>
        </w:rPr>
        <w:t>填写的《参与编制技术标投标文件人员名单》。</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11.3 经济部分投标文件主要包括下列内容：</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11.3.1 经济投标文件(按招标文件的要求填写)。</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Arial" w:hAnsi="Arial" w:cs="Arial"/>
          <w:color w:val="auto"/>
          <w:sz w:val="24"/>
          <w:szCs w:val="24"/>
          <w:highlight w:val="none"/>
          <w:shd w:val="clear" w:color="auto" w:fill="auto"/>
        </w:rPr>
        <w:t>其中包括如下：</w:t>
      </w:r>
      <w:r>
        <w:rPr>
          <w:rFonts w:ascii="Arial" w:hAnsi="Arial" w:cs="Arial"/>
          <w:color w:val="auto"/>
          <w:sz w:val="24"/>
          <w:highlight w:val="none"/>
          <w:shd w:val="clear" w:color="auto" w:fill="auto"/>
        </w:rPr>
        <w:t xml:space="preserve"> </w:t>
      </w:r>
    </w:p>
    <w:p>
      <w:pPr>
        <w:spacing w:line="360" w:lineRule="auto"/>
        <w:ind w:firstLine="566" w:firstLineChars="236"/>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（1）投标总价封面、扉页；</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（2）总说明</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（3）工程项目投标报价汇总表；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（4）单项工程投标报价汇总表；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（5）单位工程投标报价汇总表；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（6）分部分项工程清单与计价表；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（7）单价措施项目清单与计价表；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（8）总价措施项目清单与计价表；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（9）综合单价分析表；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（10）其他项目清单与计价汇总表；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（11）暂列金额明细表；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（12）材料（工程设备）暂估价明细表；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（13）专业工程暂估价明细表；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（14）计日工表；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（15）总承包服务计价表；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（16）规费和税金项目计价表；</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szCs w:val="24"/>
          <w:highlight w:val="none"/>
          <w:shd w:val="clear" w:color="auto" w:fill="auto"/>
        </w:rPr>
        <w:t xml:space="preserve"> （17）人工、主要材料和设备一览表</w:t>
      </w:r>
    </w:p>
    <w:p>
      <w:pPr>
        <w:tabs>
          <w:tab w:val="left" w:pos="1125"/>
        </w:tabs>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11.3.3按照</w:t>
      </w:r>
      <w:r>
        <w:rPr>
          <w:rFonts w:ascii="Arial" w:hAnsi="Arial" w:cs="Arial"/>
          <w:bCs/>
          <w:color w:val="auto"/>
          <w:sz w:val="24"/>
          <w:highlight w:val="none"/>
          <w:shd w:val="clear" w:color="auto" w:fill="auto"/>
        </w:rPr>
        <w:t>招标文件要求</w:t>
      </w:r>
      <w:r>
        <w:rPr>
          <w:rFonts w:ascii="Arial" w:hAnsi="Arial" w:cs="Arial"/>
          <w:color w:val="auto"/>
          <w:sz w:val="24"/>
          <w:highlight w:val="none"/>
          <w:shd w:val="clear" w:color="auto" w:fill="auto"/>
        </w:rPr>
        <w:t>填写的《参与编制经济标投标文件人员名单》。</w:t>
      </w:r>
    </w:p>
    <w:p>
      <w:pPr>
        <w:tabs>
          <w:tab w:val="left" w:pos="1125"/>
        </w:tabs>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11.3.4若投标人的投标报价低于工程成本警戒价的，投标人还须提供详细的施工组织设计、单价、措施性费用、单价分析表、主要材料价格表、投标人成本分析供评标委员会评审。</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12．投标文件格式</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12.1 投标文件包括本须知第11条中规定的内容，投标人提交的投标文件应当使用招标文件所提供的投标文件全部格式（表格可以按同样格式扩展）。</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Arial" w:hAnsi="Arial" w:cs="Arial"/>
          <w:color w:val="auto"/>
          <w:sz w:val="24"/>
          <w:szCs w:val="24"/>
          <w:highlight w:val="none"/>
          <w:shd w:val="clear" w:color="auto" w:fill="auto"/>
        </w:rPr>
        <w:t>全流程电子化项目的相关指南进行操作。详见：</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 xml:space="preserve"> 。</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 xml:space="preserve">12.3 </w:t>
      </w:r>
      <w:r>
        <w:rPr>
          <w:rFonts w:ascii="Arial" w:hAnsi="Arial" w:cs="Arial"/>
          <w:bCs/>
          <w:color w:val="auto"/>
          <w:sz w:val="24"/>
          <w:szCs w:val="24"/>
          <w:highlight w:val="none"/>
          <w:shd w:val="clear" w:color="auto" w:fill="auto"/>
        </w:rPr>
        <w:t>投标文件应按</w:t>
      </w:r>
      <w:r>
        <w:rPr>
          <w:rFonts w:ascii="Arial" w:hAnsi="Arial" w:cs="Arial"/>
          <w:color w:val="auto"/>
          <w:sz w:val="24"/>
          <w:highlight w:val="none"/>
          <w:shd w:val="clear" w:color="auto" w:fill="auto"/>
        </w:rPr>
        <w:t>照交易平台关于全流程电子化项目的相关指南进行编制，详见：</w:t>
      </w:r>
      <w:r>
        <w:rPr>
          <w:rFonts w:ascii="Arial" w:hAnsi="Arial" w:cs="Arial"/>
          <w:color w:val="auto"/>
          <w:sz w:val="24"/>
          <w:szCs w:val="24"/>
          <w:highlight w:val="none"/>
          <w:u w:val="single"/>
          <w:shd w:val="clear" w:color="auto" w:fill="auto"/>
        </w:rPr>
        <w:t xml:space="preserve">            </w:t>
      </w:r>
      <w:r>
        <w:rPr>
          <w:rFonts w:ascii="Arial" w:hAnsi="Arial" w:cs="Arial"/>
          <w:color w:val="auto"/>
          <w:sz w:val="24"/>
          <w:highlight w:val="none"/>
          <w:shd w:val="clear" w:color="auto" w:fill="auto"/>
        </w:rPr>
        <w:t xml:space="preserve">。               </w:t>
      </w:r>
    </w:p>
    <w:p>
      <w:pPr>
        <w:pStyle w:val="53"/>
        <w:spacing w:after="0" w:line="360" w:lineRule="auto"/>
        <w:ind w:firstLine="0"/>
        <w:rPr>
          <w:rFonts w:ascii="Arial" w:hAnsi="Arial" w:cs="Arial"/>
          <w:color w:val="auto"/>
          <w:sz w:val="24"/>
          <w:highlight w:val="none"/>
          <w:shd w:val="clear" w:color="auto" w:fill="auto"/>
        </w:rPr>
      </w:pPr>
      <w:r>
        <w:rPr>
          <w:rFonts w:ascii="Arial" w:hAnsi="Arial" w:cs="Arial"/>
          <w:bCs/>
          <w:color w:val="auto"/>
          <w:sz w:val="24"/>
          <w:szCs w:val="24"/>
          <w:highlight w:val="none"/>
          <w:shd w:val="clear" w:color="auto" w:fill="auto"/>
        </w:rPr>
        <w:t>如不按上述要求编制引起系统无法检索、读取相关信息的，其后果由投标人承担。</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13．投标报价及造价承包和变更结算方式</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13.1 本工程的投标报价采用投标须知前附表第12项所规定的方式。投标报价（含单价及总价）精确到“分”。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Arial" w:hAnsi="Arial" w:cs="Arial"/>
          <w:color w:val="auto"/>
          <w:sz w:val="24"/>
          <w:szCs w:val="24"/>
          <w:highlight w:val="none"/>
          <w:shd w:val="clear" w:color="auto" w:fill="auto"/>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13.5.1中标的投标文件工程量清单中已有相同项目的适用综合单价，则沿用；</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13.5.3 中标的投标文件工程量清单中没有相同项目或类似项目的，如可套取相关定额，则以相关定额为基数下浮计算单价,下浮率为中标价</w:t>
      </w:r>
      <w:r>
        <w:rPr>
          <w:rFonts w:ascii="Arial" w:hAnsi="Arial" w:cs="Arial"/>
          <w:color w:val="auto"/>
          <w:sz w:val="24"/>
          <w:szCs w:val="24"/>
          <w:highlight w:val="none"/>
          <w:shd w:val="clear" w:color="auto" w:fill="auto"/>
        </w:rPr>
        <w:t>相对于最高投标限价的下</w:t>
      </w:r>
      <w:r>
        <w:rPr>
          <w:rFonts w:ascii="Arial" w:hAnsi="Arial" w:cs="Arial"/>
          <w:color w:val="auto"/>
          <w:sz w:val="24"/>
          <w:highlight w:val="none"/>
          <w:shd w:val="clear" w:color="auto" w:fill="auto"/>
        </w:rPr>
        <w:t>浮率（下浮率=(</w:t>
      </w:r>
      <w:r>
        <w:rPr>
          <w:rFonts w:ascii="Arial" w:hAnsi="Arial" w:cs="Arial"/>
          <w:color w:val="auto"/>
          <w:sz w:val="24"/>
          <w:szCs w:val="24"/>
          <w:highlight w:val="none"/>
          <w:shd w:val="clear" w:color="auto" w:fill="auto"/>
        </w:rPr>
        <w:t>最高投标限价</w:t>
      </w:r>
      <w:r>
        <w:rPr>
          <w:rFonts w:ascii="Arial" w:hAnsi="Arial" w:cs="Arial"/>
          <w:color w:val="auto"/>
          <w:sz w:val="24"/>
          <w:highlight w:val="none"/>
          <w:shd w:val="clear" w:color="auto" w:fill="auto"/>
        </w:rPr>
        <w:t>-中标价)/</w:t>
      </w:r>
      <w:r>
        <w:rPr>
          <w:rFonts w:ascii="Arial" w:hAnsi="Arial" w:cs="Arial"/>
          <w:color w:val="auto"/>
          <w:sz w:val="24"/>
          <w:szCs w:val="24"/>
          <w:highlight w:val="none"/>
          <w:shd w:val="clear" w:color="auto" w:fill="auto"/>
        </w:rPr>
        <w:t xml:space="preserve"> 最高投标限价</w:t>
      </w:r>
      <w:r>
        <w:rPr>
          <w:rFonts w:ascii="Arial" w:hAnsi="Arial" w:cs="Arial"/>
          <w:color w:val="auto"/>
          <w:sz w:val="24"/>
          <w:highlight w:val="none"/>
          <w:shd w:val="clear" w:color="auto" w:fill="auto"/>
        </w:rPr>
        <w:t>）。</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13.5.4 如相关定额没有相应子目的，其计价方式由招标人在本招标文件第三章中另行规定。未规定的，中标后双方协商约定。</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13.6暂列金额、暂估价</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暂估价是指招标人在工程量清单中提供的用于支付必然发生但暂时不能确定价格的材料的单价以及专业工程的金额。</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13.7投标人可先到工地踏勘以充分了解工地位置、情况、道路、储存空间、装卸限制及任何其他足以影响承包价的情况，任何因忽视或误解工地情况而导致的索赔或工期延长申请将不被批准。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53"/>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highlight w:val="none"/>
          <w:shd w:val="clear" w:color="auto" w:fill="auto"/>
        </w:rPr>
        <w:t>13.9</w:t>
      </w:r>
      <w:r>
        <w:rPr>
          <w:rFonts w:ascii="Arial" w:hAnsi="Arial" w:cs="Arial"/>
          <w:color w:val="auto"/>
          <w:sz w:val="24"/>
          <w:szCs w:val="24"/>
          <w:highlight w:val="none"/>
          <w:shd w:val="clear" w:color="auto" w:fill="auto"/>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14．投标货币</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14.1 本工程投标报价采用的币种为人民币。</w:t>
      </w:r>
    </w:p>
    <w:p>
      <w:pPr>
        <w:pStyle w:val="53"/>
        <w:spacing w:after="0" w:line="360" w:lineRule="auto"/>
        <w:ind w:firstLine="482" w:firstLineChars="200"/>
        <w:rPr>
          <w:rFonts w:ascii="Arial" w:hAnsi="Arial" w:cs="Arial"/>
          <w:color w:val="auto"/>
          <w:sz w:val="24"/>
          <w:highlight w:val="none"/>
          <w:shd w:val="clear" w:color="auto" w:fill="auto"/>
        </w:rPr>
      </w:pPr>
      <w:r>
        <w:rPr>
          <w:rFonts w:ascii="Arial" w:hAnsi="Arial" w:cs="Arial"/>
          <w:b/>
          <w:bCs/>
          <w:color w:val="auto"/>
          <w:sz w:val="24"/>
          <w:highlight w:val="none"/>
          <w:shd w:val="clear" w:color="auto" w:fill="auto"/>
        </w:rPr>
        <w:t>15．投标有效期</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15.1 投标有效期见投标须知前附表第13项所规定的期限，在此期限内，凡符合本招标文件要求的投标文件均保持有效。</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16．投标保证金</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16.1投标人应按投标须知前附表第14项所述金额和时间递交</w:t>
      </w:r>
      <w:r>
        <w:rPr>
          <w:rFonts w:ascii="Arial" w:hAnsi="Arial" w:cs="Arial"/>
          <w:bCs/>
          <w:color w:val="auto"/>
          <w:sz w:val="24"/>
          <w:highlight w:val="none"/>
          <w:shd w:val="clear" w:color="auto" w:fill="auto"/>
        </w:rPr>
        <w:t>投标保证金</w:t>
      </w:r>
      <w:r>
        <w:rPr>
          <w:rFonts w:ascii="Arial" w:hAnsi="Arial" w:cs="Arial"/>
          <w:color w:val="auto"/>
          <w:sz w:val="24"/>
          <w:highlight w:val="none"/>
          <w:shd w:val="clear" w:color="auto" w:fill="auto"/>
        </w:rPr>
        <w:t>。招标人应当允许投标人自主选择现金、银行保函、保证保险、专业工程担保公司担保等方式缴纳投标保证金。</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16.1.1 采用现金或者支票形式提交的，投标保证金须从投标人的银行基本账户转出。</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16.1.3 采用电子形式的保函、担保或保证保险提交投标保证金的，应在招标文件中明确电子递交途径。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16.3投标保证金应依据法律法规的相关规定退还。</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16.4如有下列情况之一的，招标人可以不予退还投标保证金（是否退还投标保证金由招标人在招标文件中规定）：</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16.4.1因投标人原因造成投标文件未解密的；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16.4.2投标人在投标有效期内撤销投标文件；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16.4.3中标人未能在规定期限内按要求提交履约担保；</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16.4.4中标人未能在规定期限内签署合同协议。</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16.5投标人如存在下列情况之一的，将被拒绝在一定时期内参与招标人后续工程投标（拒绝时限需在招标文件中明确）：</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16.5.1投标人存在16.4条款所列情形且投标人提交的保函、担保或保证保险无法兑付的；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16.5.3按招标文件要求免于提供投标保证金的投标人存在16.4条款所列情形，且未按招标人要求补交投标保证金的；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16.5.3按招标文件要求免于提供投标保证金的投标人存在16.4条款所列情形的。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注：16.5.3款由招标人二选一，需在招标文件中明确。</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17．投标文件的签署</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Arial" w:hAnsi="Arial" w:cs="Arial"/>
          <w:color w:val="auto"/>
          <w:sz w:val="24"/>
          <w:highlight w:val="none"/>
          <w:u w:val="single"/>
          <w:shd w:val="clear" w:color="auto" w:fill="auto"/>
        </w:rPr>
        <w:t xml:space="preserve">            </w:t>
      </w:r>
      <w:r>
        <w:rPr>
          <w:rFonts w:ascii="Arial" w:hAnsi="Arial" w:cs="Arial"/>
          <w:color w:val="auto"/>
          <w:sz w:val="24"/>
          <w:highlight w:val="none"/>
          <w:shd w:val="clear" w:color="auto" w:fill="auto"/>
        </w:rPr>
        <w:t xml:space="preserve"> 。</w:t>
      </w:r>
    </w:p>
    <w:p>
      <w:pPr>
        <w:pStyle w:val="5"/>
        <w:spacing w:before="156" w:after="156"/>
        <w:rPr>
          <w:rFonts w:ascii="Arial" w:hAnsi="Arial" w:cs="Arial"/>
          <w:color w:val="auto"/>
          <w:highlight w:val="none"/>
          <w:shd w:val="clear" w:color="auto" w:fill="auto"/>
        </w:rPr>
      </w:pPr>
      <w:bookmarkStart w:id="27" w:name="_Toc21654"/>
      <w:bookmarkStart w:id="28" w:name="_Toc101266285"/>
      <w:bookmarkStart w:id="29" w:name="_Toc2272552"/>
      <w:bookmarkStart w:id="30" w:name="_Toc159334846"/>
      <w:r>
        <w:rPr>
          <w:rFonts w:ascii="Arial" w:hAnsi="Arial" w:cs="Arial"/>
          <w:color w:val="auto"/>
          <w:highlight w:val="none"/>
          <w:shd w:val="clear" w:color="auto" w:fill="auto"/>
        </w:rPr>
        <w:t>（四）投标文件的提交</w:t>
      </w:r>
      <w:bookmarkEnd w:id="27"/>
      <w:bookmarkEnd w:id="28"/>
      <w:bookmarkEnd w:id="29"/>
      <w:bookmarkEnd w:id="30"/>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18．</w:t>
      </w:r>
      <w:r>
        <w:rPr>
          <w:rFonts w:ascii="Arial" w:hAnsi="Arial" w:cs="Arial"/>
          <w:b/>
          <w:color w:val="auto"/>
          <w:sz w:val="24"/>
          <w:szCs w:val="24"/>
          <w:highlight w:val="none"/>
          <w:shd w:val="clear" w:color="auto" w:fill="auto"/>
        </w:rPr>
        <w:t>投标文件的密封和标记</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18.1递交的电子投标文件（不含备用光盘）必须进行加密。按照交易平台关于</w:t>
      </w:r>
      <w:r>
        <w:rPr>
          <w:rFonts w:ascii="Arial" w:hAnsi="Arial" w:cs="Arial"/>
          <w:color w:val="auto"/>
          <w:sz w:val="24"/>
          <w:szCs w:val="24"/>
          <w:highlight w:val="none"/>
          <w:shd w:val="clear" w:color="auto" w:fill="auto"/>
        </w:rPr>
        <w:t>全流程电子化项目的相关指南进行操作。详见：</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 xml:space="preserve"> 。</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18.2 未按要求加密的投标文件，</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bCs/>
          <w:color w:val="auto"/>
          <w:sz w:val="24"/>
          <w:highlight w:val="none"/>
          <w:shd w:val="clear" w:color="auto" w:fill="auto"/>
        </w:rPr>
        <w:t>将予以拒收。</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19．投标文件的递交和接收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19.1投标人通过</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递交电子投标文件。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19.2投标人完成电子</w:t>
      </w:r>
      <w:r>
        <w:rPr>
          <w:rFonts w:ascii="Arial" w:hAnsi="Arial" w:cs="Arial"/>
          <w:color w:val="auto"/>
          <w:sz w:val="24"/>
          <w:highlight w:val="none"/>
          <w:shd w:val="clear" w:color="auto" w:fill="auto"/>
        </w:rPr>
        <w:t>投标文件</w:t>
      </w:r>
      <w:r>
        <w:rPr>
          <w:rFonts w:ascii="Arial" w:hAnsi="Arial" w:cs="Arial"/>
          <w:bCs/>
          <w:color w:val="auto"/>
          <w:sz w:val="24"/>
          <w:highlight w:val="none"/>
          <w:shd w:val="clear" w:color="auto" w:fill="auto"/>
        </w:rPr>
        <w:t>上传后，</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即时向投标人发出递交回执通知。递交时间以递交回执通知载明的传输完成时间为准。</w:t>
      </w:r>
    </w:p>
    <w:p>
      <w:pPr>
        <w:spacing w:line="360" w:lineRule="auto"/>
        <w:ind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19.3</w:t>
      </w:r>
      <w:r>
        <w:rPr>
          <w:rFonts w:ascii="Arial" w:hAnsi="Arial" w:cs="Arial"/>
          <w:bCs/>
          <w:color w:val="auto"/>
          <w:sz w:val="24"/>
          <w:szCs w:val="24"/>
          <w:highlight w:val="none"/>
          <w:shd w:val="clear" w:color="auto" w:fill="auto"/>
        </w:rPr>
        <w:t>逾期送达的</w:t>
      </w:r>
      <w:r>
        <w:rPr>
          <w:rFonts w:ascii="Arial" w:hAnsi="Arial" w:cs="Arial"/>
          <w:bCs/>
          <w:color w:val="auto"/>
          <w:sz w:val="24"/>
          <w:highlight w:val="none"/>
          <w:shd w:val="clear" w:color="auto" w:fill="auto"/>
        </w:rPr>
        <w:t>电子投标文件，</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将予以拒收。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 xml:space="preserve">19.4 </w:t>
      </w:r>
      <w:r>
        <w:rPr>
          <w:rFonts w:ascii="Arial" w:hAnsi="Arial" w:cs="Arial"/>
          <w:color w:val="auto"/>
          <w:sz w:val="24"/>
          <w:szCs w:val="24"/>
          <w:highlight w:val="none"/>
          <w:shd w:val="clear" w:color="auto" w:fill="auto"/>
        </w:rPr>
        <w:t>投标截止前，招标人拒绝接收符合条件的投标文件，投标人可向招标投标监督机构投诉。</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19.5如技术标和经济标先后分别开启，</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将按招标文件规定的时间分别开启技术标和经济标。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szCs w:val="24"/>
          <w:highlight w:val="none"/>
          <w:shd w:val="clear" w:color="auto" w:fill="auto"/>
        </w:rPr>
        <w:t>19.6在规定的时间内，项目负责人须到自助签到。按照交易平台有关项目负责人自助签到流程进行操作。项目负责人凡未凭身份证按时到达指定地点签到的，</w:t>
      </w:r>
      <w:r>
        <w:rPr>
          <w:rFonts w:ascii="Arial" w:hAnsi="Arial" w:cs="Arial"/>
          <w:color w:val="auto"/>
          <w:sz w:val="24"/>
          <w:highlight w:val="none"/>
          <w:shd w:val="clear" w:color="auto" w:fill="auto"/>
        </w:rPr>
        <w:t>该投标文件将不能参与资格审查和评标</w:t>
      </w:r>
      <w:r>
        <w:rPr>
          <w:rFonts w:ascii="Arial" w:hAnsi="Arial" w:cs="Arial"/>
          <w:color w:val="auto"/>
          <w:sz w:val="24"/>
          <w:szCs w:val="24"/>
          <w:highlight w:val="none"/>
          <w:shd w:val="clear" w:color="auto" w:fill="auto"/>
        </w:rPr>
        <w:t>（选择性条款）。</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20．投标文件提交的截止时间</w:t>
      </w:r>
    </w:p>
    <w:p>
      <w:pPr>
        <w:spacing w:line="360" w:lineRule="auto"/>
        <w:ind w:firstLine="480" w:firstLineChars="200"/>
        <w:rPr>
          <w:rFonts w:ascii="Arial" w:hAnsi="Arial" w:cs="Arial"/>
          <w:b/>
          <w:bCs/>
          <w:color w:val="auto"/>
          <w:sz w:val="24"/>
          <w:highlight w:val="none"/>
          <w:shd w:val="clear" w:color="auto" w:fill="auto"/>
        </w:rPr>
      </w:pPr>
      <w:r>
        <w:rPr>
          <w:rFonts w:ascii="Arial" w:hAnsi="Arial" w:cs="Arial"/>
          <w:color w:val="auto"/>
          <w:sz w:val="24"/>
          <w:highlight w:val="none"/>
          <w:shd w:val="clear" w:color="auto" w:fill="auto"/>
        </w:rPr>
        <w:t>20.1投标人应在投标须知前附表第17项所述的时间前提交投标文件。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20.3 到投标截止时间止，招标人收到的投标文件少于3家的，招标人将重新组织招标</w:t>
      </w:r>
      <w:r>
        <w:rPr>
          <w:rFonts w:ascii="Arial" w:hAnsi="Arial" w:cs="Arial"/>
          <w:color w:val="auto"/>
          <w:sz w:val="24"/>
          <w:szCs w:val="24"/>
          <w:highlight w:val="none"/>
          <w:shd w:val="clear" w:color="auto" w:fill="auto"/>
        </w:rPr>
        <w:t>（当N个标段同时招标且不允许兼中时，若有效投标人不足N+2家，则重新组织招标）</w:t>
      </w:r>
      <w:r>
        <w:rPr>
          <w:rFonts w:ascii="Arial" w:hAnsi="Arial" w:cs="Arial"/>
          <w:color w:val="auto"/>
          <w:sz w:val="24"/>
          <w:highlight w:val="none"/>
          <w:shd w:val="clear" w:color="auto" w:fill="auto"/>
        </w:rPr>
        <w:t>。</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21．迟交的投标文件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21.1 本须知前附表第17项规定的投标截止时间</w:t>
      </w:r>
      <w:r>
        <w:rPr>
          <w:rFonts w:ascii="Arial" w:hAnsi="Arial" w:cs="Arial"/>
          <w:bCs/>
          <w:color w:val="auto"/>
          <w:sz w:val="24"/>
          <w:szCs w:val="24"/>
          <w:highlight w:val="none"/>
          <w:shd w:val="clear" w:color="auto" w:fill="auto"/>
        </w:rPr>
        <w:t>后送达的</w:t>
      </w:r>
      <w:r>
        <w:rPr>
          <w:rFonts w:ascii="Arial" w:hAnsi="Arial" w:cs="Arial"/>
          <w:bCs/>
          <w:color w:val="auto"/>
          <w:sz w:val="24"/>
          <w:highlight w:val="none"/>
          <w:shd w:val="clear" w:color="auto" w:fill="auto"/>
        </w:rPr>
        <w:t>电子投标文件，</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将予以拒收。</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22．投标文件的修改与撤回</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22.1在规定的投标截止时间前，投标人可以修改或撤回已递交的投标文件，但应以书面形式通知招标人。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22.2投标人修改或撤回已递交的投标文件，需在</w:t>
      </w:r>
      <w:r>
        <w:rPr>
          <w:rFonts w:ascii="Arial" w:hAnsi="Arial" w:cs="Arial"/>
          <w:color w:val="auto"/>
          <w:sz w:val="24"/>
          <w:highlight w:val="none"/>
          <w:shd w:val="clear" w:color="auto" w:fill="auto"/>
        </w:rPr>
        <w:t>交易平台发出修改或撤回</w:t>
      </w:r>
      <w:r>
        <w:rPr>
          <w:rFonts w:ascii="Arial" w:hAnsi="Arial" w:cs="Arial"/>
          <w:color w:val="auto"/>
          <w:sz w:val="24"/>
          <w:szCs w:val="24"/>
          <w:highlight w:val="none"/>
          <w:shd w:val="clear" w:color="auto" w:fill="auto"/>
        </w:rPr>
        <w:t>通知，并按要求加盖电子印章。</w:t>
      </w:r>
      <w:r>
        <w:rPr>
          <w:rFonts w:ascii="Arial" w:hAnsi="Arial" w:cs="Arial"/>
          <w:bCs/>
          <w:iCs/>
          <w:color w:val="auto"/>
          <w:sz w:val="24"/>
          <w:szCs w:val="24"/>
          <w:highlight w:val="none"/>
          <w:shd w:val="clear" w:color="auto" w:fill="auto"/>
        </w:rPr>
        <w:t>电子招标投标交易平台收到通知后，</w:t>
      </w:r>
      <w:r>
        <w:rPr>
          <w:rFonts w:ascii="Arial" w:hAnsi="Arial" w:cs="Arial"/>
          <w:color w:val="auto"/>
          <w:sz w:val="24"/>
          <w:szCs w:val="24"/>
          <w:highlight w:val="none"/>
          <w:shd w:val="clear" w:color="auto" w:fill="auto"/>
        </w:rPr>
        <w:t>即时向投标人发出确认回执通知。</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22.3修改后再次递交的，按19点的规定执行。</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22.4 在投标截止时间之后，投标人不得补充、修改和更换投标文件。</w:t>
      </w:r>
    </w:p>
    <w:p>
      <w:pPr>
        <w:pStyle w:val="5"/>
        <w:spacing w:before="156" w:after="156"/>
        <w:rPr>
          <w:rFonts w:ascii="Arial" w:hAnsi="Arial" w:cs="Arial"/>
          <w:color w:val="auto"/>
          <w:highlight w:val="none"/>
          <w:shd w:val="clear" w:color="auto" w:fill="auto"/>
        </w:rPr>
      </w:pPr>
      <w:bookmarkStart w:id="31" w:name="_Toc2272553"/>
      <w:bookmarkStart w:id="32" w:name="_Toc159334847"/>
      <w:bookmarkStart w:id="33" w:name="_Toc11475"/>
      <w:bookmarkStart w:id="34" w:name="_Toc101266286"/>
      <w:r>
        <w:rPr>
          <w:rFonts w:ascii="Arial" w:hAnsi="Arial" w:cs="Arial"/>
          <w:color w:val="auto"/>
          <w:highlight w:val="none"/>
          <w:shd w:val="clear" w:color="auto" w:fill="auto"/>
        </w:rPr>
        <w:t>（五）开标、评标、定标及合同签定</w:t>
      </w:r>
      <w:bookmarkEnd w:id="31"/>
      <w:bookmarkEnd w:id="32"/>
      <w:bookmarkEnd w:id="33"/>
      <w:bookmarkEnd w:id="34"/>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23、开标。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详见第二章开标、评标及定标办法</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24．评标过程的保密</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25．投标文件的澄清，计算错误的修正</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详见招标文件第二章开标、评标及定标办法</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26．投标文件的评审、比较和否决</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color w:val="auto"/>
          <w:sz w:val="24"/>
          <w:highlight w:val="none"/>
          <w:shd w:val="clear" w:color="auto" w:fill="auto"/>
        </w:rPr>
        <w:t>详见招标文件第二章开标、评标及定标办法。</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27．中标通知书</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27.1招标人将在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、广东省招标投标监管网和中国招标投标公共服务平台公示中标候选人，公示期为三天。</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27.2招标人应当自确定中标人后，向招标投标监管机构提交招标投标情况的书面报告；经招投标监管机构备案后，方可发出中标通知书。</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27.3中标人必须在收到中标通知书后24小时之内以书面形式回复招标人，确认收到。</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27.4在产生中标候选人后，招标人将中标候选人的投标文件商务部分文件的所有内容（包括报价清单、人员、业绩、奖项等资料）在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交易平台和广东省招标投标监管网</w:t>
      </w:r>
      <w:r>
        <w:rPr>
          <w:rFonts w:ascii="Arial" w:hAnsi="Arial" w:cs="Arial"/>
          <w:color w:val="auto"/>
          <w:sz w:val="24"/>
          <w:highlight w:val="none"/>
          <w:shd w:val="clear" w:color="auto" w:fill="auto"/>
        </w:rPr>
        <w:t>公开。</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28．合同协议书的签订</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28.4招标人支付工程款时，中标人应按规定开具发票。</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29．履约担保</w:t>
      </w:r>
    </w:p>
    <w:p>
      <w:pPr>
        <w:snapToGrid w:val="0"/>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29.1 在收到中标通知书后的</w:t>
      </w:r>
      <w:r>
        <w:rPr>
          <w:rFonts w:ascii="Arial" w:hAnsi="Arial" w:cs="Arial"/>
          <w:b/>
          <w:color w:val="auto"/>
          <w:sz w:val="24"/>
          <w:highlight w:val="none"/>
          <w:shd w:val="clear" w:color="auto" w:fill="auto"/>
        </w:rPr>
        <w:t>15日</w:t>
      </w:r>
      <w:r>
        <w:rPr>
          <w:rFonts w:ascii="Arial" w:hAnsi="Arial" w:cs="Arial"/>
          <w:color w:val="auto"/>
          <w:sz w:val="24"/>
          <w:highlight w:val="none"/>
          <w:shd w:val="clear" w:color="auto" w:fill="auto"/>
        </w:rPr>
        <w:t>内，中标人应按本须知前附表第20项的规定向招标人提交履约担保。</w:t>
      </w:r>
    </w:p>
    <w:p>
      <w:pPr>
        <w:snapToGrid w:val="0"/>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30．合同生效</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30.1在合同双方全权代表在合同协议书上签字，并分别加盖双方单位的公章后，合同正式生效。</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31．其它费用</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32．腐败与欺诈行为</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在招标和合同实施期间，招标人要求投标人和承包人遵守最高的道德标准。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32．1对本条款的规定，特定义如下词汇：</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1）、“腐败行为”是指在招标或合同执行期间，通过提供、给予、接受或索要任何有价值的东西，从而影响招标人有关人员工作的行为；</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32．2如果投标人被认定在本招标的竞争中有腐败或欺诈行为，则会被取消投标资格。</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33. 投标人信誉的要求</w:t>
      </w:r>
    </w:p>
    <w:p>
      <w:pPr>
        <w:spacing w:line="480" w:lineRule="auto"/>
        <w:ind w:firstLine="537" w:firstLineChars="224"/>
        <w:rPr>
          <w:rFonts w:ascii="Arial" w:hAnsi="Arial" w:cs="Arial"/>
          <w:color w:val="auto"/>
          <w:sz w:val="24"/>
          <w:highlight w:val="none"/>
          <w:shd w:val="clear" w:color="auto" w:fill="auto"/>
        </w:rPr>
      </w:pPr>
      <w:r>
        <w:rPr>
          <w:rFonts w:ascii="Arial" w:hAnsi="Arial" w:cs="Arial"/>
          <w:color w:val="auto"/>
          <w:sz w:val="24"/>
          <w:highlight w:val="none"/>
          <w:shd w:val="clear" w:color="auto" w:fill="auto"/>
        </w:rPr>
        <w:t>存在下列情形之一的，招标人可以限制其投标（需在招标文件中明确评定方法）</w:t>
      </w:r>
    </w:p>
    <w:p>
      <w:pPr>
        <w:spacing w:line="480" w:lineRule="auto"/>
        <w:ind w:firstLine="537" w:firstLineChars="224"/>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（1）被住房城乡建设行政主管部门在全国建筑市场监管一体化工作平台列入建筑市场主体“黑名单”；</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（2）被发改委、人力资源社会保障、质检总局等有关部门、单位在“信用中国”网站中列入联合惩戒失信黑名单。</w:t>
      </w:r>
    </w:p>
    <w:p>
      <w:pPr>
        <w:pStyle w:val="2"/>
        <w:jc w:val="center"/>
        <w:rPr>
          <w:rFonts w:cs="Arial"/>
          <w:b/>
          <w:color w:val="auto"/>
          <w:highlight w:val="none"/>
          <w:shd w:val="clear" w:color="auto" w:fill="auto"/>
        </w:rPr>
      </w:pPr>
      <w:r>
        <w:rPr>
          <w:rFonts w:cs="Arial"/>
          <w:color w:val="auto"/>
          <w:sz w:val="24"/>
          <w:highlight w:val="none"/>
          <w:shd w:val="clear" w:color="auto" w:fill="auto"/>
        </w:rPr>
        <w:br w:type="page"/>
      </w:r>
      <w:bookmarkStart w:id="35" w:name="_Toc20735"/>
      <w:bookmarkStart w:id="36" w:name="_Toc2272554"/>
      <w:bookmarkStart w:id="37" w:name="_Toc159334848"/>
      <w:r>
        <w:rPr>
          <w:rFonts w:cs="Arial"/>
          <w:b/>
          <w:color w:val="auto"/>
          <w:highlight w:val="none"/>
          <w:shd w:val="clear" w:color="auto" w:fill="auto"/>
        </w:rPr>
        <w:t>第二章  开标、评标及定标办法</w:t>
      </w:r>
      <w:bookmarkEnd w:id="35"/>
      <w:bookmarkEnd w:id="36"/>
      <w:bookmarkEnd w:id="37"/>
    </w:p>
    <w:p>
      <w:pPr>
        <w:pStyle w:val="3"/>
        <w:rPr>
          <w:rFonts w:cs="Arial"/>
          <w:color w:val="auto"/>
          <w:highlight w:val="none"/>
          <w:shd w:val="clear" w:color="auto" w:fill="auto"/>
        </w:rPr>
      </w:pPr>
      <w:bookmarkStart w:id="38" w:name="_Toc159334849"/>
      <w:bookmarkStart w:id="39" w:name="_Toc10049"/>
      <w:bookmarkStart w:id="40" w:name="_Toc2272555"/>
      <w:bookmarkStart w:id="41" w:name="_Toc101266288"/>
      <w:r>
        <w:rPr>
          <w:rFonts w:cs="Arial"/>
          <w:color w:val="auto"/>
          <w:sz w:val="28"/>
          <w:szCs w:val="28"/>
          <w:highlight w:val="none"/>
          <w:shd w:val="clear" w:color="auto" w:fill="auto"/>
        </w:rPr>
        <w:t>一、</w:t>
      </w:r>
      <w:r>
        <w:rPr>
          <w:rFonts w:cs="Arial"/>
          <w:color w:val="auto"/>
          <w:highlight w:val="none"/>
          <w:shd w:val="clear" w:color="auto" w:fill="auto"/>
        </w:rPr>
        <w:t>开标、评标及定标办法修改表</w:t>
      </w:r>
      <w:bookmarkEnd w:id="38"/>
      <w:bookmarkEnd w:id="39"/>
      <w:bookmarkEnd w:id="40"/>
      <w:bookmarkEnd w:id="41"/>
    </w:p>
    <w:p>
      <w:pPr>
        <w:pStyle w:val="53"/>
        <w:spacing w:after="0" w:line="360" w:lineRule="auto"/>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声明：本</w:t>
      </w:r>
      <w:r>
        <w:rPr>
          <w:rFonts w:ascii="Arial" w:hAnsi="Arial" w:cs="Arial"/>
          <w:b/>
          <w:color w:val="auto"/>
          <w:highlight w:val="none"/>
          <w:shd w:val="clear" w:color="auto" w:fill="auto"/>
        </w:rPr>
        <w:t>开标、评标及定标办法使用GZZB2018-3招标文件范本的开标、评标及定标办法通用条款，与该通用条款不同之处，均在本表中列明，并以现文为准，原</w:t>
      </w:r>
      <w:r>
        <w:rPr>
          <w:rFonts w:ascii="Arial" w:hAnsi="Arial" w:cs="Arial"/>
          <w:b/>
          <w:color w:val="auto"/>
          <w:szCs w:val="21"/>
          <w:highlight w:val="none"/>
          <w:shd w:val="clear" w:color="auto" w:fill="auto"/>
        </w:rPr>
        <w:t>文不再有效。本招标文件中不再转录</w:t>
      </w:r>
      <w:r>
        <w:rPr>
          <w:rFonts w:ascii="Arial" w:hAnsi="Arial" w:cs="Arial"/>
          <w:b/>
          <w:color w:val="auto"/>
          <w:highlight w:val="none"/>
          <w:shd w:val="clear" w:color="auto" w:fill="auto"/>
        </w:rPr>
        <w:t>开标、评标及定标办法</w:t>
      </w:r>
      <w:r>
        <w:rPr>
          <w:rFonts w:ascii="Arial" w:hAnsi="Arial" w:cs="Arial"/>
          <w:b/>
          <w:color w:val="auto"/>
          <w:szCs w:val="21"/>
          <w:highlight w:val="none"/>
          <w:shd w:val="clear" w:color="auto" w:fill="auto"/>
        </w:rPr>
        <w:t>通用条款，请投标人自行到广州市住房和城乡建设局网站（网址：</w:t>
      </w:r>
      <w:r>
        <w:rPr>
          <w:color w:val="auto"/>
          <w:highlight w:val="none"/>
          <w:shd w:val="clear" w:color="auto" w:fill="auto"/>
        </w:rPr>
        <w:fldChar w:fldCharType="begin"/>
      </w:r>
      <w:r>
        <w:rPr>
          <w:color w:val="auto"/>
          <w:highlight w:val="none"/>
          <w:shd w:val="clear" w:color="auto" w:fill="auto"/>
        </w:rPr>
        <w:instrText xml:space="preserve"> HYPERLINK "http://www.gzcc.gov.cn/）下载GZZB2018-3" </w:instrText>
      </w:r>
      <w:r>
        <w:rPr>
          <w:color w:val="auto"/>
          <w:highlight w:val="none"/>
          <w:shd w:val="clear" w:color="auto" w:fill="auto"/>
        </w:rPr>
        <w:fldChar w:fldCharType="separate"/>
      </w:r>
      <w:r>
        <w:rPr>
          <w:rFonts w:hint="eastAsia"/>
          <w:color w:val="auto"/>
          <w:highlight w:val="none"/>
          <w:shd w:val="clear" w:color="auto" w:fill="auto"/>
        </w:rPr>
        <w:t>http://zfcj.gz.gov.cn/</w:t>
      </w:r>
      <w:r>
        <w:rPr>
          <w:rStyle w:val="64"/>
          <w:rFonts w:ascii="Arial" w:hAnsi="Arial" w:cs="Arial"/>
          <w:b/>
          <w:color w:val="auto"/>
          <w:szCs w:val="21"/>
          <w:highlight w:val="none"/>
          <w:shd w:val="clear" w:color="auto" w:fill="auto"/>
        </w:rPr>
        <w:t>）下载GZZB2018-3</w:t>
      </w:r>
      <w:r>
        <w:rPr>
          <w:rStyle w:val="64"/>
          <w:rFonts w:ascii="Arial" w:hAnsi="Arial" w:cs="Arial"/>
          <w:b/>
          <w:color w:val="auto"/>
          <w:szCs w:val="21"/>
          <w:highlight w:val="none"/>
          <w:shd w:val="clear" w:color="auto" w:fill="auto"/>
        </w:rPr>
        <w:fldChar w:fldCharType="end"/>
      </w:r>
      <w:r>
        <w:rPr>
          <w:rFonts w:ascii="Arial" w:hAnsi="Arial" w:cs="Arial"/>
          <w:b/>
          <w:color w:val="auto"/>
          <w:szCs w:val="21"/>
          <w:highlight w:val="none"/>
          <w:shd w:val="clear" w:color="auto" w:fill="auto"/>
        </w:rPr>
        <w:t>范本查阅。</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条款号：36.1          修改类型：修改</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7" w:firstLineChars="25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36.1招标人按投标须知前附表第18项所规定的时间和地点公开开标，并邀请所有投标人参加。截标后，开标开始时间因故推迟的，相关评标信息仍以原定的开标开始时间的信息为准。</w:t>
      </w:r>
      <w:r>
        <w:rPr>
          <w:rFonts w:ascii="Arial" w:hAnsi="Arial" w:cs="Arial"/>
          <w:color w:val="auto"/>
          <w:szCs w:val="21"/>
          <w:highlight w:val="none"/>
          <w:u w:val="single"/>
          <w:shd w:val="clear" w:color="auto" w:fill="auto"/>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条款号：36.3             修改类型：删除</w:t>
      </w:r>
    </w:p>
    <w:p>
      <w:pPr>
        <w:pBdr>
          <w:bottom w:val="single" w:color="auto" w:sz="6" w:space="1"/>
        </w:pBdr>
        <w:spacing w:line="48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条款号：36.4             修改类型：修改</w:t>
      </w:r>
    </w:p>
    <w:p>
      <w:pPr>
        <w:pBdr>
          <w:bottom w:val="single" w:color="auto" w:sz="6" w:space="1"/>
        </w:pBdr>
        <w:spacing w:line="48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36.4若递交投标文件的投标人不足3家，则重新组织招标。（当N个标段同时招标且不允许兼中时，若有效投标人不足N+2家，则重新组织招标）</w:t>
      </w:r>
    </w:p>
    <w:p>
      <w:pPr>
        <w:pBdr>
          <w:bottom w:val="single" w:color="auto" w:sz="6" w:space="1"/>
        </w:pBdr>
        <w:spacing w:line="48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36.4若递交投标文件的投标人不足3家，则重新组织招标。</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条款号：36.5.1             修改类型：修改</w:t>
      </w:r>
    </w:p>
    <w:p>
      <w:pPr>
        <w:spacing w:line="48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36.5.1在投标截止时间后半小时内，投标人通过</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ascii="Arial" w:hAnsi="Arial" w:cs="Arial"/>
          <w:color w:val="auto"/>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36.5.1在投标截止时间后半小时内，投标人通过交易平台对已递交的电子投标文件进行解密。投标人完成解密后，再由</w:t>
      </w:r>
      <w:r>
        <w:rPr>
          <w:rFonts w:hint="eastAsia" w:ascii="宋体" w:hAnsi="宋体" w:cs="宋体"/>
          <w:bCs/>
          <w:color w:val="auto"/>
          <w:szCs w:val="21"/>
          <w:highlight w:val="none"/>
          <w:u w:val="single"/>
          <w:shd w:val="clear" w:color="auto" w:fill="auto"/>
        </w:rPr>
        <w:t>招标人或招标代理机构</w:t>
      </w:r>
      <w:r>
        <w:rPr>
          <w:rFonts w:ascii="Arial" w:hAnsi="Arial" w:cs="Arial"/>
          <w:color w:val="auto"/>
          <w:szCs w:val="21"/>
          <w:highlight w:val="none"/>
          <w:shd w:val="clear" w:color="auto" w:fill="auto"/>
        </w:rPr>
        <w:t>进行解密。解密完成后，公布招标项目名称、投标人名称的递交情况、投标报价、工期及其他内容；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条款号：36.5.3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36.5.3投标人代表、招标人代表、监标人、记录人等有关人员在开标记录上签字确认；若有关人员不签字的，不影响开标程序；</w:t>
      </w:r>
    </w:p>
    <w:p>
      <w:pPr>
        <w:pBdr>
          <w:bottom w:val="single" w:color="auto" w:sz="6" w:space="1"/>
        </w:pBdr>
        <w:spacing w:line="360" w:lineRule="auto"/>
        <w:ind w:firstLine="527" w:firstLineChars="250"/>
        <w:rPr>
          <w:rFonts w:ascii="Arial" w:hAnsi="Arial" w:cs="Arial"/>
          <w:color w:val="auto"/>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36.5.3投标人代表、招标人代表、监标人、记录人等有关人员在开标记录上签字确认；若有关人员不签字的，不影响开标程序；</w:t>
      </w:r>
      <w:r>
        <w:rPr>
          <w:rFonts w:ascii="Arial" w:hAnsi="Arial" w:cs="Arial"/>
          <w:color w:val="auto"/>
          <w:szCs w:val="21"/>
          <w:highlight w:val="none"/>
          <w:u w:val="single"/>
          <w:shd w:val="clear" w:color="auto" w:fill="auto"/>
        </w:rPr>
        <w:t>若投标人不参加开标会的，或不签字确认的，视同该投标人认可开标结果。</w:t>
      </w:r>
    </w:p>
    <w:p>
      <w:pPr>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条款号：38.1            修改类型：修改</w:t>
      </w:r>
    </w:p>
    <w:p>
      <w:pPr>
        <w:pStyle w:val="50"/>
        <w:spacing w:line="360" w:lineRule="auto"/>
        <w:ind w:firstLine="422" w:firstLineChars="200"/>
        <w:rPr>
          <w:rFonts w:ascii="Arial" w:hAnsi="Arial" w:cs="Arial"/>
          <w:bCs/>
          <w:color w:val="auto"/>
          <w:sz w:val="21"/>
          <w:szCs w:val="21"/>
          <w:highlight w:val="none"/>
          <w:shd w:val="clear" w:color="auto" w:fill="auto"/>
        </w:rPr>
      </w:pPr>
      <w:r>
        <w:rPr>
          <w:rFonts w:ascii="Arial" w:hAnsi="Arial" w:cs="Arial"/>
          <w:b/>
          <w:bCs/>
          <w:color w:val="auto"/>
          <w:sz w:val="21"/>
          <w:szCs w:val="21"/>
          <w:highlight w:val="none"/>
          <w:shd w:val="clear" w:color="auto" w:fill="auto"/>
        </w:rPr>
        <w:t>原文：</w:t>
      </w:r>
      <w:r>
        <w:rPr>
          <w:rFonts w:ascii="Arial" w:hAnsi="Arial" w:cs="Arial"/>
          <w:bCs/>
          <w:color w:val="auto"/>
          <w:sz w:val="21"/>
          <w:szCs w:val="21"/>
          <w:highlight w:val="none"/>
          <w:shd w:val="clear" w:color="auto" w:fill="auto"/>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527" w:firstLineChars="25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ascii="Arial" w:hAnsi="Arial" w:cs="Arial"/>
          <w:color w:val="auto"/>
          <w:szCs w:val="21"/>
          <w:highlight w:val="none"/>
          <w:u w:val="single"/>
          <w:shd w:val="clear" w:color="auto" w:fill="auto"/>
        </w:rPr>
        <w:t>对投标文件含义不明确、对同类问题表述不一致、有明显文字和计算错误的内容以及细微偏差的</w:t>
      </w:r>
      <w:r>
        <w:rPr>
          <w:rFonts w:ascii="Arial" w:hAnsi="Arial" w:cs="Arial"/>
          <w:color w:val="auto"/>
          <w:szCs w:val="21"/>
          <w:highlight w:val="none"/>
          <w:shd w:val="clear" w:color="auto" w:fill="auto"/>
        </w:rPr>
        <w:t>内容作出澄清。</w:t>
      </w:r>
    </w:p>
    <w:p>
      <w:pPr>
        <w:pStyle w:val="50"/>
        <w:widowControl/>
        <w:spacing w:line="360" w:lineRule="auto"/>
        <w:ind w:firstLine="422" w:firstLineChars="200"/>
        <w:rPr>
          <w:rFonts w:ascii="Arial" w:hAnsi="Arial" w:cs="Arial"/>
          <w:b/>
          <w:bCs/>
          <w:color w:val="auto"/>
          <w:sz w:val="21"/>
          <w:szCs w:val="21"/>
          <w:highlight w:val="none"/>
          <w:shd w:val="clear" w:color="auto" w:fill="auto"/>
        </w:rPr>
      </w:pPr>
      <w:r>
        <w:rPr>
          <w:rFonts w:ascii="Arial" w:hAnsi="Arial" w:cs="Arial"/>
          <w:b/>
          <w:bCs/>
          <w:color w:val="auto"/>
          <w:sz w:val="21"/>
          <w:szCs w:val="21"/>
          <w:highlight w:val="none"/>
          <w:shd w:val="clear" w:color="auto" w:fill="auto"/>
        </w:rPr>
        <w:t>条款号：39.3 修改类型：修改</w:t>
      </w:r>
    </w:p>
    <w:p>
      <w:pPr>
        <w:widowControl/>
        <w:spacing w:line="360" w:lineRule="auto"/>
        <w:ind w:firstLine="413" w:firstLineChars="196"/>
        <w:jc w:val="left"/>
        <w:rPr>
          <w:rFonts w:ascii="Arial" w:hAnsi="Arial" w:cs="Arial"/>
          <w:color w:val="auto"/>
          <w:szCs w:val="21"/>
          <w:highlight w:val="none"/>
          <w:shd w:val="clear" w:color="auto" w:fill="auto"/>
        </w:rPr>
      </w:pPr>
      <w:r>
        <w:rPr>
          <w:rFonts w:ascii="Arial" w:hAnsi="Arial" w:cs="Arial"/>
          <w:b/>
          <w:color w:val="auto"/>
          <w:kern w:val="0"/>
          <w:szCs w:val="21"/>
          <w:highlight w:val="none"/>
          <w:shd w:val="clear" w:color="auto" w:fill="auto"/>
        </w:rPr>
        <w:t>原文：</w:t>
      </w:r>
      <w:r>
        <w:rPr>
          <w:rFonts w:ascii="Arial" w:hAnsi="Arial" w:cs="Arial"/>
          <w:color w:val="auto"/>
          <w:kern w:val="0"/>
          <w:szCs w:val="21"/>
          <w:highlight w:val="none"/>
          <w:shd w:val="clear" w:color="auto" w:fill="auto"/>
        </w:rPr>
        <w:t>39.3</w:t>
      </w:r>
      <w:r>
        <w:rPr>
          <w:rFonts w:ascii="Arial" w:hAnsi="Arial" w:cs="Arial"/>
          <w:color w:val="auto"/>
          <w:szCs w:val="21"/>
          <w:highlight w:val="none"/>
          <w:shd w:val="clear" w:color="auto" w:fill="auto"/>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39.3排名第一的中标候选人放弃中标、或因不可抗力提出不能履行合同，或者招标文件规定应当提交履约担保而在规定的期限内未能提交的，</w:t>
      </w:r>
      <w:r>
        <w:rPr>
          <w:rFonts w:ascii="Arial" w:hAnsi="Arial" w:cs="Arial"/>
          <w:b/>
          <w:bCs/>
          <w:color w:val="auto"/>
          <w:szCs w:val="21"/>
          <w:highlight w:val="none"/>
          <w:u w:val="single"/>
          <w:shd w:val="clear" w:color="auto" w:fill="auto"/>
        </w:rPr>
        <w:t>或经核查发现委派的项目负责人已在其他在建项目中任职的，</w:t>
      </w:r>
      <w:r>
        <w:rPr>
          <w:rFonts w:ascii="Arial" w:hAnsi="Arial" w:cs="Arial"/>
          <w:color w:val="auto"/>
          <w:szCs w:val="21"/>
          <w:highlight w:val="none"/>
          <w:u w:val="single"/>
          <w:shd w:val="clear" w:color="auto" w:fill="auto"/>
        </w:rPr>
        <w:t>招标人可以确定排名第二的中标候选人为中标人。</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 评标办法        修改类型：删除</w:t>
      </w:r>
    </w:p>
    <w:p>
      <w:pPr>
        <w:pBdr>
          <w:bottom w:val="single" w:color="auto" w:sz="6" w:space="1"/>
        </w:pBdr>
        <w:spacing w:line="360" w:lineRule="auto"/>
        <w:ind w:firstLine="527" w:firstLineChars="250"/>
        <w:rPr>
          <w:rStyle w:val="64"/>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Style w:val="64"/>
          <w:rFonts w:ascii="Arial" w:hAnsi="Arial" w:cs="Arial"/>
          <w:color w:val="auto"/>
          <w:szCs w:val="21"/>
          <w:highlight w:val="none"/>
          <w:shd w:val="clear" w:color="auto" w:fill="auto"/>
        </w:rPr>
        <w:t>可选</w:t>
      </w:r>
      <w:r>
        <w:rPr>
          <w:rFonts w:ascii="Arial" w:hAnsi="Arial" w:cs="Arial"/>
          <w:color w:val="auto"/>
          <w:szCs w:val="21"/>
          <w:highlight w:val="none"/>
          <w:shd w:val="clear" w:color="auto" w:fill="auto"/>
        </w:rPr>
        <w:t>办法</w:t>
      </w:r>
      <w:r>
        <w:rPr>
          <w:rStyle w:val="64"/>
          <w:rFonts w:ascii="Arial" w:hAnsi="Arial" w:cs="Arial"/>
          <w:color w:val="auto"/>
          <w:szCs w:val="21"/>
          <w:highlight w:val="none"/>
          <w:shd w:val="clear" w:color="auto" w:fill="auto"/>
        </w:rPr>
        <w:t>一（适合</w:t>
      </w:r>
      <w:r>
        <w:rPr>
          <w:rStyle w:val="64"/>
          <w:rFonts w:ascii="Arial" w:hAnsi="Arial" w:cs="Arial"/>
          <w:color w:val="auto"/>
          <w:kern w:val="0"/>
          <w:szCs w:val="21"/>
          <w:highlight w:val="none"/>
          <w:shd w:val="clear" w:color="auto" w:fill="auto"/>
        </w:rPr>
        <w:t>综合评分法一</w:t>
      </w:r>
      <w:r>
        <w:rPr>
          <w:rStyle w:val="64"/>
          <w:rFonts w:ascii="Arial" w:hAnsi="Arial" w:cs="Arial"/>
          <w:color w:val="auto"/>
          <w:szCs w:val="21"/>
          <w:highlight w:val="none"/>
          <w:shd w:val="clear" w:color="auto" w:fill="auto"/>
        </w:rPr>
        <w:t>，技术标与经济标先后分别开启）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w:t>
      </w:r>
      <w:r>
        <w:rPr>
          <w:rFonts w:ascii="Arial" w:hAnsi="Arial" w:cs="Arial"/>
          <w:color w:val="auto"/>
          <w:szCs w:val="21"/>
          <w:highlight w:val="none"/>
          <w:shd w:val="clear" w:color="auto" w:fill="auto"/>
        </w:rPr>
        <w:t>办法</w:t>
      </w:r>
      <w:r>
        <w:rPr>
          <w:rStyle w:val="64"/>
          <w:rFonts w:ascii="Arial" w:hAnsi="Arial" w:cs="Arial"/>
          <w:color w:val="auto"/>
          <w:szCs w:val="21"/>
          <w:highlight w:val="none"/>
          <w:shd w:val="clear" w:color="auto" w:fill="auto"/>
        </w:rPr>
        <w:t>二（适合综合评分法一，技术标与经济标同时开启）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可选办法三（适合综合评分法二，技术标与经济标先后分别开启）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可选办法四（适合综合评分法二，技术标与经济标同时开启）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可选办法五（适合综合评分法三，技术标与经济标先后分别开启）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可选办法六（适合综合评分法三，技术标与经济标同时开启）</w:t>
      </w:r>
    </w:p>
    <w:p>
      <w:pPr>
        <w:pBdr>
          <w:bottom w:val="single" w:color="auto" w:sz="6" w:space="1"/>
        </w:pBdr>
        <w:spacing w:line="360" w:lineRule="auto"/>
        <w:ind w:firstLine="1155" w:firstLineChars="550"/>
        <w:rPr>
          <w:rFonts w:ascii="Arial" w:hAnsi="Arial" w:cs="Arial"/>
          <w:b/>
          <w:color w:val="auto"/>
          <w:szCs w:val="21"/>
          <w:highlight w:val="none"/>
          <w:shd w:val="clear" w:color="auto" w:fill="auto"/>
        </w:rPr>
      </w:pPr>
      <w:r>
        <w:rPr>
          <w:rStyle w:val="64"/>
          <w:rFonts w:ascii="Arial" w:hAnsi="Arial" w:cs="Arial"/>
          <w:color w:val="auto"/>
          <w:szCs w:val="21"/>
          <w:highlight w:val="none"/>
          <w:shd w:val="clear" w:color="auto" w:fill="auto"/>
        </w:rPr>
        <w:t>可选办法八（适合经评审的最低投标价法，技术标与经济标同时开启）</w:t>
      </w:r>
    </w:p>
    <w:p>
      <w:pPr>
        <w:pStyle w:val="50"/>
        <w:widowControl/>
        <w:spacing w:line="360" w:lineRule="auto"/>
        <w:ind w:firstLine="422" w:firstLineChars="200"/>
        <w:rPr>
          <w:rFonts w:ascii="Arial" w:hAnsi="Arial" w:cs="Arial"/>
          <w:b/>
          <w:bCs/>
          <w:color w:val="auto"/>
          <w:sz w:val="21"/>
          <w:szCs w:val="21"/>
          <w:highlight w:val="none"/>
          <w:shd w:val="clear" w:color="auto" w:fill="auto"/>
        </w:rPr>
      </w:pPr>
      <w:r>
        <w:rPr>
          <w:rFonts w:ascii="Arial" w:hAnsi="Arial" w:cs="Arial"/>
          <w:b/>
          <w:bCs/>
          <w:color w:val="auto"/>
          <w:sz w:val="21"/>
          <w:szCs w:val="21"/>
          <w:highlight w:val="none"/>
          <w:shd w:val="clear" w:color="auto" w:fill="auto"/>
        </w:rPr>
        <w:t xml:space="preserve">条款号：（二）开标评标办法程序和细则      修改类型：修改 </w:t>
      </w:r>
    </w:p>
    <w:p>
      <w:pPr>
        <w:pStyle w:val="50"/>
        <w:widowControl/>
        <w:spacing w:line="360" w:lineRule="auto"/>
        <w:ind w:firstLine="422" w:firstLineChars="200"/>
        <w:rPr>
          <w:rFonts w:ascii="Arial" w:hAnsi="Arial" w:cs="Arial"/>
          <w:b/>
          <w:bCs/>
          <w:color w:val="auto"/>
          <w:sz w:val="21"/>
          <w:szCs w:val="21"/>
          <w:highlight w:val="none"/>
          <w:shd w:val="clear" w:color="auto" w:fill="auto"/>
        </w:rPr>
      </w:pPr>
      <w:r>
        <w:rPr>
          <w:rFonts w:ascii="Arial" w:hAnsi="Arial" w:cs="Arial"/>
          <w:b/>
          <w:bCs/>
          <w:color w:val="auto"/>
          <w:sz w:val="21"/>
          <w:szCs w:val="21"/>
          <w:highlight w:val="none"/>
          <w:shd w:val="clear" w:color="auto" w:fill="auto"/>
        </w:rPr>
        <w:t>原文：</w:t>
      </w:r>
      <w:r>
        <w:rPr>
          <w:rFonts w:ascii="Arial" w:hAnsi="Arial" w:cs="Arial"/>
          <w:color w:val="auto"/>
          <w:sz w:val="21"/>
          <w:szCs w:val="21"/>
          <w:highlight w:val="none"/>
          <w:shd w:val="clear" w:color="auto" w:fill="auto"/>
        </w:rPr>
        <w:t>注：以下八种评标办法所述企业综合诚信评价分数即投标截止当日广州市住房和城乡建设局网站上公布的企业综合诚信评价60日诚信分。</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本项目不适用</w:t>
      </w:r>
    </w:p>
    <w:p>
      <w:pPr>
        <w:adjustRightInd w:val="0"/>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条款号：41.1                                             修改类型：修改</w:t>
      </w:r>
    </w:p>
    <w:p>
      <w:pPr>
        <w:adjustRightInd w:val="0"/>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41.1 开标由招标人主持；</w:t>
      </w:r>
    </w:p>
    <w:p>
      <w:pPr>
        <w:pBdr>
          <w:bottom w:val="single" w:color="auto" w:sz="6" w:space="1"/>
        </w:pBdr>
        <w:adjustRightInd w:val="0"/>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41.1 开标由招标人</w:t>
      </w:r>
      <w:r>
        <w:rPr>
          <w:rFonts w:ascii="Arial" w:hAnsi="Arial" w:cs="Arial"/>
          <w:color w:val="auto"/>
          <w:szCs w:val="21"/>
          <w:highlight w:val="none"/>
          <w:u w:val="single"/>
          <w:shd w:val="clear" w:color="auto" w:fill="auto"/>
        </w:rPr>
        <w:t>或招标代理</w:t>
      </w:r>
      <w:r>
        <w:rPr>
          <w:rFonts w:ascii="Arial" w:hAnsi="Arial" w:cs="Arial"/>
          <w:color w:val="auto"/>
          <w:szCs w:val="21"/>
          <w:highlight w:val="none"/>
          <w:shd w:val="clear" w:color="auto" w:fill="auto"/>
        </w:rPr>
        <w:t>主持；</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条款号：41.2.1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原文：41.2.1</w:t>
      </w:r>
      <w:r>
        <w:rPr>
          <w:rFonts w:ascii="Arial" w:hAnsi="Arial" w:cs="Arial"/>
          <w:color w:val="auto"/>
          <w:szCs w:val="21"/>
          <w:highlight w:val="none"/>
          <w:shd w:val="clear" w:color="auto" w:fill="auto"/>
        </w:rPr>
        <w:t>投标截止期前，各投标人递交投标文件（包括技术标投标文件、经济标投标文件）至</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交易平台。有关投标文件提交的事项详见第一章投标须知。</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现文：41.2.1</w:t>
      </w:r>
      <w:r>
        <w:rPr>
          <w:rFonts w:ascii="Arial" w:hAnsi="Arial" w:cs="Arial"/>
          <w:color w:val="auto"/>
          <w:szCs w:val="21"/>
          <w:highlight w:val="none"/>
          <w:shd w:val="clear" w:color="auto" w:fill="auto"/>
        </w:rPr>
        <w:t>投标截止期前，各投标人递交投标文件（包括技术标投标文件、经济标投标文件）至</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shd w:val="clear" w:color="auto" w:fill="auto"/>
        </w:rPr>
        <w:t>交易平台。有关投标文件提交的事项详见第一章投标须知。</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条款号：41.2.</w:t>
      </w:r>
      <w:r>
        <w:rPr>
          <w:rFonts w:hint="eastAsia" w:ascii="Arial" w:hAnsi="Arial" w:cs="Arial"/>
          <w:b/>
          <w:color w:val="auto"/>
          <w:szCs w:val="21"/>
          <w:highlight w:val="none"/>
          <w:shd w:val="clear" w:color="auto" w:fill="auto"/>
        </w:rPr>
        <w:t>4</w:t>
      </w:r>
      <w:r>
        <w:rPr>
          <w:rFonts w:ascii="Arial" w:hAnsi="Arial" w:cs="Arial"/>
          <w:b/>
          <w:color w:val="auto"/>
          <w:szCs w:val="21"/>
          <w:highlight w:val="none"/>
          <w:shd w:val="clear" w:color="auto" w:fill="auto"/>
        </w:rPr>
        <w:t xml:space="preserve">             修改类型：修改</w:t>
      </w:r>
    </w:p>
    <w:p>
      <w:pPr>
        <w:pStyle w:val="50"/>
        <w:spacing w:line="360" w:lineRule="auto"/>
        <w:ind w:firstLine="422" w:firstLineChars="200"/>
        <w:rPr>
          <w:rFonts w:ascii="Arial" w:hAnsi="Arial" w:cs="Arial"/>
          <w:bCs/>
          <w:color w:val="auto"/>
          <w:sz w:val="21"/>
          <w:szCs w:val="21"/>
          <w:highlight w:val="none"/>
          <w:shd w:val="clear" w:color="auto" w:fill="auto"/>
        </w:rPr>
      </w:pPr>
      <w:r>
        <w:rPr>
          <w:rFonts w:ascii="Arial" w:hAnsi="Arial" w:cs="Arial"/>
          <w:b/>
          <w:color w:val="auto"/>
          <w:sz w:val="21"/>
          <w:szCs w:val="21"/>
          <w:highlight w:val="none"/>
          <w:shd w:val="clear" w:color="auto" w:fill="auto"/>
        </w:rPr>
        <w:t>原文：</w:t>
      </w:r>
      <w:r>
        <w:rPr>
          <w:rFonts w:ascii="Arial" w:hAnsi="Arial" w:cs="Arial"/>
          <w:bCs/>
          <w:color w:val="auto"/>
          <w:sz w:val="21"/>
          <w:szCs w:val="21"/>
          <w:highlight w:val="none"/>
          <w:shd w:val="clear" w:color="auto" w:fill="auto"/>
        </w:rPr>
        <w:t>41.2.4开标时，投标人代表有权出席开标会，也可以自主决定不参加开标会，若投标人代表对开标过程提出异议，该投标人代表须同时出示本人身份证原件。</w:t>
      </w:r>
    </w:p>
    <w:p>
      <w:pPr>
        <w:pStyle w:val="50"/>
        <w:pBdr>
          <w:bottom w:val="single" w:color="auto" w:sz="4" w:space="0"/>
        </w:pBdr>
        <w:spacing w:line="360" w:lineRule="auto"/>
        <w:ind w:firstLine="422" w:firstLineChars="200"/>
        <w:rPr>
          <w:rFonts w:ascii="Arial" w:hAnsi="Arial" w:cs="Arial"/>
          <w:b/>
          <w:color w:val="auto"/>
          <w:sz w:val="21"/>
          <w:szCs w:val="21"/>
          <w:highlight w:val="none"/>
          <w:shd w:val="clear" w:color="auto" w:fill="auto"/>
        </w:rPr>
      </w:pPr>
      <w:r>
        <w:rPr>
          <w:rFonts w:ascii="Arial" w:hAnsi="Arial" w:cs="Arial"/>
          <w:b/>
          <w:color w:val="auto"/>
          <w:sz w:val="21"/>
          <w:szCs w:val="21"/>
          <w:highlight w:val="none"/>
          <w:shd w:val="clear" w:color="auto" w:fill="auto"/>
        </w:rPr>
        <w:t>现文：</w:t>
      </w:r>
      <w:r>
        <w:rPr>
          <w:rFonts w:ascii="Arial" w:hAnsi="Arial" w:cs="Arial"/>
          <w:bCs/>
          <w:color w:val="auto"/>
          <w:sz w:val="21"/>
          <w:szCs w:val="21"/>
          <w:highlight w:val="none"/>
          <w:shd w:val="clear" w:color="auto" w:fill="auto"/>
        </w:rPr>
        <w:t>41.2.4开标时，投标人代表有权参加现场开标或在线开标，也可以自主决定不参加开标，若投标人代表对开标过程有异议的，</w:t>
      </w:r>
      <w:r>
        <w:rPr>
          <w:rFonts w:ascii="Arial" w:hAnsi="Arial" w:cs="Arial"/>
          <w:b/>
          <w:color w:val="auto"/>
          <w:sz w:val="21"/>
          <w:szCs w:val="21"/>
          <w:highlight w:val="none"/>
          <w:shd w:val="clear" w:color="auto" w:fill="auto"/>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 xml:space="preserve">41.2.2、41.2.3          </w:t>
      </w:r>
      <w:r>
        <w:rPr>
          <w:rFonts w:ascii="Arial" w:hAnsi="Arial" w:cs="Arial"/>
          <w:b/>
          <w:color w:val="auto"/>
          <w:szCs w:val="21"/>
          <w:highlight w:val="none"/>
          <w:shd w:val="clear" w:color="auto" w:fill="auto"/>
        </w:rPr>
        <w:t>修改类型：删除</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bCs/>
          <w:color w:val="auto"/>
          <w:szCs w:val="21"/>
          <w:highlight w:val="none"/>
          <w:shd w:val="clear" w:color="auto" w:fill="auto"/>
        </w:rPr>
        <w:t>原文：</w:t>
      </w:r>
      <w:r>
        <w:rPr>
          <w:rFonts w:ascii="Arial" w:hAnsi="Arial" w:cs="Arial"/>
          <w:color w:val="auto"/>
          <w:szCs w:val="21"/>
          <w:highlight w:val="none"/>
          <w:shd w:val="clear" w:color="auto" w:fill="auto"/>
        </w:rPr>
        <w:t>41.2.2开标前，首先由招标人随机抽取确定该工程计算评标参考价的等分点值X。</w:t>
      </w:r>
    </w:p>
    <w:p>
      <w:pPr>
        <w:pBdr>
          <w:bottom w:val="single" w:color="auto" w:sz="6" w:space="1"/>
        </w:pBd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41.2.3对通过技术标有效性审查的投标人开启其经济标投标文件；</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 xml:space="preserve">41.3          </w:t>
      </w:r>
      <w:r>
        <w:rPr>
          <w:rFonts w:ascii="Arial" w:hAnsi="Arial" w:cs="Arial"/>
          <w:b/>
          <w:color w:val="auto"/>
          <w:szCs w:val="21"/>
          <w:highlight w:val="none"/>
          <w:shd w:val="clear" w:color="auto" w:fill="auto"/>
        </w:rPr>
        <w:t>修改类型：修改</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bCs/>
          <w:color w:val="auto"/>
          <w:szCs w:val="21"/>
          <w:highlight w:val="none"/>
          <w:shd w:val="clear" w:color="auto" w:fill="auto"/>
        </w:rPr>
        <w:t>原文：</w:t>
      </w:r>
      <w:r>
        <w:rPr>
          <w:rFonts w:ascii="Arial" w:hAnsi="Arial" w:cs="Arial"/>
          <w:color w:val="auto"/>
          <w:szCs w:val="21"/>
          <w:highlight w:val="none"/>
          <w:shd w:val="clear" w:color="auto" w:fill="auto"/>
        </w:rPr>
        <w:t>41.3招标人对开标过程进行记录，并存档备查，投标人在技术标开标记录上签字。</w:t>
      </w:r>
    </w:p>
    <w:p>
      <w:pPr>
        <w:pBdr>
          <w:bottom w:val="single" w:color="auto" w:sz="6" w:space="1"/>
        </w:pBd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现文：41.3招标人或招标代理机构对开标过程进行记录，并存档备查，</w:t>
      </w:r>
      <w:r>
        <w:rPr>
          <w:rFonts w:hint="eastAsia" w:ascii="宋体" w:hAnsi="宋体" w:cs="宋体"/>
          <w:color w:val="auto"/>
          <w:szCs w:val="21"/>
          <w:highlight w:val="none"/>
          <w:u w:val="single"/>
          <w:shd w:val="clear" w:color="auto" w:fill="auto"/>
        </w:rPr>
        <w:t>参加开标会议的</w:t>
      </w:r>
      <w:r>
        <w:rPr>
          <w:rFonts w:ascii="Arial" w:hAnsi="Arial" w:cs="Arial"/>
          <w:color w:val="auto"/>
          <w:szCs w:val="21"/>
          <w:highlight w:val="none"/>
          <w:shd w:val="clear" w:color="auto" w:fill="auto"/>
        </w:rPr>
        <w:t>投标人在技术标开标记录上签字。</w:t>
      </w:r>
    </w:p>
    <w:p>
      <w:pPr>
        <w:pStyle w:val="53"/>
        <w:pBdr>
          <w:top w:val="single" w:color="auto" w:sz="4" w:space="0"/>
        </w:pBdr>
        <w:spacing w:after="0" w:line="460" w:lineRule="exact"/>
        <w:ind w:firstLine="422" w:firstLineChars="20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条款号：</w:t>
      </w:r>
      <w:r>
        <w:rPr>
          <w:rFonts w:hint="eastAsia" w:ascii="宋体" w:hAnsi="宋体" w:cs="宋体"/>
          <w:color w:val="auto"/>
          <w:szCs w:val="21"/>
          <w:highlight w:val="none"/>
          <w:shd w:val="clear" w:color="auto" w:fill="auto"/>
        </w:rPr>
        <w:t xml:space="preserve">42.1           </w:t>
      </w:r>
      <w:r>
        <w:rPr>
          <w:rFonts w:hint="eastAsia" w:ascii="宋体" w:hAnsi="宋体" w:cs="宋体"/>
          <w:b/>
          <w:color w:val="auto"/>
          <w:szCs w:val="21"/>
          <w:highlight w:val="none"/>
          <w:shd w:val="clear" w:color="auto" w:fill="auto"/>
        </w:rPr>
        <w:t>修改类型：修改</w:t>
      </w:r>
    </w:p>
    <w:p>
      <w:pPr>
        <w:spacing w:line="460" w:lineRule="exact"/>
        <w:ind w:firstLine="413" w:firstLineChars="196"/>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Cs/>
          <w:color w:val="auto"/>
          <w:szCs w:val="21"/>
          <w:highlight w:val="none"/>
          <w:shd w:val="clear" w:color="auto" w:fill="auto"/>
        </w:rPr>
        <w:t>42.1评标委员会的组成：方式</w:t>
      </w:r>
      <w:r>
        <w:rPr>
          <w:rFonts w:hint="eastAsia" w:ascii="宋体" w:hAnsi="宋体" w:cs="宋体"/>
          <w:bCs/>
          <w:color w:val="auto"/>
          <w:szCs w:val="21"/>
          <w:highlight w:val="none"/>
          <w:u w:val="single"/>
          <w:shd w:val="clear" w:color="auto" w:fill="auto"/>
        </w:rPr>
        <w:t xml:space="preserve">   </w:t>
      </w:r>
      <w:r>
        <w:rPr>
          <w:rFonts w:hint="eastAsia" w:ascii="宋体" w:hAnsi="宋体" w:cs="宋体"/>
          <w:bCs/>
          <w:color w:val="auto"/>
          <w:szCs w:val="21"/>
          <w:highlight w:val="none"/>
          <w:shd w:val="clear" w:color="auto" w:fill="auto"/>
        </w:rPr>
        <w:t>。</w:t>
      </w:r>
    </w:p>
    <w:p>
      <w:pPr>
        <w:spacing w:line="460" w:lineRule="exact"/>
        <w:ind w:firstLine="411" w:firstLineChars="196"/>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方式一：评标委员会为综合评标委员会，负责资格审查及评标工作。</w:t>
      </w:r>
    </w:p>
    <w:p>
      <w:pPr>
        <w:spacing w:line="460" w:lineRule="exact"/>
        <w:ind w:firstLine="411" w:firstLineChars="196"/>
        <w:rPr>
          <w:rFonts w:ascii="宋体" w:hAnsi="宋体" w:cs="宋体"/>
          <w:color w:val="auto"/>
          <w:szCs w:val="21"/>
          <w:highlight w:val="none"/>
          <w:shd w:val="clear" w:color="auto" w:fill="auto"/>
        </w:rPr>
      </w:pPr>
      <w:r>
        <w:rPr>
          <w:rFonts w:hint="eastAsia" w:ascii="宋体" w:hAnsi="宋体" w:cs="宋体"/>
          <w:bCs/>
          <w:color w:val="auto"/>
          <w:szCs w:val="21"/>
          <w:highlight w:val="none"/>
          <w:shd w:val="clear" w:color="auto" w:fill="auto"/>
        </w:rPr>
        <w:t>方式二：评标委员会由技术评审组和经济评审组组成。其中：资格审查及技术评审由技术评标组负责，经济评审由经济评审组负责。</w:t>
      </w:r>
    </w:p>
    <w:p>
      <w:pPr>
        <w:pBdr>
          <w:bottom w:val="single" w:color="auto" w:sz="6" w:space="1"/>
        </w:pBdr>
        <w:spacing w:line="460" w:lineRule="exact"/>
        <w:ind w:firstLine="413" w:firstLineChars="196"/>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bCs/>
          <w:color w:val="auto"/>
          <w:szCs w:val="21"/>
          <w:highlight w:val="none"/>
          <w:shd w:val="clear" w:color="auto" w:fill="auto"/>
        </w:rPr>
        <w:t>42.1评标委员会的组成：方式</w:t>
      </w:r>
      <w:r>
        <w:rPr>
          <w:rFonts w:hint="eastAsia" w:ascii="宋体" w:hAnsi="宋体" w:cs="宋体"/>
          <w:bCs/>
          <w:color w:val="auto"/>
          <w:szCs w:val="21"/>
          <w:highlight w:val="none"/>
          <w:u w:val="single"/>
          <w:shd w:val="clear" w:color="auto" w:fill="auto"/>
        </w:rPr>
        <w:t>一</w:t>
      </w:r>
      <w:r>
        <w:rPr>
          <w:rFonts w:hint="eastAsia" w:ascii="宋体" w:hAnsi="宋体" w:cs="宋体"/>
          <w:bCs/>
          <w:color w:val="auto"/>
          <w:szCs w:val="21"/>
          <w:highlight w:val="none"/>
          <w:shd w:val="clear" w:color="auto" w:fill="auto"/>
        </w:rPr>
        <w:t>。</w:t>
      </w:r>
    </w:p>
    <w:p>
      <w:pPr>
        <w:pBdr>
          <w:bottom w:val="single" w:color="auto" w:sz="6" w:space="1"/>
        </w:pBdr>
        <w:spacing w:line="460" w:lineRule="exact"/>
        <w:ind w:firstLine="411" w:firstLineChars="196"/>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方式一：评标委员会为综合评标委员会，负责资格审查及评标工作。</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条款号：42.2      修改类型：修改</w:t>
      </w:r>
    </w:p>
    <w:p>
      <w:pPr>
        <w:pStyle w:val="53"/>
        <w:tabs>
          <w:tab w:val="left" w:pos="7380"/>
        </w:tabs>
        <w:snapToGrid w:val="0"/>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42.2评标委员会的组成：方式</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w:t>
      </w:r>
    </w:p>
    <w:p>
      <w:pPr>
        <w:pStyle w:val="53"/>
        <w:tabs>
          <w:tab w:val="left" w:pos="7380"/>
        </w:tabs>
        <w:snapToGrid w:val="0"/>
        <w:spacing w:line="360" w:lineRule="auto"/>
        <w:ind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方式一：评标委员会为综合评标委员会，负责资格审查及评标工作。</w:t>
      </w:r>
    </w:p>
    <w:p>
      <w:pPr>
        <w:pStyle w:val="53"/>
        <w:tabs>
          <w:tab w:val="left" w:pos="7380"/>
        </w:tabs>
        <w:snapToGrid w:val="0"/>
        <w:spacing w:after="0" w:line="360" w:lineRule="auto"/>
        <w:ind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42.2评标委员会的组成：方式</w:t>
      </w:r>
      <w:r>
        <w:rPr>
          <w:rFonts w:ascii="Arial" w:hAnsi="Arial" w:cs="Arial"/>
          <w:color w:val="auto"/>
          <w:szCs w:val="21"/>
          <w:highlight w:val="none"/>
          <w:u w:val="single"/>
          <w:shd w:val="clear" w:color="auto" w:fill="auto"/>
        </w:rPr>
        <w:t xml:space="preserve"> 一 </w:t>
      </w:r>
      <w:r>
        <w:rPr>
          <w:rFonts w:ascii="Arial" w:hAnsi="Arial" w:cs="Arial"/>
          <w:color w:val="auto"/>
          <w:szCs w:val="21"/>
          <w:highlight w:val="none"/>
          <w:shd w:val="clear" w:color="auto" w:fill="auto"/>
        </w:rPr>
        <w:t>。</w:t>
      </w:r>
    </w:p>
    <w:p>
      <w:pPr>
        <w:pBdr>
          <w:bottom w:val="single" w:color="auto" w:sz="6" w:space="1"/>
        </w:pBdr>
        <w:spacing w:line="360" w:lineRule="auto"/>
        <w:ind w:firstLine="525" w:firstLineChars="2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方式一：评标委员会为综合评标委员会，负责资格审查及评标工作。</w:t>
      </w:r>
    </w:p>
    <w:p>
      <w:pPr>
        <w:pStyle w:val="53"/>
        <w:tabs>
          <w:tab w:val="left" w:pos="7380"/>
        </w:tabs>
        <w:snapToGrid w:val="0"/>
        <w:spacing w:line="360" w:lineRule="auto"/>
        <w:ind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条款号：42.2 </w:t>
      </w:r>
      <w:r>
        <w:rPr>
          <w:rFonts w:hint="eastAsia" w:ascii="Arial" w:hAnsi="Arial" w:cs="Arial"/>
          <w:color w:val="auto"/>
          <w:szCs w:val="21"/>
          <w:highlight w:val="none"/>
          <w:shd w:val="clear" w:color="auto" w:fill="auto"/>
        </w:rPr>
        <w:t>.1</w:t>
      </w:r>
      <w:r>
        <w:rPr>
          <w:rFonts w:ascii="Arial" w:hAnsi="Arial" w:cs="Arial"/>
          <w:color w:val="auto"/>
          <w:szCs w:val="21"/>
          <w:highlight w:val="none"/>
          <w:shd w:val="clear" w:color="auto" w:fill="auto"/>
        </w:rPr>
        <w:t xml:space="preserve">     修改类型：修改</w:t>
      </w:r>
    </w:p>
    <w:p>
      <w:pPr>
        <w:pStyle w:val="53"/>
        <w:tabs>
          <w:tab w:val="left" w:pos="7380"/>
        </w:tabs>
        <w:snapToGrid w:val="0"/>
        <w:spacing w:line="360" w:lineRule="auto"/>
        <w:ind w:firstLine="422" w:firstLineChars="200"/>
        <w:rPr>
          <w:rFonts w:ascii="Arial" w:hAnsi="Arial" w:cs="Arial"/>
          <w:color w:val="auto"/>
          <w:szCs w:val="21"/>
          <w:highlight w:val="none"/>
          <w:shd w:val="clear" w:color="auto" w:fill="auto"/>
        </w:rPr>
      </w:pPr>
      <w:r>
        <w:rPr>
          <w:rFonts w:ascii="Arial" w:hAnsi="Arial" w:cs="Arial"/>
          <w:b/>
          <w:bCs/>
          <w:color w:val="auto"/>
          <w:szCs w:val="21"/>
          <w:highlight w:val="none"/>
          <w:shd w:val="clear" w:color="auto" w:fill="auto"/>
        </w:rPr>
        <w:t>原文：</w:t>
      </w:r>
      <w:r>
        <w:rPr>
          <w:rFonts w:hint="eastAsia" w:ascii="Arial" w:hAnsi="Arial" w:cs="Arial"/>
          <w:color w:val="auto"/>
          <w:szCs w:val="21"/>
          <w:highlight w:val="none"/>
          <w:shd w:val="clear" w:color="auto" w:fill="auto"/>
        </w:rPr>
        <w:t>42.2.1</w:t>
      </w:r>
      <w:r>
        <w:rPr>
          <w:rFonts w:ascii="Arial" w:hAnsi="Arial" w:cs="Arial"/>
          <w:color w:val="auto"/>
          <w:szCs w:val="21"/>
          <w:highlight w:val="none"/>
          <w:shd w:val="clear" w:color="auto" w:fill="auto"/>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3"/>
        <w:pBdr>
          <w:bottom w:val="single" w:color="auto" w:sz="4" w:space="0"/>
        </w:pBdr>
        <w:tabs>
          <w:tab w:val="left" w:pos="7380"/>
        </w:tabs>
        <w:snapToGrid w:val="0"/>
        <w:spacing w:line="360" w:lineRule="auto"/>
        <w:ind w:firstLine="422" w:firstLineChars="200"/>
        <w:rPr>
          <w:rFonts w:ascii="Arial" w:hAnsi="Arial" w:cs="Arial"/>
          <w:color w:val="auto"/>
          <w:szCs w:val="21"/>
          <w:highlight w:val="none"/>
          <w:shd w:val="clear" w:color="auto" w:fill="auto"/>
        </w:rPr>
      </w:pPr>
      <w:r>
        <w:rPr>
          <w:rFonts w:ascii="Arial" w:hAnsi="Arial" w:cs="Arial"/>
          <w:b/>
          <w:bCs/>
          <w:color w:val="auto"/>
          <w:szCs w:val="21"/>
          <w:highlight w:val="none"/>
          <w:shd w:val="clear" w:color="auto" w:fill="auto"/>
        </w:rPr>
        <w:t>现文</w:t>
      </w:r>
      <w:r>
        <w:rPr>
          <w:rFonts w:ascii="Arial" w:hAnsi="Arial" w:cs="Arial"/>
          <w:color w:val="auto"/>
          <w:szCs w:val="21"/>
          <w:highlight w:val="none"/>
          <w:shd w:val="clear" w:color="auto" w:fill="auto"/>
        </w:rPr>
        <w:t>：</w:t>
      </w:r>
      <w:r>
        <w:rPr>
          <w:rFonts w:hint="eastAsia" w:ascii="Arial" w:hAnsi="Arial" w:cs="Arial"/>
          <w:color w:val="auto"/>
          <w:szCs w:val="21"/>
          <w:highlight w:val="none"/>
          <w:shd w:val="clear" w:color="auto" w:fill="auto"/>
        </w:rPr>
        <w:t>42.2.1</w:t>
      </w:r>
      <w:r>
        <w:rPr>
          <w:rFonts w:ascii="Arial" w:hAnsi="Arial" w:cs="Arial"/>
          <w:color w:val="auto"/>
          <w:szCs w:val="21"/>
          <w:highlight w:val="none"/>
          <w:shd w:val="clear" w:color="auto" w:fill="auto"/>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3"/>
        <w:tabs>
          <w:tab w:val="left" w:pos="7380"/>
        </w:tabs>
        <w:snapToGrid w:val="0"/>
        <w:spacing w:line="360" w:lineRule="auto"/>
        <w:ind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条款号：42.</w:t>
      </w:r>
      <w:r>
        <w:rPr>
          <w:rFonts w:hint="eastAsia" w:ascii="Arial" w:hAnsi="Arial" w:cs="Arial"/>
          <w:color w:val="auto"/>
          <w:szCs w:val="21"/>
          <w:highlight w:val="none"/>
          <w:shd w:val="clear" w:color="auto" w:fill="auto"/>
        </w:rPr>
        <w:t>4.4</w:t>
      </w:r>
      <w:r>
        <w:rPr>
          <w:rFonts w:ascii="Arial" w:hAnsi="Arial" w:cs="Arial"/>
          <w:color w:val="auto"/>
          <w:szCs w:val="21"/>
          <w:highlight w:val="none"/>
          <w:shd w:val="clear" w:color="auto" w:fill="auto"/>
        </w:rPr>
        <w:t xml:space="preserve">     修改类型：修改</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条款号：43.6                          修改类型：修改</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43.6资格审查合格的投标人少于3名的，则本项目招标失败。</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条款号：44.1                          修改类型：修改</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472" w:firstLineChars="224"/>
        <w:rPr>
          <w:rFonts w:ascii="宋体" w:hAnsi="宋体" w:cs="宋体"/>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则本项目招标失败。</w:t>
      </w:r>
      <w:r>
        <w:rPr>
          <w:rFonts w:hint="eastAsia" w:ascii="宋体" w:hAnsi="宋体" w:cs="宋体"/>
          <w:b/>
          <w:bCs/>
          <w:color w:val="auto"/>
          <w:kern w:val="0"/>
          <w:szCs w:val="21"/>
          <w:highlight w:val="none"/>
          <w:shd w:val="clear" w:color="auto" w:fill="auto"/>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条款号：45.1             修改类型：修改</w:t>
      </w:r>
    </w:p>
    <w:p>
      <w:pPr>
        <w:pBdr>
          <w:bottom w:val="single" w:color="auto" w:sz="6" w:space="1"/>
        </w:pBd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若通过技术标有效性审查的投标人中有投标报价均大于等于最高投标限价×D%（D的取值范围为[94,100],由招标人自主确定）的（具体金额为：元），则本项目招标失败，由招标人依法重新招标。</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Arial" w:hAnsi="Arial" w:cs="Arial"/>
          <w:bCs/>
          <w:color w:val="auto"/>
          <w:szCs w:val="21"/>
          <w:highlight w:val="none"/>
          <w:u w:val="single"/>
          <w:shd w:val="clear" w:color="auto" w:fill="auto"/>
        </w:rPr>
        <w:t>若通过技术标有效性审查的投标人中所有投标报价均大于等于最高投标限价，则本项目招标失败，由招标人依法重新招标。</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条款号：45.2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 xml:space="preserve">45.2按方法计算评标参考价： </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45.2</w:t>
      </w:r>
      <w:r>
        <w:rPr>
          <w:rFonts w:hint="eastAsia" w:ascii="Arial" w:hAnsi="Arial" w:cs="Arial"/>
          <w:color w:val="auto"/>
          <w:szCs w:val="21"/>
          <w:highlight w:val="none"/>
          <w:u w:val="single"/>
          <w:shd w:val="clear" w:color="auto" w:fill="auto"/>
        </w:rPr>
        <w:t>按方法</w:t>
      </w:r>
      <w:r>
        <w:rPr>
          <w:rFonts w:ascii="Arial" w:hAnsi="Arial" w:cs="Arial"/>
          <w:color w:val="auto"/>
          <w:szCs w:val="21"/>
          <w:highlight w:val="none"/>
          <w:u w:val="single"/>
          <w:shd w:val="clear" w:color="auto" w:fill="auto"/>
        </w:rPr>
        <w:t>一</w:t>
      </w:r>
      <w:r>
        <w:rPr>
          <w:rFonts w:hint="eastAsia" w:ascii="Arial" w:hAnsi="Arial" w:cs="Arial"/>
          <w:color w:val="auto"/>
          <w:szCs w:val="21"/>
          <w:highlight w:val="none"/>
          <w:u w:val="single"/>
          <w:shd w:val="clear" w:color="auto" w:fill="auto"/>
        </w:rPr>
        <w:t>计算评标参考价</w:t>
      </w:r>
      <w:r>
        <w:rPr>
          <w:rFonts w:ascii="Arial" w:hAnsi="Arial" w:cs="Arial"/>
          <w:color w:val="auto"/>
          <w:szCs w:val="21"/>
          <w:highlight w:val="none"/>
          <w:shd w:val="clear" w:color="auto" w:fill="auto"/>
        </w:rPr>
        <w:t xml:space="preserve">： </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条款号：方法一：加权平均法              修改类型：修改</w:t>
      </w:r>
    </w:p>
    <w:p>
      <w:pPr>
        <w:widowControl/>
        <w:spacing w:line="360" w:lineRule="auto"/>
        <w:ind w:firstLine="422" w:firstLineChars="200"/>
        <w:rPr>
          <w:rFonts w:ascii="Arial" w:hAnsi="Arial" w:cs="Arial"/>
          <w:b/>
          <w:bCs/>
          <w:color w:val="auto"/>
          <w:kern w:val="0"/>
          <w:szCs w:val="21"/>
          <w:highlight w:val="none"/>
          <w:shd w:val="clear" w:color="auto" w:fill="auto"/>
        </w:rPr>
      </w:pPr>
      <w:r>
        <w:rPr>
          <w:rFonts w:ascii="Arial" w:hAnsi="Arial" w:cs="Arial"/>
          <w:b/>
          <w:color w:val="auto"/>
          <w:szCs w:val="21"/>
          <w:highlight w:val="none"/>
          <w:shd w:val="clear" w:color="auto" w:fill="auto"/>
        </w:rPr>
        <w:t>原文：方法一：加权平均法</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技术标或技术标加诚信得分（具体由招标人自定）前N名（N≥5，具体由招标人自定）的经济报价加权平均，计算评标参考价。公式如下：</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评标参考价=Σ（投标人的投标报价×报价权重）。</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其中：报价权重的计算方法为：将N名投标人按技术分由高至低进行排序，第一名投标人的权重为（</w:t>
      </w:r>
      <w:r>
        <w:rPr>
          <w:rFonts w:ascii="Arial" w:hAnsi="Arial" w:cs="Arial"/>
          <w:color w:val="auto"/>
          <w:szCs w:val="21"/>
          <w:highlight w:val="none"/>
          <w:shd w:val="clear" w:color="auto" w:fill="auto"/>
        </w:rPr>
        <w:fldChar w:fldCharType="begin"/>
      </w:r>
      <w:r>
        <w:rPr>
          <w:rFonts w:ascii="Arial" w:hAnsi="Arial" w:cs="Arial"/>
          <w:color w:val="auto"/>
          <w:szCs w:val="21"/>
          <w:highlight w:val="none"/>
          <w:shd w:val="clear" w:color="auto" w:fill="auto"/>
        </w:rPr>
        <w:instrText xml:space="preserve"> QUOTE </w:instrText>
      </w:r>
      <w:r>
        <w:rPr>
          <w:rFonts w:ascii="Arial" w:hAnsi="Arial" w:cs="Arial"/>
          <w:color w:val="auto"/>
          <w:szCs w:val="21"/>
          <w:highlight w:val="none"/>
          <w:shd w:val="clear" w:color="auto" w:fill="auto"/>
        </w:rPr>
        <w:drawing>
          <wp:inline distT="0" distB="0" distL="114300" distR="114300">
            <wp:extent cx="381000" cy="4495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81000" cy="44958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separate"/>
      </w:r>
      <w:r>
        <w:rPr>
          <w:rFonts w:ascii="Arial" w:hAnsi="Arial" w:cs="Arial"/>
          <w:color w:val="auto"/>
          <w:szCs w:val="21"/>
          <w:highlight w:val="none"/>
          <w:shd w:val="clear" w:color="auto" w:fill="auto"/>
        </w:rPr>
        <w:drawing>
          <wp:inline distT="0" distB="0" distL="114300" distR="114300">
            <wp:extent cx="381000" cy="449580"/>
            <wp:effectExtent l="0" t="0" r="0" b="762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81000" cy="44958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end"/>
      </w:r>
      <w:r>
        <w:rPr>
          <w:rFonts w:ascii="Arial" w:hAnsi="Arial" w:cs="Arial"/>
          <w:color w:val="auto"/>
          <w:szCs w:val="21"/>
          <w:highlight w:val="none"/>
          <w:shd w:val="clear" w:color="auto" w:fill="auto"/>
        </w:rPr>
        <w:t>），第二名投标人的权重为（</w:t>
      </w:r>
      <w:r>
        <w:rPr>
          <w:rFonts w:ascii="Arial" w:hAnsi="Arial" w:cs="Arial"/>
          <w:color w:val="auto"/>
          <w:szCs w:val="21"/>
          <w:highlight w:val="none"/>
          <w:shd w:val="clear" w:color="auto" w:fill="auto"/>
        </w:rPr>
        <w:fldChar w:fldCharType="begin"/>
      </w:r>
      <w:r>
        <w:rPr>
          <w:rFonts w:ascii="Arial" w:hAnsi="Arial" w:cs="Arial"/>
          <w:color w:val="auto"/>
          <w:szCs w:val="21"/>
          <w:highlight w:val="none"/>
          <w:shd w:val="clear" w:color="auto" w:fill="auto"/>
        </w:rPr>
        <w:instrText xml:space="preserve"> QUOTE </w:instrText>
      </w:r>
      <w:r>
        <w:rPr>
          <w:rFonts w:ascii="Arial" w:hAnsi="Arial" w:cs="Arial"/>
          <w:color w:val="auto"/>
          <w:szCs w:val="21"/>
          <w:highlight w:val="none"/>
          <w:shd w:val="clear" w:color="auto" w:fill="auto"/>
        </w:rPr>
        <w:drawing>
          <wp:inline distT="0" distB="0" distL="114300" distR="114300">
            <wp:extent cx="320040" cy="403860"/>
            <wp:effectExtent l="0" t="0" r="3810" b="1524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separate"/>
      </w:r>
      <w:r>
        <w:rPr>
          <w:rFonts w:ascii="Arial" w:hAnsi="Arial" w:cs="Arial"/>
          <w:color w:val="auto"/>
          <w:szCs w:val="21"/>
          <w:highlight w:val="none"/>
          <w:shd w:val="clear" w:color="auto" w:fill="auto"/>
        </w:rPr>
        <w:drawing>
          <wp:inline distT="0" distB="0" distL="114300" distR="114300">
            <wp:extent cx="320040" cy="403860"/>
            <wp:effectExtent l="0" t="0" r="3810" b="1524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end"/>
      </w:r>
      <w:r>
        <w:rPr>
          <w:rFonts w:ascii="Arial" w:hAnsi="Arial" w:cs="Arial"/>
          <w:color w:val="auto"/>
          <w:szCs w:val="21"/>
          <w:highlight w:val="none"/>
          <w:shd w:val="clear" w:color="auto" w:fill="auto"/>
        </w:rPr>
        <w:t>），以此类推，最后一名投标人的权重为（</w:t>
      </w:r>
      <w:r>
        <w:rPr>
          <w:rFonts w:ascii="Arial" w:hAnsi="Arial" w:cs="Arial"/>
          <w:color w:val="auto"/>
          <w:szCs w:val="21"/>
          <w:highlight w:val="none"/>
          <w:shd w:val="clear" w:color="auto" w:fill="auto"/>
        </w:rPr>
        <w:fldChar w:fldCharType="begin"/>
      </w:r>
      <w:r>
        <w:rPr>
          <w:rFonts w:ascii="Arial" w:hAnsi="Arial" w:cs="Arial"/>
          <w:color w:val="auto"/>
          <w:szCs w:val="21"/>
          <w:highlight w:val="none"/>
          <w:shd w:val="clear" w:color="auto" w:fill="auto"/>
        </w:rPr>
        <w:instrText xml:space="preserve"> QUOTE </w:instrText>
      </w:r>
      <w:r>
        <w:rPr>
          <w:rFonts w:ascii="Arial" w:hAnsi="Arial" w:cs="Arial"/>
          <w:color w:val="auto"/>
          <w:szCs w:val="21"/>
          <w:highlight w:val="none"/>
          <w:shd w:val="clear" w:color="auto" w:fill="auto"/>
        </w:rPr>
        <w:drawing>
          <wp:inline distT="0" distB="0" distL="114300" distR="114300">
            <wp:extent cx="320040" cy="403860"/>
            <wp:effectExtent l="0" t="0" r="3810" b="1587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separate"/>
      </w:r>
      <w:r>
        <w:rPr>
          <w:rFonts w:ascii="Arial" w:hAnsi="Arial" w:cs="Arial"/>
          <w:color w:val="auto"/>
          <w:szCs w:val="21"/>
          <w:highlight w:val="none"/>
          <w:shd w:val="clear" w:color="auto" w:fill="auto"/>
        </w:rPr>
        <w:drawing>
          <wp:inline distT="0" distB="0" distL="114300" distR="114300">
            <wp:extent cx="320040" cy="403860"/>
            <wp:effectExtent l="0" t="0" r="3810" b="15875"/>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end"/>
      </w:r>
      <w:r>
        <w:rPr>
          <w:rFonts w:ascii="Arial" w:hAnsi="Arial" w:cs="Arial"/>
          <w:color w:val="auto"/>
          <w:szCs w:val="21"/>
          <w:highlight w:val="none"/>
          <w:shd w:val="clear" w:color="auto" w:fill="auto"/>
        </w:rPr>
        <w:t>）。</w:t>
      </w:r>
    </w:p>
    <w:p>
      <w:pPr>
        <w:widowControl/>
        <w:spacing w:line="360" w:lineRule="auto"/>
        <w:ind w:firstLine="422" w:firstLineChars="200"/>
        <w:rPr>
          <w:rFonts w:ascii="Arial" w:hAnsi="Arial" w:cs="Arial"/>
          <w:b/>
          <w:bCs/>
          <w:color w:val="auto"/>
          <w:kern w:val="0"/>
          <w:szCs w:val="21"/>
          <w:highlight w:val="none"/>
          <w:shd w:val="clear" w:color="auto" w:fill="auto"/>
        </w:rPr>
      </w:pPr>
      <w:r>
        <w:rPr>
          <w:rFonts w:ascii="Arial" w:hAnsi="Arial" w:cs="Arial"/>
          <w:b/>
          <w:color w:val="auto"/>
          <w:szCs w:val="21"/>
          <w:highlight w:val="none"/>
          <w:shd w:val="clear" w:color="auto" w:fill="auto"/>
        </w:rPr>
        <w:t>现文：方法一：加权平均法</w:t>
      </w:r>
    </w:p>
    <w:p>
      <w:pPr>
        <w:pBdr>
          <w:bottom w:val="single" w:color="auto" w:sz="6" w:space="1"/>
        </w:pBdr>
        <w:spacing w:line="360" w:lineRule="auto"/>
        <w:ind w:firstLine="525" w:firstLineChars="25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技术标得分前N名（若通过技术标有效性审查的家数大于等于5家时，N=5；若小于5家时，N=通过技术标有效性审查的家数；技术标得分相同的，以投标报价低的排前；技术标得分与投标报价均相同的投标人，由评标委员会采用记名投票方式，确定投标人的排序，投票方式确定排序的具体操作步骤为：由评标会对出现该情况的投标人进行编号，然后通过投票方式依次确定投标人的排序。）的经济报价加权平均，计算评标参考价。公式如下：</w:t>
      </w:r>
    </w:p>
    <w:p>
      <w:pPr>
        <w:pBdr>
          <w:bottom w:val="single" w:color="auto" w:sz="6" w:space="1"/>
        </w:pBdr>
        <w:spacing w:line="360" w:lineRule="auto"/>
        <w:ind w:firstLine="525" w:firstLineChars="2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评标参考价=Σ（投标人的投标报价×报价权重）。</w:t>
      </w:r>
    </w:p>
    <w:p>
      <w:pPr>
        <w:pBdr>
          <w:bottom w:val="single" w:color="auto" w:sz="6" w:space="1"/>
        </w:pBdr>
        <w:spacing w:line="360" w:lineRule="auto"/>
        <w:ind w:firstLine="525" w:firstLineChars="250"/>
        <w:rPr>
          <w:rFonts w:ascii="Arial" w:hAnsi="Arial" w:cs="Arial"/>
          <w:color w:val="auto"/>
          <w:spacing w:val="2"/>
          <w:highlight w:val="none"/>
          <w:shd w:val="clear" w:color="auto" w:fill="auto"/>
        </w:rPr>
      </w:pPr>
      <w:r>
        <w:rPr>
          <w:rFonts w:ascii="Arial" w:hAnsi="Arial" w:cs="Arial"/>
          <w:color w:val="auto"/>
          <w:szCs w:val="21"/>
          <w:highlight w:val="none"/>
          <w:shd w:val="clear" w:color="auto" w:fill="auto"/>
        </w:rPr>
        <w:t>其中：报价权重的计算方法为：将N名投标人按技术分由高至低进行排序，第一名投标人的权重为（</w:t>
      </w:r>
      <w:r>
        <w:rPr>
          <w:rFonts w:ascii="Arial" w:hAnsi="Arial" w:cs="Arial"/>
          <w:color w:val="auto"/>
          <w:spacing w:val="-4"/>
          <w:highlight w:val="none"/>
          <w:shd w:val="clear" w:color="auto" w:fill="auto"/>
        </w:rPr>
        <w:drawing>
          <wp:inline distT="0" distB="0" distL="114300" distR="114300">
            <wp:extent cx="240030" cy="288290"/>
            <wp:effectExtent l="0" t="0" r="7620" b="1651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240030" cy="288290"/>
                    </a:xfrm>
                    <a:prstGeom prst="rect">
                      <a:avLst/>
                    </a:prstGeom>
                    <a:noFill/>
                    <a:ln>
                      <a:noFill/>
                    </a:ln>
                  </pic:spPr>
                </pic:pic>
              </a:graphicData>
            </a:graphic>
          </wp:inline>
        </w:drawing>
      </w:r>
      <w:r>
        <w:rPr>
          <w:rFonts w:ascii="Arial" w:hAnsi="Arial" w:cs="Arial"/>
          <w:color w:val="auto"/>
          <w:szCs w:val="21"/>
          <w:highlight w:val="none"/>
          <w:shd w:val="clear" w:color="auto" w:fill="auto"/>
        </w:rPr>
        <w:t>），第二名投标人的权重为（</w:t>
      </w:r>
      <w:r>
        <w:rPr>
          <w:rFonts w:ascii="Arial" w:hAnsi="Arial" w:cs="Arial"/>
          <w:color w:val="auto"/>
          <w:spacing w:val="-4"/>
          <w:highlight w:val="none"/>
          <w:shd w:val="clear" w:color="auto" w:fill="auto"/>
        </w:rPr>
        <w:drawing>
          <wp:inline distT="0" distB="0" distL="114300" distR="114300">
            <wp:extent cx="233045" cy="288290"/>
            <wp:effectExtent l="0" t="0" r="14605" b="16510"/>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233045" cy="288290"/>
                    </a:xfrm>
                    <a:prstGeom prst="rect">
                      <a:avLst/>
                    </a:prstGeom>
                    <a:noFill/>
                    <a:ln>
                      <a:noFill/>
                    </a:ln>
                  </pic:spPr>
                </pic:pic>
              </a:graphicData>
            </a:graphic>
          </wp:inline>
        </w:drawing>
      </w:r>
      <w:r>
        <w:rPr>
          <w:rFonts w:ascii="Arial" w:hAnsi="Arial" w:cs="Arial"/>
          <w:color w:val="auto"/>
          <w:szCs w:val="21"/>
          <w:highlight w:val="none"/>
          <w:shd w:val="clear" w:color="auto" w:fill="auto"/>
        </w:rPr>
        <w:t>），以此类推，最后一名投标人的权重为（</w:t>
      </w:r>
      <w:r>
        <w:rPr>
          <w:rFonts w:ascii="Arial" w:hAnsi="Arial" w:cs="Arial"/>
          <w:color w:val="auto"/>
          <w:spacing w:val="-4"/>
          <w:highlight w:val="none"/>
          <w:shd w:val="clear" w:color="auto" w:fill="auto"/>
        </w:rPr>
        <w:drawing>
          <wp:inline distT="0" distB="0" distL="114300" distR="114300">
            <wp:extent cx="233045" cy="288290"/>
            <wp:effectExtent l="0" t="0" r="14605" b="16510"/>
            <wp:docPr id="3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233045" cy="288290"/>
                    </a:xfrm>
                    <a:prstGeom prst="rect">
                      <a:avLst/>
                    </a:prstGeom>
                    <a:noFill/>
                    <a:ln>
                      <a:noFill/>
                    </a:ln>
                  </pic:spPr>
                </pic:pic>
              </a:graphicData>
            </a:graphic>
          </wp:inline>
        </w:drawing>
      </w:r>
      <w:r>
        <w:rPr>
          <w:rFonts w:ascii="Arial" w:hAnsi="Arial" w:cs="Arial"/>
          <w:color w:val="auto"/>
          <w:szCs w:val="21"/>
          <w:highlight w:val="none"/>
          <w:shd w:val="clear" w:color="auto" w:fill="auto"/>
        </w:rPr>
        <w:t>）。</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条款号：45.3            修改类型：修改</w:t>
      </w:r>
    </w:p>
    <w:p>
      <w:pPr>
        <w:widowControl/>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宋体" w:hAnsi="宋体" w:cs="宋体"/>
          <w:bCs/>
          <w:color w:val="auto"/>
          <w:szCs w:val="21"/>
          <w:highlight w:val="none"/>
          <w:u w:val="single"/>
          <w:shd w:val="clear" w:color="auto" w:fill="auto"/>
        </w:rPr>
        <w:t>当投标总报价等于评标参考价时得100分，投标总报价每高于评标参考价1%，扣0.</w:t>
      </w:r>
      <w:r>
        <w:rPr>
          <w:rFonts w:hint="eastAsia" w:ascii="宋体" w:hAnsi="宋体" w:cs="宋体"/>
          <w:bCs/>
          <w:color w:val="auto"/>
          <w:szCs w:val="21"/>
          <w:highlight w:val="none"/>
          <w:u w:val="single"/>
          <w:shd w:val="clear" w:color="auto" w:fill="auto"/>
          <w:lang w:val="en-US" w:eastAsia="zh-CN"/>
        </w:rPr>
        <w:t>5</w:t>
      </w:r>
      <w:r>
        <w:rPr>
          <w:rFonts w:hint="eastAsia" w:ascii="宋体" w:hAnsi="宋体" w:cs="宋体"/>
          <w:bCs/>
          <w:color w:val="auto"/>
          <w:szCs w:val="21"/>
          <w:highlight w:val="none"/>
          <w:u w:val="single"/>
          <w:shd w:val="clear" w:color="auto" w:fill="auto"/>
        </w:rPr>
        <w:t>分，每低于评标参考价1%，扣0.2分，扣至0分为止，得出经济分，精确到小数点后两位</w:t>
      </w:r>
      <w:r>
        <w:rPr>
          <w:rFonts w:hint="eastAsia" w:ascii="宋体" w:hAnsi="宋体" w:cs="宋体"/>
          <w:bCs/>
          <w:color w:val="auto"/>
          <w:szCs w:val="21"/>
          <w:highlight w:val="none"/>
          <w:shd w:val="clear" w:color="auto" w:fill="auto"/>
        </w:rPr>
        <w:t>。</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条款号：45.4修改类型：修改</w:t>
      </w:r>
    </w:p>
    <w:p>
      <w:pPr>
        <w:widowControl/>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hint="eastAsia" w:ascii="Arial" w:hAnsi="Arial" w:cs="Arial"/>
          <w:b/>
          <w:color w:val="auto"/>
          <w:szCs w:val="21"/>
          <w:highlight w:val="none"/>
          <w:shd w:val="clear" w:color="auto" w:fill="auto"/>
        </w:rPr>
        <w:t>45.4</w:t>
      </w:r>
      <w:r>
        <w:rPr>
          <w:rFonts w:ascii="Arial" w:hAnsi="Arial" w:cs="Arial"/>
          <w:bCs/>
          <w:color w:val="auto"/>
          <w:szCs w:val="21"/>
          <w:highlight w:val="none"/>
          <w:shd w:val="clear" w:color="auto" w:fill="auto"/>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Arial" w:hAnsi="Arial" w:cs="Arial"/>
          <w:bCs/>
          <w:color w:val="auto"/>
          <w:szCs w:val="21"/>
          <w:highlight w:val="none"/>
          <w:shd w:val="clear" w:color="auto" w:fill="auto"/>
        </w:rPr>
        <w:t>45.4计算通过技术标有效性审查的投标人总得分。投标人总得分=技术得分（满分100分）</w:t>
      </w:r>
      <w:r>
        <w:rPr>
          <w:rFonts w:ascii="Arial" w:hAnsi="Arial" w:cs="Arial"/>
          <w:bCs/>
          <w:color w:val="auto"/>
          <w:szCs w:val="21"/>
          <w:highlight w:val="none"/>
          <w:shd w:val="clear" w:color="auto" w:fill="auto"/>
        </w:rPr>
        <w:t>×技术得分权重</w:t>
      </w:r>
      <w:r>
        <w:rPr>
          <w:rFonts w:hint="eastAsia" w:ascii="Arial" w:hAnsi="Arial" w:cs="Arial"/>
          <w:bCs/>
          <w:color w:val="auto"/>
          <w:szCs w:val="21"/>
          <w:highlight w:val="none"/>
          <w:shd w:val="clear" w:color="auto" w:fill="auto"/>
        </w:rPr>
        <w:t>（20%）＋经济得分（满分100分）×经济得分权重（80%）。</w:t>
      </w:r>
      <w:r>
        <w:rPr>
          <w:rFonts w:ascii="Arial" w:hAnsi="Arial" w:cs="Arial"/>
          <w:bCs/>
          <w:color w:val="auto"/>
          <w:szCs w:val="21"/>
          <w:highlight w:val="none"/>
          <w:shd w:val="clear" w:color="auto" w:fill="auto"/>
        </w:rPr>
        <w:t>技术、经济得分权重按投标须知前附表的规定执行。总得分相同的投标文件，以技术分较高的排前；技术分均相同的投标文件，以报价较低的排前；如仍存在相同情况，则对具有相同情况的投标人，由评标委员会采用以差额选举的记名投票方式决定先后顺序，确定投标人的排序。</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款号：</w:t>
      </w:r>
      <w:r>
        <w:rPr>
          <w:rFonts w:hint="eastAsia" w:ascii="Arial" w:hAnsi="Arial" w:cs="Arial"/>
          <w:b/>
          <w:color w:val="auto"/>
          <w:szCs w:val="21"/>
          <w:highlight w:val="none"/>
          <w:shd w:val="clear" w:color="auto" w:fill="auto"/>
        </w:rPr>
        <w:t xml:space="preserve">46.1             </w:t>
      </w:r>
      <w:r>
        <w:rPr>
          <w:rFonts w:ascii="Arial" w:hAnsi="Arial" w:cs="Arial"/>
          <w:b/>
          <w:color w:val="auto"/>
          <w:szCs w:val="21"/>
          <w:highlight w:val="none"/>
          <w:shd w:val="clear" w:color="auto" w:fill="auto"/>
        </w:rPr>
        <w:t>修改类型：修改</w:t>
      </w:r>
    </w:p>
    <w:p>
      <w:pPr>
        <w:pBdr>
          <w:bottom w:val="single" w:color="auto" w:sz="6" w:space="1"/>
        </w:pBdr>
        <w:spacing w:line="360" w:lineRule="auto"/>
        <w:ind w:firstLine="422" w:firstLineChars="200"/>
        <w:rPr>
          <w:rFonts w:ascii="Arial" w:hAnsi="Arial" w:cs="Arial"/>
          <w:bCs/>
          <w:color w:val="auto"/>
          <w:szCs w:val="21"/>
          <w:highlight w:val="none"/>
          <w:shd w:val="clear" w:color="auto" w:fill="auto"/>
        </w:rPr>
      </w:pPr>
      <w:r>
        <w:rPr>
          <w:rFonts w:hint="eastAsia"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22" w:firstLineChars="200"/>
        <w:rPr>
          <w:rFonts w:ascii="Arial" w:hAnsi="Arial" w:cs="Arial"/>
          <w:b/>
          <w:color w:val="auto"/>
          <w:szCs w:val="21"/>
          <w:highlight w:val="none"/>
          <w:shd w:val="clear" w:color="auto" w:fill="auto"/>
        </w:rPr>
      </w:pPr>
      <w:r>
        <w:rPr>
          <w:rFonts w:hint="eastAsia" w:ascii="Arial" w:hAnsi="Arial" w:cs="Arial"/>
          <w:b/>
          <w:color w:val="auto"/>
          <w:szCs w:val="21"/>
          <w:highlight w:val="none"/>
          <w:shd w:val="clear" w:color="auto" w:fill="auto"/>
        </w:rPr>
        <w:t>现文：</w:t>
      </w:r>
      <w:r>
        <w:rPr>
          <w:rFonts w:hint="eastAsia" w:ascii="Arial" w:hAnsi="Arial" w:cs="Arial"/>
          <w:bCs/>
          <w:color w:val="auto"/>
          <w:szCs w:val="21"/>
          <w:highlight w:val="none"/>
          <w:shd w:val="clear" w:color="auto" w:fill="auto"/>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Arial" w:hAnsi="Arial" w:cs="Arial"/>
          <w:b/>
          <w:color w:val="auto"/>
          <w:szCs w:val="21"/>
          <w:highlight w:val="none"/>
          <w:shd w:val="clear" w:color="auto" w:fill="auto"/>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72" w:firstLineChars="224"/>
        <w:rPr>
          <w:rFonts w:ascii="Arial" w:hAnsi="Arial" w:cs="Arial"/>
          <w:b/>
          <w:color w:val="auto"/>
          <w:szCs w:val="21"/>
          <w:highlight w:val="none"/>
          <w:shd w:val="clear" w:color="auto" w:fill="auto"/>
        </w:rPr>
      </w:pP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条款号：48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464" w:firstLineChars="220"/>
        <w:rPr>
          <w:rFonts w:ascii="宋体" w:hAnsi="宋体"/>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48.评标委员会应在通过投标文件经济标有效性审查的投标人中，按步骤45.4确定的投标人排序，推荐前3名依次为第一中标候选人至第三中标候选人,并编制评标报告。</w:t>
      </w:r>
    </w:p>
    <w:p>
      <w:pPr>
        <w:pStyle w:val="29"/>
        <w:spacing w:line="360" w:lineRule="auto"/>
        <w:ind w:firstLine="464" w:firstLineChars="220"/>
        <w:rPr>
          <w:rFonts w:hAnsi="宋体" w:cs="宋体"/>
          <w:b/>
          <w:color w:val="auto"/>
          <w:szCs w:val="21"/>
          <w:highlight w:val="none"/>
          <w:shd w:val="clear" w:color="auto" w:fill="auto"/>
        </w:rPr>
      </w:pPr>
      <w:r>
        <w:rPr>
          <w:rFonts w:hint="eastAsia" w:hAnsi="宋体" w:cs="宋体"/>
          <w:b/>
          <w:color w:val="auto"/>
          <w:szCs w:val="21"/>
          <w:highlight w:val="none"/>
          <w:shd w:val="clear" w:color="auto" w:fill="auto"/>
        </w:rPr>
        <w:t>条款号：49                               修改类型：修改</w:t>
      </w:r>
    </w:p>
    <w:p>
      <w:pPr>
        <w:pBdr>
          <w:bottom w:val="single" w:color="auto" w:sz="6" w:space="1"/>
        </w:pBdr>
        <w:spacing w:line="360" w:lineRule="auto"/>
        <w:ind w:firstLine="464" w:firstLineChars="22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原文：</w:t>
      </w:r>
      <w:r>
        <w:rPr>
          <w:rFonts w:hint="eastAsia" w:ascii="宋体" w:hAnsi="宋体"/>
          <w:color w:val="auto"/>
          <w:szCs w:val="21"/>
          <w:highlight w:val="none"/>
          <w:shd w:val="clear" w:color="auto" w:fill="auto"/>
        </w:rPr>
        <w:t>49.若通过经济标有效性审查的投标人不足三家，应当依法重新招标。（当N个标段同时招标且不允许兼中时，若有效投标人不足N+2家，应当依法重新招标）</w:t>
      </w:r>
    </w:p>
    <w:p>
      <w:pPr>
        <w:pBdr>
          <w:bottom w:val="single" w:color="auto" w:sz="6" w:space="1"/>
        </w:pBdr>
        <w:spacing w:line="360" w:lineRule="auto"/>
        <w:ind w:firstLine="464" w:firstLineChars="220"/>
        <w:rPr>
          <w:rFonts w:ascii="宋体" w:hAnsi="宋体" w:cs="宋体"/>
          <w:color w:val="auto"/>
          <w:szCs w:val="21"/>
          <w:highlight w:val="none"/>
          <w:shd w:val="clear" w:color="auto" w:fill="auto"/>
        </w:rPr>
      </w:pPr>
      <w:r>
        <w:rPr>
          <w:rFonts w:hint="eastAsia" w:ascii="宋体" w:hAnsi="宋体"/>
          <w:b/>
          <w:color w:val="auto"/>
          <w:szCs w:val="21"/>
          <w:highlight w:val="none"/>
          <w:shd w:val="clear" w:color="auto" w:fill="auto"/>
        </w:rPr>
        <w:t>现文：</w:t>
      </w:r>
      <w:r>
        <w:rPr>
          <w:rFonts w:hint="eastAsia" w:ascii="宋体" w:hAnsi="宋体"/>
          <w:color w:val="auto"/>
          <w:szCs w:val="21"/>
          <w:highlight w:val="none"/>
          <w:shd w:val="clear" w:color="auto" w:fill="auto"/>
        </w:rPr>
        <w:t>49.若通过经济标有效性审查的投标人不足三家，应当依法重新招标。</w:t>
      </w:r>
    </w:p>
    <w:p>
      <w:pP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条款号：附表一《资格审查表》          修改类型：修改</w:t>
      </w:r>
    </w:p>
    <w:p>
      <w:pP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详见附表一《资格审查表》</w:t>
      </w:r>
    </w:p>
    <w:p>
      <w:pP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条款号：附表二《技术标有效性审查表》          修改类型：修改</w:t>
      </w:r>
    </w:p>
    <w:p>
      <w:pP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详见附表二《技术标有效性审查表》</w:t>
      </w:r>
    </w:p>
    <w:p>
      <w:pP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条款号：附表三《经济标有效性审查表》          修改类型：修改</w:t>
      </w:r>
    </w:p>
    <w:p>
      <w:pP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详见附表三《经济标有效性审查表》</w:t>
      </w:r>
    </w:p>
    <w:p>
      <w:pP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条款号：附表四《技术标详细审查评分表》          修改类型：修改</w:t>
      </w:r>
    </w:p>
    <w:p>
      <w:pP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详见附表四《技术标详细审查评分表》</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条款号：附表五《经济标评分表》             修改类型：修改</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80" w:lineRule="exact"/>
        <w:ind w:firstLine="527" w:firstLineChars="25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详见附表五《经济标评分表》</w:t>
      </w:r>
    </w:p>
    <w:p>
      <w:pPr>
        <w:spacing w:line="360" w:lineRule="auto"/>
        <w:ind w:firstLine="211" w:firstLineChars="1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注：以上修改，仅限于本范本中有可供选择条款的情形。</w:t>
      </w:r>
    </w:p>
    <w:p>
      <w:pPr>
        <w:spacing w:line="360" w:lineRule="auto"/>
        <w:rPr>
          <w:rFonts w:ascii="Arial" w:hAnsi="Arial" w:cs="Arial"/>
          <w:color w:val="auto"/>
          <w:highlight w:val="none"/>
          <w:shd w:val="clear" w:color="auto" w:fill="auto"/>
        </w:rPr>
      </w:pPr>
      <w:r>
        <w:rPr>
          <w:rFonts w:ascii="Arial" w:hAnsi="Arial" w:cs="Arial"/>
          <w:b/>
          <w:color w:val="auto"/>
          <w:szCs w:val="21"/>
          <w:highlight w:val="none"/>
          <w:shd w:val="clear" w:color="auto" w:fill="auto"/>
        </w:rPr>
        <w:t>（以下无正文）</w:t>
      </w:r>
    </w:p>
    <w:p>
      <w:pPr>
        <w:pStyle w:val="4"/>
        <w:spacing w:line="360" w:lineRule="auto"/>
        <w:rPr>
          <w:rFonts w:ascii="Arial" w:hAnsi="Arial" w:cs="Arial"/>
          <w:color w:val="auto"/>
          <w:highlight w:val="none"/>
          <w:shd w:val="clear" w:color="auto" w:fill="auto"/>
        </w:rPr>
      </w:pPr>
      <w:r>
        <w:rPr>
          <w:rFonts w:ascii="Arial" w:hAnsi="Arial" w:cs="Arial"/>
          <w:color w:val="auto"/>
          <w:highlight w:val="none"/>
          <w:shd w:val="clear" w:color="auto" w:fill="auto"/>
        </w:rPr>
        <w:br w:type="page"/>
      </w:r>
    </w:p>
    <w:p>
      <w:pPr>
        <w:pStyle w:val="3"/>
        <w:ind w:firstLine="525"/>
        <w:rPr>
          <w:rFonts w:cs="Arial"/>
          <w:color w:val="auto"/>
          <w:highlight w:val="none"/>
          <w:shd w:val="clear" w:color="auto" w:fill="auto"/>
        </w:rPr>
      </w:pPr>
      <w:bookmarkStart w:id="42" w:name="_Toc159334850"/>
      <w:bookmarkStart w:id="43" w:name="_Toc16347"/>
      <w:bookmarkStart w:id="44" w:name="_Toc101266289"/>
      <w:bookmarkStart w:id="45" w:name="_Toc2272556"/>
      <w:r>
        <w:rPr>
          <w:rFonts w:cs="Arial"/>
          <w:color w:val="auto"/>
          <w:highlight w:val="none"/>
          <w:shd w:val="clear" w:color="auto" w:fill="auto"/>
        </w:rPr>
        <w:t>二、开标、评标及定标办法</w:t>
      </w:r>
      <w:r>
        <w:rPr>
          <w:rFonts w:cs="Arial"/>
          <w:color w:val="auto"/>
          <w:szCs w:val="30"/>
          <w:highlight w:val="none"/>
          <w:shd w:val="clear" w:color="auto" w:fill="auto"/>
        </w:rPr>
        <w:t>通用条款</w:t>
      </w:r>
      <w:bookmarkEnd w:id="42"/>
      <w:bookmarkEnd w:id="43"/>
      <w:bookmarkEnd w:id="44"/>
      <w:bookmarkEnd w:id="45"/>
    </w:p>
    <w:p>
      <w:pPr>
        <w:pStyle w:val="5"/>
        <w:spacing w:before="156" w:after="156"/>
        <w:ind w:firstLine="540" w:firstLineChars="200"/>
        <w:rPr>
          <w:rFonts w:ascii="Arial" w:hAnsi="Arial" w:cs="Arial"/>
          <w:color w:val="auto"/>
          <w:highlight w:val="none"/>
          <w:shd w:val="clear" w:color="auto" w:fill="auto"/>
        </w:rPr>
      </w:pPr>
      <w:bookmarkStart w:id="46" w:name="_Toc159334851"/>
      <w:bookmarkStart w:id="47" w:name="_Toc14555"/>
      <w:bookmarkStart w:id="48" w:name="_Toc2272557"/>
      <w:bookmarkStart w:id="49" w:name="_Toc101266290"/>
      <w:r>
        <w:rPr>
          <w:rFonts w:ascii="Arial" w:hAnsi="Arial" w:cs="Arial"/>
          <w:color w:val="auto"/>
          <w:highlight w:val="none"/>
          <w:shd w:val="clear" w:color="auto" w:fill="auto"/>
        </w:rPr>
        <w:t>（一）总则</w:t>
      </w:r>
      <w:bookmarkEnd w:id="46"/>
      <w:bookmarkEnd w:id="47"/>
      <w:bookmarkEnd w:id="48"/>
      <w:bookmarkEnd w:id="49"/>
    </w:p>
    <w:p>
      <w:pPr>
        <w:spacing w:line="360" w:lineRule="auto"/>
        <w:ind w:firstLine="480" w:firstLineChars="200"/>
        <w:rPr>
          <w:rFonts w:ascii="Arial" w:hAnsi="Arial" w:cs="Arial"/>
          <w:b/>
          <w:color w:val="auto"/>
          <w:sz w:val="24"/>
          <w:szCs w:val="24"/>
          <w:highlight w:val="none"/>
          <w:shd w:val="clear" w:color="auto" w:fill="auto"/>
        </w:rPr>
      </w:pPr>
      <w:r>
        <w:rPr>
          <w:rFonts w:ascii="Arial" w:hAnsi="Arial" w:cs="Arial"/>
          <w:color w:val="auto"/>
          <w:sz w:val="24"/>
          <w:szCs w:val="24"/>
          <w:highlight w:val="none"/>
          <w:shd w:val="clear" w:color="auto" w:fill="auto"/>
        </w:rPr>
        <w:t>35 开标、评标及定标所依据的规则</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35.1《中华人民共和国招标投标法》；</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35.2《中华人民共和国招标投标法实施条例》；</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35.3《评标委员会和评标方法暂行规定》（七部委第12号令）</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35.4《工程建设项目施工招标投标办法》（七部委2003年第30号令）</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35.5《广东省实施〈中华人民共和国招标投标法〉办法》；</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35.6《房屋建筑和市政基础设施工程施工招标投标管理办法》（建设部令第89号）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35.7《广东省加强建设工程招标投标监督管理的若干规定》（粤发[2004]4号）；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35.8</w:t>
      </w:r>
      <w:r>
        <w:rPr>
          <w:rFonts w:hint="eastAsia" w:ascii="Arial" w:hAnsi="Arial" w:cs="Arial"/>
          <w:color w:val="auto"/>
          <w:sz w:val="24"/>
          <w:szCs w:val="24"/>
          <w:highlight w:val="none"/>
          <w:shd w:val="clear" w:color="auto" w:fill="auto"/>
        </w:rPr>
        <w:t>《广州市工程建设项目招标投标管理办法》（穗建规字〔2023〕12号）；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35.9本项目招标文件。</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36．开标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36.2 招标人在招标文件要求提交投标文件的截止时间前收到的投标文件，开标时都当众予以解密、公布。</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36.4若递交投标文件的投标人不足3家，则重新组织招标。（当N个标段同时招标且不允许兼中时，若有效投标人不足N+2家，则重新组织招标）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36.5按下列程序进行开标：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36.5.1在投标截止时间后半小时内，投标人通过</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36.5.2备用光盘的读取按投标须知前附表第36项的规定执行；</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36.5.3投标人代表、招标人代表、监标人、记录人等有关人员在开标记录上签字确认；若有关人员不签字的，不影响开标程序；</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36.5.4开标结束。</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36.7开标时，两个（含两个）以上的投标人加密打包投标文件电脑机器特征码一致的，不参与下一程序，并由评标委员会否决其投标。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37．评标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37.1评标委员会由招标人依法组建。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37.2评标委员会的职责及守则：</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37.2.1根据评标细则，对</w:t>
      </w:r>
      <w:r>
        <w:rPr>
          <w:rFonts w:ascii="Arial" w:hAnsi="Arial" w:cs="Arial"/>
          <w:color w:val="auto"/>
          <w:sz w:val="24"/>
          <w:highlight w:val="none"/>
          <w:shd w:val="clear" w:color="auto" w:fill="auto"/>
        </w:rPr>
        <w:t>投标文件</w:t>
      </w:r>
      <w:r>
        <w:rPr>
          <w:rFonts w:ascii="Arial" w:hAnsi="Arial" w:cs="Arial"/>
          <w:color w:val="auto"/>
          <w:sz w:val="24"/>
          <w:szCs w:val="24"/>
          <w:highlight w:val="none"/>
          <w:shd w:val="clear" w:color="auto" w:fill="auto"/>
        </w:rPr>
        <w:t>进行认真评审，完成评审报告；</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37.2.2向招标人报告评审意见，推荐合格的中标候选人。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bCs/>
          <w:color w:val="auto"/>
          <w:sz w:val="24"/>
          <w:szCs w:val="24"/>
          <w:highlight w:val="none"/>
          <w:shd w:val="clear" w:color="auto" w:fill="auto"/>
        </w:rPr>
        <w:t>37.2.3</w:t>
      </w:r>
      <w:r>
        <w:rPr>
          <w:rFonts w:ascii="Arial" w:hAnsi="Arial" w:cs="Arial"/>
          <w:b/>
          <w:bCs/>
          <w:color w:val="auto"/>
          <w:sz w:val="24"/>
          <w:szCs w:val="24"/>
          <w:highlight w:val="none"/>
          <w:shd w:val="clear" w:color="auto" w:fill="auto"/>
        </w:rPr>
        <w:t xml:space="preserve"> </w:t>
      </w:r>
      <w:r>
        <w:rPr>
          <w:rFonts w:ascii="Arial" w:hAnsi="Arial" w:cs="Arial"/>
          <w:color w:val="auto"/>
          <w:sz w:val="24"/>
          <w:szCs w:val="24"/>
          <w:highlight w:val="none"/>
          <w:shd w:val="clear" w:color="auto" w:fill="auto"/>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37.2.4全体参与评标人员：</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37.2.4.1 必须遵守评标纪律、不得泄密；</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37.2.4.2 必须公正、不得循私；</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37.2.4.3 必须科学、不得草率；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37.2.4.4 必须客观、不得带有成见；</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37.2.4.5 必须平等、不得强加于人；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37.2.4.6 必须严谨、不得随意马虎。</w:t>
      </w:r>
    </w:p>
    <w:p>
      <w:pPr>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37.4评标结束后，评标委员会递交评标报告并依法推荐中标候选人。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38．投标文件的澄清</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38.3 评标委员会或评标委员会专业评审组成员均应当阅读投标人的澄清，但应独立参考澄清对投标文件进行评审。</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39．定标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39.1 招标人根据评标委员会递交的评标报告，最终审定中标人。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39.2 依法必须进行公开招标的项目，招标人应当确定排名第一的中标候选人为中标人。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39.5 重新评标的，评标信息（含业绩、奖项等）仍以投标截止时投标人的信息为准。因特殊原因需要延长投标有效期，投标人拒绝延长投标有效期的，仍参与评标，但不被推荐为中标候选人。</w:t>
      </w:r>
    </w:p>
    <w:p>
      <w:pPr>
        <w:pStyle w:val="5"/>
        <w:spacing w:before="156" w:after="156"/>
        <w:ind w:firstLine="540" w:firstLineChars="200"/>
        <w:rPr>
          <w:rFonts w:ascii="Arial" w:hAnsi="Arial" w:cs="Arial"/>
          <w:color w:val="auto"/>
          <w:highlight w:val="none"/>
          <w:shd w:val="clear" w:color="auto" w:fill="auto"/>
        </w:rPr>
      </w:pPr>
      <w:bookmarkStart w:id="50" w:name="_Toc101266291"/>
      <w:bookmarkStart w:id="51" w:name="_Toc159334852"/>
      <w:bookmarkStart w:id="52" w:name="_Toc2272558"/>
      <w:bookmarkStart w:id="53" w:name="_Toc1697"/>
      <w:r>
        <w:rPr>
          <w:rFonts w:ascii="Arial" w:hAnsi="Arial" w:cs="Arial"/>
          <w:color w:val="auto"/>
          <w:highlight w:val="none"/>
          <w:shd w:val="clear" w:color="auto" w:fill="auto"/>
        </w:rPr>
        <w:t>（二）开标评标办法程序和细则</w:t>
      </w:r>
      <w:bookmarkEnd w:id="50"/>
      <w:bookmarkEnd w:id="51"/>
      <w:bookmarkEnd w:id="52"/>
      <w:bookmarkEnd w:id="53"/>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注：以下七种评标办法所述企业综合诚信评价分数即投标截止当日广州市工程招标代理行业协会网站上公布的企业综合诚信评价60日诚信分。</w:t>
      </w:r>
    </w:p>
    <w:p>
      <w:pPr>
        <w:spacing w:line="360" w:lineRule="auto"/>
        <w:ind w:firstLine="480" w:firstLineChars="200"/>
        <w:rPr>
          <w:rFonts w:ascii="Arial" w:hAnsi="Arial" w:cs="Arial"/>
          <w:color w:val="auto"/>
          <w:sz w:val="24"/>
          <w:szCs w:val="24"/>
          <w:highlight w:val="none"/>
          <w:shd w:val="clear" w:color="auto" w:fill="auto"/>
        </w:rPr>
      </w:pPr>
    </w:p>
    <w:p>
      <w:pPr>
        <w:pStyle w:val="5"/>
        <w:spacing w:before="156" w:after="156"/>
        <w:ind w:firstLine="540" w:firstLineChars="200"/>
        <w:rPr>
          <w:rFonts w:ascii="Arial" w:hAnsi="Arial" w:cs="Arial"/>
          <w:color w:val="auto"/>
          <w:highlight w:val="none"/>
          <w:shd w:val="clear" w:color="auto" w:fill="auto"/>
        </w:rPr>
      </w:pPr>
      <w:bookmarkStart w:id="54" w:name="_Toc159334859"/>
      <w:bookmarkStart w:id="55" w:name="_Toc101266298"/>
      <w:bookmarkStart w:id="56" w:name="_Toc2272564"/>
      <w:bookmarkStart w:id="57" w:name="_Toc12145"/>
      <w:r>
        <w:rPr>
          <w:rFonts w:ascii="Arial" w:hAnsi="Arial" w:cs="Arial"/>
          <w:color w:val="auto"/>
          <w:highlight w:val="none"/>
          <w:shd w:val="clear" w:color="auto" w:fill="auto"/>
        </w:rPr>
        <w:t>可选办法七（适合综合评分法四，技术标与经济标同时开启）</w:t>
      </w:r>
      <w:bookmarkEnd w:id="54"/>
      <w:bookmarkEnd w:id="55"/>
      <w:bookmarkEnd w:id="56"/>
      <w:bookmarkEnd w:id="57"/>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40．开标和评标程序</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40.1技术标（含资格审查文件）与经济标投标文件同时公开开标；</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40.2由评标委员会对所有已公开开标的投标人进行资格审查；</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40.3技术标投标文件有效性审查；</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40.4技术标详细审查评分；</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40.5经济标详细审查评分； </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40.6评标委员会按照投标人总得分由高至低排序；</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40.7经济标投标文件有效性审查；</w:t>
      </w:r>
    </w:p>
    <w:p>
      <w:pPr>
        <w:snapToGrid w:val="0"/>
        <w:spacing w:line="360" w:lineRule="auto"/>
        <w:ind w:firstLine="480" w:firstLineChars="200"/>
        <w:rPr>
          <w:rFonts w:ascii="Arial" w:hAnsi="Arial" w:cs="Arial"/>
          <w:color w:val="auto"/>
          <w:szCs w:val="21"/>
          <w:highlight w:val="none"/>
          <w:shd w:val="clear" w:color="auto" w:fill="auto"/>
        </w:rPr>
      </w:pPr>
      <w:r>
        <w:rPr>
          <w:rFonts w:ascii="Arial" w:hAnsi="Arial" w:cs="Arial"/>
          <w:color w:val="auto"/>
          <w:sz w:val="24"/>
          <w:szCs w:val="24"/>
          <w:highlight w:val="none"/>
          <w:shd w:val="clear" w:color="auto" w:fill="auto"/>
        </w:rPr>
        <w:t>40.8评标委员会按排序向招标人推荐中标候选人名单，并递交资格审查报告及评标报告。</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41．开标细则</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41.1开标由招标人主持；</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 细则</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41.2.1投标截止期前，各投标人递交投标文件（包括技术标投标文件、经济标投标文件）至</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 xml:space="preserve">交易平台。有关投标文件提交的事项详见第一章投标须知。 </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41.2.2开标前，首先由招标人随机抽取确定该工程计算评标参考价的等分点值X。</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41.2.4按36.5.1的规定完成解密后，公布下列内容，并予以记录，记录提交评标委员会评审： </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41.2.4.1开标时，公布：a、投标人名称；b、</w:t>
      </w:r>
      <w:r>
        <w:rPr>
          <w:rFonts w:ascii="Arial" w:hAnsi="Arial" w:cs="Arial"/>
          <w:color w:val="auto"/>
          <w:sz w:val="24"/>
          <w:highlight w:val="none"/>
          <w:shd w:val="clear" w:color="auto" w:fill="auto"/>
        </w:rPr>
        <w:t>投标文件</w:t>
      </w:r>
      <w:r>
        <w:rPr>
          <w:rFonts w:ascii="Arial" w:hAnsi="Arial" w:cs="Arial"/>
          <w:color w:val="auto"/>
          <w:sz w:val="24"/>
          <w:szCs w:val="24"/>
          <w:highlight w:val="none"/>
          <w:shd w:val="clear" w:color="auto" w:fill="auto"/>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41.3招标人对开标过程进行记录，并存档备查，投标人在技术标开标记录上签字。</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41.4 招标人将上述符合要求的投标文件，送至评标委员会进行评审。</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42. 资格审查及评标细则</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42.1资格审查及评标均由招标人依法组建的评标委员会负责。</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42.2评标委员会的组成：方式</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方式一：评标委员会为综合评标委员会，负责资格审查及评标工作。</w:t>
      </w:r>
    </w:p>
    <w:p>
      <w:pPr>
        <w:pStyle w:val="53"/>
        <w:tabs>
          <w:tab w:val="left" w:pos="7380"/>
        </w:tabs>
        <w:snapToGrid w:val="0"/>
        <w:spacing w:after="0" w:line="36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方式二：评标委员会由技术评审组和经济评审组组成。其中：资格审查及技术评审由技术评标组负责，经济评审由经济评审组负责。</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43．投标人资格审查</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43.2汇总资格审查情况，编写资格审查报告。</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43.3资格审查不合格的投标文件不参加下一阶段的评标，不参与评标参考价的计算。</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43.5资审合格后，投标人的资格发生变化而不满足投标人合格条件，在发出中标通知书前，资格问题仍未解决的，招标人将取消其中标资格。</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43.6资格审查合格的投标人少于3名的（当N个标段同时招标且不允许兼中时，资格审查合格的投标人少于N+2名），则本项目招标失败。</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44．技术标评审</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44.2技术标详细审查评分：评标委员会按照附表四《技术标详细审查评分表》的标准，对通过技术标有效性审查的投标文件技术标进行详细审查，评出技术分，得分四舍五入精确到小数点后两位。</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45．经济标评审和得分汇总</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45.1若通过技术标有效性审查的投标人中所有投标报价均大于等于最高投标限价*D%（D的取值范围为[94,100],由招标人自主确定）的（具体金额为：</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元），则本项目招标失败，由招标人依法重新招标。</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45.2按方法</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计算评标参考价：</w:t>
      </w:r>
    </w:p>
    <w:p>
      <w:pPr>
        <w:widowControl/>
        <w:spacing w:line="360" w:lineRule="auto"/>
        <w:ind w:firstLine="482" w:firstLineChars="200"/>
        <w:rPr>
          <w:rFonts w:ascii="Arial" w:hAnsi="Arial" w:cs="Arial"/>
          <w:b/>
          <w:bCs/>
          <w:color w:val="auto"/>
          <w:kern w:val="0"/>
          <w:sz w:val="24"/>
          <w:szCs w:val="24"/>
          <w:highlight w:val="none"/>
          <w:shd w:val="clear" w:color="auto" w:fill="auto"/>
        </w:rPr>
      </w:pPr>
      <w:r>
        <w:rPr>
          <w:rFonts w:ascii="Arial" w:hAnsi="Arial" w:cs="Arial"/>
          <w:b/>
          <w:bCs/>
          <w:color w:val="auto"/>
          <w:kern w:val="0"/>
          <w:sz w:val="24"/>
          <w:szCs w:val="24"/>
          <w:highlight w:val="none"/>
          <w:shd w:val="clear" w:color="auto" w:fill="auto"/>
        </w:rPr>
        <w:t>方法一：加权平均法</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技术标或技术标加诚信得分（具体由招标人自定）前N名（N≥5，具体由招标人自定）的经济报价加权平均，计算评标参考价。公式如下：</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评标参考价=Σ（投标人的投标报价*报价权重）。</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其中：报价权重的计算方法为：将N名投标人按技术分由高至低进行排序，第一名投标人的权重为（</w:t>
      </w:r>
      <w:r>
        <w:rPr>
          <w:rFonts w:ascii="Arial" w:hAnsi="Arial" w:cs="Arial"/>
          <w:color w:val="auto"/>
          <w:sz w:val="24"/>
          <w:szCs w:val="24"/>
          <w:highlight w:val="none"/>
          <w:shd w:val="clear" w:color="auto" w:fill="auto"/>
        </w:rPr>
        <w:fldChar w:fldCharType="begin"/>
      </w:r>
      <w:r>
        <w:rPr>
          <w:rFonts w:ascii="Arial" w:hAnsi="Arial" w:cs="Arial"/>
          <w:color w:val="auto"/>
          <w:sz w:val="24"/>
          <w:szCs w:val="24"/>
          <w:highlight w:val="none"/>
          <w:shd w:val="clear" w:color="auto" w:fill="auto"/>
        </w:rPr>
        <w:instrText xml:space="preserve"> QUOTE </w:instrText>
      </w:r>
      <w:r>
        <w:rPr>
          <w:rFonts w:ascii="Arial" w:hAnsi="Arial" w:cs="Arial"/>
          <w:color w:val="auto"/>
          <w:sz w:val="24"/>
          <w:szCs w:val="24"/>
          <w:highlight w:val="none"/>
          <w:shd w:val="clear" w:color="auto" w:fill="auto"/>
        </w:rPr>
        <w:drawing>
          <wp:inline distT="0" distB="0" distL="0" distR="0">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separate"/>
      </w:r>
      <w:r>
        <w:rPr>
          <w:rFonts w:ascii="Arial" w:hAnsi="Arial" w:cs="Arial"/>
          <w:color w:val="auto"/>
          <w:sz w:val="24"/>
          <w:szCs w:val="24"/>
          <w:highlight w:val="none"/>
          <w:shd w:val="clear" w:color="auto" w:fill="auto"/>
        </w:rPr>
        <w:drawing>
          <wp:inline distT="0" distB="0" distL="0" distR="0">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end"/>
      </w:r>
      <w:r>
        <w:rPr>
          <w:rFonts w:ascii="Arial" w:hAnsi="Arial" w:cs="Arial"/>
          <w:color w:val="auto"/>
          <w:sz w:val="24"/>
          <w:szCs w:val="24"/>
          <w:highlight w:val="none"/>
          <w:shd w:val="clear" w:color="auto" w:fill="auto"/>
        </w:rPr>
        <w:t>），第二名投标人的权重为（</w:t>
      </w:r>
      <w:r>
        <w:rPr>
          <w:rFonts w:ascii="Arial" w:hAnsi="Arial" w:cs="Arial"/>
          <w:color w:val="auto"/>
          <w:sz w:val="24"/>
          <w:szCs w:val="24"/>
          <w:highlight w:val="none"/>
          <w:shd w:val="clear" w:color="auto" w:fill="auto"/>
        </w:rPr>
        <w:fldChar w:fldCharType="begin"/>
      </w:r>
      <w:r>
        <w:rPr>
          <w:rFonts w:ascii="Arial" w:hAnsi="Arial" w:cs="Arial"/>
          <w:color w:val="auto"/>
          <w:sz w:val="24"/>
          <w:szCs w:val="24"/>
          <w:highlight w:val="none"/>
          <w:shd w:val="clear" w:color="auto" w:fill="auto"/>
        </w:rPr>
        <w:instrText xml:space="preserve"> QUOTE </w:instrText>
      </w:r>
      <w:r>
        <w:rPr>
          <w:rFonts w:ascii="Arial" w:hAnsi="Arial" w:cs="Arial"/>
          <w:color w:val="auto"/>
          <w:position w:val="-23"/>
          <w:sz w:val="24"/>
          <w:szCs w:val="24"/>
          <w:highlight w:val="none"/>
          <w:shd w:val="clear" w:color="auto" w:fill="auto"/>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separate"/>
      </w:r>
      <w:r>
        <w:rPr>
          <w:rFonts w:ascii="Arial" w:hAnsi="Arial" w:cs="Arial"/>
          <w:color w:val="auto"/>
          <w:position w:val="-23"/>
          <w:sz w:val="24"/>
          <w:szCs w:val="24"/>
          <w:highlight w:val="none"/>
          <w:shd w:val="clear" w:color="auto" w:fill="auto"/>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end"/>
      </w:r>
      <w:r>
        <w:rPr>
          <w:rFonts w:ascii="Arial" w:hAnsi="Arial" w:cs="Arial"/>
          <w:color w:val="auto"/>
          <w:sz w:val="24"/>
          <w:szCs w:val="24"/>
          <w:highlight w:val="none"/>
          <w:shd w:val="clear" w:color="auto" w:fill="auto"/>
        </w:rPr>
        <w:t>），以此类推，最后一名投标人的权重为（</w:t>
      </w:r>
      <w:r>
        <w:rPr>
          <w:rFonts w:ascii="Arial" w:hAnsi="Arial" w:cs="Arial"/>
          <w:color w:val="auto"/>
          <w:sz w:val="24"/>
          <w:szCs w:val="24"/>
          <w:highlight w:val="none"/>
          <w:shd w:val="clear" w:color="auto" w:fill="auto"/>
        </w:rPr>
        <w:fldChar w:fldCharType="begin"/>
      </w:r>
      <w:r>
        <w:rPr>
          <w:rFonts w:ascii="Arial" w:hAnsi="Arial" w:cs="Arial"/>
          <w:color w:val="auto"/>
          <w:sz w:val="24"/>
          <w:szCs w:val="24"/>
          <w:highlight w:val="none"/>
          <w:shd w:val="clear" w:color="auto" w:fill="auto"/>
        </w:rPr>
        <w:instrText xml:space="preserve"> QUOTE </w:instrText>
      </w:r>
      <w:r>
        <w:rPr>
          <w:rFonts w:ascii="Arial" w:hAnsi="Arial" w:cs="Arial"/>
          <w:color w:val="auto"/>
          <w:position w:val="-23"/>
          <w:sz w:val="24"/>
          <w:szCs w:val="24"/>
          <w:highlight w:val="none"/>
          <w:shd w:val="clear" w:color="auto" w:fill="auto"/>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separate"/>
      </w:r>
      <w:r>
        <w:rPr>
          <w:rFonts w:ascii="Arial" w:hAnsi="Arial" w:cs="Arial"/>
          <w:color w:val="auto"/>
          <w:position w:val="-23"/>
          <w:sz w:val="24"/>
          <w:szCs w:val="24"/>
          <w:highlight w:val="none"/>
          <w:shd w:val="clear" w:color="auto" w:fill="auto"/>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end"/>
      </w:r>
      <w:r>
        <w:rPr>
          <w:rFonts w:ascii="Arial" w:hAnsi="Arial" w:cs="Arial"/>
          <w:color w:val="auto"/>
          <w:sz w:val="24"/>
          <w:szCs w:val="24"/>
          <w:highlight w:val="none"/>
          <w:shd w:val="clear" w:color="auto" w:fill="auto"/>
        </w:rPr>
        <w:t>）。</w:t>
      </w:r>
    </w:p>
    <w:p>
      <w:pPr>
        <w:widowControl/>
        <w:spacing w:line="360" w:lineRule="auto"/>
        <w:ind w:firstLine="482" w:firstLineChars="200"/>
        <w:rPr>
          <w:rFonts w:ascii="Arial" w:hAnsi="Arial" w:cs="Arial"/>
          <w:b/>
          <w:bCs/>
          <w:color w:val="auto"/>
          <w:kern w:val="0"/>
          <w:sz w:val="24"/>
          <w:szCs w:val="24"/>
          <w:highlight w:val="none"/>
          <w:shd w:val="clear" w:color="auto" w:fill="auto"/>
        </w:rPr>
      </w:pPr>
      <w:r>
        <w:rPr>
          <w:rFonts w:ascii="Arial" w:hAnsi="Arial" w:cs="Arial"/>
          <w:b/>
          <w:bCs/>
          <w:color w:val="auto"/>
          <w:kern w:val="0"/>
          <w:sz w:val="24"/>
          <w:szCs w:val="24"/>
          <w:highlight w:val="none"/>
          <w:shd w:val="clear" w:color="auto" w:fill="auto"/>
        </w:rPr>
        <w:t>方法二：区间抽取法</w:t>
      </w:r>
    </w:p>
    <w:p>
      <w:pPr>
        <w:widowControl/>
        <w:snapToGrid w:val="0"/>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评标参考价=（Q高-Q低）/100*Ｘ+Q低</w:t>
      </w:r>
    </w:p>
    <w:p>
      <w:pPr>
        <w:widowControl/>
        <w:snapToGrid w:val="0"/>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Q低：为达到或超过技术标及格分数线的投标人最低报价与工程成本警示价两者中的较高值；</w:t>
      </w:r>
    </w:p>
    <w:p>
      <w:pPr>
        <w:widowControl/>
        <w:snapToGrid w:val="0"/>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Q高：为最高投标限价</w:t>
      </w:r>
    </w:p>
    <w:p>
      <w:pPr>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 xml:space="preserve">    X:为等分点值，在开标前从[0,100]整数中随机抽取</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kern w:val="0"/>
          <w:sz w:val="24"/>
          <w:szCs w:val="24"/>
          <w:highlight w:val="none"/>
          <w:shd w:val="clear" w:color="auto" w:fill="auto"/>
        </w:rPr>
        <w:t>45.3</w:t>
      </w:r>
      <w:r>
        <w:rPr>
          <w:rFonts w:ascii="Arial" w:hAnsi="Arial" w:cs="Arial"/>
          <w:color w:val="auto"/>
          <w:sz w:val="24"/>
          <w:szCs w:val="24"/>
          <w:highlight w:val="none"/>
          <w:shd w:val="clear" w:color="auto" w:fill="auto"/>
        </w:rPr>
        <w:t>当标价等于评标参考价时得100分，标价每高于评标参考价1%，扣1.5分，每低于评标参考价1%，扣1分，扣至0分为止，得出经济分，精确到小数点后两位。</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46.经济标的有效性审查</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46.1经济标的有效性审查：按照投标人总得分排序，依次对投标文件进行经济标有效性审查，投标文件中没有任一种列于本办法附表三《经济标有效性审查表》中情形的，为有效</w:t>
      </w:r>
      <w:r>
        <w:rPr>
          <w:rFonts w:ascii="Arial" w:hAnsi="Arial" w:cs="Arial"/>
          <w:color w:val="auto"/>
          <w:sz w:val="24"/>
          <w:highlight w:val="none"/>
          <w:shd w:val="clear" w:color="auto" w:fill="auto"/>
        </w:rPr>
        <w:t>投标文件</w:t>
      </w:r>
      <w:r>
        <w:rPr>
          <w:rFonts w:ascii="Arial" w:hAnsi="Arial" w:cs="Arial"/>
          <w:color w:val="auto"/>
          <w:sz w:val="24"/>
          <w:szCs w:val="24"/>
          <w:highlight w:val="none"/>
          <w:shd w:val="clear" w:color="auto" w:fill="auto"/>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46.2.1如果数字表示的金额和用文字表示的金额不一致时，应以文字表示的金额为准；</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46.2.2经算术复核的投标人报价与其投标报价不一致时，按就低不就高原则确定其最终报价；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46.2.6</w:t>
      </w:r>
      <w:r>
        <w:rPr>
          <w:rFonts w:hint="eastAsia" w:ascii="宋体" w:hAnsi="宋体" w:cs="宋体"/>
          <w:color w:val="auto"/>
          <w:sz w:val="24"/>
          <w:szCs w:val="24"/>
          <w:highlight w:val="none"/>
          <w:shd w:val="clear" w:color="auto" w:fill="auto"/>
        </w:rPr>
        <w:t>①</w:t>
      </w:r>
      <w:r>
        <w:rPr>
          <w:rFonts w:ascii="Arial" w:hAnsi="Arial" w:cs="Arial"/>
          <w:color w:val="auto"/>
          <w:sz w:val="24"/>
          <w:szCs w:val="24"/>
          <w:highlight w:val="none"/>
          <w:shd w:val="clear" w:color="auto" w:fill="auto"/>
        </w:rPr>
        <w:t>分部分项工程量比招标文件少、单位比招标文件小或错误时，以招标文件的工程量或单位为准，合价不变，修改综合单价。分部分项工程量比招标文件多或单位比招标文件大时，工程量、单位、综合单价及合价均不作修改；</w:t>
      </w:r>
      <w:r>
        <w:rPr>
          <w:rFonts w:hint="eastAsia" w:ascii="宋体" w:hAnsi="宋体" w:cs="宋体"/>
          <w:color w:val="auto"/>
          <w:sz w:val="24"/>
          <w:szCs w:val="24"/>
          <w:highlight w:val="none"/>
          <w:shd w:val="clear" w:color="auto" w:fill="auto"/>
        </w:rPr>
        <w:t>②</w:t>
      </w:r>
      <w:r>
        <w:rPr>
          <w:rFonts w:ascii="Arial" w:hAnsi="Arial" w:cs="Arial"/>
          <w:color w:val="auto"/>
          <w:sz w:val="24"/>
          <w:szCs w:val="24"/>
          <w:highlight w:val="none"/>
          <w:shd w:val="clear" w:color="auto" w:fill="auto"/>
        </w:rPr>
        <w:t>分部分项项目对比招标文件（招标工程量清单）漏项的，则该漏项费用视为已分配在其他项目中，不再修改；</w:t>
      </w:r>
      <w:r>
        <w:rPr>
          <w:rFonts w:hint="eastAsia" w:ascii="宋体" w:hAnsi="宋体" w:cs="宋体"/>
          <w:color w:val="auto"/>
          <w:sz w:val="24"/>
          <w:szCs w:val="24"/>
          <w:highlight w:val="none"/>
          <w:shd w:val="clear" w:color="auto" w:fill="auto"/>
        </w:rPr>
        <w:t>③</w:t>
      </w:r>
      <w:r>
        <w:rPr>
          <w:rFonts w:ascii="Arial" w:hAnsi="Arial" w:cs="Arial"/>
          <w:color w:val="auto"/>
          <w:sz w:val="24"/>
          <w:szCs w:val="24"/>
          <w:highlight w:val="none"/>
          <w:shd w:val="clear" w:color="auto" w:fill="auto"/>
        </w:rPr>
        <w:t>分部分项工程量清单中的综合单价与综合单价分析表中的综合单价不一致时，以价低者为准；</w:t>
      </w:r>
      <w:r>
        <w:rPr>
          <w:rFonts w:hint="eastAsia" w:ascii="宋体" w:hAnsi="宋体" w:cs="宋体"/>
          <w:color w:val="auto"/>
          <w:sz w:val="24"/>
          <w:szCs w:val="24"/>
          <w:highlight w:val="none"/>
          <w:shd w:val="clear" w:color="auto" w:fill="auto"/>
        </w:rPr>
        <w:t>④</w:t>
      </w:r>
      <w:r>
        <w:rPr>
          <w:rFonts w:ascii="Arial" w:hAnsi="Arial" w:cs="Arial"/>
          <w:color w:val="auto"/>
          <w:sz w:val="24"/>
          <w:szCs w:val="24"/>
          <w:highlight w:val="none"/>
          <w:shd w:val="clear" w:color="auto" w:fill="auto"/>
        </w:rPr>
        <w:t>分部分项工程量计价表中的项目编码或项目名称或计量单位或工程数量缺省或不填时，由评委以招标文件中招标人工程量清单为准进行修正；若同时缺省或不填项目编码和项目名称，则该项按增项处理；</w:t>
      </w:r>
      <w:r>
        <w:rPr>
          <w:rFonts w:hint="eastAsia" w:ascii="宋体" w:hAnsi="宋体" w:cs="宋体"/>
          <w:color w:val="auto"/>
          <w:sz w:val="24"/>
          <w:szCs w:val="24"/>
          <w:highlight w:val="none"/>
          <w:shd w:val="clear" w:color="auto" w:fill="auto"/>
        </w:rPr>
        <w:t>⑤</w:t>
      </w:r>
      <w:r>
        <w:rPr>
          <w:rFonts w:ascii="Arial" w:hAnsi="Arial" w:cs="Arial"/>
          <w:color w:val="auto"/>
          <w:sz w:val="24"/>
          <w:szCs w:val="24"/>
          <w:highlight w:val="none"/>
          <w:shd w:val="clear" w:color="auto" w:fill="auto"/>
        </w:rPr>
        <w:t>分部分项项目增项的，不予修改；</w:t>
      </w:r>
      <w:r>
        <w:rPr>
          <w:rFonts w:hint="eastAsia" w:ascii="宋体" w:hAnsi="宋体" w:cs="宋体"/>
          <w:color w:val="auto"/>
          <w:sz w:val="24"/>
          <w:szCs w:val="24"/>
          <w:highlight w:val="none"/>
          <w:shd w:val="clear" w:color="auto" w:fill="auto"/>
        </w:rPr>
        <w:t>⑥</w:t>
      </w:r>
      <w:r>
        <w:rPr>
          <w:rFonts w:ascii="Arial" w:hAnsi="Arial" w:cs="Arial"/>
          <w:color w:val="auto"/>
          <w:sz w:val="24"/>
          <w:szCs w:val="24"/>
          <w:highlight w:val="none"/>
          <w:shd w:val="clear" w:color="auto" w:fill="auto"/>
        </w:rPr>
        <w:t>其它招标文件规定需要修改的，均以就低不就高原则进行修改；</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49.若通过经济标有效性审查的投标人不足三家，应当依法重新招标。（当N个标段同时招标且不允许兼中时，若有效投标人不足N+2家，应当依法重新招标）</w:t>
      </w:r>
    </w:p>
    <w:p>
      <w:pPr>
        <w:spacing w:line="36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br w:type="page"/>
      </w:r>
    </w:p>
    <w:p>
      <w:pPr>
        <w:widowControl/>
        <w:snapToGrid w:val="0"/>
        <w:spacing w:line="360" w:lineRule="auto"/>
        <w:ind w:right="102"/>
        <w:jc w:val="lef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附表一：</w:t>
      </w:r>
    </w:p>
    <w:p>
      <w:pPr>
        <w:jc w:val="center"/>
        <w:outlineLvl w:val="2"/>
        <w:rPr>
          <w:rFonts w:ascii="Arial" w:hAnsi="Arial" w:cs="Arial"/>
          <w:b/>
          <w:color w:val="auto"/>
          <w:sz w:val="32"/>
          <w:szCs w:val="32"/>
          <w:highlight w:val="none"/>
          <w:shd w:val="clear" w:color="auto" w:fill="auto"/>
        </w:rPr>
      </w:pPr>
      <w:bookmarkStart w:id="58" w:name="_Toc159334861"/>
      <w:bookmarkStart w:id="59" w:name="_Toc2377"/>
      <w:r>
        <w:rPr>
          <w:rFonts w:ascii="Arial" w:hAnsi="Arial" w:cs="Arial"/>
          <w:b/>
          <w:color w:val="auto"/>
          <w:sz w:val="32"/>
          <w:szCs w:val="32"/>
          <w:highlight w:val="none"/>
          <w:shd w:val="clear" w:color="auto" w:fill="auto"/>
        </w:rPr>
        <w:t>资格审查表</w:t>
      </w:r>
      <w:bookmarkEnd w:id="58"/>
      <w:bookmarkEnd w:id="59"/>
    </w:p>
    <w:p>
      <w:pPr>
        <w:spacing w:line="48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工程名称：</w:t>
      </w:r>
    </w:p>
    <w:p>
      <w:pPr>
        <w:spacing w:line="48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投标人名称：</w:t>
      </w:r>
    </w:p>
    <w:tbl>
      <w:tblPr>
        <w:tblStyle w:val="55"/>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4001"/>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序号</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bCs/>
                <w:color w:val="auto"/>
                <w:szCs w:val="21"/>
                <w:highlight w:val="none"/>
                <w:u w:val="single"/>
                <w:shd w:val="clear" w:color="auto" w:fill="auto"/>
              </w:rPr>
              <w:t>营业执照扫描件加盖电子公章</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资质证书及安全生产许可证扫描件加盖电子公章</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Style w:val="66"/>
                <w:rFonts w:hint="eastAsia" w:ascii="宋体" w:hAnsi="宋体" w:cs="宋体"/>
                <w:color w:val="auto"/>
                <w:kern w:val="0"/>
                <w:highlight w:val="none"/>
                <w:shd w:val="clear" w:color="auto" w:fill="auto"/>
              </w:rPr>
              <w:t>建造师证书相关证明扫描件加盖电子公章</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持有项目负责人安全</w:t>
            </w:r>
            <w:r>
              <w:rPr>
                <w:rFonts w:hint="eastAsia" w:ascii="Arial" w:hAnsi="Arial" w:cs="Arial"/>
                <w:color w:val="auto"/>
                <w:szCs w:val="21"/>
                <w:highlight w:val="none"/>
                <w:shd w:val="clear" w:color="auto" w:fill="auto"/>
              </w:rPr>
              <w:t>生产</w:t>
            </w:r>
            <w:r>
              <w:rPr>
                <w:rFonts w:ascii="Arial" w:hAnsi="Arial" w:cs="Arial"/>
                <w:color w:val="auto"/>
                <w:szCs w:val="21"/>
                <w:highlight w:val="none"/>
                <w:shd w:val="clear" w:color="auto" w:fill="auto"/>
              </w:rPr>
              <w:t>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须提交彩色扫描件</w:t>
            </w:r>
            <w:r>
              <w:rPr>
                <w:rStyle w:val="66"/>
                <w:rFonts w:hint="eastAsia" w:ascii="宋体" w:hAnsi="宋体" w:cs="宋体"/>
                <w:color w:val="auto"/>
                <w:kern w:val="0"/>
                <w:highlight w:val="none"/>
                <w:shd w:val="clear" w:color="auto" w:fill="auto"/>
              </w:rPr>
              <w:t>加盖电子公章</w:t>
            </w:r>
            <w:r>
              <w:rPr>
                <w:rFonts w:hint="eastAsia" w:ascii="宋体" w:hAnsi="宋体" w:cs="宋体"/>
                <w:color w:val="auto"/>
                <w:szCs w:val="21"/>
                <w:highlight w:val="none"/>
                <w:shd w:val="clear" w:color="auto" w:fill="auto"/>
              </w:rPr>
              <w:t>或建筑施工企业项目负责人安全生产考核合格证</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拟委托技术负责人的市政相关专业职称证书扫描件</w:t>
            </w:r>
            <w:r>
              <w:rPr>
                <w:rStyle w:val="66"/>
                <w:rFonts w:hint="eastAsia" w:ascii="宋体" w:hAnsi="宋体" w:cs="宋体"/>
                <w:color w:val="auto"/>
                <w:kern w:val="0"/>
                <w:highlight w:val="none"/>
                <w:shd w:val="clear" w:color="auto" w:fill="auto"/>
              </w:rPr>
              <w:t>加盖电子公章</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专职安全员须具有在有效期内的安全生产考核合格证（C类）或建筑施工企业专职安全生产管理人员安全生产考核合格证书（C3类）</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须提交彩色扫描件加盖电子公章或建筑施工企业专职安全生产管理人员安全生产考核合格证</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投标人已按照附件一的内容签署盖章的投标人声明</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9</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10</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提供联合体工作协议。投标人拟任本工程项目负责人应为主办方正式员工。联合体工作协议应明确约定各方拟承担的工作和责任（如有）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不接受联合体投标。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资格审查前，投标人须在广州公共资源交易中心办理信息登记等相关投标登记手续及拟担任本工程项目负责人、专职安全员须是本企业的在册人员且与广州公共资源交易中心办理信息登记一致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投标人在广州公共资源交易中心办理登记信息及人员信息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w:t>
            </w:r>
          </w:p>
        </w:tc>
        <w:tc>
          <w:tcPr>
            <w:tcW w:w="4001" w:type="dxa"/>
            <w:tcBorders>
              <w:top w:val="single" w:color="auto" w:sz="4" w:space="0"/>
              <w:left w:val="single" w:color="auto" w:sz="4" w:space="0"/>
              <w:bottom w:val="single" w:color="auto" w:sz="4" w:space="0"/>
              <w:right w:val="single" w:color="auto" w:sz="4" w:space="0"/>
            </w:tcBorders>
            <w:vAlign w:val="center"/>
          </w:tcPr>
          <w:p>
            <w:pPr>
              <w:wordWrap w:val="0"/>
              <w:spacing w:before="120" w:after="60"/>
              <w:jc w:val="left"/>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按广州公共资源交易中心交易系统比对结果进行评审。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bl>
    <w:p>
      <w:pPr>
        <w:spacing w:line="48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备注：</w:t>
      </w:r>
    </w:p>
    <w:p>
      <w:pPr>
        <w:spacing w:line="48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1、每一项目符合的打“○”，不符合的打“×”； </w:t>
      </w:r>
    </w:p>
    <w:p>
      <w:pPr>
        <w:spacing w:line="48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2、若评委意见不一致时，则按少数服从多数的原则，作出评审结论。汇总后，出现一个“×”的结论为“不通过”。</w:t>
      </w:r>
    </w:p>
    <w:p>
      <w:pPr>
        <w:spacing w:line="480" w:lineRule="auto"/>
        <w:ind w:firstLine="472" w:firstLineChars="224"/>
        <w:rPr>
          <w:rFonts w:ascii="Arial" w:hAnsi="Arial" w:cs="Arial"/>
          <w:b/>
          <w:bCs/>
          <w:color w:val="auto"/>
          <w:szCs w:val="21"/>
          <w:highlight w:val="none"/>
          <w:shd w:val="clear" w:color="auto" w:fill="auto"/>
        </w:rPr>
        <w:sectPr>
          <w:footerReference r:id="rId6" w:type="first"/>
          <w:footerReference r:id="rId4" w:type="default"/>
          <w:headerReference r:id="rId3" w:type="even"/>
          <w:footerReference r:id="rId5" w:type="even"/>
          <w:endnotePr>
            <w:numFmt w:val="decimal"/>
          </w:endnotePr>
          <w:pgSz w:w="11906" w:h="16838"/>
          <w:pgMar w:top="1134" w:right="1418" w:bottom="1247" w:left="1418" w:header="851" w:footer="907" w:gutter="0"/>
          <w:pgNumType w:start="0"/>
          <w:cols w:space="425" w:num="1"/>
          <w:titlePg/>
          <w:docGrid w:type="lines" w:linePitch="312" w:charSpace="0"/>
        </w:sectPr>
      </w:pPr>
      <w:r>
        <w:rPr>
          <w:rFonts w:ascii="Arial" w:hAnsi="Arial" w:cs="Arial"/>
          <w:b/>
          <w:bCs/>
          <w:color w:val="auto"/>
          <w:szCs w:val="21"/>
          <w:highlight w:val="none"/>
          <w:shd w:val="clear" w:color="auto" w:fill="auto"/>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附表二</w:t>
      </w:r>
    </w:p>
    <w:p>
      <w:pPr>
        <w:jc w:val="center"/>
        <w:outlineLvl w:val="2"/>
        <w:rPr>
          <w:rFonts w:ascii="Arial" w:hAnsi="Arial" w:cs="Arial"/>
          <w:b/>
          <w:color w:val="auto"/>
          <w:sz w:val="32"/>
          <w:szCs w:val="32"/>
          <w:highlight w:val="none"/>
          <w:shd w:val="clear" w:color="auto" w:fill="auto"/>
        </w:rPr>
      </w:pPr>
      <w:bookmarkStart w:id="60" w:name="_Toc7898"/>
      <w:bookmarkStart w:id="61" w:name="_Toc159334862"/>
      <w:r>
        <w:rPr>
          <w:rFonts w:ascii="Arial" w:hAnsi="Arial" w:cs="Arial"/>
          <w:b/>
          <w:color w:val="auto"/>
          <w:sz w:val="32"/>
          <w:szCs w:val="32"/>
          <w:highlight w:val="none"/>
          <w:shd w:val="clear" w:color="auto" w:fill="auto"/>
        </w:rPr>
        <w:t>技术标有效性审查表</w:t>
      </w:r>
      <w:bookmarkEnd w:id="60"/>
      <w:bookmarkEnd w:id="61"/>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bl>
      <w:tblPr>
        <w:tblStyle w:val="55"/>
        <w:tblW w:w="14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902"/>
        <w:gridCol w:w="1602"/>
        <w:gridCol w:w="160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序号</w:t>
            </w:r>
          </w:p>
        </w:tc>
        <w:tc>
          <w:tcPr>
            <w:tcW w:w="8902"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投标人</w:t>
            </w:r>
          </w:p>
          <w:p>
            <w:pPr>
              <w:adjustRightInd w:val="0"/>
              <w:rPr>
                <w:rFonts w:ascii="Arial" w:hAnsi="Arial" w:cs="Arial"/>
                <w:color w:val="auto"/>
                <w:szCs w:val="21"/>
                <w:highlight w:val="none"/>
                <w:shd w:val="clear" w:color="auto" w:fill="auto"/>
              </w:rPr>
            </w:pPr>
          </w:p>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8902"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w:t>
            </w:r>
          </w:p>
        </w:tc>
        <w:tc>
          <w:tcPr>
            <w:tcW w:w="8902"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w:t>
            </w:r>
          </w:p>
        </w:tc>
        <w:tc>
          <w:tcPr>
            <w:tcW w:w="8902"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w:t>
            </w:r>
          </w:p>
        </w:tc>
        <w:tc>
          <w:tcPr>
            <w:tcW w:w="8902"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投标文件未按规定的格式填写</w:t>
            </w:r>
            <w:r>
              <w:rPr>
                <w:rFonts w:hint="eastAsia" w:ascii="宋体" w:hAnsi="宋体" w:cs="宋体"/>
                <w:color w:val="auto"/>
                <w:szCs w:val="21"/>
                <w:highlight w:val="none"/>
                <w:u w:val="single"/>
                <w:shd w:val="clear" w:color="auto" w:fill="auto"/>
              </w:rPr>
              <w:t>（除带“★”号的必须按招标文件规定的格式进行编制外，其余格式仅供参考不作为投标文件有效性审查的条件）</w:t>
            </w:r>
            <w:r>
              <w:rPr>
                <w:rFonts w:hint="eastAsia" w:ascii="宋体" w:hAnsi="宋体" w:cs="宋体"/>
                <w:color w:val="auto"/>
                <w:szCs w:val="21"/>
                <w:highlight w:val="none"/>
                <w:shd w:val="clear" w:color="auto" w:fill="auto"/>
              </w:rPr>
              <w:t>，或主要内容不全，或关键字迹模糊、无法辨认的；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8902"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w:t>
            </w:r>
          </w:p>
        </w:tc>
        <w:tc>
          <w:tcPr>
            <w:tcW w:w="8902"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7</w:t>
            </w:r>
          </w:p>
        </w:tc>
        <w:tc>
          <w:tcPr>
            <w:tcW w:w="8902"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8902"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投标人与其他投标人加密打包投标文件电脑机器特征码一致的(以</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bl>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注：</w:t>
      </w:r>
      <w:r>
        <w:rPr>
          <w:rFonts w:hint="eastAsia" w:ascii="Arial" w:hAnsi="Arial" w:cs="Arial"/>
          <w:color w:val="auto"/>
          <w:szCs w:val="21"/>
          <w:highlight w:val="none"/>
          <w:shd w:val="clear" w:color="auto" w:fill="auto"/>
        </w:rPr>
        <w:t>1.本表使用GZZB2018-3招标文件范本，与范本内容不同之处均以下划线标明。技术标评审中，响应性、承诺性内容不应作为评分因素，可在该表中对上述内容进行符合性审查。审查标准须具备可操作性。</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3.凡出现以上任何一项情形，结论均为无效，否则就为有效。</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4.如对本表中某种情形的评审意见不一致时，以评标委员会过半数成员的意见作为评标委员会对该情形的认定结论。</w:t>
      </w:r>
      <w:r>
        <w:rPr>
          <w:rFonts w:ascii="Arial" w:hAnsi="Arial" w:cs="Arial"/>
          <w:color w:val="auto"/>
          <w:highlight w:val="none"/>
          <w:shd w:val="clear" w:color="auto" w:fill="auto"/>
        </w:rPr>
        <w:br w:type="page"/>
      </w:r>
      <w:r>
        <w:rPr>
          <w:rFonts w:ascii="Arial" w:hAnsi="Arial" w:cs="Arial"/>
          <w:color w:val="auto"/>
          <w:szCs w:val="21"/>
          <w:highlight w:val="none"/>
          <w:shd w:val="clear" w:color="auto" w:fill="auto"/>
        </w:rPr>
        <w:t>附表三</w:t>
      </w:r>
    </w:p>
    <w:p>
      <w:pPr>
        <w:jc w:val="center"/>
        <w:outlineLvl w:val="2"/>
        <w:rPr>
          <w:rFonts w:ascii="Arial" w:hAnsi="Arial" w:cs="Arial"/>
          <w:b/>
          <w:color w:val="auto"/>
          <w:sz w:val="32"/>
          <w:szCs w:val="32"/>
          <w:highlight w:val="none"/>
          <w:shd w:val="clear" w:color="auto" w:fill="auto"/>
        </w:rPr>
      </w:pPr>
      <w:bookmarkStart w:id="62" w:name="_Toc159334863"/>
      <w:bookmarkStart w:id="63" w:name="_Toc21769"/>
      <w:r>
        <w:rPr>
          <w:rFonts w:ascii="Arial" w:hAnsi="Arial" w:cs="Arial"/>
          <w:b/>
          <w:color w:val="auto"/>
          <w:sz w:val="32"/>
          <w:szCs w:val="32"/>
          <w:highlight w:val="none"/>
          <w:shd w:val="clear" w:color="auto" w:fill="auto"/>
        </w:rPr>
        <w:t>经济标有效性审查表</w:t>
      </w:r>
      <w:bookmarkEnd w:id="62"/>
      <w:bookmarkEnd w:id="63"/>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bl>
      <w:tblPr>
        <w:tblStyle w:val="55"/>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227"/>
        <w:gridCol w:w="1542"/>
        <w:gridCol w:w="147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序号</w:t>
            </w:r>
          </w:p>
        </w:tc>
        <w:tc>
          <w:tcPr>
            <w:tcW w:w="9227" w:type="dxa"/>
            <w:tcBorders>
              <w:top w:val="single" w:color="auto" w:sz="4" w:space="0"/>
              <w:left w:val="single" w:color="auto" w:sz="4" w:space="0"/>
              <w:bottom w:val="single" w:color="auto" w:sz="4" w:space="0"/>
              <w:right w:val="single" w:color="auto" w:sz="4" w:space="0"/>
              <w:tl2br w:val="single" w:color="auto" w:sz="4" w:space="0"/>
            </w:tcBorders>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w:t>
            </w:r>
            <w:r>
              <w:rPr>
                <w:rFonts w:hint="eastAsia" w:ascii="Arial" w:hAnsi="Arial" w:cs="Arial"/>
                <w:color w:val="auto"/>
                <w:szCs w:val="21"/>
                <w:highlight w:val="none"/>
                <w:shd w:val="clear" w:color="auto" w:fill="auto"/>
              </w:rPr>
              <w:t xml:space="preserve">                          </w:t>
            </w:r>
            <w:r>
              <w:rPr>
                <w:rFonts w:ascii="Arial" w:hAnsi="Arial" w:cs="Arial"/>
                <w:color w:val="auto"/>
                <w:szCs w:val="21"/>
                <w:highlight w:val="none"/>
                <w:shd w:val="clear" w:color="auto" w:fill="auto"/>
              </w:rPr>
              <w:t>投标人</w:t>
            </w:r>
          </w:p>
          <w:p>
            <w:pPr>
              <w:rPr>
                <w:rFonts w:ascii="Arial" w:hAnsi="Arial" w:cs="Arial"/>
                <w:color w:val="auto"/>
                <w:szCs w:val="21"/>
                <w:highlight w:val="none"/>
                <w:shd w:val="clear" w:color="auto" w:fill="auto"/>
              </w:rPr>
            </w:pP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评审内容</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92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对同一招标项目出现两个或以上的投标报价，且没有申明哪个有效；</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w:t>
            </w:r>
          </w:p>
        </w:tc>
        <w:tc>
          <w:tcPr>
            <w:tcW w:w="92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投标报价高于最高投标限价的；</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w:t>
            </w:r>
          </w:p>
        </w:tc>
        <w:tc>
          <w:tcPr>
            <w:tcW w:w="92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投标报价低于成本的；</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w:t>
            </w:r>
          </w:p>
        </w:tc>
        <w:tc>
          <w:tcPr>
            <w:tcW w:w="92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算术复核后的投标报价与原投标报价相比存在1%或以上误差的；</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92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投标文件未按规定的格式填写</w:t>
            </w:r>
            <w:r>
              <w:rPr>
                <w:rFonts w:hint="eastAsia" w:ascii="宋体" w:hAnsi="宋体" w:cs="宋体"/>
                <w:color w:val="auto"/>
                <w:szCs w:val="21"/>
                <w:highlight w:val="none"/>
                <w:u w:val="single"/>
                <w:shd w:val="clear" w:color="auto" w:fill="auto"/>
              </w:rPr>
              <w:t>（除带“★”号的必须按招标文件规定的格式进行编制外，其余格式仅供参考不作为投标文件有效性审查的条件）</w:t>
            </w:r>
            <w:r>
              <w:rPr>
                <w:rFonts w:hint="eastAsia" w:ascii="宋体" w:hAnsi="宋体" w:cs="宋体"/>
                <w:color w:val="auto"/>
                <w:szCs w:val="21"/>
                <w:highlight w:val="none"/>
                <w:shd w:val="clear" w:color="auto" w:fill="auto"/>
              </w:rPr>
              <w:t>，或主要内容不全，或关键字迹模糊、无法辨认的；</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w:t>
            </w:r>
          </w:p>
        </w:tc>
        <w:tc>
          <w:tcPr>
            <w:tcW w:w="92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不同投标人的投标报价中分部分项工程量清单综合单价相似度达到80%及以上的(以</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shd w:val="clear" w:color="auto" w:fill="auto"/>
              </w:rPr>
              <w:t>交易平台评标系统的检索信息为准)</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w:t>
            </w:r>
          </w:p>
        </w:tc>
        <w:tc>
          <w:tcPr>
            <w:tcW w:w="92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投标人之间存在《广东省实施&lt;中华人民共和国招标投标法&gt;》第十六条所禁止的情形的；</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92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无《参与编制经济标投标文件人员名单》的；</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9</w:t>
            </w:r>
          </w:p>
        </w:tc>
        <w:tc>
          <w:tcPr>
            <w:tcW w:w="92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无《对投标文件编制的承诺》</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10</w:t>
            </w:r>
          </w:p>
        </w:tc>
        <w:tc>
          <w:tcPr>
            <w:tcW w:w="9227"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投标人与其他投标人加密打包投标文件电脑机器特征码一致的(以广州交易集团有限公司（广州公共资源交易中心）交易平台评标系统的检索信息为准)</w:t>
            </w:r>
          </w:p>
        </w:tc>
        <w:tc>
          <w:tcPr>
            <w:tcW w:w="154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7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9"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bl>
    <w:p>
      <w:pPr>
        <w:widowControl/>
        <w:jc w:val="left"/>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注：1.本表使用GZZB2018-3招标文件范本，与范本内容不同之处均以下划线标明。</w:t>
      </w:r>
    </w:p>
    <w:p>
      <w:pPr>
        <w:widowControl/>
        <w:jc w:val="left"/>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2.凡出现以上任何一项情形，结论均为无效，否则就为有效。</w:t>
      </w:r>
    </w:p>
    <w:p>
      <w:pPr>
        <w:widowControl/>
        <w:jc w:val="left"/>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3.如对本表中某种情形的评审意见不一致时，以评标委员会过半数成员的意见作为评标委员会对该情形的认定结论。</w:t>
      </w:r>
    </w:p>
    <w:p>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w:t>
      </w:r>
      <w:r>
        <w:rPr>
          <w:rFonts w:hint="eastAsia" w:ascii="宋体" w:hAnsi="宋体" w:cs="宋体"/>
          <w:b/>
          <w:bCs/>
          <w:color w:val="auto"/>
          <w:kern w:val="0"/>
          <w:szCs w:val="21"/>
          <w:highlight w:val="none"/>
          <w:shd w:val="clear" w:color="auto" w:fill="auto"/>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rPr>
          <w:rFonts w:ascii="宋体" w:hAnsi="宋体" w:cs="宋体"/>
          <w:color w:val="auto"/>
          <w:szCs w:val="21"/>
          <w:highlight w:val="none"/>
          <w:shd w:val="clear" w:color="auto" w:fill="auto"/>
        </w:rPr>
      </w:pPr>
    </w:p>
    <w:p>
      <w:pPr>
        <w:rPr>
          <w:rFonts w:ascii="Arial" w:hAnsi="Arial" w:cs="Arial"/>
          <w:color w:val="auto"/>
          <w:highlight w:val="none"/>
          <w:shd w:val="clear" w:color="auto" w:fill="auto"/>
        </w:rPr>
      </w:pPr>
    </w:p>
    <w:p>
      <w:pPr>
        <w:widowControl/>
        <w:jc w:val="lef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br w:type="page"/>
      </w:r>
    </w:p>
    <w:p>
      <w:pPr>
        <w:rPr>
          <w:rFonts w:ascii="宋体" w:hAnsi="宋体"/>
          <w:color w:val="auto"/>
          <w:szCs w:val="21"/>
          <w:highlight w:val="none"/>
          <w:shd w:val="clear" w:color="auto" w:fill="auto"/>
        </w:rPr>
      </w:pPr>
      <w:r>
        <w:rPr>
          <w:rFonts w:ascii="宋体" w:hAnsi="宋体"/>
          <w:color w:val="auto"/>
          <w:szCs w:val="21"/>
          <w:highlight w:val="none"/>
          <w:shd w:val="clear" w:color="auto" w:fill="auto"/>
        </w:rPr>
        <w:t>附表四</w:t>
      </w:r>
    </w:p>
    <w:p>
      <w:pPr>
        <w:jc w:val="center"/>
        <w:outlineLvl w:val="2"/>
        <w:rPr>
          <w:rFonts w:ascii="Arial" w:hAnsi="Arial" w:cs="Arial"/>
          <w:b/>
          <w:color w:val="auto"/>
          <w:sz w:val="32"/>
          <w:szCs w:val="32"/>
          <w:highlight w:val="none"/>
          <w:shd w:val="clear" w:color="auto" w:fill="auto"/>
        </w:rPr>
      </w:pPr>
      <w:bookmarkStart w:id="64" w:name="_Toc159334864"/>
      <w:bookmarkStart w:id="65" w:name="_Toc27976"/>
      <w:r>
        <w:rPr>
          <w:rFonts w:hint="eastAsia" w:ascii="Arial" w:hAnsi="Arial" w:cs="Arial"/>
          <w:b/>
          <w:color w:val="auto"/>
          <w:sz w:val="32"/>
          <w:szCs w:val="32"/>
          <w:highlight w:val="none"/>
          <w:shd w:val="clear" w:color="auto" w:fill="auto"/>
        </w:rPr>
        <w:t>技术标详细审查评分表</w:t>
      </w:r>
      <w:bookmarkEnd w:id="64"/>
      <w:bookmarkEnd w:id="65"/>
    </w:p>
    <w:tbl>
      <w:tblPr>
        <w:tblStyle w:val="55"/>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288"/>
        <w:gridCol w:w="718"/>
        <w:gridCol w:w="1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433"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评分项目</w:t>
            </w:r>
          </w:p>
        </w:tc>
        <w:tc>
          <w:tcPr>
            <w:tcW w:w="443"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评分内容</w:t>
            </w:r>
          </w:p>
        </w:tc>
        <w:tc>
          <w:tcPr>
            <w:tcW w:w="247"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分值</w:t>
            </w:r>
          </w:p>
        </w:tc>
        <w:tc>
          <w:tcPr>
            <w:tcW w:w="3878" w:type="pct"/>
            <w:vAlign w:val="center"/>
          </w:tcPr>
          <w:p>
            <w:pPr>
              <w:pStyle w:val="616"/>
              <w:ind w:firstLine="420" w:firstLineChars="200"/>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w:t>
            </w:r>
            <w:r>
              <w:rPr>
                <w:rFonts w:ascii="宋体" w:hAnsi="宋体" w:cs="宋体"/>
                <w:color w:val="auto"/>
                <w:sz w:val="21"/>
                <w:szCs w:val="21"/>
                <w:highlight w:val="none"/>
                <w:shd w:val="clear" w:color="auto" w:fill="auto"/>
              </w:rPr>
              <w:t xml:space="preserve"> </w:t>
            </w:r>
            <w:r>
              <w:rPr>
                <w:rFonts w:hint="eastAsia" w:ascii="宋体" w:hAnsi="宋体" w:cs="宋体"/>
                <w:color w:val="auto"/>
                <w:sz w:val="21"/>
                <w:szCs w:val="21"/>
                <w:highlight w:val="none"/>
                <w:shd w:val="clear" w:color="auto" w:fill="auto"/>
              </w:rPr>
              <w:t>审</w:t>
            </w:r>
            <w:r>
              <w:rPr>
                <w:rFonts w:ascii="宋体" w:hAnsi="宋体" w:cs="宋体"/>
                <w:color w:val="auto"/>
                <w:sz w:val="21"/>
                <w:szCs w:val="21"/>
                <w:highlight w:val="none"/>
                <w:shd w:val="clear" w:color="auto" w:fill="auto"/>
              </w:rPr>
              <w:t xml:space="preserve"> </w:t>
            </w:r>
            <w:r>
              <w:rPr>
                <w:rFonts w:hint="eastAsia" w:ascii="宋体" w:hAnsi="宋体" w:cs="宋体"/>
                <w:color w:val="auto"/>
                <w:sz w:val="21"/>
                <w:szCs w:val="21"/>
                <w:highlight w:val="none"/>
                <w:shd w:val="clear" w:color="auto" w:fill="auto"/>
              </w:rPr>
              <w:t>标</w:t>
            </w:r>
            <w:r>
              <w:rPr>
                <w:rFonts w:ascii="宋体" w:hAnsi="宋体" w:cs="宋体"/>
                <w:color w:val="auto"/>
                <w:sz w:val="21"/>
                <w:szCs w:val="21"/>
                <w:highlight w:val="none"/>
                <w:shd w:val="clear" w:color="auto" w:fill="auto"/>
              </w:rPr>
              <w:t xml:space="preserve"> </w:t>
            </w:r>
            <w:r>
              <w:rPr>
                <w:rFonts w:hint="eastAsia" w:ascii="宋体" w:hAnsi="宋体" w:cs="宋体"/>
                <w:color w:val="auto"/>
                <w:sz w:val="21"/>
                <w:szCs w:val="21"/>
                <w:highlight w:val="none"/>
                <w:shd w:val="clear" w:color="auto" w:fill="auto"/>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jc w:val="center"/>
        </w:trPr>
        <w:tc>
          <w:tcPr>
            <w:tcW w:w="433" w:type="pct"/>
            <w:vMerge w:val="restart"/>
            <w:vAlign w:val="center"/>
          </w:tcPr>
          <w:p>
            <w:pPr>
              <w:pStyle w:val="616"/>
              <w:tabs>
                <w:tab w:val="left" w:pos="402"/>
              </w:tabs>
              <w:jc w:val="lef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一、施工保障措施（</w:t>
            </w:r>
            <w:r>
              <w:rPr>
                <w:rFonts w:ascii="宋体" w:hAnsi="宋体" w:cs="宋体"/>
                <w:color w:val="auto"/>
                <w:sz w:val="21"/>
                <w:szCs w:val="21"/>
                <w:highlight w:val="none"/>
                <w:shd w:val="clear" w:color="auto" w:fill="auto"/>
              </w:rPr>
              <w:t>40分）</w:t>
            </w:r>
          </w:p>
        </w:tc>
        <w:tc>
          <w:tcPr>
            <w:tcW w:w="443" w:type="pct"/>
            <w:vAlign w:val="center"/>
          </w:tcPr>
          <w:p>
            <w:pPr>
              <w:widowControl/>
              <w:jc w:val="center"/>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质量控制措施</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8" w:type="pct"/>
            <w:vAlign w:val="center"/>
          </w:tcPr>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优：针对本项目编制了施工质量目标、施工质量管理体系与程序、质量管理措施，根据本工程的质量目标，针对项目的特点，从质量保证体系、材料的检测、质量通病的防治等方面提出详细的质量保证措施，措施为完善的，得</w:t>
            </w:r>
            <w:r>
              <w:rPr>
                <w:rFonts w:hint="eastAsia" w:ascii="宋体" w:hAnsi="宋体" w:cs="宋体"/>
                <w:color w:val="auto"/>
                <w:szCs w:val="21"/>
                <w:highlight w:val="none"/>
                <w:shd w:val="clear" w:color="auto" w:fill="auto"/>
              </w:rPr>
              <w:t>(5-</w:t>
            </w:r>
            <w:r>
              <w:rPr>
                <w:rFonts w:ascii="宋体" w:hAnsi="宋体" w:cs="宋体"/>
                <w:color w:val="auto"/>
                <w:szCs w:val="21"/>
                <w:highlight w:val="none"/>
                <w:shd w:val="clear" w:color="auto" w:fill="auto"/>
              </w:rPr>
              <w:t>8]</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良：针对本项目编制了施工质量目标、施工质量管理体系与程序、质量管理措施，根据本工程的质量目标，针对项目的特点，从质量保证体系、材料的检测、质量通病的防治等方面提出较详细的质量保证措施，措施为较好的，得</w:t>
            </w:r>
            <w:r>
              <w:rPr>
                <w:rFonts w:hint="eastAsia" w:ascii="宋体" w:hAnsi="宋体" w:cs="宋体"/>
                <w:color w:val="auto"/>
                <w:szCs w:val="21"/>
                <w:highlight w:val="none"/>
                <w:shd w:val="clear" w:color="auto" w:fill="auto"/>
              </w:rPr>
              <w:t>(3-</w:t>
            </w:r>
            <w:r>
              <w:rPr>
                <w:rFonts w:ascii="宋体" w:hAnsi="宋体" w:cs="宋体"/>
                <w:color w:val="auto"/>
                <w:szCs w:val="21"/>
                <w:highlight w:val="none"/>
                <w:shd w:val="clear" w:color="auto" w:fill="auto"/>
              </w:rPr>
              <w:t>5]</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中：针对本项目编制了施工质量目标、施工质量管理体系与程序、质量管理措施，根据本工程的质量目标，针对项目的特点，从质量保证体系、材料的检测、质量通病的防治等方面提出质量保证措施，措施一般的，得</w:t>
            </w:r>
            <w:r>
              <w:rPr>
                <w:rFonts w:hint="eastAsia" w:ascii="宋体" w:hAnsi="宋体" w:cs="宋体"/>
                <w:color w:val="auto"/>
                <w:szCs w:val="21"/>
                <w:highlight w:val="none"/>
                <w:shd w:val="clear" w:color="auto" w:fill="auto"/>
              </w:rPr>
              <w:t>(0-</w:t>
            </w:r>
            <w:r>
              <w:rPr>
                <w:rFonts w:ascii="宋体" w:hAnsi="宋体" w:cs="宋体"/>
                <w:color w:val="auto"/>
                <w:szCs w:val="21"/>
                <w:highlight w:val="none"/>
                <w:shd w:val="clear" w:color="auto" w:fill="auto"/>
              </w:rPr>
              <w:t>3]</w:t>
            </w:r>
            <w:r>
              <w:rPr>
                <w:rFonts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差：不满足前述要求者，得</w:t>
            </w:r>
            <w:r>
              <w:rPr>
                <w:rFonts w:hint="eastAsia" w:ascii="宋体" w:hAnsi="宋体" w:cs="宋体"/>
                <w:color w:val="auto"/>
                <w:szCs w:val="21"/>
                <w:highlight w:val="none"/>
                <w:shd w:val="clear" w:color="auto" w:fill="auto"/>
              </w:rPr>
              <w:t>[</w:t>
            </w:r>
            <w:r>
              <w:rPr>
                <w:rFonts w:ascii="宋体" w:hAnsi="宋体" w:cs="宋体"/>
                <w:color w:val="auto"/>
                <w:szCs w:val="21"/>
                <w:highlight w:val="none"/>
                <w:shd w:val="clear" w:color="auto" w:fill="auto"/>
              </w:rPr>
              <w:t>0]</w:t>
            </w:r>
            <w:r>
              <w:rPr>
                <w:rFonts w:ascii="宋体" w:hAnsi="宋体" w:cs="宋体"/>
                <w:color w:val="auto"/>
                <w:kern w:val="0"/>
                <w:szCs w:val="21"/>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jc w:val="center"/>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进度控制措施</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8" w:type="pct"/>
            <w:vAlign w:val="center"/>
          </w:tcPr>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优：针对本项目编制了施工总进度计划及工期保证措施，并针对项目特点编制施工总进度计划及工期保证措施，确保实现工程进度目标，措施完善的，得</w:t>
            </w:r>
            <w:r>
              <w:rPr>
                <w:rFonts w:hint="eastAsia" w:ascii="宋体" w:hAnsi="宋体" w:cs="宋体"/>
                <w:color w:val="auto"/>
                <w:szCs w:val="21"/>
                <w:highlight w:val="none"/>
                <w:shd w:val="clear" w:color="auto" w:fill="auto"/>
              </w:rPr>
              <w:t>(5-</w:t>
            </w:r>
            <w:r>
              <w:rPr>
                <w:rFonts w:ascii="宋体" w:hAnsi="宋体" w:cs="宋体"/>
                <w:color w:val="auto"/>
                <w:szCs w:val="21"/>
                <w:highlight w:val="none"/>
                <w:shd w:val="clear" w:color="auto" w:fill="auto"/>
              </w:rPr>
              <w:t>8]</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良：针对本项目编制了施工总进度计划及工期保证措施，并针对项目特点编制施工总进度计划及工期保证措施，确保实现工程进度目标，措施为较好的，得</w:t>
            </w:r>
            <w:r>
              <w:rPr>
                <w:rFonts w:hint="eastAsia" w:ascii="宋体" w:hAnsi="宋体" w:cs="宋体"/>
                <w:color w:val="auto"/>
                <w:szCs w:val="21"/>
                <w:highlight w:val="none"/>
                <w:shd w:val="clear" w:color="auto" w:fill="auto"/>
              </w:rPr>
              <w:t>(3-</w:t>
            </w:r>
            <w:r>
              <w:rPr>
                <w:rFonts w:ascii="宋体" w:hAnsi="宋体" w:cs="宋体"/>
                <w:color w:val="auto"/>
                <w:szCs w:val="21"/>
                <w:highlight w:val="none"/>
                <w:shd w:val="clear" w:color="auto" w:fill="auto"/>
              </w:rPr>
              <w:t>5]</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中：针对本项目编制了施工总进度计划及工期保证措施，或针对项目特点编制施工总进度计划及工期保证措施，确保实现工程进度目标，措施一般的，得</w:t>
            </w:r>
            <w:r>
              <w:rPr>
                <w:rFonts w:hint="eastAsia" w:ascii="宋体" w:hAnsi="宋体" w:cs="宋体"/>
                <w:color w:val="auto"/>
                <w:szCs w:val="21"/>
                <w:highlight w:val="none"/>
                <w:shd w:val="clear" w:color="auto" w:fill="auto"/>
              </w:rPr>
              <w:t>(0-</w:t>
            </w:r>
            <w:r>
              <w:rPr>
                <w:rFonts w:ascii="宋体" w:hAnsi="宋体" w:cs="宋体"/>
                <w:color w:val="auto"/>
                <w:szCs w:val="21"/>
                <w:highlight w:val="none"/>
                <w:shd w:val="clear" w:color="auto" w:fill="auto"/>
              </w:rPr>
              <w:t>3]</w:t>
            </w:r>
            <w:r>
              <w:rPr>
                <w:rFonts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差：不满足前述要求者，得</w:t>
            </w:r>
            <w:r>
              <w:rPr>
                <w:rFonts w:hint="eastAsia" w:ascii="宋体" w:hAnsi="宋体" w:cs="宋体"/>
                <w:color w:val="auto"/>
                <w:szCs w:val="21"/>
                <w:highlight w:val="none"/>
                <w:shd w:val="clear" w:color="auto" w:fill="auto"/>
              </w:rPr>
              <w:t>[</w:t>
            </w:r>
            <w:r>
              <w:rPr>
                <w:rFonts w:ascii="宋体" w:hAnsi="宋体" w:cs="宋体"/>
                <w:color w:val="auto"/>
                <w:szCs w:val="21"/>
                <w:highlight w:val="none"/>
                <w:shd w:val="clear" w:color="auto" w:fill="auto"/>
              </w:rPr>
              <w:t>0]</w:t>
            </w:r>
            <w:r>
              <w:rPr>
                <w:rFonts w:ascii="宋体" w:hAnsi="宋体" w:cs="宋体"/>
                <w:color w:val="auto"/>
                <w:kern w:val="0"/>
                <w:szCs w:val="21"/>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jc w:val="center"/>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安全控制措施</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8" w:type="pct"/>
            <w:vAlign w:val="center"/>
          </w:tcPr>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优：针对本项目建立了完善的安全文明施工保证体系、施工安全管理制度，承诺不发生安全事故，有安全应急预案、目标明确、制度健全，施工安全保护措施，措施明确、具体、可行、针对性强，措施完善的，得</w:t>
            </w:r>
            <w:r>
              <w:rPr>
                <w:rFonts w:hint="eastAsia" w:ascii="宋体" w:hAnsi="宋体" w:cs="宋体"/>
                <w:color w:val="auto"/>
                <w:szCs w:val="21"/>
                <w:highlight w:val="none"/>
                <w:shd w:val="clear" w:color="auto" w:fill="auto"/>
              </w:rPr>
              <w:t>(5-</w:t>
            </w:r>
            <w:r>
              <w:rPr>
                <w:rFonts w:ascii="宋体" w:hAnsi="宋体" w:cs="宋体"/>
                <w:color w:val="auto"/>
                <w:szCs w:val="21"/>
                <w:highlight w:val="none"/>
                <w:shd w:val="clear" w:color="auto" w:fill="auto"/>
              </w:rPr>
              <w:t>8]</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良：针对本项目建立了较完善的安全文明施工保证体系、施工安全管理制度，承诺不发生安全事故，有安全应急预案、目标明确、制度较健全，施工安全保护措施，措施较明确、较具体、较可行、针对性较强，措施较好的，得</w:t>
            </w:r>
            <w:r>
              <w:rPr>
                <w:rFonts w:hint="eastAsia" w:ascii="宋体" w:hAnsi="宋体" w:cs="宋体"/>
                <w:color w:val="auto"/>
                <w:szCs w:val="21"/>
                <w:highlight w:val="none"/>
                <w:shd w:val="clear" w:color="auto" w:fill="auto"/>
              </w:rPr>
              <w:t>(3-</w:t>
            </w:r>
            <w:r>
              <w:rPr>
                <w:rFonts w:ascii="宋体" w:hAnsi="宋体" w:cs="宋体"/>
                <w:color w:val="auto"/>
                <w:szCs w:val="21"/>
                <w:highlight w:val="none"/>
                <w:shd w:val="clear" w:color="auto" w:fill="auto"/>
              </w:rPr>
              <w:t>5]</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中：针对本项目建立了完善的安全文明施工保证体系、施工安全管理制度，承诺不发生安全事故，有安全应急预案、目标、有制度，有施工安全保护措施，但明确性一般，具体、可行、针对性一般，措施一般的，得</w:t>
            </w:r>
            <w:r>
              <w:rPr>
                <w:rFonts w:hint="eastAsia" w:ascii="宋体" w:hAnsi="宋体" w:cs="宋体"/>
                <w:color w:val="auto"/>
                <w:szCs w:val="21"/>
                <w:highlight w:val="none"/>
                <w:shd w:val="clear" w:color="auto" w:fill="auto"/>
              </w:rPr>
              <w:t>(0-</w:t>
            </w:r>
            <w:r>
              <w:rPr>
                <w:rFonts w:ascii="宋体" w:hAnsi="宋体" w:cs="宋体"/>
                <w:color w:val="auto"/>
                <w:szCs w:val="21"/>
                <w:highlight w:val="none"/>
                <w:shd w:val="clear" w:color="auto" w:fill="auto"/>
              </w:rPr>
              <w:t>3]</w:t>
            </w:r>
            <w:r>
              <w:rPr>
                <w:rFonts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差：不满足前述要求者，得</w:t>
            </w:r>
            <w:r>
              <w:rPr>
                <w:rFonts w:hint="eastAsia" w:ascii="宋体" w:hAnsi="宋体" w:cs="宋体"/>
                <w:color w:val="auto"/>
                <w:szCs w:val="21"/>
                <w:highlight w:val="none"/>
                <w:shd w:val="clear" w:color="auto" w:fill="auto"/>
              </w:rPr>
              <w:t>[</w:t>
            </w:r>
            <w:r>
              <w:rPr>
                <w:rFonts w:ascii="宋体" w:hAnsi="宋体" w:cs="宋体"/>
                <w:color w:val="auto"/>
                <w:szCs w:val="21"/>
                <w:highlight w:val="none"/>
                <w:shd w:val="clear" w:color="auto" w:fill="auto"/>
              </w:rPr>
              <w:t>0]</w:t>
            </w:r>
            <w:r>
              <w:rPr>
                <w:rFonts w:ascii="宋体" w:hAnsi="宋体" w:cs="宋体"/>
                <w:color w:val="auto"/>
                <w:kern w:val="0"/>
                <w:szCs w:val="21"/>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jc w:val="center"/>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绿色节能控制措施</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8" w:type="pct"/>
            <w:vAlign w:val="center"/>
          </w:tcPr>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优：有绿色节能控制措施，措施明确、具体、可行、针对性强，措施完善的，并有承诺在施工过程中通过科学管理和先进的技术手段，最大限度地节约资源与减少对环境的负面影响，以达到四节一环保（节能、节地、节水、节材和环境保护）的目标，得</w:t>
            </w:r>
            <w:r>
              <w:rPr>
                <w:rFonts w:hint="eastAsia" w:ascii="宋体" w:hAnsi="宋体" w:cs="宋体"/>
                <w:color w:val="auto"/>
                <w:szCs w:val="21"/>
                <w:highlight w:val="none"/>
                <w:shd w:val="clear" w:color="auto" w:fill="auto"/>
              </w:rPr>
              <w:t>(5-</w:t>
            </w:r>
            <w:r>
              <w:rPr>
                <w:rFonts w:ascii="宋体" w:hAnsi="宋体" w:cs="宋体"/>
                <w:color w:val="auto"/>
                <w:szCs w:val="21"/>
                <w:highlight w:val="none"/>
                <w:shd w:val="clear" w:color="auto" w:fill="auto"/>
              </w:rPr>
              <w:t>8]</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良：有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w:t>
            </w:r>
            <w:r>
              <w:rPr>
                <w:rFonts w:hint="eastAsia" w:ascii="宋体" w:hAnsi="宋体" w:cs="宋体"/>
                <w:color w:val="auto"/>
                <w:szCs w:val="21"/>
                <w:highlight w:val="none"/>
                <w:shd w:val="clear" w:color="auto" w:fill="auto"/>
              </w:rPr>
              <w:t>(3-</w:t>
            </w:r>
            <w:r>
              <w:rPr>
                <w:rFonts w:ascii="宋体" w:hAnsi="宋体" w:cs="宋体"/>
                <w:color w:val="auto"/>
                <w:szCs w:val="21"/>
                <w:highlight w:val="none"/>
                <w:shd w:val="clear" w:color="auto" w:fill="auto"/>
              </w:rPr>
              <w:t>5]</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中：有绿色节能控制措施，但明确性一般，具体、可行、针对性一般，措施一般的，有承诺在施工过程中通过科学管理和先进的技术手段，节约资源与减少对环境的负面影响，达到四节一环保（节能、节地、节水、节材和环境保护）的目标，得</w:t>
            </w:r>
            <w:r>
              <w:rPr>
                <w:rFonts w:hint="eastAsia" w:ascii="宋体" w:hAnsi="宋体" w:cs="宋体"/>
                <w:color w:val="auto"/>
                <w:szCs w:val="21"/>
                <w:highlight w:val="none"/>
                <w:shd w:val="clear" w:color="auto" w:fill="auto"/>
              </w:rPr>
              <w:t>(0-</w:t>
            </w:r>
            <w:r>
              <w:rPr>
                <w:rFonts w:ascii="宋体" w:hAnsi="宋体" w:cs="宋体"/>
                <w:color w:val="auto"/>
                <w:szCs w:val="21"/>
                <w:highlight w:val="none"/>
                <w:shd w:val="clear" w:color="auto" w:fill="auto"/>
              </w:rPr>
              <w:t>3]</w:t>
            </w:r>
            <w:r>
              <w:rPr>
                <w:rFonts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差：不满足前述要求者，得</w:t>
            </w:r>
            <w:r>
              <w:rPr>
                <w:rFonts w:hint="eastAsia" w:ascii="宋体" w:hAnsi="宋体" w:cs="宋体"/>
                <w:color w:val="auto"/>
                <w:szCs w:val="21"/>
                <w:highlight w:val="none"/>
                <w:shd w:val="clear" w:color="auto" w:fill="auto"/>
              </w:rPr>
              <w:t>[</w:t>
            </w:r>
            <w:r>
              <w:rPr>
                <w:rFonts w:ascii="宋体" w:hAnsi="宋体" w:cs="宋体"/>
                <w:color w:val="auto"/>
                <w:szCs w:val="21"/>
                <w:highlight w:val="none"/>
                <w:shd w:val="clear" w:color="auto" w:fill="auto"/>
              </w:rPr>
              <w:t>0]</w:t>
            </w:r>
            <w:r>
              <w:rPr>
                <w:rFonts w:ascii="宋体" w:hAnsi="宋体" w:cs="宋体"/>
                <w:color w:val="auto"/>
                <w:kern w:val="0"/>
                <w:szCs w:val="21"/>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jc w:val="center"/>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szCs w:val="21"/>
                <w:highlight w:val="none"/>
                <w:shd w:val="clear" w:color="auto" w:fill="auto"/>
              </w:rPr>
              <w:t>交通现状观察及交通疏导方案</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8" w:type="pct"/>
            <w:vAlign w:val="center"/>
          </w:tcPr>
          <w:p>
            <w:pPr>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优：对本项目交通现状观察全面准确，交通特性分析详细科学，交通疏导方案具体可行，得(5-</w:t>
            </w:r>
            <w:r>
              <w:rPr>
                <w:rFonts w:ascii="宋体" w:hAnsi="宋体" w:cs="宋体"/>
                <w:color w:val="auto"/>
                <w:szCs w:val="21"/>
                <w:highlight w:val="none"/>
                <w:shd w:val="clear" w:color="auto" w:fill="auto"/>
              </w:rPr>
              <w:t>8]</w:t>
            </w:r>
            <w:r>
              <w:rPr>
                <w:rFonts w:hint="eastAsia" w:ascii="宋体" w:hAnsi="宋体" w:cs="宋体"/>
                <w:color w:val="auto"/>
                <w:szCs w:val="21"/>
                <w:highlight w:val="none"/>
                <w:shd w:val="clear" w:color="auto" w:fill="auto"/>
              </w:rPr>
              <w:t>分；</w:t>
            </w:r>
          </w:p>
          <w:p>
            <w:pPr>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良：对本项目交通现状观察较准确，交通特性分析较科学，交通疏导方案可行，得(3-</w:t>
            </w:r>
            <w:r>
              <w:rPr>
                <w:rFonts w:ascii="宋体" w:hAnsi="宋体" w:cs="宋体"/>
                <w:color w:val="auto"/>
                <w:szCs w:val="21"/>
                <w:highlight w:val="none"/>
                <w:shd w:val="clear" w:color="auto" w:fill="auto"/>
              </w:rPr>
              <w:t>5]</w:t>
            </w:r>
            <w:r>
              <w:rPr>
                <w:rFonts w:hint="eastAsia" w:ascii="宋体" w:hAnsi="宋体" w:cs="宋体"/>
                <w:color w:val="auto"/>
                <w:szCs w:val="21"/>
                <w:highlight w:val="none"/>
                <w:shd w:val="clear" w:color="auto" w:fill="auto"/>
              </w:rPr>
              <w:t>分；</w:t>
            </w:r>
          </w:p>
          <w:p>
            <w:pPr>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中：对本项目交通现状观察基本准确，交通特性分析基本科学，交通疏导方案基本可行，得(0-</w:t>
            </w:r>
            <w:r>
              <w:rPr>
                <w:rFonts w:ascii="宋体" w:hAnsi="宋体" w:cs="宋体"/>
                <w:color w:val="auto"/>
                <w:szCs w:val="21"/>
                <w:highlight w:val="none"/>
                <w:shd w:val="clear" w:color="auto" w:fill="auto"/>
              </w:rPr>
              <w:t>3]</w:t>
            </w:r>
            <w:r>
              <w:rPr>
                <w:rFonts w:hint="eastAsia" w:ascii="宋体" w:hAnsi="宋体" w:cs="宋体"/>
                <w:color w:val="auto"/>
                <w:szCs w:val="21"/>
                <w:highlight w:val="none"/>
                <w:shd w:val="clear" w:color="auto" w:fill="auto"/>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szCs w:val="21"/>
                <w:highlight w:val="none"/>
                <w:shd w:val="clear" w:color="auto" w:fill="auto"/>
              </w:rPr>
              <w:t>差：</w:t>
            </w:r>
            <w:r>
              <w:rPr>
                <w:rFonts w:hint="eastAsia" w:ascii="宋体" w:hAnsi="宋体" w:cs="宋体"/>
                <w:color w:val="auto"/>
                <w:kern w:val="0"/>
                <w:szCs w:val="21"/>
                <w:highlight w:val="none"/>
                <w:shd w:val="clear" w:color="auto" w:fill="auto"/>
                <w:lang w:bidi="ar"/>
              </w:rPr>
              <w:t>不满足前述要求者</w:t>
            </w:r>
            <w:r>
              <w:rPr>
                <w:rFonts w:hint="eastAsia" w:ascii="宋体" w:hAnsi="宋体" w:cs="宋体"/>
                <w:color w:val="auto"/>
                <w:szCs w:val="21"/>
                <w:highlight w:val="none"/>
                <w:shd w:val="clear" w:color="auto" w:fill="auto"/>
              </w:rPr>
              <w:t>，得[</w:t>
            </w:r>
            <w:r>
              <w:rPr>
                <w:rFonts w:ascii="宋体" w:hAnsi="宋体" w:cs="宋体"/>
                <w:color w:val="auto"/>
                <w:szCs w:val="21"/>
                <w:highlight w:val="none"/>
                <w:shd w:val="clear" w:color="auto" w:fill="auto"/>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restart"/>
            <w:vAlign w:val="center"/>
          </w:tcPr>
          <w:p>
            <w:pPr>
              <w:snapToGrid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二、项目管理机构能力</w:t>
            </w:r>
          </w:p>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w:t>
            </w:r>
            <w:r>
              <w:rPr>
                <w:rFonts w:ascii="宋体" w:hAnsi="宋体" w:cs="宋体"/>
                <w:color w:val="auto"/>
                <w:sz w:val="21"/>
                <w:szCs w:val="21"/>
                <w:highlight w:val="none"/>
                <w:shd w:val="clear" w:color="auto" w:fill="auto"/>
              </w:rPr>
              <w:t>30分）</w:t>
            </w:r>
          </w:p>
        </w:tc>
        <w:tc>
          <w:tcPr>
            <w:tcW w:w="443" w:type="pct"/>
            <w:vAlign w:val="center"/>
          </w:tcPr>
          <w:p>
            <w:pPr>
              <w:snapToGrid w:val="0"/>
              <w:spacing w:line="280" w:lineRule="exact"/>
              <w:rPr>
                <w:rFonts w:ascii="宋体" w:hAnsi="宋体" w:cs="Arial Unicode MS"/>
                <w:color w:val="auto"/>
                <w:szCs w:val="21"/>
                <w:highlight w:val="none"/>
                <w:shd w:val="clear" w:color="auto" w:fill="auto"/>
              </w:rPr>
            </w:pPr>
            <w:r>
              <w:rPr>
                <w:rFonts w:hint="eastAsia" w:ascii="宋体" w:hAnsi="宋体" w:cs="Arial Unicode MS"/>
                <w:color w:val="auto"/>
                <w:szCs w:val="21"/>
                <w:highlight w:val="none"/>
                <w:shd w:val="clear" w:color="auto" w:fill="auto"/>
              </w:rPr>
              <w:t>项目</w:t>
            </w:r>
            <w:r>
              <w:rPr>
                <w:rFonts w:ascii="宋体" w:hAnsi="宋体" w:cs="Arial Unicode MS"/>
                <w:color w:val="auto"/>
                <w:szCs w:val="21"/>
                <w:highlight w:val="none"/>
                <w:shd w:val="clear" w:color="auto" w:fill="auto"/>
              </w:rPr>
              <w:t>负责人</w:t>
            </w:r>
          </w:p>
        </w:tc>
        <w:tc>
          <w:tcPr>
            <w:tcW w:w="247" w:type="pct"/>
            <w:vAlign w:val="center"/>
          </w:tcPr>
          <w:p>
            <w:pPr>
              <w:snapToGrid w:val="0"/>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5</w:t>
            </w:r>
          </w:p>
        </w:tc>
        <w:tc>
          <w:tcPr>
            <w:tcW w:w="3878" w:type="pct"/>
            <w:vAlign w:val="center"/>
          </w:tcPr>
          <w:p>
            <w:pPr>
              <w:spacing w:line="420" w:lineRule="exact"/>
              <w:ind w:right="134" w:rightChars="64"/>
              <w:rPr>
                <w:rFonts w:ascii="宋体" w:hAnsi="宋体" w:cs="Arial Unicode MS"/>
                <w:color w:val="auto"/>
                <w:szCs w:val="21"/>
                <w:highlight w:val="none"/>
                <w:shd w:val="clear" w:color="auto" w:fill="auto"/>
              </w:rPr>
            </w:pPr>
            <w:r>
              <w:rPr>
                <w:rFonts w:hint="eastAsia" w:ascii="宋体" w:hAnsi="宋体" w:cs="Arial Unicode MS"/>
                <w:color w:val="auto"/>
                <w:szCs w:val="21"/>
                <w:highlight w:val="none"/>
                <w:shd w:val="clear" w:color="auto" w:fill="auto"/>
              </w:rPr>
              <w:t>项目负责人具有</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年以上施工管理工作经验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5</w:t>
            </w:r>
            <w:r>
              <w:rPr>
                <w:rFonts w:hint="eastAsia" w:ascii="宋体" w:hAnsi="宋体" w:cs="Arial Unicode MS"/>
                <w:color w:val="auto"/>
                <w:szCs w:val="21"/>
                <w:highlight w:val="none"/>
                <w:shd w:val="clear" w:color="auto" w:fill="auto"/>
              </w:rPr>
              <w:t>分；</w:t>
            </w:r>
            <w:r>
              <w:rPr>
                <w:rFonts w:hint="eastAsia" w:ascii="宋体" w:hAnsi="宋体" w:cs="宋体"/>
                <w:color w:val="auto"/>
                <w:kern w:val="0"/>
                <w:szCs w:val="21"/>
                <w:highlight w:val="none"/>
                <w:shd w:val="clear" w:color="auto" w:fill="auto"/>
              </w:rPr>
              <w:t>具有</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3</w:t>
            </w:r>
            <w:r>
              <w:rPr>
                <w:rFonts w:hint="eastAsia" w:ascii="宋体" w:hAnsi="宋体" w:cs="Arial Unicode MS"/>
                <w:color w:val="auto"/>
                <w:szCs w:val="21"/>
                <w:highlight w:val="none"/>
                <w:shd w:val="clear" w:color="auto" w:fill="auto"/>
              </w:rPr>
              <w:t>分；</w:t>
            </w:r>
            <w:r>
              <w:rPr>
                <w:rFonts w:hint="eastAsia" w:ascii="宋体" w:hAnsi="宋体" w:cs="宋体"/>
                <w:color w:val="auto"/>
                <w:kern w:val="0"/>
                <w:szCs w:val="21"/>
                <w:highlight w:val="none"/>
                <w:shd w:val="clear" w:color="auto" w:fill="auto"/>
              </w:rPr>
              <w:t>具有</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1</w:t>
            </w:r>
            <w:r>
              <w:rPr>
                <w:rFonts w:hint="eastAsia" w:ascii="宋体" w:hAnsi="宋体" w:cs="Arial Unicode MS"/>
                <w:color w:val="auto"/>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snapToGrid w:val="0"/>
              <w:jc w:val="center"/>
              <w:rPr>
                <w:rFonts w:ascii="宋体" w:hAnsi="宋体" w:cs="宋体"/>
                <w:color w:val="auto"/>
                <w:szCs w:val="21"/>
                <w:highlight w:val="none"/>
                <w:shd w:val="clear" w:color="auto" w:fill="auto"/>
              </w:rPr>
            </w:pPr>
          </w:p>
        </w:tc>
        <w:tc>
          <w:tcPr>
            <w:tcW w:w="443" w:type="pct"/>
            <w:vAlign w:val="center"/>
          </w:tcPr>
          <w:p>
            <w:pPr>
              <w:snapToGrid w:val="0"/>
              <w:spacing w:line="280" w:lineRule="exact"/>
              <w:rPr>
                <w:rFonts w:ascii="宋体" w:hAnsi="宋体" w:cs="Arial Unicode MS"/>
                <w:color w:val="auto"/>
                <w:szCs w:val="21"/>
                <w:highlight w:val="none"/>
                <w:shd w:val="clear" w:color="auto" w:fill="auto"/>
              </w:rPr>
            </w:pPr>
            <w:r>
              <w:rPr>
                <w:rFonts w:hint="eastAsia" w:ascii="宋体" w:hAnsi="宋体" w:cs="Arial Unicode MS"/>
                <w:color w:val="auto"/>
                <w:szCs w:val="21"/>
                <w:highlight w:val="none"/>
                <w:shd w:val="clear" w:color="auto" w:fill="auto"/>
              </w:rPr>
              <w:t>技术</w:t>
            </w:r>
            <w:r>
              <w:rPr>
                <w:rFonts w:ascii="宋体" w:hAnsi="宋体" w:cs="Arial Unicode MS"/>
                <w:color w:val="auto"/>
                <w:szCs w:val="21"/>
                <w:highlight w:val="none"/>
                <w:shd w:val="clear" w:color="auto" w:fill="auto"/>
              </w:rPr>
              <w:t>负责人</w:t>
            </w:r>
          </w:p>
        </w:tc>
        <w:tc>
          <w:tcPr>
            <w:tcW w:w="247" w:type="pct"/>
            <w:vAlign w:val="center"/>
          </w:tcPr>
          <w:p>
            <w:pPr>
              <w:snapToGrid w:val="0"/>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5</w:t>
            </w:r>
          </w:p>
        </w:tc>
        <w:tc>
          <w:tcPr>
            <w:tcW w:w="3878" w:type="pct"/>
            <w:vAlign w:val="center"/>
          </w:tcPr>
          <w:p>
            <w:pPr>
              <w:spacing w:line="420" w:lineRule="exact"/>
              <w:ind w:right="134" w:rightChars="64"/>
              <w:rPr>
                <w:rFonts w:ascii="宋体" w:hAnsi="宋体" w:cs="Arial Unicode MS"/>
                <w:color w:val="auto"/>
                <w:szCs w:val="21"/>
                <w:highlight w:val="none"/>
                <w:shd w:val="clear" w:color="auto" w:fill="auto"/>
              </w:rPr>
            </w:pPr>
            <w:r>
              <w:rPr>
                <w:rFonts w:hint="eastAsia" w:ascii="宋体" w:hAnsi="宋体" w:cs="Arial Unicode MS"/>
                <w:color w:val="auto"/>
                <w:szCs w:val="21"/>
                <w:highlight w:val="none"/>
                <w:shd w:val="clear" w:color="auto" w:fill="auto"/>
              </w:rPr>
              <w:t>技术负责人具有</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年以上施工管理工作经验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5</w:t>
            </w:r>
            <w:r>
              <w:rPr>
                <w:rFonts w:hint="eastAsia" w:ascii="宋体" w:hAnsi="宋体" w:cs="Arial Unicode MS"/>
                <w:color w:val="auto"/>
                <w:szCs w:val="21"/>
                <w:highlight w:val="none"/>
                <w:shd w:val="clear" w:color="auto" w:fill="auto"/>
              </w:rPr>
              <w:t>分；</w:t>
            </w:r>
            <w:r>
              <w:rPr>
                <w:rFonts w:hint="eastAsia" w:ascii="宋体" w:hAnsi="宋体" w:cs="宋体"/>
                <w:color w:val="auto"/>
                <w:kern w:val="0"/>
                <w:szCs w:val="21"/>
                <w:highlight w:val="none"/>
                <w:shd w:val="clear" w:color="auto" w:fill="auto"/>
              </w:rPr>
              <w:t>具有</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3</w:t>
            </w:r>
            <w:r>
              <w:rPr>
                <w:rFonts w:hint="eastAsia" w:ascii="宋体" w:hAnsi="宋体" w:cs="Arial Unicode MS"/>
                <w:color w:val="auto"/>
                <w:szCs w:val="21"/>
                <w:highlight w:val="none"/>
                <w:shd w:val="clear" w:color="auto" w:fill="auto"/>
              </w:rPr>
              <w:t>分；</w:t>
            </w:r>
            <w:r>
              <w:rPr>
                <w:rFonts w:hint="eastAsia" w:ascii="宋体" w:hAnsi="宋体" w:cs="宋体"/>
                <w:color w:val="auto"/>
                <w:kern w:val="0"/>
                <w:szCs w:val="21"/>
                <w:highlight w:val="none"/>
                <w:shd w:val="clear" w:color="auto" w:fill="auto"/>
              </w:rPr>
              <w:t>具有</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1</w:t>
            </w:r>
            <w:r>
              <w:rPr>
                <w:rFonts w:hint="eastAsia" w:ascii="宋体" w:hAnsi="宋体" w:cs="Arial Unicode MS"/>
                <w:color w:val="auto"/>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spacing w:line="280" w:lineRule="exact"/>
              <w:jc w:val="left"/>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质量负责人</w:t>
            </w:r>
          </w:p>
        </w:tc>
        <w:tc>
          <w:tcPr>
            <w:tcW w:w="247" w:type="pct"/>
            <w:vAlign w:val="center"/>
          </w:tcPr>
          <w:p>
            <w:pPr>
              <w:widowControl/>
              <w:spacing w:line="280" w:lineRule="exact"/>
              <w:jc w:val="center"/>
              <w:rPr>
                <w:rFonts w:ascii="宋体" w:hAnsi="宋体"/>
                <w:color w:val="auto"/>
                <w:szCs w:val="21"/>
                <w:highlight w:val="none"/>
                <w:shd w:val="clear" w:color="auto" w:fill="auto"/>
              </w:rPr>
            </w:pPr>
            <w:r>
              <w:rPr>
                <w:rFonts w:ascii="宋体" w:hAnsi="宋体" w:cs="宋体"/>
                <w:color w:val="auto"/>
                <w:szCs w:val="21"/>
                <w:highlight w:val="none"/>
                <w:shd w:val="clear" w:color="auto" w:fill="auto"/>
              </w:rPr>
              <w:t>5</w:t>
            </w:r>
          </w:p>
        </w:tc>
        <w:tc>
          <w:tcPr>
            <w:tcW w:w="3878" w:type="pct"/>
            <w:vAlign w:val="center"/>
          </w:tcPr>
          <w:p>
            <w:pPr>
              <w:spacing w:line="420" w:lineRule="exact"/>
              <w:ind w:right="134" w:rightChars="64"/>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1、质量负责人具有市政工程相关专业高级工程师或以上职称的，得2</w:t>
            </w:r>
            <w:r>
              <w:rPr>
                <w:rFonts w:hint="eastAsia" w:ascii="宋体" w:hAnsi="宋体" w:cs="宋体"/>
                <w:color w:val="auto"/>
                <w:kern w:val="0"/>
                <w:szCs w:val="21"/>
                <w:highlight w:val="none"/>
                <w:shd w:val="clear" w:color="auto" w:fill="auto"/>
              </w:rPr>
              <w:t>分；具有市政工程相关专业中级工程师职称的，得</w:t>
            </w:r>
            <w:r>
              <w:rPr>
                <w:rFonts w:ascii="宋体" w:hAnsi="宋体" w:cs="宋体"/>
                <w:color w:val="auto"/>
                <w:kern w:val="0"/>
                <w:szCs w:val="21"/>
                <w:highlight w:val="none"/>
                <w:shd w:val="clear" w:color="auto" w:fill="auto"/>
              </w:rPr>
              <w:t>1分。</w:t>
            </w:r>
          </w:p>
          <w:p>
            <w:pPr>
              <w:spacing w:line="420" w:lineRule="exact"/>
              <w:ind w:right="134" w:rightChars="64"/>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2、质量负责人具有10</w:t>
            </w:r>
            <w:r>
              <w:rPr>
                <w:rFonts w:hint="eastAsia" w:ascii="宋体" w:hAnsi="宋体" w:cs="宋体"/>
                <w:color w:val="auto"/>
                <w:kern w:val="0"/>
                <w:szCs w:val="21"/>
                <w:highlight w:val="none"/>
                <w:shd w:val="clear" w:color="auto" w:fill="auto"/>
              </w:rPr>
              <w:t>年以上施工管理工作经验，得</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分；具有</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年）施工管理工作经验，得</w:t>
            </w:r>
            <w:r>
              <w:rPr>
                <w:rFonts w:ascii="宋体" w:hAnsi="宋体" w:cs="宋体"/>
                <w:color w:val="auto"/>
                <w:kern w:val="0"/>
                <w:szCs w:val="21"/>
                <w:highlight w:val="none"/>
                <w:shd w:val="clear" w:color="auto" w:fill="auto"/>
              </w:rPr>
              <w:t>2</w:t>
            </w:r>
            <w:r>
              <w:rPr>
                <w:rFonts w:hint="eastAsia" w:ascii="宋体" w:hAnsi="宋体" w:cs="宋体"/>
                <w:color w:val="auto"/>
                <w:kern w:val="0"/>
                <w:szCs w:val="21"/>
                <w:highlight w:val="none"/>
                <w:shd w:val="clear" w:color="auto" w:fill="auto"/>
              </w:rPr>
              <w:t>分；具有</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年）施工管理工作经验，得</w:t>
            </w:r>
            <w:r>
              <w:rPr>
                <w:rFonts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spacing w:line="280" w:lineRule="exact"/>
              <w:jc w:val="left"/>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安全负责人</w:t>
            </w:r>
          </w:p>
        </w:tc>
        <w:tc>
          <w:tcPr>
            <w:tcW w:w="247" w:type="pct"/>
            <w:vAlign w:val="center"/>
          </w:tcPr>
          <w:p>
            <w:pPr>
              <w:widowControl/>
              <w:spacing w:line="280" w:lineRule="exact"/>
              <w:jc w:val="center"/>
              <w:rPr>
                <w:rFonts w:ascii="宋体" w:hAnsi="宋体"/>
                <w:color w:val="auto"/>
                <w:szCs w:val="21"/>
                <w:highlight w:val="none"/>
                <w:shd w:val="clear" w:color="auto" w:fill="auto"/>
              </w:rPr>
            </w:pPr>
            <w:r>
              <w:rPr>
                <w:rFonts w:ascii="宋体" w:hAnsi="宋体" w:cs="宋体"/>
                <w:color w:val="auto"/>
                <w:szCs w:val="21"/>
                <w:highlight w:val="none"/>
                <w:shd w:val="clear" w:color="auto" w:fill="auto"/>
              </w:rPr>
              <w:t>5</w:t>
            </w:r>
          </w:p>
        </w:tc>
        <w:tc>
          <w:tcPr>
            <w:tcW w:w="3878" w:type="pct"/>
            <w:vAlign w:val="center"/>
          </w:tcPr>
          <w:p>
            <w:pPr>
              <w:spacing w:line="420" w:lineRule="exact"/>
              <w:ind w:right="134" w:rightChars="64"/>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1、安全负责人具有注册安全工程师证书得2</w:t>
            </w:r>
            <w:r>
              <w:rPr>
                <w:rFonts w:hint="eastAsia" w:ascii="宋体" w:hAnsi="宋体" w:cs="宋体"/>
                <w:color w:val="auto"/>
                <w:kern w:val="0"/>
                <w:szCs w:val="21"/>
                <w:highlight w:val="none"/>
                <w:shd w:val="clear" w:color="auto" w:fill="auto"/>
              </w:rPr>
              <w:t>分。</w:t>
            </w:r>
            <w:r>
              <w:rPr>
                <w:rFonts w:hint="eastAsia" w:ascii="宋体" w:hAnsi="宋体" w:cs="宋体"/>
                <w:b w:val="0"/>
                <w:bCs w:val="0"/>
                <w:color w:val="auto"/>
                <w:kern w:val="0"/>
                <w:sz w:val="21"/>
                <w:szCs w:val="21"/>
                <w:highlight w:val="none"/>
                <w:shd w:val="clear" w:color="auto" w:fill="auto"/>
              </w:rPr>
              <w:t>具有安全生产考核合格证(C类)或建筑施工企业专职安全生产管理人员安全生产考核合格证书(C3)得1分。本小项最高得2分。</w:t>
            </w:r>
          </w:p>
          <w:p>
            <w:pPr>
              <w:spacing w:line="420" w:lineRule="exact"/>
              <w:ind w:right="134" w:rightChars="64"/>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2、安全负责人具有10</w:t>
            </w:r>
            <w:r>
              <w:rPr>
                <w:rFonts w:hint="eastAsia" w:ascii="宋体" w:hAnsi="宋体" w:cs="宋体"/>
                <w:color w:val="auto"/>
                <w:kern w:val="0"/>
                <w:szCs w:val="21"/>
                <w:highlight w:val="none"/>
                <w:shd w:val="clear" w:color="auto" w:fill="auto"/>
              </w:rPr>
              <w:t>年以上安全管理工作经验，得</w:t>
            </w:r>
            <w:r>
              <w:rPr>
                <w:rFonts w:ascii="宋体" w:hAnsi="宋体" w:cs="宋体"/>
                <w:color w:val="auto"/>
                <w:kern w:val="0"/>
                <w:szCs w:val="21"/>
                <w:highlight w:val="none"/>
                <w:shd w:val="clear" w:color="auto" w:fill="auto"/>
              </w:rPr>
              <w:t>3分；具有5</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年）安全管理工作经验，得</w:t>
            </w:r>
            <w:r>
              <w:rPr>
                <w:rFonts w:ascii="宋体" w:hAnsi="宋体" w:cs="宋体"/>
                <w:color w:val="auto"/>
                <w:kern w:val="0"/>
                <w:szCs w:val="21"/>
                <w:highlight w:val="none"/>
                <w:shd w:val="clear" w:color="auto" w:fill="auto"/>
              </w:rPr>
              <w:t>2分；具有3</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年）施工管理工作经验，得</w:t>
            </w:r>
            <w:r>
              <w:rPr>
                <w:rFonts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spacing w:line="28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造价负责人</w:t>
            </w:r>
          </w:p>
        </w:tc>
        <w:tc>
          <w:tcPr>
            <w:tcW w:w="247" w:type="pct"/>
            <w:vAlign w:val="center"/>
          </w:tcPr>
          <w:p>
            <w:pPr>
              <w:widowControl/>
              <w:spacing w:line="280" w:lineRule="exact"/>
              <w:jc w:val="center"/>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5</w:t>
            </w:r>
          </w:p>
        </w:tc>
        <w:tc>
          <w:tcPr>
            <w:tcW w:w="3878" w:type="pct"/>
            <w:vAlign w:val="center"/>
          </w:tcPr>
          <w:p>
            <w:pPr>
              <w:adjustRightInd w:val="0"/>
              <w:snapToGrid w:val="0"/>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1、造价负责人具有注册一级造价工程师证书的，得2</w:t>
            </w:r>
            <w:r>
              <w:rPr>
                <w:rFonts w:hint="eastAsia" w:ascii="宋体" w:hAnsi="宋体" w:cs="宋体"/>
                <w:color w:val="auto"/>
                <w:kern w:val="0"/>
                <w:szCs w:val="21"/>
                <w:highlight w:val="none"/>
                <w:shd w:val="clear" w:color="auto" w:fill="auto"/>
              </w:rPr>
              <w:t>分；具有注册二级造价工程师证书的，得</w:t>
            </w:r>
            <w:r>
              <w:rPr>
                <w:rFonts w:ascii="宋体" w:hAnsi="宋体" w:cs="宋体"/>
                <w:color w:val="auto"/>
                <w:kern w:val="0"/>
                <w:szCs w:val="21"/>
                <w:highlight w:val="none"/>
                <w:shd w:val="clear" w:color="auto" w:fill="auto"/>
              </w:rPr>
              <w:t>1分。</w:t>
            </w:r>
          </w:p>
          <w:p>
            <w:pPr>
              <w:adjustRightInd w:val="0"/>
              <w:snapToGrid w:val="0"/>
              <w:rPr>
                <w:rFonts w:ascii="宋体" w:hAnsi="宋体" w:cs="宋体"/>
                <w:color w:val="auto"/>
                <w:szCs w:val="21"/>
                <w:highlight w:val="none"/>
                <w:shd w:val="clear" w:color="auto" w:fill="auto"/>
              </w:rPr>
            </w:pPr>
            <w:r>
              <w:rPr>
                <w:rFonts w:ascii="宋体" w:hAnsi="宋体" w:cs="宋体"/>
                <w:color w:val="auto"/>
                <w:kern w:val="0"/>
                <w:szCs w:val="21"/>
                <w:highlight w:val="none"/>
                <w:shd w:val="clear" w:color="auto" w:fill="auto"/>
              </w:rPr>
              <w:t>2、造价负责人</w:t>
            </w:r>
            <w:r>
              <w:rPr>
                <w:rFonts w:hint="eastAsia" w:ascii="宋体" w:hAnsi="宋体" w:cs="宋体"/>
                <w:color w:val="auto"/>
                <w:szCs w:val="21"/>
                <w:highlight w:val="none"/>
                <w:shd w:val="clear" w:color="auto" w:fill="auto"/>
              </w:rPr>
              <w:t>具有市政工程相关专业中级工程师或以上职称的，得</w:t>
            </w:r>
            <w:r>
              <w:rPr>
                <w:rFonts w:ascii="宋体" w:hAnsi="宋体" w:cs="宋体"/>
                <w:color w:val="auto"/>
                <w:szCs w:val="21"/>
                <w:highlight w:val="none"/>
                <w:shd w:val="clear" w:color="auto" w:fill="auto"/>
              </w:rPr>
              <w:t>3</w:t>
            </w:r>
            <w:r>
              <w:rPr>
                <w:rFonts w:hint="eastAsia" w:ascii="宋体" w:hAnsi="宋体" w:cs="宋体"/>
                <w:color w:val="auto"/>
                <w:szCs w:val="21"/>
                <w:highlight w:val="none"/>
                <w:shd w:val="clear" w:color="auto" w:fill="auto"/>
              </w:rPr>
              <w:t>分</w:t>
            </w:r>
            <w:r>
              <w:rPr>
                <w:rFonts w:hint="eastAsia" w:ascii="宋体" w:hAnsi="宋体" w:cs="宋体"/>
                <w:color w:val="auto"/>
                <w:kern w:val="0"/>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snapToGrid w:val="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其它人员</w:t>
            </w:r>
          </w:p>
        </w:tc>
        <w:tc>
          <w:tcPr>
            <w:tcW w:w="247" w:type="pct"/>
            <w:vAlign w:val="center"/>
          </w:tcPr>
          <w:p>
            <w:pPr>
              <w:snapToGrid w:val="0"/>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5</w:t>
            </w:r>
          </w:p>
        </w:tc>
        <w:tc>
          <w:tcPr>
            <w:tcW w:w="3878" w:type="pct"/>
            <w:vAlign w:val="center"/>
          </w:tcPr>
          <w:p>
            <w:pPr>
              <w:adjustRightInd w:val="0"/>
              <w:snapToGrid w:val="0"/>
              <w:spacing w:line="300" w:lineRule="atLeast"/>
              <w:ind w:left="-63" w:leftChars="-30" w:right="-88" w:rightChars="-42"/>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除项目负责人、技术负责人、质量负责人、安全负责人、造价负责人外，</w:t>
            </w:r>
            <w:r>
              <w:rPr>
                <w:rFonts w:hint="eastAsia" w:ascii="宋体" w:hAnsi="宋体"/>
                <w:color w:val="auto"/>
                <w:szCs w:val="21"/>
                <w:highlight w:val="none"/>
                <w:shd w:val="clear" w:color="auto" w:fill="auto"/>
              </w:rPr>
              <w:t>投入本项目的技术人员，每增加</w:t>
            </w:r>
            <w:r>
              <w:rPr>
                <w:rFonts w:ascii="宋体" w:hAnsi="宋体"/>
                <w:color w:val="auto"/>
                <w:szCs w:val="21"/>
                <w:highlight w:val="none"/>
                <w:shd w:val="clear" w:color="auto" w:fill="auto"/>
              </w:rPr>
              <w:t>1名中</w:t>
            </w:r>
            <w:r>
              <w:rPr>
                <w:rFonts w:hint="eastAsia" w:ascii="宋体" w:hAnsi="宋体" w:cs="宋体"/>
                <w:color w:val="auto"/>
                <w:kern w:val="0"/>
                <w:szCs w:val="21"/>
                <w:highlight w:val="none"/>
                <w:shd w:val="clear" w:color="auto" w:fill="auto"/>
              </w:rPr>
              <w:t>级工程师（或以上）职称的人员加</w:t>
            </w:r>
            <w:r>
              <w:rPr>
                <w:rFonts w:ascii="宋体" w:hAnsi="宋体" w:cs="宋体"/>
                <w:color w:val="auto"/>
                <w:kern w:val="0"/>
                <w:szCs w:val="21"/>
                <w:highlight w:val="none"/>
                <w:shd w:val="clear" w:color="auto" w:fill="auto"/>
              </w:rPr>
              <w:t>1分，</w:t>
            </w:r>
            <w:r>
              <w:rPr>
                <w:rFonts w:hint="eastAsia" w:ascii="宋体" w:hAnsi="宋体" w:cs="宋体"/>
                <w:color w:val="auto"/>
                <w:szCs w:val="21"/>
                <w:highlight w:val="none"/>
                <w:shd w:val="clear" w:color="auto" w:fill="auto"/>
              </w:rPr>
              <w:t>本项</w:t>
            </w:r>
            <w:r>
              <w:rPr>
                <w:rFonts w:hint="eastAsia" w:ascii="宋体" w:hAnsi="宋体" w:cs="宋体"/>
                <w:color w:val="auto"/>
                <w:kern w:val="0"/>
                <w:szCs w:val="21"/>
                <w:highlight w:val="none"/>
                <w:shd w:val="clear" w:color="auto" w:fill="auto"/>
              </w:rPr>
              <w:t>最高得</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33" w:type="pct"/>
            <w:vMerge w:val="restar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三、企业资信（</w:t>
            </w:r>
            <w:r>
              <w:rPr>
                <w:rFonts w:ascii="宋体" w:hAnsi="宋体" w:cs="宋体"/>
                <w:color w:val="auto"/>
                <w:sz w:val="21"/>
                <w:szCs w:val="21"/>
                <w:highlight w:val="none"/>
                <w:shd w:val="clear" w:color="auto" w:fill="auto"/>
              </w:rPr>
              <w:t>30分）</w:t>
            </w:r>
          </w:p>
        </w:tc>
        <w:tc>
          <w:tcPr>
            <w:tcW w:w="443" w:type="pct"/>
            <w:vAlign w:val="center"/>
          </w:tcPr>
          <w:p>
            <w:pPr>
              <w:pStyle w:val="29"/>
              <w:jc w:val="center"/>
              <w:rPr>
                <w:rFonts w:hAnsi="宋体" w:cs="宋体"/>
                <w:color w:val="auto"/>
                <w:szCs w:val="21"/>
                <w:highlight w:val="none"/>
                <w:shd w:val="clear" w:color="auto" w:fill="auto"/>
              </w:rPr>
            </w:pPr>
            <w:r>
              <w:rPr>
                <w:rFonts w:hint="eastAsia" w:hAnsi="宋体" w:cs="宋体"/>
                <w:color w:val="auto"/>
                <w:szCs w:val="21"/>
                <w:highlight w:val="none"/>
                <w:shd w:val="clear" w:color="auto" w:fill="auto"/>
              </w:rPr>
              <w:t>企业业绩</w:t>
            </w:r>
          </w:p>
        </w:tc>
        <w:tc>
          <w:tcPr>
            <w:tcW w:w="247" w:type="pct"/>
            <w:vAlign w:val="center"/>
          </w:tcPr>
          <w:p>
            <w:pPr>
              <w:pStyle w:val="29"/>
              <w:jc w:val="center"/>
              <w:rPr>
                <w:rFonts w:hAnsi="宋体" w:cs="宋体"/>
                <w:color w:val="auto"/>
                <w:szCs w:val="21"/>
                <w:highlight w:val="none"/>
                <w:shd w:val="clear" w:color="auto" w:fill="auto"/>
              </w:rPr>
            </w:pPr>
            <w:r>
              <w:rPr>
                <w:rFonts w:hAnsi="宋体" w:cs="宋体"/>
                <w:color w:val="auto"/>
                <w:szCs w:val="21"/>
                <w:highlight w:val="none"/>
                <w:shd w:val="clear" w:color="auto" w:fill="auto"/>
              </w:rPr>
              <w:t>10</w:t>
            </w:r>
          </w:p>
        </w:tc>
        <w:tc>
          <w:tcPr>
            <w:tcW w:w="3878" w:type="pct"/>
            <w:vAlign w:val="center"/>
          </w:tcPr>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投标人自</w:t>
            </w:r>
            <w:r>
              <w:rPr>
                <w:rFonts w:hAnsi="宋体" w:cs="宋体"/>
                <w:color w:val="auto"/>
                <w:szCs w:val="21"/>
                <w:highlight w:val="none"/>
                <w:shd w:val="clear" w:color="auto" w:fill="auto"/>
              </w:rPr>
              <w:t>2021年1月1日至今完成质量合格的类似工程业绩，每项得2分，本项最高得10分。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pStyle w:val="29"/>
              <w:jc w:val="center"/>
              <w:rPr>
                <w:rFonts w:hAnsi="宋体" w:cs="宋体"/>
                <w:color w:val="auto"/>
                <w:szCs w:val="21"/>
                <w:highlight w:val="none"/>
                <w:shd w:val="clear" w:color="auto" w:fill="auto"/>
              </w:rPr>
            </w:pPr>
            <w:r>
              <w:rPr>
                <w:rFonts w:hint="eastAsia" w:hAnsi="宋体" w:cs="宋体"/>
                <w:color w:val="auto"/>
                <w:szCs w:val="21"/>
                <w:highlight w:val="none"/>
                <w:shd w:val="clear" w:color="auto" w:fill="auto"/>
              </w:rPr>
              <w:t>工程奖项</w:t>
            </w:r>
          </w:p>
        </w:tc>
        <w:tc>
          <w:tcPr>
            <w:tcW w:w="247" w:type="pct"/>
            <w:vAlign w:val="center"/>
          </w:tcPr>
          <w:p>
            <w:pPr>
              <w:pStyle w:val="29"/>
              <w:jc w:val="center"/>
              <w:rPr>
                <w:rFonts w:hAnsi="宋体" w:cs="宋体"/>
                <w:color w:val="auto"/>
                <w:szCs w:val="21"/>
                <w:highlight w:val="none"/>
                <w:shd w:val="clear" w:color="auto" w:fill="auto"/>
              </w:rPr>
            </w:pPr>
            <w:r>
              <w:rPr>
                <w:rFonts w:hAnsi="宋体" w:cs="宋体"/>
                <w:color w:val="auto"/>
                <w:szCs w:val="21"/>
                <w:highlight w:val="none"/>
                <w:shd w:val="clear" w:color="auto" w:fill="auto"/>
              </w:rPr>
              <w:t>8</w:t>
            </w:r>
          </w:p>
        </w:tc>
        <w:tc>
          <w:tcPr>
            <w:tcW w:w="3878" w:type="pct"/>
            <w:vAlign w:val="center"/>
          </w:tcPr>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投标人自</w:t>
            </w:r>
            <w:r>
              <w:rPr>
                <w:rFonts w:hAnsi="宋体" w:cs="宋体"/>
                <w:color w:val="auto"/>
                <w:szCs w:val="21"/>
                <w:highlight w:val="none"/>
                <w:shd w:val="clear" w:color="auto" w:fill="auto"/>
              </w:rPr>
              <w:t>2021年1月1日至今完成过的工程项目:</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1</w:t>
            </w:r>
            <w:r>
              <w:rPr>
                <w:rFonts w:hint="eastAsia" w:hAnsi="宋体" w:cs="宋体"/>
                <w:color w:val="auto"/>
                <w:szCs w:val="21"/>
                <w:highlight w:val="none"/>
                <w:shd w:val="clear" w:color="auto" w:fill="auto"/>
              </w:rPr>
              <w:t>、获得国家级质量奖项的，每项得</w:t>
            </w:r>
            <w:r>
              <w:rPr>
                <w:rFonts w:hAnsi="宋体" w:cs="宋体"/>
                <w:color w:val="auto"/>
                <w:szCs w:val="21"/>
                <w:highlight w:val="none"/>
                <w:shd w:val="clear" w:color="auto" w:fill="auto"/>
              </w:rPr>
              <w:t>4分；</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2</w:t>
            </w:r>
            <w:r>
              <w:rPr>
                <w:rFonts w:hint="eastAsia" w:hAnsi="宋体" w:cs="宋体"/>
                <w:color w:val="auto"/>
                <w:szCs w:val="21"/>
                <w:highlight w:val="none"/>
                <w:shd w:val="clear" w:color="auto" w:fill="auto"/>
              </w:rPr>
              <w:t>、获得省级质量奖项的，每项得</w:t>
            </w:r>
            <w:r>
              <w:rPr>
                <w:rFonts w:hAnsi="宋体" w:cs="宋体"/>
                <w:color w:val="auto"/>
                <w:szCs w:val="21"/>
                <w:highlight w:val="none"/>
                <w:shd w:val="clear" w:color="auto" w:fill="auto"/>
              </w:rPr>
              <w:t>2分；</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3</w:t>
            </w:r>
            <w:r>
              <w:rPr>
                <w:rFonts w:hint="eastAsia" w:hAnsi="宋体" w:cs="宋体"/>
                <w:color w:val="auto"/>
                <w:szCs w:val="21"/>
                <w:highlight w:val="none"/>
                <w:shd w:val="clear" w:color="auto" w:fill="auto"/>
              </w:rPr>
              <w:t>、获得市级</w:t>
            </w:r>
            <w:r>
              <w:rPr>
                <w:rFonts w:hAnsi="宋体" w:cs="宋体"/>
                <w:color w:val="auto"/>
                <w:szCs w:val="21"/>
                <w:highlight w:val="none"/>
                <w:shd w:val="clear" w:color="auto" w:fill="auto"/>
              </w:rPr>
              <w:t>(含副省级)质量奖项的，每项得1分。</w:t>
            </w:r>
          </w:p>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本项最高得</w:t>
            </w:r>
            <w:r>
              <w:rPr>
                <w:rFonts w:hAnsi="宋体" w:cs="宋体"/>
                <w:color w:val="auto"/>
                <w:szCs w:val="21"/>
                <w:highlight w:val="none"/>
                <w:shd w:val="clear" w:color="auto" w:fill="auto"/>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ind w:firstLine="420" w:firstLineChars="200"/>
              <w:jc w:val="center"/>
              <w:rPr>
                <w:rFonts w:ascii="宋体" w:hAnsi="宋体" w:cs="宋体"/>
                <w:color w:val="auto"/>
                <w:sz w:val="21"/>
                <w:szCs w:val="21"/>
                <w:highlight w:val="none"/>
                <w:shd w:val="clear" w:color="auto" w:fill="auto"/>
              </w:rPr>
            </w:pPr>
          </w:p>
        </w:tc>
        <w:tc>
          <w:tcPr>
            <w:tcW w:w="443"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第三方评价</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6</w:t>
            </w:r>
          </w:p>
        </w:tc>
        <w:tc>
          <w:tcPr>
            <w:tcW w:w="3878" w:type="pct"/>
            <w:vAlign w:val="center"/>
          </w:tcPr>
          <w:p>
            <w:pPr>
              <w:spacing w:line="360" w:lineRule="exact"/>
              <w:ind w:right="134"/>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投标人具备有效期内的质量管理体系认证、职业健康安全管理体系认证、环境管理体系认证，每有一项认证证书得</w:t>
            </w:r>
            <w:r>
              <w:rPr>
                <w:rFonts w:ascii="宋体" w:hAnsi="宋体" w:cs="宋体"/>
                <w:color w:val="auto"/>
                <w:kern w:val="0"/>
                <w:szCs w:val="21"/>
                <w:highlight w:val="none"/>
                <w:shd w:val="clear" w:color="auto" w:fill="auto"/>
              </w:rPr>
              <w:t>2分，</w:t>
            </w:r>
            <w:r>
              <w:rPr>
                <w:rFonts w:hint="eastAsia" w:ascii="宋体" w:hAnsi="宋体" w:cs="宋体"/>
                <w:color w:val="auto"/>
                <w:szCs w:val="21"/>
                <w:highlight w:val="none"/>
                <w:shd w:val="clear" w:color="auto" w:fill="auto"/>
              </w:rPr>
              <w:t>本项最高得</w:t>
            </w:r>
            <w:r>
              <w:rPr>
                <w:rFonts w:ascii="宋体" w:hAnsi="宋体" w:cs="宋体"/>
                <w:color w:val="auto"/>
                <w:szCs w:val="21"/>
                <w:highlight w:val="none"/>
                <w:shd w:val="clear" w:color="auto" w:fill="auto"/>
              </w:rPr>
              <w:t>6</w:t>
            </w:r>
            <w:r>
              <w:rPr>
                <w:rFonts w:hint="eastAsia" w:ascii="宋体" w:hAnsi="宋体" w:cs="宋体"/>
                <w:color w:val="auto"/>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ind w:firstLine="420" w:firstLineChars="200"/>
              <w:jc w:val="center"/>
              <w:rPr>
                <w:rFonts w:ascii="宋体" w:hAnsi="宋体" w:cs="宋体"/>
                <w:color w:val="auto"/>
                <w:sz w:val="21"/>
                <w:szCs w:val="21"/>
                <w:highlight w:val="none"/>
                <w:shd w:val="clear" w:color="auto" w:fill="auto"/>
              </w:rPr>
            </w:pPr>
          </w:p>
        </w:tc>
        <w:tc>
          <w:tcPr>
            <w:tcW w:w="443"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工程研发能力</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6</w:t>
            </w:r>
          </w:p>
        </w:tc>
        <w:tc>
          <w:tcPr>
            <w:tcW w:w="3878" w:type="pct"/>
            <w:vAlign w:val="center"/>
          </w:tcPr>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投标人自</w:t>
            </w:r>
            <w:r>
              <w:rPr>
                <w:rFonts w:hAnsi="宋体" w:cs="宋体"/>
                <w:color w:val="auto"/>
                <w:szCs w:val="21"/>
                <w:highlight w:val="none"/>
                <w:shd w:val="clear" w:color="auto" w:fill="auto"/>
              </w:rPr>
              <w:t>2021年1月1日至今：</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1</w:t>
            </w:r>
            <w:r>
              <w:rPr>
                <w:rFonts w:hint="eastAsia" w:hAnsi="宋体" w:cs="宋体"/>
                <w:color w:val="auto"/>
                <w:szCs w:val="21"/>
                <w:highlight w:val="none"/>
                <w:shd w:val="clear" w:color="auto" w:fill="auto"/>
              </w:rPr>
              <w:t>、获得国家级科学技术奖的，每项得</w:t>
            </w:r>
            <w:r>
              <w:rPr>
                <w:rFonts w:hAnsi="宋体" w:cs="宋体"/>
                <w:color w:val="auto"/>
                <w:szCs w:val="21"/>
                <w:highlight w:val="none"/>
                <w:shd w:val="clear" w:color="auto" w:fill="auto"/>
              </w:rPr>
              <w:t>1.5</w:t>
            </w:r>
            <w:r>
              <w:rPr>
                <w:rFonts w:hint="eastAsia" w:hAnsi="宋体" w:cs="宋体"/>
                <w:color w:val="auto"/>
                <w:szCs w:val="21"/>
                <w:highlight w:val="none"/>
                <w:shd w:val="clear" w:color="auto" w:fill="auto"/>
              </w:rPr>
              <w:t>分；</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2</w:t>
            </w:r>
            <w:r>
              <w:rPr>
                <w:rFonts w:hint="eastAsia" w:hAnsi="宋体" w:cs="宋体"/>
                <w:color w:val="auto"/>
                <w:szCs w:val="21"/>
                <w:highlight w:val="none"/>
                <w:shd w:val="clear" w:color="auto" w:fill="auto"/>
              </w:rPr>
              <w:t>、获得省级科学技术奖的，每项得</w:t>
            </w:r>
            <w:r>
              <w:rPr>
                <w:rFonts w:hAnsi="宋体" w:cs="宋体"/>
                <w:color w:val="auto"/>
                <w:szCs w:val="21"/>
                <w:highlight w:val="none"/>
                <w:shd w:val="clear" w:color="auto" w:fill="auto"/>
              </w:rPr>
              <w:t>1分；</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3</w:t>
            </w:r>
            <w:r>
              <w:rPr>
                <w:rFonts w:hint="eastAsia" w:hAnsi="宋体" w:cs="宋体"/>
                <w:color w:val="auto"/>
                <w:szCs w:val="21"/>
                <w:highlight w:val="none"/>
                <w:shd w:val="clear" w:color="auto" w:fill="auto"/>
              </w:rPr>
              <w:t>、获得市级</w:t>
            </w:r>
            <w:r>
              <w:rPr>
                <w:rFonts w:hAnsi="宋体" w:cs="宋体"/>
                <w:color w:val="auto"/>
                <w:szCs w:val="21"/>
                <w:highlight w:val="none"/>
                <w:shd w:val="clear" w:color="auto" w:fill="auto"/>
              </w:rPr>
              <w:t>(含副省级)科学技术奖的，每项得0.5分。</w:t>
            </w:r>
          </w:p>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本项最高得</w:t>
            </w:r>
            <w:r>
              <w:rPr>
                <w:rFonts w:hAnsi="宋体" w:cs="宋体"/>
                <w:color w:val="auto"/>
                <w:szCs w:val="21"/>
                <w:highlight w:val="none"/>
                <w:shd w:val="clear" w:color="auto" w:fill="auto"/>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75" w:type="pct"/>
            <w:gridSpan w:val="2"/>
            <w:vAlign w:val="center"/>
          </w:tcPr>
          <w:p>
            <w:pPr>
              <w:pStyle w:val="616"/>
              <w:ind w:firstLine="420" w:firstLineChars="200"/>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合计</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100</w:t>
            </w:r>
          </w:p>
        </w:tc>
        <w:tc>
          <w:tcPr>
            <w:tcW w:w="3878" w:type="pct"/>
            <w:vAlign w:val="center"/>
          </w:tcPr>
          <w:p>
            <w:pPr>
              <w:pStyle w:val="616"/>
              <w:ind w:firstLine="420" w:firstLineChars="200"/>
              <w:jc w:val="center"/>
              <w:rPr>
                <w:rFonts w:ascii="宋体" w:hAnsi="宋体" w:cs="宋体"/>
                <w:color w:val="auto"/>
                <w:sz w:val="21"/>
                <w:szCs w:val="21"/>
                <w:highlight w:val="none"/>
                <w:shd w:val="clear" w:color="auto" w:fill="auto"/>
              </w:rPr>
            </w:pPr>
          </w:p>
        </w:tc>
      </w:tr>
    </w:tbl>
    <w:p>
      <w:pPr>
        <w:pStyle w:val="616"/>
        <w:spacing w:line="36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备注：</w:t>
      </w:r>
    </w:p>
    <w:p>
      <w:pPr>
        <w:adjustRightInd w:val="0"/>
        <w:snapToGrid w:val="0"/>
        <w:spacing w:line="340" w:lineRule="exact"/>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1、项目管理机构能力：</w:t>
      </w:r>
    </w:p>
    <w:p>
      <w:pPr>
        <w:adjustRightInd w:val="0"/>
        <w:snapToGrid w:val="0"/>
        <w:spacing w:line="340" w:lineRule="exact"/>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（1）项目管理机构人员的岗位不能相互兼任，项目管理机构人员仅指投标人自身人员，不含子母公司人员。同一</w:t>
      </w:r>
      <w:r>
        <w:rPr>
          <w:rFonts w:ascii="宋体" w:hAnsi="宋体" w:cs="宋体"/>
          <w:bCs/>
          <w:color w:val="auto"/>
          <w:szCs w:val="21"/>
          <w:highlight w:val="none"/>
          <w:shd w:val="clear" w:color="auto" w:fill="auto"/>
        </w:rPr>
        <w:t>人员相同类型证书，按最高级别计算一次得分，不重复加分。</w:t>
      </w:r>
    </w:p>
    <w:p>
      <w:pPr>
        <w:adjustRightInd w:val="0"/>
        <w:snapToGrid w:val="0"/>
        <w:spacing w:line="340" w:lineRule="exact"/>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（2）施工、安全管理工作经验须提供毕业证和人员工作简历，工作经验以毕业证书的核发时间[大学专科(或以上)学历]起计、人员简历表中工作经验时间较短者为准。</w:t>
      </w:r>
    </w:p>
    <w:p>
      <w:pPr>
        <w:adjustRightInd w:val="0"/>
        <w:snapToGrid w:val="0"/>
        <w:spacing w:line="340" w:lineRule="exact"/>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（3）项目管理机构人员须提供相应职称证书和注册证书（如有）、岗位证书（如有）、身份证、毕业证和近3个月（2023年12月-2024年2月）的社保缴纳证明材料。</w:t>
      </w:r>
      <w:r>
        <w:rPr>
          <w:rFonts w:hint="eastAsia" w:ascii="宋体" w:hAnsi="宋体" w:cs="宋体"/>
          <w:b w:val="0"/>
          <w:bCs/>
          <w:color w:val="auto"/>
          <w:sz w:val="21"/>
          <w:szCs w:val="21"/>
          <w:highlight w:val="none"/>
          <w:shd w:val="clear" w:color="auto" w:fill="auto"/>
        </w:rPr>
        <w:t>注册一级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注册一级造价工程师。</w:t>
      </w:r>
    </w:p>
    <w:p>
      <w:pPr>
        <w:spacing w:line="360" w:lineRule="exact"/>
        <w:ind w:firstLine="420" w:firstLineChars="200"/>
        <w:rPr>
          <w:rFonts w:ascii="宋体" w:hAnsi="宋体" w:cs="宋体"/>
          <w:bCs/>
          <w:color w:val="auto"/>
          <w:szCs w:val="21"/>
          <w:highlight w:val="none"/>
          <w:shd w:val="clear" w:color="auto" w:fill="auto"/>
        </w:rPr>
      </w:pPr>
      <w:r>
        <w:rPr>
          <w:rFonts w:hint="eastAsia" w:ascii="宋体" w:hAnsi="宋体" w:cs="宋体"/>
          <w:color w:val="auto"/>
          <w:szCs w:val="21"/>
          <w:highlight w:val="none"/>
          <w:shd w:val="clear" w:color="auto" w:fill="auto"/>
        </w:rPr>
        <w:t>2、企业业绩：类似工程指 500 万元或以上的市政工程(道路或桥梁)施工项目。</w:t>
      </w:r>
      <w:r>
        <w:rPr>
          <w:rFonts w:hint="eastAsia" w:ascii="宋体" w:hAnsi="宋体" w:cs="宋体"/>
          <w:bCs/>
          <w:color w:val="auto"/>
          <w:szCs w:val="21"/>
          <w:highlight w:val="none"/>
          <w:shd w:val="clear" w:color="auto" w:fill="auto"/>
        </w:rPr>
        <w:t>投标人须提供业绩的中标通知书或免招标的相关证明、施工合同协议书关键页、竣工验收文件（验收文件至少具有建设单位、设计、施工和监理单位盖章）。完成时间以竣工验收文件为准。业绩金额以业绩中标通知书为准，若中标通知书没有显示中标金额或免招标的，以施工合同（不含补充合同）为准。若业绩为联合体承接的，需以联合体协议书认定的施工任务为准，投标人承担的合同部分金额应在500万元（或以上）；联合体业绩的工程造价则按中标通知书金额乘以联合体各单位盖章确认的协议书比例为准或以合同标的金额或其他证明文件为准。</w:t>
      </w:r>
    </w:p>
    <w:p>
      <w:pPr>
        <w:spacing w:line="360" w:lineRule="exact"/>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3、工程奖项：指</w:t>
      </w:r>
      <w:r>
        <w:rPr>
          <w:rFonts w:hint="eastAsia" w:hAnsi="宋体" w:cs="宋体"/>
          <w:bCs/>
          <w:color w:val="auto"/>
          <w:szCs w:val="21"/>
          <w:highlight w:val="none"/>
          <w:shd w:val="clear" w:color="auto" w:fill="auto"/>
        </w:rPr>
        <w:t>市政工程或路桥工程</w:t>
      </w:r>
      <w:r>
        <w:rPr>
          <w:rFonts w:hint="eastAsia" w:ascii="宋体" w:hAnsi="宋体" w:cs="宋体"/>
          <w:color w:val="auto"/>
          <w:szCs w:val="21"/>
          <w:highlight w:val="none"/>
          <w:shd w:val="clear" w:color="auto" w:fill="auto"/>
        </w:rPr>
        <w:t>获奖，其他获奖不参与计算。提供获奖证书或获奖证明文件。获奖时间以证书颁发日期或获奖文件签发日期为准，同一工程项目获得多个奖项的，按其获得的最高奖项计分，且不得重复计分。国家级奖项是指中国建设工程鲁班奖、中国土木工程詹天佑奖、全国市政金杯示范工程奖、国家优质工程奖、国家优质工程（金质奖）、国家优质工程（银质奖）等；省级工程质量奖项指省级工程优质奖或省级优良样板工程奖或省级市政金杯示范工程奖等省级工程实体奖项；市级</w:t>
      </w:r>
      <w:r>
        <w:rPr>
          <w:rFonts w:hint="eastAsia" w:hAnsi="宋体" w:cs="宋体"/>
          <w:color w:val="auto"/>
          <w:szCs w:val="21"/>
          <w:highlight w:val="none"/>
          <w:shd w:val="clear" w:color="auto" w:fill="auto"/>
        </w:rPr>
        <w:t>(含副省级)</w:t>
      </w:r>
      <w:r>
        <w:rPr>
          <w:rFonts w:hint="eastAsia" w:ascii="宋体" w:hAnsi="宋体" w:cs="宋体"/>
          <w:color w:val="auto"/>
          <w:szCs w:val="21"/>
          <w:highlight w:val="none"/>
          <w:shd w:val="clear" w:color="auto" w:fill="auto"/>
        </w:rPr>
        <w:t>工程质量奖项指市级工程优质奖或市级优良样板工程奖或市级市政金杯示范工程奖等市级工程实体奖项。</w:t>
      </w:r>
    </w:p>
    <w:p>
      <w:pPr>
        <w:spacing w:line="360" w:lineRule="exact"/>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4、体系认证证书须提供相关证书及“国家认证认可监督管理委员会”(http://www.cnca.gov.cn/)通过网站首页中“办事大厅－认证结果一查询”进行查询截图，无或不提供不得分。</w:t>
      </w:r>
    </w:p>
    <w:p>
      <w:pPr>
        <w:wordWrap w:val="0"/>
        <w:ind w:firstLine="420" w:firstLineChars="200"/>
        <w:rPr>
          <w:rFonts w:ascii="宋体" w:hAnsi="宋体" w:cs="宋体"/>
          <w:color w:val="auto"/>
          <w:sz w:val="18"/>
          <w:szCs w:val="18"/>
          <w:highlight w:val="none"/>
          <w:shd w:val="clear" w:color="auto" w:fill="auto"/>
        </w:rPr>
      </w:pPr>
      <w:r>
        <w:rPr>
          <w:rFonts w:hint="eastAsia" w:ascii="宋体" w:hAnsi="宋体" w:cs="宋体"/>
          <w:color w:val="auto"/>
          <w:szCs w:val="21"/>
          <w:highlight w:val="none"/>
          <w:shd w:val="clear" w:color="auto" w:fill="auto"/>
        </w:rPr>
        <w:t>5、工程研发能力：</w:t>
      </w:r>
      <w:r>
        <w:rPr>
          <w:rFonts w:hint="eastAsia" w:ascii="宋体" w:hAnsi="宋体"/>
          <w:color w:val="auto"/>
          <w:szCs w:val="21"/>
          <w:highlight w:val="none"/>
          <w:shd w:val="clear" w:color="auto" w:fill="auto"/>
        </w:rPr>
        <w:t>科学技术奖包括科学技术奖、自然科学奖、技术发明奖、科学技术进步奖等，需与市政工程或</w:t>
      </w:r>
      <w:r>
        <w:rPr>
          <w:rFonts w:ascii="宋体" w:hAnsi="宋体"/>
          <w:color w:val="auto"/>
          <w:szCs w:val="21"/>
          <w:highlight w:val="none"/>
          <w:shd w:val="clear" w:color="auto" w:fill="auto"/>
        </w:rPr>
        <w:t>路桥工程</w:t>
      </w:r>
      <w:r>
        <w:rPr>
          <w:rFonts w:hint="eastAsia" w:ascii="宋体" w:hAnsi="宋体"/>
          <w:color w:val="auto"/>
          <w:szCs w:val="21"/>
          <w:highlight w:val="none"/>
          <w:shd w:val="clear" w:color="auto" w:fill="auto"/>
        </w:rPr>
        <w:t>相关。提供获奖证书扫描件或其他获奖文件，时间以证书或其他获奖文件落款时间为准；科学技术奖需为市级或以上人民政府或行政部门或协会颁发，若发证机构为学会或协会的，须在中国社会组织政务服务平台（https://chinanpo.mca.gov.cn/）查询到为有效（附网页截图）。同一项目获得多个奖项的，该项目获奖只按其中一个奖项所在最高级别计算一次分数，不得重复计算。</w:t>
      </w:r>
    </w:p>
    <w:p>
      <w:pPr>
        <w:spacing w:line="360" w:lineRule="exact"/>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6、本表按百分制评分，投标人的技术得分为各评委总评分的算术平均值，若分数出现小数点，保留小数点后二位小数，第三位小数四舍五入。未提供评分要求的材料或未</w:t>
      </w:r>
      <w:r>
        <w:rPr>
          <w:rFonts w:ascii="宋体" w:hAnsi="宋体" w:cs="宋体"/>
          <w:color w:val="auto"/>
          <w:szCs w:val="21"/>
          <w:highlight w:val="none"/>
          <w:shd w:val="clear" w:color="auto" w:fill="auto"/>
        </w:rPr>
        <w:t>响应要求</w:t>
      </w:r>
      <w:r>
        <w:rPr>
          <w:rFonts w:hint="eastAsia" w:ascii="宋体" w:hAnsi="宋体" w:cs="宋体"/>
          <w:color w:val="auto"/>
          <w:szCs w:val="21"/>
          <w:highlight w:val="none"/>
          <w:shd w:val="clear" w:color="auto" w:fill="auto"/>
        </w:rPr>
        <w:t>，则该项评分按</w:t>
      </w:r>
      <w:r>
        <w:rPr>
          <w:rFonts w:ascii="宋体" w:hAnsi="宋体" w:cs="宋体"/>
          <w:color w:val="auto"/>
          <w:szCs w:val="21"/>
          <w:highlight w:val="none"/>
          <w:shd w:val="clear" w:color="auto" w:fill="auto"/>
        </w:rPr>
        <w:t>0</w:t>
      </w:r>
      <w:r>
        <w:rPr>
          <w:rFonts w:hint="eastAsia" w:ascii="宋体" w:hAnsi="宋体" w:cs="宋体"/>
          <w:color w:val="auto"/>
          <w:szCs w:val="21"/>
          <w:highlight w:val="none"/>
          <w:shd w:val="clear" w:color="auto" w:fill="auto"/>
        </w:rPr>
        <w:t>分计算。</w:t>
      </w:r>
    </w:p>
    <w:p>
      <w:pPr>
        <w:spacing w:line="36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r>
        <w:rPr>
          <w:rFonts w:hint="eastAsia" w:ascii="宋体" w:hAnsi="宋体"/>
          <w:color w:val="auto"/>
          <w:szCs w:val="21"/>
          <w:highlight w:val="none"/>
          <w:shd w:val="clear" w:color="auto" w:fill="auto"/>
        </w:rPr>
        <w:t>评分范围“[ ]”表示包含区间边界数值，“（）”表示不包含区间边界数值。</w:t>
      </w:r>
    </w:p>
    <w:p>
      <w:pPr>
        <w:spacing w:line="360" w:lineRule="exact"/>
        <w:ind w:firstLine="420" w:firstLineChars="200"/>
        <w:rPr>
          <w:rFonts w:ascii="宋体" w:hAnsi="宋体" w:cs="宋体"/>
          <w:color w:val="auto"/>
          <w:szCs w:val="21"/>
          <w:highlight w:val="none"/>
          <w:shd w:val="clear" w:color="auto" w:fill="auto"/>
        </w:rPr>
      </w:pPr>
    </w:p>
    <w:p>
      <w:pPr>
        <w:rPr>
          <w:rFonts w:ascii="宋体" w:hAnsi="宋体" w:cs="宋体"/>
          <w:color w:val="auto"/>
          <w:szCs w:val="21"/>
          <w:highlight w:val="none"/>
          <w:shd w:val="clear" w:color="auto" w:fill="auto"/>
        </w:rPr>
        <w:sectPr>
          <w:headerReference r:id="rId8" w:type="first"/>
          <w:footerReference r:id="rId10" w:type="first"/>
          <w:headerReference r:id="rId7" w:type="default"/>
          <w:footerReference r:id="rId9" w:type="default"/>
          <w:pgSz w:w="16838" w:h="11906" w:orient="landscape"/>
          <w:pgMar w:top="1134" w:right="1134" w:bottom="1134" w:left="1134" w:header="851" w:footer="907" w:gutter="0"/>
          <w:cols w:space="720" w:num="1"/>
          <w:titlePg/>
          <w:docGrid w:type="lines" w:linePitch="319" w:charSpace="0"/>
        </w:sectPr>
      </w:pPr>
      <w:r>
        <w:rPr>
          <w:rFonts w:hint="eastAsia" w:ascii="宋体"/>
          <w:color w:val="auto"/>
          <w:szCs w:val="21"/>
          <w:highlight w:val="none"/>
          <w:shd w:val="clear" w:color="auto" w:fill="auto"/>
        </w:rPr>
        <w:t>评委签名：                                                                        日期：</w:t>
      </w:r>
    </w:p>
    <w:p>
      <w:pPr>
        <w:rPr>
          <w:rFonts w:ascii="Arial" w:hAnsi="Arial" w:cs="Arial"/>
          <w:color w:val="auto"/>
          <w:szCs w:val="21"/>
          <w:highlight w:val="none"/>
          <w:shd w:val="clear" w:color="auto" w:fill="auto"/>
        </w:rPr>
      </w:pP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附表五（适用于加权平均法）</w:t>
      </w:r>
    </w:p>
    <w:p>
      <w:pPr>
        <w:jc w:val="center"/>
        <w:outlineLvl w:val="2"/>
        <w:rPr>
          <w:rFonts w:ascii="Arial" w:hAnsi="Arial" w:cs="Arial"/>
          <w:b/>
          <w:color w:val="auto"/>
          <w:sz w:val="32"/>
          <w:szCs w:val="32"/>
          <w:highlight w:val="none"/>
          <w:shd w:val="clear" w:color="auto" w:fill="auto"/>
        </w:rPr>
      </w:pPr>
      <w:bookmarkStart w:id="66" w:name="_Toc21972"/>
      <w:bookmarkStart w:id="67" w:name="_Toc159334865"/>
      <w:r>
        <w:rPr>
          <w:rFonts w:ascii="Arial" w:hAnsi="Arial" w:cs="Arial"/>
          <w:b/>
          <w:color w:val="auto"/>
          <w:sz w:val="32"/>
          <w:szCs w:val="32"/>
          <w:highlight w:val="none"/>
          <w:shd w:val="clear" w:color="auto" w:fill="auto"/>
        </w:rPr>
        <w:t>经济标评分表</w:t>
      </w:r>
      <w:bookmarkEnd w:id="66"/>
      <w:bookmarkEnd w:id="67"/>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bl>
      <w:tblPr>
        <w:tblStyle w:val="5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投标报价PT（元）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偏差（（PT-PC）/PC）（%）</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减分（A）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得分(I=100-A)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bl>
    <w:p>
      <w:pPr>
        <w:rPr>
          <w:rFonts w:ascii="Arial" w:hAnsi="Arial" w:cs="Arial"/>
          <w:strike/>
          <w:color w:val="auto"/>
          <w:sz w:val="24"/>
          <w:szCs w:val="24"/>
          <w:highlight w:val="none"/>
          <w:shd w:val="clear" w:color="auto" w:fill="auto"/>
        </w:rPr>
      </w:pPr>
      <w:r>
        <w:rPr>
          <w:rFonts w:ascii="Arial" w:hAnsi="Arial" w:cs="Arial"/>
          <w:color w:val="auto"/>
          <w:szCs w:val="21"/>
          <w:highlight w:val="none"/>
          <w:shd w:val="clear" w:color="auto" w:fill="auto"/>
        </w:rPr>
        <w:t>评委签名：</w:t>
      </w:r>
      <w:r>
        <w:rPr>
          <w:rFonts w:ascii="Arial" w:hAnsi="Arial" w:cs="Arial"/>
          <w:b/>
          <w:color w:val="auto"/>
          <w:sz w:val="36"/>
          <w:szCs w:val="36"/>
          <w:highlight w:val="none"/>
          <w:shd w:val="clear" w:color="auto" w:fill="auto"/>
        </w:rPr>
        <w:br w:type="page"/>
      </w:r>
      <w:r>
        <w:rPr>
          <w:rFonts w:ascii="Arial" w:hAnsi="Arial" w:cs="Arial"/>
          <w:strike/>
          <w:color w:val="auto"/>
          <w:szCs w:val="21"/>
          <w:highlight w:val="none"/>
          <w:shd w:val="clear" w:color="auto" w:fill="auto"/>
        </w:rPr>
        <w:t>附表五（适用于区间抽取法）</w:t>
      </w:r>
    </w:p>
    <w:p>
      <w:pPr>
        <w:jc w:val="center"/>
        <w:rPr>
          <w:rFonts w:ascii="Arial" w:hAnsi="Arial" w:cs="Arial"/>
          <w:b/>
          <w:strike/>
          <w:color w:val="auto"/>
          <w:sz w:val="36"/>
          <w:szCs w:val="36"/>
          <w:highlight w:val="none"/>
          <w:shd w:val="clear" w:color="auto" w:fill="auto"/>
        </w:rPr>
      </w:pPr>
      <w:r>
        <w:rPr>
          <w:rFonts w:ascii="Arial" w:hAnsi="Arial" w:cs="Arial"/>
          <w:b/>
          <w:strike/>
          <w:color w:val="auto"/>
          <w:sz w:val="36"/>
          <w:szCs w:val="36"/>
          <w:highlight w:val="none"/>
          <w:shd w:val="clear" w:color="auto" w:fill="auto"/>
        </w:rPr>
        <w:t>经济标评分表</w:t>
      </w:r>
    </w:p>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工程名称：</w:t>
      </w:r>
    </w:p>
    <w:tbl>
      <w:tblPr>
        <w:tblStyle w:val="5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投标报价PT（元）</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偏差（（PT-PC）/PC）（%）</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减分（A）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得分(I=100-A)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bl>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评委签名：</w:t>
      </w:r>
    </w:p>
    <w:p>
      <w:pPr>
        <w:rPr>
          <w:rFonts w:ascii="宋体" w:hAnsi="宋体" w:cs="宋体"/>
          <w:strike/>
          <w:color w:val="auto"/>
          <w:szCs w:val="21"/>
          <w:highlight w:val="none"/>
          <w:shd w:val="clear" w:color="auto" w:fill="auto"/>
        </w:rPr>
      </w:pPr>
    </w:p>
    <w:p>
      <w:pPr>
        <w:rPr>
          <w:rFonts w:ascii="宋体" w:hAnsi="宋体" w:cs="宋体"/>
          <w:strike/>
          <w:color w:val="auto"/>
          <w:szCs w:val="21"/>
          <w:highlight w:val="none"/>
          <w:shd w:val="clear" w:color="auto" w:fill="auto"/>
        </w:rPr>
      </w:pPr>
    </w:p>
    <w:p>
      <w:pPr>
        <w:rPr>
          <w:rFonts w:ascii="Arial" w:hAnsi="Arial" w:cs="Arial"/>
          <w:strike/>
          <w:color w:val="auto"/>
          <w:szCs w:val="21"/>
          <w:highlight w:val="none"/>
          <w:shd w:val="clear" w:color="auto" w:fill="auto"/>
        </w:rPr>
      </w:pPr>
    </w:p>
    <w:p>
      <w:pPr>
        <w:rPr>
          <w:rFonts w:ascii="Arial" w:hAnsi="Arial" w:cs="Arial"/>
          <w:color w:val="auto"/>
          <w:szCs w:val="21"/>
          <w:highlight w:val="none"/>
          <w:shd w:val="clear" w:color="auto" w:fill="auto"/>
        </w:rPr>
      </w:pPr>
    </w:p>
    <w:p>
      <w:pPr>
        <w:rPr>
          <w:rFonts w:ascii="Arial" w:hAnsi="Arial" w:cs="Arial"/>
          <w:color w:val="auto"/>
          <w:szCs w:val="21"/>
          <w:highlight w:val="none"/>
          <w:shd w:val="clear" w:color="auto" w:fill="auto"/>
        </w:rPr>
      </w:pPr>
    </w:p>
    <w:p>
      <w:pPr>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t>附表六</w:t>
      </w:r>
    </w:p>
    <w:p>
      <w:pPr>
        <w:jc w:val="center"/>
        <w:outlineLvl w:val="2"/>
        <w:rPr>
          <w:rFonts w:ascii="Arial" w:hAnsi="Arial" w:cs="Arial"/>
          <w:b/>
          <w:color w:val="auto"/>
          <w:sz w:val="32"/>
          <w:szCs w:val="32"/>
          <w:highlight w:val="none"/>
          <w:shd w:val="clear" w:color="auto" w:fill="auto"/>
        </w:rPr>
      </w:pPr>
      <w:bookmarkStart w:id="68" w:name="_Toc9027"/>
      <w:bookmarkStart w:id="69" w:name="_Toc159334866"/>
      <w:r>
        <w:rPr>
          <w:rFonts w:ascii="Arial" w:hAnsi="Arial" w:cs="Arial"/>
          <w:b/>
          <w:color w:val="auto"/>
          <w:sz w:val="32"/>
          <w:szCs w:val="32"/>
          <w:highlight w:val="none"/>
          <w:shd w:val="clear" w:color="auto" w:fill="auto"/>
        </w:rPr>
        <w:t>算术复核表</w:t>
      </w:r>
      <w:bookmarkEnd w:id="68"/>
      <w:bookmarkEnd w:id="69"/>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工程名称：                                           投标人:                                                  单位：元</w:t>
      </w:r>
    </w:p>
    <w:tbl>
      <w:tblPr>
        <w:tblStyle w:val="5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编号</w:t>
            </w:r>
          </w:p>
        </w:tc>
        <w:tc>
          <w:tcPr>
            <w:tcW w:w="4488"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修正前投标</w:t>
            </w:r>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报价A</w:t>
            </w:r>
          </w:p>
        </w:tc>
        <w:tc>
          <w:tcPr>
            <w:tcW w:w="157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修正后投标</w:t>
            </w:r>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报价B</w:t>
            </w:r>
          </w:p>
        </w:tc>
        <w:tc>
          <w:tcPr>
            <w:tcW w:w="157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修正率</w:t>
            </w:r>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r=|A-B|/A*100%</w:t>
            </w:r>
          </w:p>
        </w:tc>
        <w:tc>
          <w:tcPr>
            <w:tcW w:w="1470"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1</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[单位工程1]</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2</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[单位工程2]</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n</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[单位工程n]</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投标总报价</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∑A=A</w:t>
            </w:r>
            <w:r>
              <w:rPr>
                <w:rFonts w:ascii="Arial" w:hAnsi="Arial" w:cs="Arial"/>
                <w:color w:val="auto"/>
                <w:kern w:val="0"/>
                <w:szCs w:val="21"/>
                <w:highlight w:val="none"/>
                <w:shd w:val="clear" w:color="auto" w:fill="auto"/>
                <w:vertAlign w:val="subscript"/>
              </w:rPr>
              <w:t>1</w:t>
            </w:r>
            <w:r>
              <w:rPr>
                <w:rFonts w:ascii="Arial" w:hAnsi="Arial" w:cs="Arial"/>
                <w:color w:val="auto"/>
                <w:kern w:val="0"/>
                <w:szCs w:val="21"/>
                <w:highlight w:val="none"/>
                <w:shd w:val="clear" w:color="auto" w:fill="auto"/>
              </w:rPr>
              <w:t>+A</w:t>
            </w:r>
            <w:r>
              <w:rPr>
                <w:rFonts w:ascii="Arial" w:hAnsi="Arial" w:cs="Arial"/>
                <w:color w:val="auto"/>
                <w:kern w:val="0"/>
                <w:szCs w:val="21"/>
                <w:highlight w:val="none"/>
                <w:shd w:val="clear" w:color="auto" w:fill="auto"/>
                <w:vertAlign w:val="subscript"/>
              </w:rPr>
              <w:t>2</w:t>
            </w:r>
            <w:r>
              <w:rPr>
                <w:rFonts w:ascii="Arial" w:hAnsi="Arial" w:cs="Arial"/>
                <w:color w:val="auto"/>
                <w:kern w:val="0"/>
                <w:szCs w:val="21"/>
                <w:highlight w:val="none"/>
                <w:shd w:val="clear" w:color="auto" w:fill="auto"/>
              </w:rPr>
              <w:t>+…An；∑B=B</w:t>
            </w:r>
            <w:r>
              <w:rPr>
                <w:rFonts w:ascii="Arial" w:hAnsi="Arial" w:cs="Arial"/>
                <w:color w:val="auto"/>
                <w:kern w:val="0"/>
                <w:szCs w:val="21"/>
                <w:highlight w:val="none"/>
                <w:shd w:val="clear" w:color="auto" w:fill="auto"/>
                <w:vertAlign w:val="subscript"/>
              </w:rPr>
              <w:t>1</w:t>
            </w:r>
            <w:r>
              <w:rPr>
                <w:rFonts w:ascii="Arial" w:hAnsi="Arial" w:cs="Arial"/>
                <w:color w:val="auto"/>
                <w:kern w:val="0"/>
                <w:szCs w:val="21"/>
                <w:highlight w:val="none"/>
                <w:shd w:val="clear" w:color="auto" w:fill="auto"/>
              </w:rPr>
              <w:t>+B</w:t>
            </w:r>
            <w:r>
              <w:rPr>
                <w:rFonts w:ascii="Arial" w:hAnsi="Arial" w:cs="Arial"/>
                <w:color w:val="auto"/>
                <w:kern w:val="0"/>
                <w:szCs w:val="21"/>
                <w:highlight w:val="none"/>
                <w:shd w:val="clear" w:color="auto" w:fill="auto"/>
                <w:vertAlign w:val="subscript"/>
              </w:rPr>
              <w:t>2</w:t>
            </w:r>
            <w:r>
              <w:rPr>
                <w:rFonts w:ascii="Arial" w:hAnsi="Arial" w:cs="Arial"/>
                <w:color w:val="auto"/>
                <w:kern w:val="0"/>
                <w:szCs w:val="21"/>
                <w:highlight w:val="none"/>
                <w:shd w:val="clear" w:color="auto" w:fill="auto"/>
              </w:rPr>
              <w:t>+…Bn</w:t>
            </w:r>
          </w:p>
        </w:tc>
      </w:tr>
    </w:tbl>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修正原则：</w:t>
      </w:r>
      <w:r>
        <w:rPr>
          <w:rFonts w:ascii="Arial" w:hAnsi="Arial" w:cs="Arial"/>
          <w:color w:val="auto"/>
          <w:szCs w:val="21"/>
          <w:highlight w:val="none"/>
          <w:shd w:val="clear" w:color="auto" w:fill="auto"/>
        </w:rPr>
        <w:t>按就低不就高原则，当修正后报价小于原报价，总价按修正后报价；当修正后报价大于原报价，总价按原报价，并在签订合同时载明在结算价中扣除修正报价与原报价的差额。</w:t>
      </w:r>
      <w:r>
        <w:rPr>
          <w:rFonts w:ascii="Arial" w:hAnsi="Arial" w:cs="Arial"/>
          <w:color w:val="auto"/>
          <w:kern w:val="0"/>
          <w:szCs w:val="21"/>
          <w:highlight w:val="none"/>
          <w:shd w:val="clear" w:color="auto" w:fill="auto"/>
        </w:rPr>
        <w:tab/>
      </w:r>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评委签名：</w:t>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日期：</w:t>
      </w:r>
    </w:p>
    <w:p>
      <w:pPr>
        <w:rPr>
          <w:rFonts w:ascii="Arial" w:hAnsi="Arial" w:cs="Arial"/>
          <w:color w:val="auto"/>
          <w:highlight w:val="none"/>
          <w:shd w:val="clear" w:color="auto" w:fill="auto"/>
        </w:rPr>
      </w:pPr>
    </w:p>
    <w:p>
      <w:pPr>
        <w:rPr>
          <w:rFonts w:ascii="Arial" w:hAnsi="Arial" w:cs="Arial"/>
          <w:color w:val="auto"/>
          <w:highlight w:val="none"/>
          <w:shd w:val="clear" w:color="auto" w:fill="auto"/>
        </w:rPr>
      </w:pPr>
      <w:r>
        <w:rPr>
          <w:rFonts w:ascii="Arial" w:hAnsi="Arial" w:cs="Arial"/>
          <w:color w:val="auto"/>
          <w:highlight w:val="none"/>
          <w:shd w:val="clear" w:color="auto" w:fill="auto"/>
        </w:rPr>
        <w:br w:type="page"/>
      </w:r>
    </w:p>
    <w:p>
      <w:pPr>
        <w:jc w:val="center"/>
        <w:rPr>
          <w:rFonts w:ascii="Arial" w:hAnsi="Arial" w:cs="Arial"/>
          <w:b/>
          <w:color w:val="auto"/>
          <w:sz w:val="36"/>
          <w:szCs w:val="36"/>
          <w:highlight w:val="none"/>
          <w:shd w:val="clear" w:color="auto" w:fill="auto"/>
        </w:rPr>
      </w:pPr>
      <w:r>
        <w:rPr>
          <w:rFonts w:ascii="Arial" w:hAnsi="Arial" w:cs="Arial"/>
          <w:b/>
          <w:color w:val="auto"/>
          <w:sz w:val="36"/>
          <w:szCs w:val="36"/>
          <w:highlight w:val="none"/>
          <w:shd w:val="clear" w:color="auto" w:fill="auto"/>
        </w:rPr>
        <w:t>算术复核表</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bl>
      <w:tblPr>
        <w:tblStyle w:val="5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编号</w:t>
            </w: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bl>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评委签名：</w:t>
      </w:r>
    </w:p>
    <w:p>
      <w:pPr>
        <w:spacing w:line="360" w:lineRule="auto"/>
        <w:jc w:val="center"/>
        <w:rPr>
          <w:rFonts w:ascii="Arial" w:hAnsi="Arial" w:cs="Arial"/>
          <w:color w:val="auto"/>
          <w:szCs w:val="21"/>
          <w:highlight w:val="none"/>
          <w:shd w:val="clear" w:color="auto" w:fill="auto"/>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134" w:right="1247" w:bottom="1418" w:left="1134" w:header="851" w:footer="907" w:gutter="0"/>
          <w:cols w:space="425" w:num="1"/>
          <w:titlePg/>
          <w:docGrid w:type="lines" w:linePitch="312" w:charSpace="0"/>
        </w:sectPr>
      </w:pPr>
    </w:p>
    <w:p>
      <w:pPr>
        <w:pStyle w:val="2"/>
        <w:jc w:val="center"/>
        <w:rPr>
          <w:rFonts w:cs="Arial"/>
          <w:b/>
          <w:color w:val="auto"/>
          <w:highlight w:val="none"/>
          <w:shd w:val="clear" w:color="auto" w:fill="auto"/>
        </w:rPr>
      </w:pPr>
      <w:bookmarkStart w:id="70" w:name="_Toc2272566"/>
      <w:bookmarkStart w:id="71" w:name="_Toc159334867"/>
      <w:bookmarkStart w:id="72" w:name="_Toc5360"/>
      <w:r>
        <w:rPr>
          <w:rFonts w:cs="Arial"/>
          <w:b/>
          <w:color w:val="auto"/>
          <w:highlight w:val="none"/>
          <w:shd w:val="clear" w:color="auto" w:fill="auto"/>
        </w:rPr>
        <w:t>第三章  合同条款</w:t>
      </w:r>
      <w:bookmarkEnd w:id="70"/>
      <w:bookmarkEnd w:id="71"/>
      <w:bookmarkEnd w:id="72"/>
    </w:p>
    <w:p>
      <w:pPr>
        <w:jc w:val="center"/>
        <w:rPr>
          <w:rFonts w:ascii="Arial" w:hAnsi="Arial" w:cs="Arial"/>
          <w:b/>
          <w:color w:val="auto"/>
          <w:sz w:val="24"/>
          <w:szCs w:val="24"/>
          <w:highlight w:val="none"/>
          <w:shd w:val="clear" w:color="auto" w:fill="auto"/>
        </w:rPr>
      </w:pPr>
      <w:r>
        <w:rPr>
          <w:rFonts w:ascii="Arial" w:hAnsi="Arial" w:cs="Arial"/>
          <w:color w:val="auto"/>
          <w:sz w:val="24"/>
          <w:szCs w:val="24"/>
          <w:highlight w:val="none"/>
          <w:shd w:val="clear" w:color="auto" w:fill="auto"/>
        </w:rPr>
        <w:t>另册。</w:t>
      </w:r>
    </w:p>
    <w:p>
      <w:pPr>
        <w:rPr>
          <w:rFonts w:ascii="Arial" w:hAnsi="Arial" w:cs="Arial"/>
          <w:color w:val="auto"/>
          <w:sz w:val="24"/>
          <w:szCs w:val="24"/>
          <w:highlight w:val="none"/>
          <w:shd w:val="clear" w:color="auto" w:fill="auto"/>
        </w:rPr>
      </w:pPr>
    </w:p>
    <w:p>
      <w:pPr>
        <w:pStyle w:val="53"/>
        <w:spacing w:line="360" w:lineRule="auto"/>
        <w:rPr>
          <w:rFonts w:ascii="Arial" w:hAnsi="Arial" w:cs="Arial"/>
          <w:color w:val="auto"/>
          <w:sz w:val="24"/>
          <w:szCs w:val="24"/>
          <w:highlight w:val="none"/>
          <w:shd w:val="clear" w:color="auto" w:fill="auto"/>
        </w:rPr>
      </w:pPr>
    </w:p>
    <w:p>
      <w:pPr>
        <w:pStyle w:val="29"/>
        <w:spacing w:line="36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br w:type="page"/>
      </w:r>
    </w:p>
    <w:p>
      <w:pPr>
        <w:pStyle w:val="2"/>
        <w:jc w:val="center"/>
        <w:rPr>
          <w:rFonts w:cs="Arial"/>
          <w:b/>
          <w:color w:val="auto"/>
          <w:highlight w:val="none"/>
          <w:shd w:val="clear" w:color="auto" w:fill="auto"/>
        </w:rPr>
      </w:pPr>
      <w:bookmarkStart w:id="73" w:name="_Toc9325"/>
      <w:bookmarkStart w:id="74" w:name="_Toc2272567"/>
      <w:bookmarkStart w:id="75" w:name="_Toc159334868"/>
      <w:r>
        <w:rPr>
          <w:rFonts w:cs="Arial"/>
          <w:b/>
          <w:color w:val="auto"/>
          <w:highlight w:val="none"/>
          <w:shd w:val="clear" w:color="auto" w:fill="auto"/>
        </w:rPr>
        <w:t>第四章  投标文件格式</w:t>
      </w:r>
      <w:bookmarkEnd w:id="73"/>
      <w:bookmarkEnd w:id="74"/>
      <w:bookmarkEnd w:id="75"/>
    </w:p>
    <w:p>
      <w:pPr>
        <w:autoSpaceDE w:val="0"/>
        <w:autoSpaceDN w:val="0"/>
        <w:adjustRightInd w:val="0"/>
        <w:rPr>
          <w:rFonts w:ascii="Arial" w:hAnsi="Arial" w:cs="Arial"/>
          <w:b/>
          <w:bCs/>
          <w:color w:val="auto"/>
          <w:szCs w:val="21"/>
          <w:highlight w:val="none"/>
          <w:shd w:val="clear" w:color="auto" w:fill="auto"/>
        </w:rPr>
      </w:pPr>
      <w:r>
        <w:rPr>
          <w:rFonts w:hint="eastAsia" w:ascii="宋体" w:hAnsi="宋体" w:cs="宋体"/>
          <w:b/>
          <w:bCs/>
          <w:color w:val="auto"/>
          <w:szCs w:val="21"/>
          <w:highlight w:val="none"/>
          <w:shd w:val="clear" w:color="auto" w:fill="auto"/>
        </w:rPr>
        <w:t>★</w:t>
      </w:r>
      <w:r>
        <w:rPr>
          <w:rFonts w:hint="eastAsia" w:ascii="Arial" w:hAnsi="Arial" w:cs="Arial"/>
          <w:b/>
          <w:bCs/>
          <w:color w:val="auto"/>
          <w:szCs w:val="21"/>
          <w:highlight w:val="none"/>
          <w:shd w:val="clear" w:color="auto" w:fill="auto"/>
        </w:rPr>
        <w:t>格式</w:t>
      </w:r>
      <w:r>
        <w:rPr>
          <w:rFonts w:ascii="Arial" w:hAnsi="Arial" w:cs="Arial"/>
          <w:b/>
          <w:bCs/>
          <w:color w:val="auto"/>
          <w:szCs w:val="21"/>
          <w:highlight w:val="none"/>
          <w:shd w:val="clear" w:color="auto" w:fill="auto"/>
        </w:rPr>
        <w:t>一</w:t>
      </w:r>
    </w:p>
    <w:p>
      <w:pPr>
        <w:spacing w:line="360" w:lineRule="auto"/>
        <w:jc w:val="center"/>
        <w:rPr>
          <w:rFonts w:ascii="Arial" w:hAnsi="Arial" w:cs="Arial"/>
          <w:b/>
          <w:color w:val="auto"/>
          <w:sz w:val="36"/>
          <w:szCs w:val="36"/>
          <w:highlight w:val="none"/>
          <w:shd w:val="clear" w:color="auto" w:fill="auto"/>
        </w:rPr>
      </w:pPr>
      <w:r>
        <w:rPr>
          <w:rFonts w:ascii="Arial" w:hAnsi="Arial" w:cs="Arial"/>
          <w:b/>
          <w:color w:val="auto"/>
          <w:sz w:val="36"/>
          <w:szCs w:val="36"/>
          <w:highlight w:val="none"/>
          <w:shd w:val="clear" w:color="auto" w:fill="auto"/>
        </w:rPr>
        <w:t>投  标  函</w:t>
      </w:r>
    </w:p>
    <w:p>
      <w:pPr>
        <w:spacing w:line="360" w:lineRule="auto"/>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致：</w:t>
      </w:r>
      <w:r>
        <w:rPr>
          <w:rFonts w:ascii="Arial" w:hAnsi="Arial" w:cs="Arial"/>
          <w:b/>
          <w:color w:val="auto"/>
          <w:szCs w:val="21"/>
          <w:highlight w:val="none"/>
          <w:u w:val="single"/>
          <w:shd w:val="clear" w:color="auto" w:fill="auto"/>
        </w:rPr>
        <w:t xml:space="preserve">(招标人名称)                              </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1.根据已收到贵方的</w:t>
      </w:r>
      <w:r>
        <w:rPr>
          <w:rFonts w:ascii="Arial" w:hAnsi="Arial" w:cs="Arial"/>
          <w:b/>
          <w:color w:val="auto"/>
          <w:szCs w:val="21"/>
          <w:highlight w:val="none"/>
          <w:shd w:val="clear" w:color="auto" w:fill="auto"/>
        </w:rPr>
        <w:t>项目编号为</w:t>
      </w:r>
      <w:r>
        <w:rPr>
          <w:rFonts w:ascii="Arial" w:hAnsi="Arial" w:cs="Arial"/>
          <w:b/>
          <w:color w:val="auto"/>
          <w:szCs w:val="21"/>
          <w:highlight w:val="none"/>
          <w:u w:val="single"/>
          <w:shd w:val="clear" w:color="auto" w:fill="auto"/>
        </w:rPr>
        <w:t xml:space="preserve">           </w:t>
      </w:r>
      <w:r>
        <w:rPr>
          <w:rFonts w:ascii="Arial" w:hAnsi="Arial" w:cs="Arial"/>
          <w:b/>
          <w:color w:val="auto"/>
          <w:szCs w:val="21"/>
          <w:highlight w:val="none"/>
          <w:shd w:val="clear" w:color="auto" w:fill="auto"/>
        </w:rPr>
        <w:t>的</w:t>
      </w:r>
      <w:r>
        <w:rPr>
          <w:rFonts w:ascii="Arial" w:hAnsi="Arial" w:cs="Arial"/>
          <w:b/>
          <w:color w:val="auto"/>
          <w:szCs w:val="21"/>
          <w:highlight w:val="none"/>
          <w:u w:val="single"/>
          <w:shd w:val="clear" w:color="auto" w:fill="auto"/>
        </w:rPr>
        <w:t xml:space="preserve">          </w:t>
      </w:r>
      <w:r>
        <w:rPr>
          <w:rFonts w:ascii="Arial" w:hAnsi="Arial" w:cs="Arial"/>
          <w:b/>
          <w:color w:val="auto"/>
          <w:szCs w:val="21"/>
          <w:highlight w:val="none"/>
          <w:shd w:val="clear" w:color="auto" w:fill="auto"/>
        </w:rPr>
        <w:t>工程的招标文件</w:t>
      </w:r>
      <w:r>
        <w:rPr>
          <w:rFonts w:ascii="Arial" w:hAnsi="Arial" w:cs="Arial"/>
          <w:color w:val="auto"/>
          <w:szCs w:val="21"/>
          <w:highlight w:val="none"/>
          <w:shd w:val="clear" w:color="auto" w:fill="auto"/>
        </w:rPr>
        <w:t>，并已详细审核了全部招标文件及有关附件。</w:t>
      </w:r>
    </w:p>
    <w:p>
      <w:pPr>
        <w:snapToGrid w:val="0"/>
        <w:spacing w:line="360" w:lineRule="auto"/>
        <w:ind w:firstLine="457" w:firstLineChars="218"/>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愿以经济标中的投标报价并按上述合同条款、标准和技术规范、图纸、工程量清单等的要求承包上述工程的施工、竣工并修补其任何缺陷。</w:t>
      </w:r>
    </w:p>
    <w:p>
      <w:pPr>
        <w:spacing w:line="36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spacing w:line="36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4.我方理解贵方将不受必须接受你们所收到的最低标价或其它任何投标文件的约束。</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5.如果我方中标，我方保证按招标文件中规定的工期内完成并移交本工程，质量标准达到招标文件中的要求。</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6.如果我方中标，我方将按照规定递交由招标人认可，并在招标文件中规定金额的履约保函。</w:t>
      </w:r>
    </w:p>
    <w:p>
      <w:pPr>
        <w:spacing w:line="360" w:lineRule="auto"/>
        <w:ind w:firstLine="48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7.除非另外达成协议并生效，贵方的中标通知书和本投标文件将成为约束双方的合同文件的组成部分。</w:t>
      </w:r>
    </w:p>
    <w:p>
      <w:pPr>
        <w:spacing w:line="360" w:lineRule="auto"/>
        <w:ind w:firstLine="48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8、如果我方中标，我方将实行项目经理负责制，并按投标文件配备项目管理班子。我方承诺不随意更换项目负责人。</w:t>
      </w:r>
    </w:p>
    <w:p>
      <w:pPr>
        <w:pStyle w:val="53"/>
        <w:rPr>
          <w:rFonts w:ascii="Arial" w:hAnsi="Arial" w:cs="Arial"/>
          <w:color w:val="auto"/>
          <w:highlight w:val="none"/>
          <w:shd w:val="clear" w:color="auto" w:fill="auto"/>
        </w:rPr>
      </w:pPr>
    </w:p>
    <w:p>
      <w:pPr>
        <w:spacing w:line="36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法定代表人（签名或盖章）：</w:t>
      </w:r>
    </w:p>
    <w:p>
      <w:pPr>
        <w:spacing w:line="360" w:lineRule="auto"/>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 xml:space="preserve">投标人企业公章：                         日期：  </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p>
    <w:p>
      <w:pPr>
        <w:autoSpaceDE w:val="0"/>
        <w:autoSpaceDN w:val="0"/>
        <w:adjustRightInd w:val="0"/>
        <w:rPr>
          <w:rFonts w:ascii="Arial" w:hAnsi="Arial" w:cs="Arial"/>
          <w:bCs/>
          <w:color w:val="auto"/>
          <w:szCs w:val="21"/>
          <w:highlight w:val="none"/>
          <w:shd w:val="clear" w:color="auto" w:fill="auto"/>
        </w:rPr>
      </w:pPr>
      <w:r>
        <w:rPr>
          <w:rFonts w:ascii="Arial" w:hAnsi="Arial" w:cs="Arial"/>
          <w:color w:val="auto"/>
          <w:highlight w:val="none"/>
          <w:shd w:val="clear" w:color="auto" w:fill="auto"/>
        </w:rPr>
        <w:br w:type="page"/>
      </w:r>
      <w:r>
        <w:rPr>
          <w:rFonts w:hint="eastAsia" w:ascii="宋体" w:hAnsi="宋体" w:cs="宋体"/>
          <w:b/>
          <w:bCs/>
          <w:color w:val="auto"/>
          <w:szCs w:val="21"/>
          <w:highlight w:val="none"/>
          <w:shd w:val="clear" w:color="auto" w:fill="auto"/>
        </w:rPr>
        <w:t>★</w:t>
      </w:r>
      <w:r>
        <w:rPr>
          <w:rFonts w:hint="eastAsia" w:ascii="Arial" w:hAnsi="Arial" w:cs="Arial"/>
          <w:b/>
          <w:bCs/>
          <w:color w:val="auto"/>
          <w:szCs w:val="21"/>
          <w:highlight w:val="none"/>
          <w:shd w:val="clear" w:color="auto" w:fill="auto"/>
        </w:rPr>
        <w:t>格式</w:t>
      </w:r>
      <w:r>
        <w:rPr>
          <w:rFonts w:ascii="Arial" w:hAnsi="Arial" w:cs="Arial"/>
          <w:b/>
          <w:bCs/>
          <w:color w:val="auto"/>
          <w:szCs w:val="21"/>
          <w:highlight w:val="none"/>
          <w:shd w:val="clear" w:color="auto" w:fill="auto"/>
        </w:rPr>
        <w:t>二</w:t>
      </w:r>
    </w:p>
    <w:p>
      <w:pPr>
        <w:autoSpaceDE w:val="0"/>
        <w:autoSpaceDN w:val="0"/>
        <w:adjustRightInd w:val="0"/>
        <w:rPr>
          <w:rFonts w:ascii="Arial" w:hAnsi="Arial" w:cs="Arial"/>
          <w:b/>
          <w:bCs/>
          <w:color w:val="auto"/>
          <w:szCs w:val="21"/>
          <w:highlight w:val="none"/>
          <w:shd w:val="clear" w:color="auto" w:fill="auto"/>
          <w:lang w:val="zh-CN"/>
        </w:rPr>
      </w:pPr>
      <w:r>
        <w:rPr>
          <w:rFonts w:ascii="Arial" w:hAnsi="Arial" w:cs="Arial"/>
          <w:bCs/>
          <w:color w:val="auto"/>
          <w:szCs w:val="21"/>
          <w:highlight w:val="none"/>
          <w:shd w:val="clear" w:color="auto" w:fill="auto"/>
        </w:rPr>
        <w:t>（适用于技术标与经济标同时开启）</w:t>
      </w:r>
    </w:p>
    <w:p>
      <w:pPr>
        <w:autoSpaceDE w:val="0"/>
        <w:autoSpaceDN w:val="0"/>
        <w:adjustRightInd w:val="0"/>
        <w:ind w:left="-540" w:leftChars="-257" w:firstLine="1135" w:firstLineChars="257"/>
        <w:jc w:val="center"/>
        <w:rPr>
          <w:rFonts w:ascii="Arial" w:hAnsi="Arial" w:cs="Arial"/>
          <w:b/>
          <w:bCs/>
          <w:color w:val="auto"/>
          <w:sz w:val="44"/>
          <w:szCs w:val="44"/>
          <w:highlight w:val="none"/>
          <w:shd w:val="clear" w:color="auto" w:fill="auto"/>
          <w:lang w:val="zh-CN"/>
        </w:rPr>
      </w:pPr>
    </w:p>
    <w:p>
      <w:pPr>
        <w:autoSpaceDE w:val="0"/>
        <w:autoSpaceDN w:val="0"/>
        <w:adjustRightInd w:val="0"/>
        <w:ind w:left="-540" w:leftChars="-257" w:firstLine="1135" w:firstLineChars="257"/>
        <w:jc w:val="center"/>
        <w:rPr>
          <w:rFonts w:ascii="Arial" w:hAnsi="Arial" w:cs="Arial"/>
          <w:b/>
          <w:bCs/>
          <w:color w:val="auto"/>
          <w:sz w:val="52"/>
          <w:szCs w:val="52"/>
          <w:highlight w:val="none"/>
          <w:shd w:val="clear" w:color="auto" w:fill="auto"/>
        </w:rPr>
      </w:pPr>
      <w:r>
        <w:rPr>
          <w:rFonts w:ascii="Arial" w:hAnsi="Arial" w:cs="Arial"/>
          <w:b/>
          <w:bCs/>
          <w:color w:val="auto"/>
          <w:sz w:val="44"/>
          <w:szCs w:val="44"/>
          <w:highlight w:val="none"/>
          <w:shd w:val="clear" w:color="auto" w:fill="auto"/>
          <w:lang w:val="zh-CN"/>
        </w:rPr>
        <w:t>广州建设工程施工招标投标书</w:t>
      </w:r>
    </w:p>
    <w:tbl>
      <w:tblPr>
        <w:tblStyle w:val="5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8"/>
        <w:gridCol w:w="4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工 程 名 称</w:t>
            </w:r>
          </w:p>
        </w:tc>
        <w:tc>
          <w:tcPr>
            <w:tcW w:w="4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hint="eastAsia" w:ascii="Arial" w:hAnsi="Arial" w:cs="Arial"/>
                <w:b/>
                <w:color w:val="auto"/>
                <w:sz w:val="24"/>
                <w:szCs w:val="24"/>
                <w:highlight w:val="none"/>
                <w:shd w:val="clear" w:color="auto" w:fill="auto"/>
                <w:lang w:val="zh-CN"/>
              </w:rPr>
              <w:t>2023年琶洲大桥维修专项施工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投标总报价（元）</w:t>
            </w:r>
          </w:p>
        </w:tc>
        <w:tc>
          <w:tcPr>
            <w:tcW w:w="4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Arial" w:hAnsi="Arial" w:cs="Arial"/>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 xml:space="preserve">大写：         </w:t>
            </w:r>
            <w:r>
              <w:rPr>
                <w:rFonts w:hint="eastAsia" w:ascii="宋体" w:hAnsi="宋体" w:cs="宋体"/>
                <w:b/>
                <w:bCs/>
                <w:color w:val="auto"/>
                <w:sz w:val="24"/>
                <w:szCs w:val="24"/>
                <w:highlight w:val="none"/>
                <w:shd w:val="clear" w:color="auto" w:fill="auto"/>
              </w:rPr>
              <w:t xml:space="preserve">    </w:t>
            </w:r>
            <w:r>
              <w:rPr>
                <w:rFonts w:hint="eastAsia" w:ascii="宋体" w:hAnsi="宋体" w:cs="宋体"/>
                <w:b/>
                <w:bCs/>
                <w:color w:val="auto"/>
                <w:sz w:val="24"/>
                <w:szCs w:val="24"/>
                <w:highlight w:val="none"/>
                <w:shd w:val="clear" w:color="auto" w:fill="auto"/>
                <w:lang w:val="zh-CN"/>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其中：</w:t>
            </w:r>
            <w:r>
              <w:rPr>
                <w:rFonts w:ascii="Arial" w:hAnsi="Arial" w:cs="Arial"/>
                <w:b/>
                <w:bCs/>
                <w:color w:val="auto"/>
                <w:sz w:val="24"/>
                <w:szCs w:val="24"/>
                <w:highlight w:val="none"/>
                <w:shd w:val="clear" w:color="auto" w:fill="auto"/>
                <w:lang w:val="zh-CN"/>
              </w:rPr>
              <w:t>人工费</w:t>
            </w:r>
            <w:r>
              <w:rPr>
                <w:rFonts w:ascii="Arial" w:hAnsi="Arial" w:cs="Arial"/>
                <w:b/>
                <w:color w:val="auto"/>
                <w:sz w:val="24"/>
                <w:szCs w:val="24"/>
                <w:highlight w:val="none"/>
                <w:shd w:val="clear" w:color="auto" w:fill="auto"/>
                <w:lang w:val="zh-CN"/>
              </w:rPr>
              <w:t>（元）</w:t>
            </w:r>
          </w:p>
        </w:tc>
        <w:tc>
          <w:tcPr>
            <w:tcW w:w="4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Arial" w:hAnsi="Arial" w:cs="Arial"/>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 xml:space="preserve">大写：         </w:t>
            </w:r>
            <w:r>
              <w:rPr>
                <w:rFonts w:hint="eastAsia" w:ascii="宋体" w:hAnsi="宋体" w:cs="宋体"/>
                <w:b/>
                <w:bCs/>
                <w:color w:val="auto"/>
                <w:sz w:val="24"/>
                <w:szCs w:val="24"/>
                <w:highlight w:val="none"/>
                <w:shd w:val="clear" w:color="auto" w:fill="auto"/>
              </w:rPr>
              <w:t xml:space="preserve">    </w:t>
            </w:r>
            <w:r>
              <w:rPr>
                <w:rFonts w:hint="eastAsia" w:ascii="宋体" w:hAnsi="宋体" w:cs="宋体"/>
                <w:b/>
                <w:bCs/>
                <w:color w:val="auto"/>
                <w:sz w:val="24"/>
                <w:szCs w:val="24"/>
                <w:highlight w:val="none"/>
                <w:shd w:val="clear" w:color="auto" w:fill="auto"/>
                <w:lang w:val="zh-CN"/>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color w:val="auto"/>
                <w:sz w:val="24"/>
                <w:szCs w:val="24"/>
                <w:highlight w:val="none"/>
                <w:shd w:val="clear" w:color="auto" w:fill="auto"/>
                <w:lang w:val="zh-CN"/>
              </w:rPr>
            </w:pPr>
            <w:r>
              <w:rPr>
                <w:rFonts w:ascii="Arial" w:hAnsi="Arial" w:cs="Arial"/>
                <w:b/>
                <w:bCs/>
                <w:color w:val="auto"/>
                <w:sz w:val="24"/>
                <w:szCs w:val="24"/>
                <w:highlight w:val="none"/>
                <w:shd w:val="clear" w:color="auto" w:fill="auto"/>
                <w:lang w:val="zh-CN"/>
              </w:rPr>
              <w:t>其中：</w:t>
            </w:r>
            <w:r>
              <w:rPr>
                <w:rFonts w:ascii="Arial" w:hAnsi="Arial" w:cs="Arial"/>
                <w:b/>
                <w:color w:val="auto"/>
                <w:sz w:val="24"/>
                <w:szCs w:val="24"/>
                <w:highlight w:val="none"/>
                <w:shd w:val="clear" w:color="auto" w:fill="auto"/>
                <w:lang w:val="zh-CN"/>
              </w:rPr>
              <w:t>绿色施工安全防护措施费（元）</w:t>
            </w:r>
          </w:p>
        </w:tc>
        <w:tc>
          <w:tcPr>
            <w:tcW w:w="4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Arial" w:hAnsi="Arial" w:cs="Arial"/>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 xml:space="preserve">大写：         </w:t>
            </w:r>
            <w:r>
              <w:rPr>
                <w:rFonts w:hint="eastAsia" w:ascii="宋体" w:hAnsi="宋体" w:cs="宋体"/>
                <w:b/>
                <w:bCs/>
                <w:color w:val="auto"/>
                <w:sz w:val="24"/>
                <w:szCs w:val="24"/>
                <w:highlight w:val="none"/>
                <w:shd w:val="clear" w:color="auto" w:fill="auto"/>
              </w:rPr>
              <w:t xml:space="preserve">    </w:t>
            </w:r>
            <w:r>
              <w:rPr>
                <w:rFonts w:hint="eastAsia" w:ascii="宋体" w:hAnsi="宋体" w:cs="宋体"/>
                <w:b/>
                <w:bCs/>
                <w:color w:val="auto"/>
                <w:sz w:val="24"/>
                <w:szCs w:val="24"/>
                <w:highlight w:val="none"/>
                <w:shd w:val="clear" w:color="auto" w:fill="auto"/>
                <w:lang w:val="zh-CN"/>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投 标 总</w:t>
            </w:r>
            <w:r>
              <w:rPr>
                <w:rFonts w:hint="eastAsia" w:ascii="Arial" w:hAnsi="Arial" w:cs="Arial"/>
                <w:b/>
                <w:color w:val="auto"/>
                <w:sz w:val="24"/>
                <w:szCs w:val="24"/>
                <w:highlight w:val="none"/>
                <w:shd w:val="clear" w:color="auto" w:fill="auto"/>
              </w:rPr>
              <w:t xml:space="preserve"> </w:t>
            </w:r>
            <w:r>
              <w:rPr>
                <w:rFonts w:ascii="Arial" w:hAnsi="Arial" w:cs="Arial"/>
                <w:b/>
                <w:color w:val="auto"/>
                <w:sz w:val="24"/>
                <w:szCs w:val="24"/>
                <w:highlight w:val="none"/>
                <w:shd w:val="clear" w:color="auto" w:fill="auto"/>
                <w:lang w:val="zh-CN"/>
              </w:rPr>
              <w:t>工 期</w:t>
            </w:r>
          </w:p>
        </w:tc>
        <w:tc>
          <w:tcPr>
            <w:tcW w:w="461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Arial" w:hAnsi="Arial" w:cs="Arial"/>
                <w:b/>
                <w:bCs/>
                <w:color w:val="auto"/>
                <w:sz w:val="24"/>
                <w:szCs w:val="24"/>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auto"/>
                <w:sz w:val="24"/>
                <w:szCs w:val="24"/>
                <w:highlight w:val="none"/>
                <w:shd w:val="clear" w:color="auto" w:fill="auto"/>
              </w:rPr>
            </w:pPr>
            <w:r>
              <w:rPr>
                <w:rFonts w:ascii="Arial" w:hAnsi="Arial" w:cs="Arial"/>
                <w:b/>
                <w:color w:val="auto"/>
                <w:sz w:val="24"/>
                <w:szCs w:val="24"/>
                <w:highlight w:val="none"/>
                <w:shd w:val="clear" w:color="auto" w:fill="auto"/>
                <w:lang w:val="zh-CN"/>
              </w:rPr>
              <w:t>工程质量标准</w:t>
            </w:r>
          </w:p>
        </w:tc>
        <w:tc>
          <w:tcPr>
            <w:tcW w:w="461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Arial" w:hAnsi="Arial" w:cs="Arial"/>
                <w:b/>
                <w:bCs/>
                <w:color w:val="auto"/>
                <w:sz w:val="24"/>
                <w:szCs w:val="24"/>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保 修 期 限</w:t>
            </w:r>
          </w:p>
        </w:tc>
        <w:tc>
          <w:tcPr>
            <w:tcW w:w="461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Arial" w:hAnsi="Arial" w:cs="Arial"/>
                <w:b/>
                <w:bCs/>
                <w:color w:val="auto"/>
                <w:sz w:val="24"/>
                <w:szCs w:val="24"/>
                <w:highlight w:val="none"/>
                <w:shd w:val="clear" w:color="auto" w:fill="auto"/>
                <w:lang w:val="zh-CN"/>
              </w:rPr>
            </w:pPr>
          </w:p>
        </w:tc>
      </w:tr>
    </w:tbl>
    <w:p>
      <w:pPr>
        <w:tabs>
          <w:tab w:val="left" w:pos="720"/>
        </w:tabs>
        <w:snapToGrid w:val="0"/>
        <w:spacing w:line="360" w:lineRule="auto"/>
        <w:rPr>
          <w:rFonts w:ascii="Arial" w:hAnsi="Arial" w:cs="Arial"/>
          <w:color w:val="auto"/>
          <w:sz w:val="24"/>
          <w:szCs w:val="24"/>
          <w:highlight w:val="none"/>
          <w:shd w:val="clear" w:color="auto" w:fill="auto"/>
        </w:rPr>
      </w:pPr>
    </w:p>
    <w:tbl>
      <w:tblPr>
        <w:tblStyle w:val="55"/>
        <w:tblW w:w="9008" w:type="dxa"/>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pPr>
              <w:widowControl/>
              <w:spacing w:line="360" w:lineRule="auto"/>
              <w:jc w:val="left"/>
              <w:rPr>
                <w:rFonts w:ascii="Arial" w:hAnsi="Arial" w:cs="Arial"/>
                <w:color w:val="auto"/>
                <w:kern w:val="0"/>
                <w:sz w:val="28"/>
                <w:szCs w:val="28"/>
                <w:highlight w:val="none"/>
                <w:shd w:val="clear" w:color="auto" w:fill="auto"/>
              </w:rPr>
            </w:pPr>
            <w:r>
              <w:rPr>
                <w:rFonts w:ascii="Arial" w:hAnsi="Arial" w:cs="Arial"/>
                <w:color w:val="auto"/>
                <w:kern w:val="0"/>
                <w:sz w:val="28"/>
                <w:szCs w:val="28"/>
                <w:highlight w:val="none"/>
                <w:shd w:val="clear" w:color="auto" w:fill="auto"/>
              </w:rPr>
              <w:t xml:space="preserve">                                                                                             </w:t>
            </w:r>
          </w:p>
        </w:tc>
      </w:tr>
    </w:tbl>
    <w:p>
      <w:pPr>
        <w:autoSpaceDE w:val="0"/>
        <w:autoSpaceDN w:val="0"/>
        <w:adjustRightInd w:val="0"/>
        <w:rPr>
          <w:rFonts w:ascii="Arial" w:hAnsi="Arial" w:cs="Arial"/>
          <w:color w:val="auto"/>
          <w:szCs w:val="21"/>
          <w:highlight w:val="none"/>
          <w:shd w:val="clear" w:color="auto" w:fill="auto"/>
        </w:rPr>
      </w:pPr>
      <w:r>
        <w:rPr>
          <w:rFonts w:ascii="Arial" w:hAnsi="Arial" w:cs="Arial"/>
          <w:color w:val="auto"/>
          <w:sz w:val="24"/>
          <w:szCs w:val="24"/>
          <w:highlight w:val="none"/>
          <w:shd w:val="clear" w:color="auto" w:fill="auto"/>
        </w:rPr>
        <w:br w:type="page"/>
      </w:r>
    </w:p>
    <w:p>
      <w:pPr>
        <w:autoSpaceDE w:val="0"/>
        <w:autoSpaceDN w:val="0"/>
        <w:adjustRightInd w:val="0"/>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w:t>
      </w:r>
      <w:r>
        <w:rPr>
          <w:rFonts w:hint="eastAsia" w:ascii="Arial" w:hAnsi="Arial" w:cs="Arial"/>
          <w:b/>
          <w:bCs/>
          <w:color w:val="auto"/>
          <w:szCs w:val="21"/>
          <w:highlight w:val="none"/>
          <w:shd w:val="clear" w:color="auto" w:fill="auto"/>
        </w:rPr>
        <w:t>格式</w:t>
      </w:r>
      <w:r>
        <w:rPr>
          <w:rFonts w:ascii="Arial" w:hAnsi="Arial" w:cs="Arial"/>
          <w:color w:val="auto"/>
          <w:szCs w:val="21"/>
          <w:highlight w:val="none"/>
          <w:shd w:val="clear" w:color="auto" w:fill="auto"/>
        </w:rPr>
        <w:t>三</w:t>
      </w:r>
    </w:p>
    <w:p>
      <w:pPr>
        <w:tabs>
          <w:tab w:val="left" w:pos="720"/>
        </w:tabs>
        <w:snapToGrid w:val="0"/>
        <w:spacing w:line="360" w:lineRule="auto"/>
        <w:jc w:val="center"/>
        <w:rPr>
          <w:rFonts w:ascii="Arial" w:hAnsi="Arial" w:cs="Arial"/>
          <w:b/>
          <w:color w:val="auto"/>
          <w:sz w:val="32"/>
          <w:szCs w:val="32"/>
          <w:highlight w:val="none"/>
          <w:shd w:val="clear" w:color="auto" w:fill="auto"/>
        </w:rPr>
      </w:pPr>
      <w:r>
        <w:rPr>
          <w:rFonts w:ascii="Arial" w:hAnsi="Arial" w:cs="Arial"/>
          <w:b/>
          <w:color w:val="auto"/>
          <w:sz w:val="32"/>
          <w:szCs w:val="32"/>
          <w:highlight w:val="none"/>
          <w:shd w:val="clear" w:color="auto" w:fill="auto"/>
        </w:rPr>
        <w:t>投标文件编制人员名单</w:t>
      </w:r>
    </w:p>
    <w:p>
      <w:pPr>
        <w:tabs>
          <w:tab w:val="left" w:pos="720"/>
        </w:tabs>
        <w:snapToGrid w:val="0"/>
        <w:spacing w:line="360" w:lineRule="auto"/>
        <w:rPr>
          <w:rFonts w:ascii="Arial" w:hAnsi="Arial" w:cs="Arial"/>
          <w:color w:val="auto"/>
          <w:sz w:val="24"/>
          <w:szCs w:val="24"/>
          <w:highlight w:val="none"/>
          <w:shd w:val="clear" w:color="auto" w:fill="auto"/>
        </w:rPr>
      </w:pPr>
    </w:p>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一、参与编制技术标投标文件人员名单</w:t>
      </w:r>
    </w:p>
    <w:tbl>
      <w:tblPr>
        <w:tblStyle w:val="5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bl>
    <w:p>
      <w:pPr>
        <w:tabs>
          <w:tab w:val="left" w:pos="720"/>
        </w:tabs>
        <w:snapToGrid w:val="0"/>
        <w:spacing w:line="360" w:lineRule="auto"/>
        <w:rPr>
          <w:rFonts w:ascii="Arial" w:hAnsi="Arial" w:cs="Arial"/>
          <w:color w:val="auto"/>
          <w:sz w:val="24"/>
          <w:szCs w:val="24"/>
          <w:highlight w:val="none"/>
          <w:shd w:val="clear" w:color="auto" w:fill="auto"/>
        </w:rPr>
      </w:pPr>
    </w:p>
    <w:p>
      <w:pPr>
        <w:tabs>
          <w:tab w:val="left" w:pos="720"/>
        </w:tabs>
        <w:snapToGrid w:val="0"/>
        <w:spacing w:line="360" w:lineRule="auto"/>
        <w:rPr>
          <w:rFonts w:ascii="Arial" w:hAnsi="Arial" w:cs="Arial"/>
          <w:color w:val="auto"/>
          <w:sz w:val="24"/>
          <w:szCs w:val="24"/>
          <w:highlight w:val="none"/>
          <w:shd w:val="clear" w:color="auto" w:fill="auto"/>
        </w:rPr>
      </w:pPr>
    </w:p>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二、参与编制经济标投标文件人员名单</w:t>
      </w:r>
    </w:p>
    <w:tbl>
      <w:tblPr>
        <w:tblStyle w:val="5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bl>
    <w:p>
      <w:pPr>
        <w:tabs>
          <w:tab w:val="left" w:pos="720"/>
        </w:tabs>
        <w:snapToGrid w:val="0"/>
        <w:spacing w:line="360" w:lineRule="auto"/>
        <w:rPr>
          <w:rFonts w:ascii="Arial" w:hAnsi="Arial" w:cs="Arial"/>
          <w:color w:val="auto"/>
          <w:sz w:val="24"/>
          <w:szCs w:val="24"/>
          <w:highlight w:val="none"/>
          <w:shd w:val="clear" w:color="auto" w:fill="auto"/>
        </w:rPr>
      </w:pPr>
    </w:p>
    <w:p>
      <w:pPr>
        <w:pStyle w:val="53"/>
        <w:spacing w:after="0" w:line="360" w:lineRule="auto"/>
        <w:ind w:left="-2" w:leftChars="-1" w:firstLine="367" w:firstLineChars="175"/>
        <w:jc w:val="lef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注：参与编制投标文件所有人员名单应包括如编制技术投标方案、编制各种专业工程量清单投标报价、负责清样校对、负责打印及复印等所有人员在内的人员名单。</w:t>
      </w:r>
    </w:p>
    <w:p>
      <w:pPr>
        <w:pStyle w:val="53"/>
        <w:spacing w:after="0" w:line="360" w:lineRule="auto"/>
        <w:ind w:left="-2" w:leftChars="-1" w:firstLineChars="175"/>
        <w:jc w:val="center"/>
        <w:rPr>
          <w:rFonts w:ascii="Arial" w:hAnsi="Arial" w:cs="Arial"/>
          <w:color w:val="auto"/>
          <w:sz w:val="24"/>
          <w:szCs w:val="24"/>
          <w:highlight w:val="none"/>
          <w:shd w:val="clear" w:color="auto" w:fill="auto"/>
        </w:rPr>
      </w:pPr>
    </w:p>
    <w:p>
      <w:pPr>
        <w:autoSpaceDE w:val="0"/>
        <w:autoSpaceDN w:val="0"/>
        <w:adjustRightInd w:val="0"/>
        <w:rPr>
          <w:rFonts w:ascii="Arial" w:hAnsi="Arial" w:cs="Arial"/>
          <w:b/>
          <w:bCs/>
          <w:color w:val="auto"/>
          <w:szCs w:val="21"/>
          <w:highlight w:val="none"/>
          <w:shd w:val="clear" w:color="auto" w:fill="auto"/>
        </w:rPr>
      </w:pPr>
      <w:r>
        <w:rPr>
          <w:rFonts w:hint="eastAsia" w:ascii="Arial" w:hAnsi="Arial" w:cs="Arial"/>
          <w:b/>
          <w:bCs/>
          <w:color w:val="auto"/>
          <w:szCs w:val="21"/>
          <w:highlight w:val="none"/>
          <w:shd w:val="clear" w:color="auto" w:fill="auto"/>
        </w:rPr>
        <w:t>格式</w:t>
      </w:r>
      <w:r>
        <w:rPr>
          <w:rFonts w:ascii="Arial" w:hAnsi="Arial" w:cs="Arial"/>
          <w:b/>
          <w:bCs/>
          <w:color w:val="auto"/>
          <w:szCs w:val="21"/>
          <w:highlight w:val="none"/>
          <w:shd w:val="clear" w:color="auto" w:fill="auto"/>
        </w:rPr>
        <w:t>四</w:t>
      </w:r>
    </w:p>
    <w:p>
      <w:pPr>
        <w:pStyle w:val="53"/>
        <w:spacing w:after="0" w:line="360" w:lineRule="auto"/>
        <w:ind w:firstLine="0"/>
        <w:jc w:val="center"/>
        <w:rPr>
          <w:rFonts w:ascii="Arial" w:hAnsi="Arial" w:cs="Arial"/>
          <w:color w:val="auto"/>
          <w:sz w:val="32"/>
          <w:szCs w:val="32"/>
          <w:highlight w:val="none"/>
          <w:shd w:val="clear" w:color="auto" w:fill="auto"/>
        </w:rPr>
      </w:pPr>
      <w:r>
        <w:rPr>
          <w:rFonts w:ascii="Arial" w:hAnsi="Arial" w:cs="Arial"/>
          <w:b/>
          <w:color w:val="auto"/>
          <w:sz w:val="32"/>
          <w:szCs w:val="32"/>
          <w:highlight w:val="none"/>
          <w:shd w:val="clear" w:color="auto" w:fill="auto"/>
        </w:rPr>
        <w:t>对投标文件编制的承诺</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本公司授权</w:t>
      </w:r>
      <w:r>
        <w:rPr>
          <w:rFonts w:ascii="Arial" w:hAnsi="Arial" w:cs="Arial"/>
          <w:color w:val="auto"/>
          <w:sz w:val="24"/>
          <w:szCs w:val="24"/>
          <w:highlight w:val="none"/>
          <w:u w:val="single"/>
          <w:shd w:val="clear" w:color="auto" w:fill="auto"/>
        </w:rPr>
        <w:t xml:space="preserve">         （身份证号：               ）</w:t>
      </w:r>
      <w:r>
        <w:rPr>
          <w:rFonts w:ascii="Arial" w:hAnsi="Arial" w:cs="Arial"/>
          <w:color w:val="auto"/>
          <w:sz w:val="24"/>
          <w:szCs w:val="24"/>
          <w:highlight w:val="none"/>
          <w:shd w:val="clear" w:color="auto" w:fill="auto"/>
        </w:rPr>
        <w:t>负责对投标文件的编制及内容进行解释、说明，并承诺以下事项：</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1.被授权人清楚投标文件编制的具体情况，包括技术方案文件、工程量清单、以及投标文件的加密打包的理解；</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2.在本项目开标至评标结束前，努力确保被授权人在项目评标所在地附近；</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3.从评标委员会要求澄清起二小时内，被授权人应如实地书面澄清。</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如由于未遵守上述承诺内容之一导致无法进行澄清的，我公司认可和接受评标委员会作出的评审结论。                                 </w:t>
      </w:r>
    </w:p>
    <w:p>
      <w:pPr>
        <w:pStyle w:val="53"/>
        <w:spacing w:after="0" w:line="360" w:lineRule="auto"/>
        <w:ind w:firstLine="360" w:firstLineChars="15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w:t>
      </w:r>
    </w:p>
    <w:p>
      <w:pPr>
        <w:pStyle w:val="53"/>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附件：《投标文件编制情况》</w:t>
      </w:r>
    </w:p>
    <w:p>
      <w:pPr>
        <w:spacing w:line="360" w:lineRule="auto"/>
        <w:ind w:right="90" w:firstLine="3240" w:firstLineChars="1350"/>
        <w:rPr>
          <w:rFonts w:ascii="Arial" w:hAnsi="Arial" w:cs="Arial"/>
          <w:color w:val="auto"/>
          <w:sz w:val="24"/>
          <w:szCs w:val="24"/>
          <w:highlight w:val="none"/>
          <w:u w:val="single"/>
          <w:shd w:val="clear" w:color="auto" w:fill="auto"/>
        </w:rPr>
      </w:pPr>
      <w:r>
        <w:rPr>
          <w:rFonts w:ascii="Arial" w:hAnsi="Arial" w:cs="Arial"/>
          <w:color w:val="auto"/>
          <w:sz w:val="24"/>
          <w:szCs w:val="24"/>
          <w:highlight w:val="none"/>
          <w:shd w:val="clear" w:color="auto" w:fill="auto"/>
        </w:rPr>
        <w:t xml:space="preserve"> 投标人名称（盖法人公章）：</w:t>
      </w:r>
      <w:r>
        <w:rPr>
          <w:rFonts w:ascii="Arial" w:hAnsi="Arial" w:cs="Arial"/>
          <w:color w:val="auto"/>
          <w:sz w:val="24"/>
          <w:szCs w:val="24"/>
          <w:highlight w:val="none"/>
          <w:u w:val="single"/>
          <w:shd w:val="clear" w:color="auto" w:fill="auto"/>
        </w:rPr>
        <w:t xml:space="preserve">                  </w:t>
      </w:r>
    </w:p>
    <w:p>
      <w:pPr>
        <w:spacing w:line="360" w:lineRule="auto"/>
        <w:ind w:firstLine="2160" w:firstLineChars="900"/>
        <w:rPr>
          <w:rFonts w:ascii="Arial" w:hAnsi="Arial" w:cs="Arial"/>
          <w:color w:val="auto"/>
          <w:sz w:val="24"/>
          <w:szCs w:val="24"/>
          <w:highlight w:val="none"/>
          <w:u w:val="single"/>
          <w:shd w:val="clear" w:color="auto" w:fill="auto"/>
        </w:rPr>
      </w:pPr>
      <w:r>
        <w:rPr>
          <w:rFonts w:ascii="Arial" w:hAnsi="Arial" w:cs="Arial"/>
          <w:color w:val="auto"/>
          <w:sz w:val="24"/>
          <w:szCs w:val="24"/>
          <w:highlight w:val="none"/>
          <w:shd w:val="clear" w:color="auto" w:fill="auto"/>
        </w:rPr>
        <w:t>法定代表人或被授权人（签字或盖章）：</w:t>
      </w:r>
      <w:r>
        <w:rPr>
          <w:rFonts w:ascii="Arial" w:hAnsi="Arial" w:cs="Arial"/>
          <w:color w:val="auto"/>
          <w:sz w:val="24"/>
          <w:szCs w:val="24"/>
          <w:highlight w:val="none"/>
          <w:u w:val="single"/>
          <w:shd w:val="clear" w:color="auto" w:fill="auto"/>
        </w:rPr>
        <w:t xml:space="preserve">                  </w:t>
      </w:r>
    </w:p>
    <w:p>
      <w:pPr>
        <w:spacing w:line="360" w:lineRule="auto"/>
        <w:ind w:firstLine="4440" w:firstLineChars="1850"/>
        <w:jc w:val="center"/>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日期：      年   月   日 </w:t>
      </w:r>
      <w:r>
        <w:rPr>
          <w:rFonts w:ascii="Arial" w:hAnsi="Arial" w:cs="Arial"/>
          <w:color w:val="auto"/>
          <w:sz w:val="18"/>
          <w:szCs w:val="18"/>
          <w:highlight w:val="none"/>
          <w:shd w:val="clear" w:color="auto" w:fill="auto"/>
        </w:rPr>
        <w:t xml:space="preserve"> </w:t>
      </w:r>
      <w:r>
        <w:rPr>
          <w:rFonts w:ascii="Arial" w:hAnsi="Arial" w:cs="Arial"/>
          <w:color w:val="auto"/>
          <w:sz w:val="24"/>
          <w:szCs w:val="24"/>
          <w:highlight w:val="none"/>
          <w:shd w:val="clear" w:color="auto" w:fill="auto"/>
        </w:rPr>
        <w:t xml:space="preserve">    </w:t>
      </w:r>
    </w:p>
    <w:p>
      <w:pPr>
        <w:pStyle w:val="53"/>
        <w:spacing w:after="0" w:line="360" w:lineRule="auto"/>
        <w:ind w:firstLine="0"/>
        <w:rPr>
          <w:rFonts w:ascii="Arial" w:hAnsi="Arial" w:cs="Arial"/>
          <w:b/>
          <w:color w:val="auto"/>
          <w:sz w:val="32"/>
          <w:szCs w:val="32"/>
          <w:highlight w:val="none"/>
          <w:shd w:val="clear" w:color="auto" w:fill="auto"/>
        </w:rPr>
      </w:pPr>
    </w:p>
    <w:p>
      <w:pPr>
        <w:pStyle w:val="53"/>
        <w:spacing w:after="0" w:line="360" w:lineRule="auto"/>
        <w:ind w:firstLine="643" w:firstLineChars="200"/>
        <w:jc w:val="center"/>
        <w:rPr>
          <w:rFonts w:ascii="Arial" w:hAnsi="Arial" w:cs="Arial"/>
          <w:color w:val="auto"/>
          <w:sz w:val="18"/>
          <w:szCs w:val="18"/>
          <w:highlight w:val="none"/>
          <w:shd w:val="clear" w:color="auto" w:fill="auto"/>
        </w:rPr>
      </w:pPr>
      <w:r>
        <w:rPr>
          <w:rFonts w:ascii="Arial" w:hAnsi="Arial" w:cs="Arial"/>
          <w:b/>
          <w:color w:val="auto"/>
          <w:sz w:val="32"/>
          <w:szCs w:val="32"/>
          <w:highlight w:val="none"/>
          <w:shd w:val="clear" w:color="auto" w:fill="auto"/>
        </w:rPr>
        <w:t>投标文件编制情况</w:t>
      </w:r>
    </w:p>
    <w:p>
      <w:pPr>
        <w:pStyle w:val="53"/>
        <w:spacing w:after="0" w:line="360" w:lineRule="auto"/>
        <w:ind w:firstLine="480" w:firstLineChars="200"/>
        <w:rPr>
          <w:rFonts w:ascii="Arial" w:hAnsi="Arial" w:cs="Arial"/>
          <w:color w:val="auto"/>
          <w:sz w:val="24"/>
          <w:szCs w:val="24"/>
          <w:highlight w:val="none"/>
          <w:u w:val="single"/>
          <w:shd w:val="clear" w:color="auto" w:fill="auto"/>
        </w:rPr>
      </w:pPr>
      <w:r>
        <w:rPr>
          <w:rFonts w:ascii="Arial" w:hAnsi="Arial" w:cs="Arial"/>
          <w:color w:val="auto"/>
          <w:sz w:val="24"/>
          <w:szCs w:val="24"/>
          <w:highlight w:val="none"/>
          <w:shd w:val="clear" w:color="auto" w:fill="auto"/>
        </w:rPr>
        <w:t>1.投标文件报价编制方式: □自行编制的，编制的负责人：</w:t>
      </w:r>
      <w:r>
        <w:rPr>
          <w:rFonts w:ascii="Arial" w:hAnsi="Arial" w:cs="Arial"/>
          <w:color w:val="auto"/>
          <w:sz w:val="24"/>
          <w:szCs w:val="24"/>
          <w:highlight w:val="none"/>
          <w:u w:val="single"/>
          <w:shd w:val="clear" w:color="auto" w:fill="auto"/>
        </w:rPr>
        <w:t xml:space="preserve"> （盖造价工程师执业专用章或全国建设工程造价员章，执业单位应与投标人一致） </w:t>
      </w:r>
      <w:r>
        <w:rPr>
          <w:rFonts w:ascii="Arial" w:hAnsi="Arial" w:cs="Arial"/>
          <w:color w:val="auto"/>
          <w:sz w:val="24"/>
          <w:szCs w:val="24"/>
          <w:highlight w:val="none"/>
          <w:shd w:val="clear" w:color="auto" w:fill="auto"/>
        </w:rPr>
        <w:t>。□委托编制的，受委托单位</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，编制的负责人：</w:t>
      </w:r>
      <w:r>
        <w:rPr>
          <w:rFonts w:ascii="Arial" w:hAnsi="Arial" w:cs="Arial"/>
          <w:color w:val="auto"/>
          <w:sz w:val="24"/>
          <w:szCs w:val="24"/>
          <w:highlight w:val="none"/>
          <w:u w:val="single"/>
          <w:shd w:val="clear" w:color="auto" w:fill="auto"/>
        </w:rPr>
        <w:t xml:space="preserve"> （盖造价工程师执业专用章或全国建设工程造价员章，执业单位应与受委托单位一致） </w:t>
      </w:r>
      <w:r>
        <w:rPr>
          <w:rFonts w:ascii="Arial" w:hAnsi="Arial" w:cs="Arial"/>
          <w:color w:val="auto"/>
          <w:sz w:val="24"/>
          <w:szCs w:val="24"/>
          <w:highlight w:val="none"/>
          <w:shd w:val="clear" w:color="auto" w:fill="auto"/>
        </w:rPr>
        <w:t>。</w:t>
      </w:r>
    </w:p>
    <w:p>
      <w:pPr>
        <w:pStyle w:val="53"/>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2.投标文件加密打包的电脑情况</w:t>
      </w:r>
    </w:p>
    <w:tbl>
      <w:tblPr>
        <w:tblStyle w:val="55"/>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53"/>
              <w:spacing w:after="0" w:line="360" w:lineRule="auto"/>
              <w:ind w:firstLine="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投标文件加密打包的电脑     自有    □      外包    □     其他    □</w:t>
            </w:r>
          </w:p>
          <w:p>
            <w:pPr>
              <w:pStyle w:val="53"/>
              <w:spacing w:after="0" w:line="360" w:lineRule="auto"/>
              <w:ind w:firstLine="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电脑类型</w:t>
            </w:r>
          </w:p>
          <w:p>
            <w:pPr>
              <w:pStyle w:val="53"/>
              <w:spacing w:after="0" w:line="360" w:lineRule="auto"/>
              <w:ind w:firstLine="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电脑所属单位</w:t>
            </w:r>
          </w:p>
          <w:p>
            <w:pPr>
              <w:pStyle w:val="53"/>
              <w:spacing w:after="0" w:line="360" w:lineRule="auto"/>
              <w:ind w:firstLine="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电脑所在地址        （如××市××区(县) ××街（路）××号××大厦××房）</w:t>
            </w:r>
          </w:p>
        </w:tc>
      </w:tr>
    </w:tbl>
    <w:p>
      <w:pPr>
        <w:autoSpaceDE w:val="0"/>
        <w:autoSpaceDN w:val="0"/>
        <w:adjustRightInd w:val="0"/>
        <w:rPr>
          <w:rFonts w:ascii="Arial" w:hAnsi="Arial" w:cs="Arial"/>
          <w:b/>
          <w:bCs/>
          <w:color w:val="auto"/>
          <w:szCs w:val="21"/>
          <w:highlight w:val="none"/>
          <w:shd w:val="clear" w:color="auto" w:fill="auto"/>
        </w:rPr>
      </w:pPr>
      <w:r>
        <w:rPr>
          <w:rFonts w:ascii="Arial" w:hAnsi="Arial" w:cs="Arial"/>
          <w:color w:val="auto"/>
          <w:szCs w:val="21"/>
          <w:highlight w:val="none"/>
          <w:shd w:val="clear" w:color="auto" w:fill="auto"/>
        </w:rPr>
        <w:br w:type="page"/>
      </w:r>
      <w:r>
        <w:rPr>
          <w:rFonts w:hint="eastAsia" w:ascii="Arial" w:hAnsi="Arial" w:cs="Arial"/>
          <w:b/>
          <w:bCs/>
          <w:color w:val="auto"/>
          <w:szCs w:val="21"/>
          <w:highlight w:val="none"/>
          <w:shd w:val="clear" w:color="auto" w:fill="auto"/>
        </w:rPr>
        <w:t>格式五</w:t>
      </w:r>
    </w:p>
    <w:p>
      <w:pPr>
        <w:pStyle w:val="29"/>
        <w:rPr>
          <w:color w:val="auto"/>
          <w:highlight w:val="none"/>
          <w:shd w:val="clear" w:color="auto" w:fill="auto"/>
        </w:rPr>
      </w:pPr>
    </w:p>
    <w:p>
      <w:pPr>
        <w:tabs>
          <w:tab w:val="left" w:pos="720"/>
        </w:tabs>
        <w:snapToGrid w:val="0"/>
        <w:spacing w:line="360" w:lineRule="auto"/>
        <w:jc w:val="center"/>
        <w:rPr>
          <w:rFonts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rPr>
        <w:t>投标人业绩一览表</w:t>
      </w:r>
    </w:p>
    <w:p>
      <w:pPr>
        <w:tabs>
          <w:tab w:val="left" w:pos="720"/>
        </w:tabs>
        <w:snapToGrid w:val="0"/>
        <w:spacing w:line="360" w:lineRule="auto"/>
        <w:ind w:firstLine="1200" w:firstLineChars="500"/>
        <w:rPr>
          <w:rFonts w:ascii="宋体" w:hAnsi="宋体" w:cs="宋体"/>
          <w:color w:val="auto"/>
          <w:sz w:val="24"/>
          <w:szCs w:val="24"/>
          <w:highlight w:val="none"/>
          <w:shd w:val="clear" w:color="auto" w:fill="auto"/>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68"/>
        <w:gridCol w:w="1275"/>
        <w:gridCol w:w="1276"/>
        <w:gridCol w:w="170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序号</w:t>
            </w:r>
          </w:p>
        </w:tc>
        <w:tc>
          <w:tcPr>
            <w:tcW w:w="2268"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tc>
        <w:tc>
          <w:tcPr>
            <w:tcW w:w="1275"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中标金额</w:t>
            </w:r>
          </w:p>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（万元）</w:t>
            </w:r>
          </w:p>
        </w:tc>
        <w:tc>
          <w:tcPr>
            <w:tcW w:w="1276"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合同总价</w:t>
            </w:r>
          </w:p>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（万元）</w:t>
            </w:r>
          </w:p>
        </w:tc>
        <w:tc>
          <w:tcPr>
            <w:tcW w:w="1701"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（中标/合同签订）时间</w:t>
            </w:r>
          </w:p>
        </w:tc>
        <w:tc>
          <w:tcPr>
            <w:tcW w:w="1704"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建设单位联系人及联系电话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2268"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5"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6"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1"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4" w:type="dxa"/>
          </w:tcPr>
          <w:p>
            <w:pPr>
              <w:tabs>
                <w:tab w:val="left" w:pos="720"/>
              </w:tabs>
              <w:snapToGrid w:val="0"/>
              <w:spacing w:line="360" w:lineRule="auto"/>
              <w:rPr>
                <w:rFonts w:ascii="宋体" w:hAnsi="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2268"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5"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6"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1"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4" w:type="dxa"/>
          </w:tcPr>
          <w:p>
            <w:pPr>
              <w:tabs>
                <w:tab w:val="left" w:pos="720"/>
              </w:tabs>
              <w:snapToGrid w:val="0"/>
              <w:spacing w:line="360" w:lineRule="auto"/>
              <w:rPr>
                <w:rFonts w:ascii="宋体" w:hAnsi="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2268"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5"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6"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1"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4" w:type="dxa"/>
          </w:tcPr>
          <w:p>
            <w:pPr>
              <w:tabs>
                <w:tab w:val="left" w:pos="720"/>
              </w:tabs>
              <w:snapToGrid w:val="0"/>
              <w:spacing w:line="360" w:lineRule="auto"/>
              <w:rPr>
                <w:rFonts w:ascii="宋体" w:hAnsi="宋体" w:cs="宋体"/>
                <w:color w:val="auto"/>
                <w:sz w:val="24"/>
                <w:szCs w:val="24"/>
                <w:highlight w:val="none"/>
                <w:shd w:val="clear" w:color="auto" w:fill="auto"/>
              </w:rPr>
            </w:pPr>
          </w:p>
        </w:tc>
      </w:tr>
    </w:tbl>
    <w:p>
      <w:pPr>
        <w:tabs>
          <w:tab w:val="left" w:pos="720"/>
        </w:tabs>
        <w:snapToGrid w:val="0"/>
        <w:spacing w:line="360" w:lineRule="auto"/>
        <w:ind w:firstLine="1200" w:firstLineChars="500"/>
        <w:rPr>
          <w:rFonts w:ascii="宋体" w:hAnsi="宋体" w:cs="宋体"/>
          <w:color w:val="auto"/>
          <w:sz w:val="24"/>
          <w:szCs w:val="24"/>
          <w:highlight w:val="none"/>
          <w:shd w:val="clear" w:color="auto" w:fill="auto"/>
        </w:rPr>
      </w:pPr>
    </w:p>
    <w:p>
      <w:pPr>
        <w:tabs>
          <w:tab w:val="left" w:pos="720"/>
        </w:tabs>
        <w:snapToGrid w:val="0"/>
        <w:spacing w:line="360" w:lineRule="auto"/>
        <w:ind w:firstLine="1200" w:firstLineChars="500"/>
        <w:rPr>
          <w:rFonts w:ascii="宋体" w:hAnsi="宋体" w:cs="宋体"/>
          <w:color w:val="auto"/>
          <w:sz w:val="24"/>
          <w:szCs w:val="24"/>
          <w:highlight w:val="none"/>
          <w:shd w:val="clear" w:color="auto" w:fill="auto"/>
        </w:rPr>
      </w:pPr>
    </w:p>
    <w:p>
      <w:pPr>
        <w:jc w:val="left"/>
        <w:rPr>
          <w:rFonts w:ascii="宋体" w:hAnsi="宋体" w:cs="宋体"/>
          <w:color w:val="auto"/>
          <w:szCs w:val="21"/>
          <w:highlight w:val="none"/>
          <w:shd w:val="clear" w:color="auto" w:fill="auto"/>
        </w:rPr>
      </w:pPr>
      <w:r>
        <w:rPr>
          <w:rFonts w:hint="eastAsia" w:ascii="宋体" w:hAnsi="宋体" w:cs="宋体"/>
          <w:color w:val="auto"/>
          <w:szCs w:val="20"/>
          <w:highlight w:val="none"/>
          <w:shd w:val="clear" w:color="auto" w:fill="auto"/>
        </w:rPr>
        <w:t>注：</w:t>
      </w:r>
      <w:r>
        <w:rPr>
          <w:rFonts w:hint="eastAsia" w:ascii="宋体" w:hAnsi="宋体" w:cs="宋体"/>
          <w:color w:val="auto"/>
          <w:szCs w:val="21"/>
          <w:highlight w:val="none"/>
          <w:shd w:val="clear" w:color="auto" w:fill="auto"/>
        </w:rPr>
        <w:t>（1）业绩的金额以中标通知书为准，若中标通知书未能反映金额，则金额以合同为准，不含补充合同；业绩的时间以验收证明材料为准。（2）业绩须提供业绩的中标通知书或免招标的相关证明、施工合同、竣工验收文件（验收文件至少具有建设单位、设计、施工和监理单位盖章）扫描件。</w:t>
      </w:r>
    </w:p>
    <w:p>
      <w:pPr>
        <w:tabs>
          <w:tab w:val="left" w:pos="720"/>
        </w:tabs>
        <w:snapToGrid w:val="0"/>
        <w:spacing w:line="360" w:lineRule="auto"/>
        <w:rPr>
          <w:rFonts w:ascii="宋体" w:hAnsi="宋体" w:cs="宋体"/>
          <w:color w:val="auto"/>
          <w:szCs w:val="20"/>
          <w:highlight w:val="none"/>
          <w:shd w:val="clear" w:color="auto" w:fill="auto"/>
        </w:rPr>
      </w:pPr>
      <w:r>
        <w:rPr>
          <w:rFonts w:hint="eastAsia" w:ascii="宋体" w:hAnsi="宋体" w:cs="宋体"/>
          <w:color w:val="auto"/>
          <w:szCs w:val="20"/>
          <w:highlight w:val="none"/>
          <w:shd w:val="clear" w:color="auto" w:fill="auto"/>
        </w:rPr>
        <w:t xml:space="preserve"> </w:t>
      </w:r>
    </w:p>
    <w:p>
      <w:pPr>
        <w:tabs>
          <w:tab w:val="left" w:pos="720"/>
        </w:tabs>
        <w:snapToGrid w:val="0"/>
        <w:spacing w:line="360" w:lineRule="auto"/>
        <w:rPr>
          <w:rFonts w:ascii="宋体" w:hAnsi="宋体" w:cs="宋体"/>
          <w:color w:val="auto"/>
          <w:szCs w:val="20"/>
          <w:highlight w:val="none"/>
          <w:shd w:val="clear" w:color="auto" w:fill="auto"/>
        </w:rPr>
      </w:pPr>
      <w:r>
        <w:rPr>
          <w:rFonts w:hint="eastAsia" w:ascii="宋体" w:hAnsi="宋体" w:cs="宋体"/>
          <w:color w:val="auto"/>
          <w:szCs w:val="20"/>
          <w:highlight w:val="none"/>
          <w:shd w:val="clear" w:color="auto" w:fill="auto"/>
        </w:rPr>
        <w:t xml:space="preserve"> </w:t>
      </w:r>
    </w:p>
    <w:p>
      <w:pPr>
        <w:pStyle w:val="142"/>
        <w:spacing w:beforeLines="0"/>
        <w:rPr>
          <w:rFonts w:ascii="Arial" w:hAnsi="Arial" w:eastAsia="宋体" w:cs="Arial"/>
          <w:color w:val="auto"/>
          <w:highlight w:val="none"/>
          <w:shd w:val="clear" w:color="auto" w:fill="auto"/>
        </w:rPr>
      </w:pPr>
      <w:r>
        <w:rPr>
          <w:rFonts w:ascii="Arial" w:hAnsi="Arial" w:cs="Arial"/>
          <w:color w:val="auto"/>
          <w:highlight w:val="none"/>
          <w:shd w:val="clear" w:color="auto" w:fill="auto"/>
        </w:rPr>
        <w:br w:type="page"/>
      </w:r>
      <w:bookmarkStart w:id="76" w:name="_Toc352623427"/>
      <w:bookmarkStart w:id="77" w:name="_Toc449308426"/>
      <w:bookmarkStart w:id="78" w:name="_Toc358370584"/>
      <w:bookmarkStart w:id="79" w:name="_Toc352240529"/>
      <w:bookmarkStart w:id="80" w:name="_Toc163337626"/>
      <w:bookmarkStart w:id="81" w:name="_Toc318924501"/>
      <w:bookmarkStart w:id="82" w:name="_Toc369536776"/>
      <w:bookmarkStart w:id="83" w:name="_Toc239216037"/>
      <w:bookmarkStart w:id="84" w:name="_Toc395261105"/>
      <w:bookmarkStart w:id="85" w:name="_Toc239311752"/>
      <w:bookmarkStart w:id="86" w:name="_Toc337720097"/>
      <w:bookmarkStart w:id="87" w:name="_Toc226209009"/>
    </w:p>
    <w:bookmarkEnd w:id="76"/>
    <w:bookmarkEnd w:id="77"/>
    <w:bookmarkEnd w:id="78"/>
    <w:bookmarkEnd w:id="79"/>
    <w:bookmarkEnd w:id="80"/>
    <w:bookmarkEnd w:id="81"/>
    <w:bookmarkEnd w:id="82"/>
    <w:bookmarkEnd w:id="83"/>
    <w:bookmarkEnd w:id="84"/>
    <w:bookmarkEnd w:id="85"/>
    <w:bookmarkEnd w:id="86"/>
    <w:bookmarkEnd w:id="87"/>
    <w:p>
      <w:pPr>
        <w:autoSpaceDE w:val="0"/>
        <w:autoSpaceDN w:val="0"/>
        <w:adjustRightInd w:val="0"/>
        <w:rPr>
          <w:rFonts w:ascii="Arial" w:hAnsi="Arial" w:cs="Arial"/>
          <w:b/>
          <w:bCs/>
          <w:color w:val="auto"/>
          <w:szCs w:val="21"/>
          <w:highlight w:val="none"/>
          <w:shd w:val="clear" w:color="auto" w:fill="auto"/>
        </w:rPr>
      </w:pPr>
      <w:r>
        <w:rPr>
          <w:rFonts w:hint="eastAsia" w:ascii="Arial" w:hAnsi="Arial" w:cs="Arial"/>
          <w:b/>
          <w:bCs/>
          <w:color w:val="auto"/>
          <w:szCs w:val="21"/>
          <w:highlight w:val="none"/>
          <w:shd w:val="clear" w:color="auto" w:fill="auto"/>
        </w:rPr>
        <w:t>格式六</w:t>
      </w:r>
    </w:p>
    <w:p>
      <w:pPr>
        <w:tabs>
          <w:tab w:val="left" w:pos="720"/>
        </w:tabs>
        <w:snapToGrid w:val="0"/>
        <w:spacing w:line="360" w:lineRule="auto"/>
        <w:jc w:val="center"/>
        <w:rPr>
          <w:rFonts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rPr>
        <w:t>拟投入管理机构人员一览表</w:t>
      </w:r>
    </w:p>
    <w:tbl>
      <w:tblPr>
        <w:tblStyle w:val="55"/>
        <w:tblW w:w="91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472"/>
        <w:gridCol w:w="1854"/>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姓名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在本工程中拟担任职务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职称</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职称证书或资格证书或岗位证书编号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bl>
    <w:p>
      <w:pPr>
        <w:pStyle w:val="141"/>
        <w:ind w:firstLine="496"/>
        <w:rPr>
          <w:rFonts w:eastAsia="宋体" w:cs="宋体"/>
          <w:color w:val="auto"/>
          <w:highlight w:val="none"/>
          <w:shd w:val="clear" w:color="auto" w:fill="auto"/>
        </w:rPr>
      </w:pPr>
      <w:r>
        <w:rPr>
          <w:rFonts w:hint="eastAsia" w:eastAsia="宋体" w:cs="宋体"/>
          <w:color w:val="auto"/>
          <w:highlight w:val="none"/>
          <w:shd w:val="clear" w:color="auto" w:fill="auto"/>
        </w:rPr>
        <w:t>注：拟投入本项目管理机构人员(项目负责人、技术负责人、专职安全员、质量负责人、安全负责人、造价负责人、其它人员）均须按招标公告及相应要求提供证明资料。所有资料为原件清晰扫描件。</w:t>
      </w:r>
    </w:p>
    <w:p>
      <w:pPr>
        <w:rPr>
          <w:rFonts w:ascii="宋体" w:hAnsi="宋体" w:cs="宋体"/>
          <w:color w:val="auto"/>
          <w:highlight w:val="none"/>
          <w:shd w:val="clear" w:color="auto" w:fill="auto"/>
        </w:rPr>
      </w:pPr>
    </w:p>
    <w:p>
      <w:pP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br w:type="page"/>
      </w:r>
    </w:p>
    <w:p>
      <w:pPr>
        <w:autoSpaceDE w:val="0"/>
        <w:autoSpaceDN w:val="0"/>
        <w:rPr>
          <w:rFonts w:hint="eastAsia" w:ascii="Arial" w:hAnsi="Arial" w:eastAsia="宋体" w:cs="Arial"/>
          <w:b/>
          <w:bCs/>
          <w:color w:val="auto"/>
          <w:szCs w:val="21"/>
          <w:highlight w:val="none"/>
          <w:shd w:val="clear" w:color="auto" w:fill="auto"/>
        </w:rPr>
      </w:pPr>
      <w:r>
        <w:rPr>
          <w:rFonts w:hint="eastAsia" w:ascii="Arial" w:hAnsi="Arial" w:eastAsia="宋体" w:cs="Arial"/>
          <w:b/>
          <w:bCs/>
          <w:color w:val="auto"/>
          <w:szCs w:val="21"/>
          <w:highlight w:val="none"/>
          <w:shd w:val="clear" w:color="auto" w:fill="auto"/>
        </w:rPr>
        <w:t>格式</w:t>
      </w:r>
      <w:r>
        <w:rPr>
          <w:rFonts w:hint="eastAsia" w:ascii="Arial" w:hAnsi="Arial" w:eastAsia="宋体" w:cs="Arial"/>
          <w:b/>
          <w:bCs/>
          <w:color w:val="auto"/>
          <w:szCs w:val="21"/>
          <w:highlight w:val="none"/>
          <w:shd w:val="clear" w:color="auto" w:fill="auto"/>
          <w:lang w:val="en-US" w:eastAsia="zh-CN"/>
        </w:rPr>
        <w:t>七</w:t>
      </w:r>
      <w:r>
        <w:rPr>
          <w:rFonts w:hint="eastAsia" w:ascii="Arial" w:hAnsi="Arial" w:eastAsia="宋体" w:cs="Arial"/>
          <w:b/>
          <w:bCs/>
          <w:color w:val="auto"/>
          <w:szCs w:val="21"/>
          <w:highlight w:val="none"/>
          <w:shd w:val="clear" w:color="auto" w:fill="auto"/>
        </w:rPr>
        <w:t>：</w:t>
      </w:r>
    </w:p>
    <w:p>
      <w:pPr>
        <w:pStyle w:val="144"/>
        <w:rPr>
          <w:rFonts w:eastAsia="宋体" w:cs="宋体"/>
          <w:color w:val="auto"/>
          <w:sz w:val="32"/>
          <w:szCs w:val="32"/>
          <w:highlight w:val="none"/>
          <w:shd w:val="clear" w:color="auto" w:fill="auto"/>
        </w:rPr>
      </w:pPr>
      <w:r>
        <w:rPr>
          <w:rFonts w:hint="eastAsia" w:eastAsia="宋体" w:cs="宋体"/>
          <w:color w:val="auto"/>
          <w:sz w:val="32"/>
          <w:szCs w:val="32"/>
          <w:highlight w:val="none"/>
          <w:shd w:val="clear" w:color="auto" w:fill="auto"/>
        </w:rPr>
        <w:t>企业相关资料</w:t>
      </w:r>
    </w:p>
    <w:p>
      <w:pPr>
        <w:pStyle w:val="141"/>
        <w:ind w:firstLine="496"/>
        <w:rPr>
          <w:rFonts w:eastAsia="宋体" w:cs="宋体"/>
          <w:color w:val="auto"/>
          <w:highlight w:val="none"/>
          <w:shd w:val="clear" w:color="auto" w:fill="auto"/>
        </w:rPr>
      </w:pPr>
      <w:r>
        <w:rPr>
          <w:rFonts w:hint="eastAsia" w:eastAsia="宋体" w:cs="宋体"/>
          <w:color w:val="auto"/>
          <w:highlight w:val="none"/>
          <w:shd w:val="clear" w:color="auto" w:fill="auto"/>
        </w:rPr>
        <w:t>包括如下：</w:t>
      </w:r>
    </w:p>
    <w:p>
      <w:pPr>
        <w:pStyle w:val="141"/>
        <w:ind w:firstLine="1240" w:firstLineChars="500"/>
        <w:rPr>
          <w:rFonts w:cs="宋体"/>
          <w:color w:val="auto"/>
          <w:highlight w:val="none"/>
          <w:shd w:val="clear" w:color="auto" w:fill="auto"/>
        </w:rPr>
      </w:pPr>
      <w:r>
        <w:rPr>
          <w:rFonts w:hint="eastAsia" w:eastAsia="宋体" w:cs="宋体"/>
          <w:color w:val="auto"/>
          <w:szCs w:val="21"/>
          <w:highlight w:val="none"/>
          <w:shd w:val="clear" w:color="auto" w:fill="auto"/>
        </w:rPr>
        <w:t>投标人结合《技术标详细审查评分表》认为应提供相应资料</w:t>
      </w:r>
      <w:r>
        <w:rPr>
          <w:rFonts w:hint="eastAsia" w:cs="宋体"/>
          <w:color w:val="auto"/>
          <w:szCs w:val="21"/>
          <w:highlight w:val="none"/>
          <w:shd w:val="clear" w:color="auto" w:fill="auto"/>
        </w:rPr>
        <w:t>。</w:t>
      </w:r>
    </w:p>
    <w:p>
      <w:pPr>
        <w:tabs>
          <w:tab w:val="left" w:pos="720"/>
        </w:tabs>
        <w:snapToGrid w:val="0"/>
        <w:spacing w:line="360" w:lineRule="auto"/>
        <w:jc w:val="center"/>
        <w:rPr>
          <w:rFonts w:ascii="Arial" w:hAnsi="Arial" w:cs="Arial"/>
          <w:color w:val="auto"/>
          <w:sz w:val="24"/>
          <w:szCs w:val="24"/>
          <w:highlight w:val="none"/>
          <w:shd w:val="clear" w:color="auto" w:fill="auto"/>
        </w:rPr>
        <w:sectPr>
          <w:headerReference r:id="rId17" w:type="default"/>
          <w:footerReference r:id="rId18" w:type="default"/>
          <w:pgSz w:w="11906" w:h="16838"/>
          <w:pgMar w:top="1440" w:right="1800" w:bottom="1440" w:left="1800" w:header="851" w:footer="992" w:gutter="0"/>
          <w:cols w:space="425" w:num="1"/>
          <w:docGrid w:type="lines" w:linePitch="312" w:charSpace="0"/>
        </w:sectPr>
      </w:pPr>
    </w:p>
    <w:p>
      <w:pPr>
        <w:tabs>
          <w:tab w:val="left" w:pos="720"/>
        </w:tabs>
        <w:snapToGrid w:val="0"/>
        <w:spacing w:line="360" w:lineRule="auto"/>
        <w:jc w:val="center"/>
        <w:outlineLvl w:val="0"/>
        <w:rPr>
          <w:rStyle w:val="76"/>
          <w:rFonts w:cs="Arial"/>
          <w:color w:val="auto"/>
          <w:highlight w:val="none"/>
          <w:shd w:val="clear" w:color="auto" w:fill="auto"/>
        </w:rPr>
      </w:pPr>
      <w:bookmarkStart w:id="88" w:name="_Toc2272568"/>
      <w:bookmarkStart w:id="89" w:name="_Toc159334869"/>
      <w:bookmarkStart w:id="90" w:name="_Toc12575"/>
      <w:r>
        <w:rPr>
          <w:rStyle w:val="76"/>
          <w:rFonts w:cs="Arial"/>
          <w:color w:val="auto"/>
          <w:highlight w:val="none"/>
          <w:shd w:val="clear" w:color="auto" w:fill="auto"/>
        </w:rPr>
        <w:t>第五章  技术条件（工程建设标准）</w:t>
      </w:r>
      <w:bookmarkEnd w:id="88"/>
      <w:bookmarkEnd w:id="89"/>
      <w:bookmarkEnd w:id="90"/>
    </w:p>
    <w:p>
      <w:pPr>
        <w:spacing w:line="360" w:lineRule="auto"/>
        <w:ind w:firstLine="482" w:firstLineChars="200"/>
        <w:rPr>
          <w:rFonts w:ascii="宋体" w:hAnsi="宋体" w:cs="宋体"/>
          <w:b/>
          <w:color w:val="auto"/>
          <w:sz w:val="24"/>
          <w:szCs w:val="24"/>
          <w:highlight w:val="none"/>
          <w:shd w:val="clear" w:color="auto" w:fill="auto"/>
        </w:rPr>
      </w:pPr>
      <w:bookmarkStart w:id="91" w:name="_Toc21076_WPSOffice_Level2"/>
      <w:bookmarkStart w:id="92" w:name="_Toc5487_WPSOffice_Level2"/>
      <w:r>
        <w:rPr>
          <w:rFonts w:hint="eastAsia" w:ascii="宋体" w:hAnsi="宋体" w:cs="宋体"/>
          <w:b/>
          <w:color w:val="auto"/>
          <w:sz w:val="24"/>
          <w:szCs w:val="24"/>
          <w:highlight w:val="none"/>
          <w:shd w:val="clear" w:color="auto" w:fill="auto"/>
        </w:rPr>
        <w:t>一.标准</w:t>
      </w:r>
      <w:bookmarkEnd w:id="91"/>
      <w:bookmarkEnd w:id="92"/>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引用的国家及有关部委颁布的标准、规范、和规程。若施工时期建设主管部门颁布新的规范、标准，则按照新的规范、标准执行。</w:t>
      </w:r>
    </w:p>
    <w:p>
      <w:pPr>
        <w:spacing w:line="360" w:lineRule="auto"/>
        <w:ind w:firstLine="482" w:firstLineChars="200"/>
        <w:rPr>
          <w:rFonts w:ascii="宋体" w:hAnsi="宋体" w:cs="宋体"/>
          <w:b/>
          <w:color w:val="auto"/>
          <w:sz w:val="24"/>
          <w:szCs w:val="24"/>
          <w:highlight w:val="none"/>
          <w:shd w:val="clear" w:color="auto" w:fill="auto"/>
        </w:rPr>
      </w:pPr>
      <w:bookmarkStart w:id="93" w:name="_Toc24943_WPSOffice_Level2"/>
      <w:bookmarkStart w:id="94" w:name="_Toc28755_WPSOffice_Level2"/>
      <w:r>
        <w:rPr>
          <w:rFonts w:hint="eastAsia" w:ascii="宋体" w:hAnsi="宋体" w:cs="宋体"/>
          <w:b/>
          <w:color w:val="auto"/>
          <w:sz w:val="24"/>
          <w:szCs w:val="24"/>
          <w:highlight w:val="none"/>
          <w:shd w:val="clear" w:color="auto" w:fill="auto"/>
        </w:rPr>
        <w:t>二．施工组织设计要点</w:t>
      </w:r>
      <w:bookmarkEnd w:id="93"/>
      <w:bookmarkEnd w:id="94"/>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如果中标，中标人应按项目的进展需求，并在规定的时间内按要点要求，编制详细的施工组织设计，作为工程施工的指导性文件，向建设单位提交一式五份的《施工组织设计方案》，内容包括（不限于）以下：</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（一）工程概况及特点</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 工程概况</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工程简述，工程规模，工程承包范围，地质及地貌状况，自然环境，交通情况等。</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 工程特点</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设计特点、工程特点、影响施工的主要和特殊环节分析等。</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（二）施工现场组织机构</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2.1 组织机构关系图</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2.2 工程主要负责人简介。</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（三）施工现场总平面布置图</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3.1 施工现场平面布置图</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（四）施工方案</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4.1 施工准备</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简要叙述施工技术资料、材料、通讯、施工场地的准备，施工机械、施工力量的配置，以及生活设施等的准备情况。主要施工机械设备表。</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4.2 施工工序总体安排</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4.3 主要工序和特殊工序的施工方法和施工效率估计，潜在问题的分析。</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4.4 工程成本的控制措施为控制成本，提高效益，拟采取的措施。</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（五）工期及施工进度计划</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5.1 工期规划及要求</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用横道图反映各主要施工过程的计划进度，深度达到全面、准确、清楚的描述工程实施过程，从中可衍生出各种施工资源计划及其过程管理信息。</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5.2 施工进度计划网络图</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施工网络图应明确工程开工、竣工日期，工程施工的关键路线，并针对关键工序，提出确保工期拟采取的措施。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5.3 施工资源（人力、材料、机具、场地及进场道路、公共关系）计划</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5.4 施工进度计划分析</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计划潜在问题，计划中的潜力及其开发途径等。</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5.5 计划控制</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程序、方法及制度等。</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（六）质量目标、质量保证体系及技术组织措施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6.1 质量目标</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本工程要求的质量目标：合格。</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用单位工程和分项工程合格率、优良品率表示，欲达到的工程质量等级。</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争创建设工程优质奖项。</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6.2 质量管理组织机构及主要职责</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用框图表示质量管理组织机构，并简要叙述各质量管理部门的主要职责。</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6.3 质量管理的措施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简要叙述质量管理的措施和关键工序的质量控制。</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6.4 质量管理及检验的标准</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执行的主要质量标准、规范。</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6.5 质量保证技术措施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针对本工程特点，分析质量薄弱环节，拟将采取的技术措施。</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（七）安全目标、安全保证体系及技术组织措施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7.1 安全管理目标</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7.2 安全管理组织机构及主要职责</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用框图表示安全管理组织机构，并简要叙述各安全管理部门及人员的主要职责。</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7.3 安全管理制度及办法</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7.4 安全组织技术措施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针对本工程特点，分析安全薄弱环节，拟将采取的技术措施。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7.5 重要施工方案和特殊施工工序的安全过程控制</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spacing w:line="360" w:lineRule="auto"/>
        <w:ind w:firstLine="480" w:firstLineChars="200"/>
        <w:rPr>
          <w:rFonts w:ascii="宋体" w:hAnsi="宋体" w:cs="宋体"/>
          <w:color w:val="auto"/>
          <w:sz w:val="24"/>
          <w:szCs w:val="24"/>
          <w:highlight w:val="none"/>
          <w:shd w:val="clear" w:color="auto" w:fill="auto"/>
        </w:rPr>
      </w:pPr>
      <w:bookmarkStart w:id="95" w:name="_Hlt531956504"/>
      <w:r>
        <w:rPr>
          <w:rFonts w:hint="eastAsia" w:ascii="宋体" w:hAnsi="宋体" w:cs="宋体"/>
          <w:color w:val="auto"/>
          <w:sz w:val="24"/>
          <w:szCs w:val="24"/>
          <w:highlight w:val="none"/>
          <w:shd w:val="clear" w:color="auto" w:fill="auto"/>
        </w:rPr>
        <w:t>安全生产目标：杜绝本项目施工人员重大伤亡事故。</w:t>
      </w:r>
      <w:bookmarkEnd w:id="95"/>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文明施工目标：标准化管理。</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（八）环境保护及文明施工</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8.1 环境保护</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分析因施工可能引起的环境保护方面的问题。</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8.2 加强施工管理、严格保护环境</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提出环境保护的目标及采取的具体措施。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8.3 文明施工的目标、组织机构和实施方案</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8.4 文明施工考核、管理办法</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（九）计划、统计和信息管理</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9.1 计划、统计报表的编制与传递；</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9.2 信息管理</w:t>
      </w:r>
    </w:p>
    <w:p>
      <w:pPr>
        <w:spacing w:line="360" w:lineRule="auto"/>
        <w:ind w:firstLine="480" w:firstLineChars="200"/>
        <w:rPr>
          <w:rFonts w:ascii="宋体" w:hAnsi="宋体" w:cs="宋体"/>
          <w:b/>
          <w:color w:val="auto"/>
          <w:sz w:val="24"/>
          <w:szCs w:val="24"/>
          <w:highlight w:val="none"/>
          <w:shd w:val="clear" w:color="auto" w:fill="auto"/>
        </w:rPr>
      </w:pPr>
      <w:r>
        <w:rPr>
          <w:rFonts w:hint="eastAsia" w:ascii="宋体" w:hAnsi="宋体" w:cs="宋体"/>
          <w:color w:val="auto"/>
          <w:sz w:val="24"/>
          <w:szCs w:val="24"/>
          <w:highlight w:val="none"/>
          <w:shd w:val="clear" w:color="auto" w:fill="auto"/>
        </w:rPr>
        <w:t>提出信息管理的目标及拟将采取的措施。</w:t>
      </w:r>
    </w:p>
    <w:p>
      <w:pPr>
        <w:pStyle w:val="2"/>
        <w:jc w:val="center"/>
        <w:rPr>
          <w:rFonts w:cs="Arial"/>
          <w:b/>
          <w:color w:val="auto"/>
          <w:highlight w:val="none"/>
          <w:shd w:val="clear" w:color="auto" w:fill="auto"/>
        </w:rPr>
      </w:pPr>
      <w:r>
        <w:rPr>
          <w:rFonts w:cs="Arial"/>
          <w:color w:val="auto"/>
          <w:sz w:val="24"/>
          <w:szCs w:val="24"/>
          <w:highlight w:val="none"/>
          <w:shd w:val="clear" w:color="auto" w:fill="auto"/>
        </w:rPr>
        <w:br w:type="page"/>
      </w:r>
      <w:bookmarkStart w:id="96" w:name="_Toc24446"/>
      <w:bookmarkStart w:id="97" w:name="_Toc159334870"/>
      <w:bookmarkStart w:id="98" w:name="_Toc2272569"/>
      <w:r>
        <w:rPr>
          <w:rFonts w:cs="Arial"/>
          <w:b/>
          <w:color w:val="auto"/>
          <w:highlight w:val="none"/>
          <w:shd w:val="clear" w:color="auto" w:fill="auto"/>
        </w:rPr>
        <w:t>第六章  图纸及勘察资料</w:t>
      </w:r>
      <w:bookmarkEnd w:id="96"/>
      <w:bookmarkEnd w:id="97"/>
      <w:bookmarkEnd w:id="98"/>
    </w:p>
    <w:p>
      <w:pPr>
        <w:jc w:val="center"/>
        <w:rPr>
          <w:rFonts w:ascii="Arial" w:hAnsi="Arial" w:cs="Arial"/>
          <w:b/>
          <w:color w:val="auto"/>
          <w:sz w:val="24"/>
          <w:szCs w:val="24"/>
          <w:highlight w:val="none"/>
          <w:shd w:val="clear" w:color="auto" w:fill="auto"/>
        </w:rPr>
      </w:pPr>
      <w:r>
        <w:rPr>
          <w:rFonts w:ascii="Arial" w:hAnsi="Arial" w:cs="Arial"/>
          <w:color w:val="auto"/>
          <w:sz w:val="24"/>
          <w:szCs w:val="24"/>
          <w:highlight w:val="none"/>
          <w:shd w:val="clear" w:color="auto" w:fill="auto"/>
        </w:rPr>
        <w:t>注：另册。</w:t>
      </w:r>
    </w:p>
    <w:p>
      <w:pPr>
        <w:pStyle w:val="2"/>
        <w:jc w:val="center"/>
        <w:rPr>
          <w:rFonts w:cs="Arial"/>
          <w:b/>
          <w:color w:val="auto"/>
          <w:highlight w:val="none"/>
          <w:shd w:val="clear" w:color="auto" w:fill="auto"/>
        </w:rPr>
      </w:pPr>
      <w:r>
        <w:rPr>
          <w:rFonts w:cs="Arial"/>
          <w:color w:val="auto"/>
          <w:sz w:val="24"/>
          <w:szCs w:val="24"/>
          <w:highlight w:val="none"/>
          <w:shd w:val="clear" w:color="auto" w:fill="auto"/>
        </w:rPr>
        <w:br w:type="page"/>
      </w:r>
      <w:bookmarkStart w:id="99" w:name="_Toc2272570"/>
      <w:bookmarkStart w:id="100" w:name="_Toc1327"/>
      <w:bookmarkStart w:id="101" w:name="_Toc159334871"/>
      <w:r>
        <w:rPr>
          <w:rFonts w:cs="Arial"/>
          <w:b/>
          <w:color w:val="auto"/>
          <w:highlight w:val="none"/>
          <w:shd w:val="clear" w:color="auto" w:fill="auto"/>
        </w:rPr>
        <w:t>第七章  工程量清单</w:t>
      </w:r>
      <w:bookmarkEnd w:id="99"/>
      <w:bookmarkEnd w:id="100"/>
      <w:bookmarkEnd w:id="101"/>
    </w:p>
    <w:p>
      <w:pPr>
        <w:jc w:val="center"/>
        <w:rPr>
          <w:rFonts w:ascii="Arial" w:hAnsi="Arial" w:cs="Arial"/>
          <w:b/>
          <w:color w:val="auto"/>
          <w:sz w:val="24"/>
          <w:szCs w:val="24"/>
          <w:highlight w:val="none"/>
          <w:shd w:val="clear" w:color="auto" w:fill="auto"/>
        </w:rPr>
      </w:pPr>
      <w:r>
        <w:rPr>
          <w:rFonts w:ascii="Arial" w:hAnsi="Arial" w:cs="Arial"/>
          <w:color w:val="auto"/>
          <w:sz w:val="24"/>
          <w:szCs w:val="24"/>
          <w:highlight w:val="none"/>
          <w:shd w:val="clear" w:color="auto" w:fill="auto"/>
        </w:rPr>
        <w:t>注：另册。</w:t>
      </w:r>
    </w:p>
    <w:p>
      <w:pPr>
        <w:pStyle w:val="53"/>
        <w:spacing w:after="0" w:line="360" w:lineRule="auto"/>
        <w:ind w:left="-2" w:leftChars="-1" w:firstLine="960" w:firstLineChars="400"/>
        <w:jc w:val="center"/>
        <w:rPr>
          <w:rFonts w:ascii="Arial" w:hAnsi="Arial" w:cs="Arial"/>
          <w:color w:val="auto"/>
          <w:sz w:val="24"/>
          <w:highlight w:val="none"/>
          <w:shd w:val="clear" w:color="auto" w:fill="auto"/>
        </w:rPr>
      </w:pPr>
    </w:p>
    <w:p>
      <w:pPr>
        <w:rPr>
          <w:rFonts w:cs="Arial"/>
          <w:color w:val="auto"/>
          <w:highlight w:val="none"/>
          <w:shd w:val="clear" w:color="auto" w:fill="auto"/>
        </w:rPr>
      </w:pPr>
    </w:p>
    <w:p>
      <w:pPr>
        <w:pStyle w:val="2"/>
        <w:jc w:val="center"/>
        <w:rPr>
          <w:rFonts w:cs="Arial"/>
          <w:b/>
          <w:color w:val="auto"/>
          <w:highlight w:val="none"/>
          <w:shd w:val="clear" w:color="auto" w:fill="auto"/>
        </w:rPr>
      </w:pPr>
      <w:r>
        <w:rPr>
          <w:rFonts w:cs="Arial"/>
          <w:color w:val="auto"/>
          <w:sz w:val="24"/>
          <w:szCs w:val="24"/>
          <w:highlight w:val="none"/>
          <w:shd w:val="clear" w:color="auto" w:fill="auto"/>
        </w:rPr>
        <w:br w:type="page"/>
      </w:r>
      <w:bookmarkStart w:id="102" w:name="_Toc14113"/>
      <w:bookmarkStart w:id="103" w:name="_Toc2272571"/>
      <w:bookmarkStart w:id="104" w:name="_Toc159334872"/>
      <w:r>
        <w:rPr>
          <w:rFonts w:cs="Arial"/>
          <w:b/>
          <w:color w:val="auto"/>
          <w:highlight w:val="none"/>
          <w:shd w:val="clear" w:color="auto" w:fill="auto"/>
        </w:rPr>
        <w:t>第八章  最高投标限价</w:t>
      </w:r>
      <w:bookmarkEnd w:id="102"/>
      <w:bookmarkEnd w:id="103"/>
      <w:bookmarkEnd w:id="104"/>
    </w:p>
    <w:p>
      <w:pPr>
        <w:spacing w:line="360" w:lineRule="auto"/>
        <w:ind w:firstLine="48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ind w:firstLine="480"/>
        <w:rPr>
          <w:rFonts w:ascii="Arial" w:hAnsi="Arial" w:cs="Arial"/>
          <w:color w:val="auto"/>
          <w:sz w:val="24"/>
          <w:szCs w:val="24"/>
          <w:highlight w:val="none"/>
          <w:u w:val="single"/>
          <w:shd w:val="clear" w:color="auto" w:fill="auto"/>
        </w:rPr>
      </w:pPr>
      <w:r>
        <w:rPr>
          <w:rFonts w:hint="eastAsia" w:ascii="Arial" w:hAnsi="Arial" w:cs="Arial"/>
          <w:color w:val="auto"/>
          <w:sz w:val="24"/>
          <w:szCs w:val="24"/>
          <w:highlight w:val="none"/>
          <w:u w:val="single"/>
          <w:shd w:val="clear" w:color="auto" w:fill="auto"/>
        </w:rPr>
        <w:t>另册</w:t>
      </w:r>
      <w:r>
        <w:rPr>
          <w:rFonts w:ascii="Arial" w:hAnsi="Arial" w:cs="Arial"/>
          <w:color w:val="auto"/>
          <w:sz w:val="24"/>
          <w:szCs w:val="24"/>
          <w:highlight w:val="none"/>
          <w:u w:val="single"/>
          <w:shd w:val="clear" w:color="auto" w:fill="auto"/>
        </w:rPr>
        <w:t>。</w:t>
      </w:r>
    </w:p>
    <w:p>
      <w:pPr>
        <w:rPr>
          <w:rFonts w:ascii="Arial" w:hAnsi="Arial" w:cs="Arial"/>
          <w:color w:val="auto"/>
          <w:sz w:val="24"/>
          <w:szCs w:val="24"/>
          <w:highlight w:val="none"/>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Wund">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金山简魏碑">
    <w:altName w:val="MS Gothic"/>
    <w:panose1 w:val="00000000000000000000"/>
    <w:charset w:val="00"/>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Lucida Grande">
    <w:altName w:val="Courier New"/>
    <w:panose1 w:val="00000000000000000000"/>
    <w:charset w:val="00"/>
    <w:family w:val="auto"/>
    <w:pitch w:val="default"/>
    <w:sig w:usb0="00000000" w:usb1="00000000" w:usb2="00000000" w:usb3="00000000" w:csb0="000001B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995942"/>
      <w:docPartObj>
        <w:docPartGallery w:val="autotext"/>
      </w:docPartObj>
    </w:sdtPr>
    <w:sdtEndPr>
      <w:rPr>
        <w:rFonts w:ascii="宋体" w:hAnsi="宋体"/>
      </w:rPr>
    </w:sdtEndPr>
    <w:sdtContent>
      <w:p>
        <w:pPr>
          <w:pStyle w:val="35"/>
          <w:jc w:val="center"/>
          <w:rPr>
            <w:rStyle w:val="60"/>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79</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92"/>
      <w:rPr>
        <w:rStyle w:val="60"/>
      </w:rPr>
    </w:pPr>
    <w:r>
      <w:rPr>
        <w:rStyle w:val="60"/>
      </w:rPr>
      <w:fldChar w:fldCharType="begin"/>
    </w:r>
    <w:r>
      <w:rPr>
        <w:rStyle w:val="60"/>
      </w:rPr>
      <w:instrText xml:space="preserve">PAGE  </w:instrText>
    </w:r>
    <w:r>
      <w:rPr>
        <w:rStyle w:val="60"/>
      </w:rPr>
      <w:fldChar w:fldCharType="separate"/>
    </w:r>
    <w:r>
      <w:rPr>
        <w:rStyle w:val="60"/>
        <w:rFonts w:hint="eastAsia"/>
      </w:rPr>
      <w:t>一</w:t>
    </w:r>
    <w:r>
      <w:rPr>
        <w:rStyle w:val="60"/>
      </w:rPr>
      <w:t>–2</w:t>
    </w:r>
    <w:r>
      <w:rPr>
        <w:rStyle w:val="60"/>
      </w:rPr>
      <w:fldChar w:fldCharType="end"/>
    </w:r>
  </w:p>
  <w:p>
    <w:pPr>
      <w:pStyle w:val="3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594162"/>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84</w:t>
        </w:r>
        <w:r>
          <w:rPr>
            <w:rFonts w:ascii="宋体" w:hAnsi="宋体"/>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47258"/>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80</w:t>
        </w:r>
        <w:r>
          <w:rPr>
            <w:rFonts w:ascii="宋体" w:hAnsi="宋体"/>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9056884"/>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90</w:t>
        </w:r>
        <w:r>
          <w:rPr>
            <w:rFonts w:ascii="宋体" w:hAnsi="宋体"/>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60"/>
      </w:rPr>
    </w:pPr>
    <w:r>
      <w:rPr>
        <w:rStyle w:val="60"/>
      </w:rPr>
      <w:fldChar w:fldCharType="begin"/>
    </w:r>
    <w:r>
      <w:rPr>
        <w:rStyle w:val="60"/>
      </w:rPr>
      <w:instrText xml:space="preserve">PAGE  </w:instrText>
    </w:r>
    <w:r>
      <w:rPr>
        <w:rStyle w:val="60"/>
      </w:rPr>
      <w:fldChar w:fldCharType="separate"/>
    </w:r>
    <w:r>
      <w:rPr>
        <w:rStyle w:val="60"/>
        <w:rFonts w:hint="eastAsia"/>
      </w:rPr>
      <w:t>一</w:t>
    </w:r>
    <w:r>
      <w:rPr>
        <w:rStyle w:val="60"/>
      </w:rPr>
      <w:t>–2</w:t>
    </w:r>
    <w:r>
      <w:rPr>
        <w:rStyle w:val="60"/>
      </w:rPr>
      <w:fldChar w:fldCharType="end"/>
    </w:r>
  </w:p>
  <w:p>
    <w:pPr>
      <w:pStyle w:val="35"/>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09283"/>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87</w:t>
        </w:r>
        <w:r>
          <w:rPr>
            <w:rFonts w:ascii="宋体" w:hAnsi="宋体"/>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5824743"/>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94</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E0236"/>
    <w:multiLevelType w:val="multilevel"/>
    <w:tmpl w:val="204E0236"/>
    <w:lvl w:ilvl="0" w:tentative="0">
      <w:start w:val="1"/>
      <w:numFmt w:val="chineseCountingThousand"/>
      <w:pStyle w:val="238"/>
      <w:lvlText w:val="第%1章"/>
      <w:lvlJc w:val="left"/>
      <w:pPr>
        <w:tabs>
          <w:tab w:val="left" w:pos="0"/>
        </w:tabs>
        <w:ind w:left="0" w:firstLine="0"/>
      </w:pPr>
      <w:rPr>
        <w:rFonts w:hint="eastAsia"/>
      </w:rPr>
    </w:lvl>
    <w:lvl w:ilvl="1" w:tentative="0">
      <w:start w:val="1"/>
      <w:numFmt w:val="decimal"/>
      <w:lvlText w:val="%2."/>
      <w:lvlJc w:val="left"/>
      <w:pPr>
        <w:tabs>
          <w:tab w:val="left" w:pos="442"/>
        </w:tabs>
        <w:ind w:left="193" w:firstLine="227"/>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15F818B"/>
    <w:multiLevelType w:val="singleLevel"/>
    <w:tmpl w:val="215F818B"/>
    <w:lvl w:ilvl="0" w:tentative="0">
      <w:start w:val="1"/>
      <w:numFmt w:val="decimal"/>
      <w:suff w:val="nothing"/>
      <w:lvlText w:val="%1、"/>
      <w:lvlJc w:val="left"/>
    </w:lvl>
  </w:abstractNum>
  <w:abstractNum w:abstractNumId="2">
    <w:nsid w:val="259905B5"/>
    <w:multiLevelType w:val="multilevel"/>
    <w:tmpl w:val="259905B5"/>
    <w:lvl w:ilvl="0" w:tentative="0">
      <w:start w:val="1"/>
      <w:numFmt w:val="chineseCountingThousand"/>
      <w:pStyle w:val="126"/>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3">
    <w:nsid w:val="41076F3C"/>
    <w:multiLevelType w:val="multilevel"/>
    <w:tmpl w:val="41076F3C"/>
    <w:lvl w:ilvl="0" w:tentative="0">
      <w:start w:val="1"/>
      <w:numFmt w:val="decimal"/>
      <w:pStyle w:val="254"/>
      <w:lvlText w:val="%1"/>
      <w:lvlJc w:val="left"/>
      <w:pPr>
        <w:tabs>
          <w:tab w:val="left" w:pos="425"/>
        </w:tabs>
        <w:ind w:left="425" w:hanging="425"/>
      </w:pPr>
      <w:rPr>
        <w:rFonts w:hint="eastAsia" w:eastAsia="黑体"/>
        <w:b/>
        <w:i w:val="0"/>
        <w:sz w:val="24"/>
        <w:szCs w:val="24"/>
      </w:rPr>
    </w:lvl>
    <w:lvl w:ilvl="1" w:tentative="0">
      <w:start w:val="1"/>
      <w:numFmt w:val="decimal"/>
      <w:lvlText w:val="%1.%2"/>
      <w:lvlJc w:val="left"/>
      <w:pPr>
        <w:tabs>
          <w:tab w:val="left" w:pos="425"/>
        </w:tabs>
        <w:ind w:left="425" w:hanging="425"/>
      </w:pPr>
      <w:rPr>
        <w:rFonts w:hint="eastAsia" w:ascii="宋体" w:hAnsi="宋体" w:eastAsia="宋体"/>
        <w:b w:val="0"/>
        <w:sz w:val="21"/>
        <w:szCs w:val="21"/>
      </w:rPr>
    </w:lvl>
    <w:lvl w:ilvl="2" w:tentative="0">
      <w:start w:val="1"/>
      <w:numFmt w:val="decimal"/>
      <w:lvlText w:val="%1.%2.%3"/>
      <w:lvlJc w:val="left"/>
      <w:pPr>
        <w:tabs>
          <w:tab w:val="left" w:pos="1418"/>
        </w:tabs>
        <w:ind w:left="1418" w:hanging="567"/>
      </w:pPr>
      <w:rPr>
        <w:rFonts w:hint="eastAsia" w:ascii="宋体" w:hAnsi="宋体" w:eastAsia="宋体"/>
        <w:b w:val="0"/>
        <w:sz w:val="21"/>
        <w:szCs w:val="21"/>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5383389"/>
    <w:multiLevelType w:val="singleLevel"/>
    <w:tmpl w:val="45383389"/>
    <w:lvl w:ilvl="0" w:tentative="0">
      <w:start w:val="1"/>
      <w:numFmt w:val="decimal"/>
      <w:pStyle w:val="164"/>
      <w:lvlText w:val="%1．"/>
      <w:lvlJc w:val="left"/>
      <w:pPr>
        <w:tabs>
          <w:tab w:val="left" w:pos="750"/>
        </w:tabs>
        <w:ind w:left="750" w:hanging="330"/>
      </w:pPr>
      <w:rPr>
        <w:rFonts w:hint="eastAsia"/>
      </w:rPr>
    </w:lvl>
  </w:abstractNum>
  <w:abstractNum w:abstractNumId="5">
    <w:nsid w:val="513369F5"/>
    <w:multiLevelType w:val="multilevel"/>
    <w:tmpl w:val="513369F5"/>
    <w:lvl w:ilvl="0" w:tentative="0">
      <w:start w:val="31"/>
      <w:numFmt w:val="decimal"/>
      <w:lvlText w:val="%1"/>
      <w:lvlJc w:val="left"/>
      <w:pPr>
        <w:tabs>
          <w:tab w:val="left" w:pos="425"/>
        </w:tabs>
        <w:ind w:left="425" w:hanging="425"/>
      </w:pPr>
      <w:rPr>
        <w:rFonts w:hint="eastAsia"/>
      </w:rPr>
    </w:lvl>
    <w:lvl w:ilvl="1" w:tentative="0">
      <w:start w:val="1"/>
      <w:numFmt w:val="decimal"/>
      <w:pStyle w:val="195"/>
      <w:lvlText w:val="%1.%2"/>
      <w:lvlJc w:val="left"/>
      <w:pPr>
        <w:tabs>
          <w:tab w:val="left" w:pos="992"/>
        </w:tabs>
        <w:ind w:left="992" w:hanging="567"/>
      </w:pPr>
      <w:rPr>
        <w:rFonts w:hint="eastAsia"/>
        <w:b w:val="0"/>
        <w:i w:val="0"/>
        <w:color w:val="auto"/>
        <w:sz w:val="28"/>
        <w:szCs w:val="28"/>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6">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TYyN2EzOGU4MGFjMjUxMzQ5YjA5MDNlYWQ2MTgifQ=="/>
  </w:docVars>
  <w:rsids>
    <w:rsidRoot w:val="007B41BE"/>
    <w:rsid w:val="00006760"/>
    <w:rsid w:val="000200EE"/>
    <w:rsid w:val="000203E8"/>
    <w:rsid w:val="00045DD4"/>
    <w:rsid w:val="0005034D"/>
    <w:rsid w:val="000575F8"/>
    <w:rsid w:val="00065906"/>
    <w:rsid w:val="00066DD9"/>
    <w:rsid w:val="000771FA"/>
    <w:rsid w:val="00097A2E"/>
    <w:rsid w:val="000C1007"/>
    <w:rsid w:val="000C11E0"/>
    <w:rsid w:val="000C2710"/>
    <w:rsid w:val="000C3300"/>
    <w:rsid w:val="000D396E"/>
    <w:rsid w:val="000F25B4"/>
    <w:rsid w:val="00100279"/>
    <w:rsid w:val="00110596"/>
    <w:rsid w:val="001251F8"/>
    <w:rsid w:val="00125E20"/>
    <w:rsid w:val="00130BF3"/>
    <w:rsid w:val="00166D71"/>
    <w:rsid w:val="00167058"/>
    <w:rsid w:val="001734A1"/>
    <w:rsid w:val="00181CAA"/>
    <w:rsid w:val="00182C71"/>
    <w:rsid w:val="00183793"/>
    <w:rsid w:val="00187576"/>
    <w:rsid w:val="001B0E2F"/>
    <w:rsid w:val="001B2E57"/>
    <w:rsid w:val="001E15A9"/>
    <w:rsid w:val="001E4598"/>
    <w:rsid w:val="001F2BBB"/>
    <w:rsid w:val="001F5481"/>
    <w:rsid w:val="001F6495"/>
    <w:rsid w:val="002421A8"/>
    <w:rsid w:val="00244AB3"/>
    <w:rsid w:val="00245A5D"/>
    <w:rsid w:val="0025797E"/>
    <w:rsid w:val="002D1618"/>
    <w:rsid w:val="002D271D"/>
    <w:rsid w:val="002D52AB"/>
    <w:rsid w:val="002E5CB1"/>
    <w:rsid w:val="003026D7"/>
    <w:rsid w:val="00311F04"/>
    <w:rsid w:val="00332AC3"/>
    <w:rsid w:val="003334D9"/>
    <w:rsid w:val="003336CD"/>
    <w:rsid w:val="00334C0A"/>
    <w:rsid w:val="00336AA3"/>
    <w:rsid w:val="00337B82"/>
    <w:rsid w:val="003612C7"/>
    <w:rsid w:val="00384757"/>
    <w:rsid w:val="0039283C"/>
    <w:rsid w:val="003B59E5"/>
    <w:rsid w:val="003D1FFA"/>
    <w:rsid w:val="003F68A7"/>
    <w:rsid w:val="00401F97"/>
    <w:rsid w:val="00402E53"/>
    <w:rsid w:val="00406625"/>
    <w:rsid w:val="0042276C"/>
    <w:rsid w:val="0042507D"/>
    <w:rsid w:val="004370EC"/>
    <w:rsid w:val="004424B8"/>
    <w:rsid w:val="00444D8E"/>
    <w:rsid w:val="00446531"/>
    <w:rsid w:val="004604B9"/>
    <w:rsid w:val="004A0FFD"/>
    <w:rsid w:val="004B295D"/>
    <w:rsid w:val="004B3D57"/>
    <w:rsid w:val="004B7FD7"/>
    <w:rsid w:val="0050177A"/>
    <w:rsid w:val="005036DB"/>
    <w:rsid w:val="00512E60"/>
    <w:rsid w:val="0054677E"/>
    <w:rsid w:val="0057102B"/>
    <w:rsid w:val="005866FB"/>
    <w:rsid w:val="00596B7C"/>
    <w:rsid w:val="005971D5"/>
    <w:rsid w:val="005A6E10"/>
    <w:rsid w:val="005B4070"/>
    <w:rsid w:val="005C212B"/>
    <w:rsid w:val="005D6AF6"/>
    <w:rsid w:val="005E213C"/>
    <w:rsid w:val="006036EF"/>
    <w:rsid w:val="006038BD"/>
    <w:rsid w:val="00610C74"/>
    <w:rsid w:val="00615218"/>
    <w:rsid w:val="0064252D"/>
    <w:rsid w:val="00643C58"/>
    <w:rsid w:val="006505AC"/>
    <w:rsid w:val="006646E8"/>
    <w:rsid w:val="00673B83"/>
    <w:rsid w:val="00680BFD"/>
    <w:rsid w:val="00696DBF"/>
    <w:rsid w:val="006B3E27"/>
    <w:rsid w:val="006B3FAD"/>
    <w:rsid w:val="006B6B0D"/>
    <w:rsid w:val="006F0524"/>
    <w:rsid w:val="006F3576"/>
    <w:rsid w:val="006F3618"/>
    <w:rsid w:val="006F7585"/>
    <w:rsid w:val="00711AAA"/>
    <w:rsid w:val="007221B0"/>
    <w:rsid w:val="00723F79"/>
    <w:rsid w:val="0073229B"/>
    <w:rsid w:val="00741509"/>
    <w:rsid w:val="00746B43"/>
    <w:rsid w:val="00754E78"/>
    <w:rsid w:val="007559B1"/>
    <w:rsid w:val="00780EC8"/>
    <w:rsid w:val="007818C6"/>
    <w:rsid w:val="00792743"/>
    <w:rsid w:val="007A2254"/>
    <w:rsid w:val="007B41BE"/>
    <w:rsid w:val="007B681B"/>
    <w:rsid w:val="007C6BEE"/>
    <w:rsid w:val="007D6D06"/>
    <w:rsid w:val="007E7A91"/>
    <w:rsid w:val="00814895"/>
    <w:rsid w:val="00830632"/>
    <w:rsid w:val="00835C9E"/>
    <w:rsid w:val="008556AD"/>
    <w:rsid w:val="00867BE4"/>
    <w:rsid w:val="0087155F"/>
    <w:rsid w:val="0089357A"/>
    <w:rsid w:val="008B4D33"/>
    <w:rsid w:val="008C0453"/>
    <w:rsid w:val="008C17B4"/>
    <w:rsid w:val="008D2515"/>
    <w:rsid w:val="008E4AD1"/>
    <w:rsid w:val="008E6970"/>
    <w:rsid w:val="00903FDD"/>
    <w:rsid w:val="009073B4"/>
    <w:rsid w:val="00920E49"/>
    <w:rsid w:val="00932246"/>
    <w:rsid w:val="0093473B"/>
    <w:rsid w:val="0093717E"/>
    <w:rsid w:val="00946E58"/>
    <w:rsid w:val="00956BEA"/>
    <w:rsid w:val="00970F50"/>
    <w:rsid w:val="00973342"/>
    <w:rsid w:val="00973426"/>
    <w:rsid w:val="00974ECF"/>
    <w:rsid w:val="00976FEB"/>
    <w:rsid w:val="00991949"/>
    <w:rsid w:val="0099693E"/>
    <w:rsid w:val="009A3AC4"/>
    <w:rsid w:val="009A5070"/>
    <w:rsid w:val="009A704D"/>
    <w:rsid w:val="009B31A4"/>
    <w:rsid w:val="009C6B79"/>
    <w:rsid w:val="009E2618"/>
    <w:rsid w:val="009E5CE6"/>
    <w:rsid w:val="009F42AF"/>
    <w:rsid w:val="00A0387A"/>
    <w:rsid w:val="00A0619D"/>
    <w:rsid w:val="00A20AF3"/>
    <w:rsid w:val="00A23729"/>
    <w:rsid w:val="00A23855"/>
    <w:rsid w:val="00A25292"/>
    <w:rsid w:val="00A2579D"/>
    <w:rsid w:val="00A50D34"/>
    <w:rsid w:val="00A61F9D"/>
    <w:rsid w:val="00A64E29"/>
    <w:rsid w:val="00A73704"/>
    <w:rsid w:val="00A75B4E"/>
    <w:rsid w:val="00AB3825"/>
    <w:rsid w:val="00AB3C5E"/>
    <w:rsid w:val="00AD3DEE"/>
    <w:rsid w:val="00AD558A"/>
    <w:rsid w:val="00AD6716"/>
    <w:rsid w:val="00AE26DE"/>
    <w:rsid w:val="00B063FE"/>
    <w:rsid w:val="00B5238B"/>
    <w:rsid w:val="00B618B7"/>
    <w:rsid w:val="00B93B5C"/>
    <w:rsid w:val="00B96354"/>
    <w:rsid w:val="00BC7B91"/>
    <w:rsid w:val="00BD094F"/>
    <w:rsid w:val="00BE1732"/>
    <w:rsid w:val="00BE18EA"/>
    <w:rsid w:val="00BE216D"/>
    <w:rsid w:val="00C027C1"/>
    <w:rsid w:val="00C029A8"/>
    <w:rsid w:val="00C267C0"/>
    <w:rsid w:val="00C32C1E"/>
    <w:rsid w:val="00C408D3"/>
    <w:rsid w:val="00C81F53"/>
    <w:rsid w:val="00C82C8A"/>
    <w:rsid w:val="00C85C2C"/>
    <w:rsid w:val="00C8621B"/>
    <w:rsid w:val="00C97BEE"/>
    <w:rsid w:val="00CC3A7D"/>
    <w:rsid w:val="00CD156B"/>
    <w:rsid w:val="00CD1BD1"/>
    <w:rsid w:val="00D3345F"/>
    <w:rsid w:val="00D4095E"/>
    <w:rsid w:val="00D75B45"/>
    <w:rsid w:val="00D84E64"/>
    <w:rsid w:val="00D955EF"/>
    <w:rsid w:val="00DA78D2"/>
    <w:rsid w:val="00DB04C6"/>
    <w:rsid w:val="00DB794A"/>
    <w:rsid w:val="00DC27A7"/>
    <w:rsid w:val="00E10B09"/>
    <w:rsid w:val="00E22EAB"/>
    <w:rsid w:val="00E457F6"/>
    <w:rsid w:val="00E638F3"/>
    <w:rsid w:val="00E70883"/>
    <w:rsid w:val="00E860B9"/>
    <w:rsid w:val="00EB4ADC"/>
    <w:rsid w:val="00EB6530"/>
    <w:rsid w:val="00EC014E"/>
    <w:rsid w:val="00F0245E"/>
    <w:rsid w:val="00F209FD"/>
    <w:rsid w:val="00F235D8"/>
    <w:rsid w:val="00F30F7B"/>
    <w:rsid w:val="00F40301"/>
    <w:rsid w:val="00F6340F"/>
    <w:rsid w:val="00F748E6"/>
    <w:rsid w:val="00F75585"/>
    <w:rsid w:val="00F852CE"/>
    <w:rsid w:val="00FA5926"/>
    <w:rsid w:val="00FC5596"/>
    <w:rsid w:val="01DC006A"/>
    <w:rsid w:val="020B179C"/>
    <w:rsid w:val="022A4A19"/>
    <w:rsid w:val="031900F7"/>
    <w:rsid w:val="03203D83"/>
    <w:rsid w:val="03402C79"/>
    <w:rsid w:val="03A76AB8"/>
    <w:rsid w:val="050B3F6A"/>
    <w:rsid w:val="05340028"/>
    <w:rsid w:val="057B3ACA"/>
    <w:rsid w:val="05935ABA"/>
    <w:rsid w:val="05FB5731"/>
    <w:rsid w:val="072F44E3"/>
    <w:rsid w:val="08AD3BAB"/>
    <w:rsid w:val="096F3AB3"/>
    <w:rsid w:val="09E473E6"/>
    <w:rsid w:val="09F33618"/>
    <w:rsid w:val="0AA765B7"/>
    <w:rsid w:val="0AC76B84"/>
    <w:rsid w:val="0AD97A14"/>
    <w:rsid w:val="0B282BC9"/>
    <w:rsid w:val="0CEF7A9A"/>
    <w:rsid w:val="0D493F23"/>
    <w:rsid w:val="0D75742F"/>
    <w:rsid w:val="0E5D45B7"/>
    <w:rsid w:val="0F7245FC"/>
    <w:rsid w:val="0F7E4AB5"/>
    <w:rsid w:val="0F820A60"/>
    <w:rsid w:val="0FAE54E2"/>
    <w:rsid w:val="0FEF45D8"/>
    <w:rsid w:val="100759C9"/>
    <w:rsid w:val="103D643F"/>
    <w:rsid w:val="11E8746F"/>
    <w:rsid w:val="11F076E2"/>
    <w:rsid w:val="126A32DB"/>
    <w:rsid w:val="128B651B"/>
    <w:rsid w:val="145E3082"/>
    <w:rsid w:val="14767A40"/>
    <w:rsid w:val="14D34591"/>
    <w:rsid w:val="14DF4854"/>
    <w:rsid w:val="1631611D"/>
    <w:rsid w:val="174412BF"/>
    <w:rsid w:val="175333A0"/>
    <w:rsid w:val="18151F96"/>
    <w:rsid w:val="181C07FE"/>
    <w:rsid w:val="1826340E"/>
    <w:rsid w:val="182B34D2"/>
    <w:rsid w:val="18441420"/>
    <w:rsid w:val="185A794E"/>
    <w:rsid w:val="186A473F"/>
    <w:rsid w:val="18ED51E4"/>
    <w:rsid w:val="193F5B9E"/>
    <w:rsid w:val="19622F5E"/>
    <w:rsid w:val="19C01A32"/>
    <w:rsid w:val="19CF0419"/>
    <w:rsid w:val="1A2F4635"/>
    <w:rsid w:val="1AD03189"/>
    <w:rsid w:val="1BEE7C72"/>
    <w:rsid w:val="1D33710C"/>
    <w:rsid w:val="1E486D96"/>
    <w:rsid w:val="1EBA5A37"/>
    <w:rsid w:val="1EE64172"/>
    <w:rsid w:val="1F707B1F"/>
    <w:rsid w:val="1F753DD2"/>
    <w:rsid w:val="1FC85AE5"/>
    <w:rsid w:val="20891F5C"/>
    <w:rsid w:val="20F61AF0"/>
    <w:rsid w:val="21186CA9"/>
    <w:rsid w:val="22056407"/>
    <w:rsid w:val="220F56BD"/>
    <w:rsid w:val="22274D44"/>
    <w:rsid w:val="2261219A"/>
    <w:rsid w:val="22A7378F"/>
    <w:rsid w:val="234E1484"/>
    <w:rsid w:val="23BA14DB"/>
    <w:rsid w:val="246A7AAE"/>
    <w:rsid w:val="247A2807"/>
    <w:rsid w:val="24870598"/>
    <w:rsid w:val="24A972CC"/>
    <w:rsid w:val="24D608CD"/>
    <w:rsid w:val="25704BB0"/>
    <w:rsid w:val="25996311"/>
    <w:rsid w:val="25B17FBF"/>
    <w:rsid w:val="27425EE7"/>
    <w:rsid w:val="281173C0"/>
    <w:rsid w:val="28790229"/>
    <w:rsid w:val="28B9246E"/>
    <w:rsid w:val="29114A08"/>
    <w:rsid w:val="295E4093"/>
    <w:rsid w:val="29C01785"/>
    <w:rsid w:val="29DF00DA"/>
    <w:rsid w:val="29EB7BA2"/>
    <w:rsid w:val="2A0911D4"/>
    <w:rsid w:val="2A880A7B"/>
    <w:rsid w:val="2C8B1E34"/>
    <w:rsid w:val="2D4A2837"/>
    <w:rsid w:val="2DC4660F"/>
    <w:rsid w:val="2ECB3C68"/>
    <w:rsid w:val="2F2023F3"/>
    <w:rsid w:val="2FF76494"/>
    <w:rsid w:val="300926A1"/>
    <w:rsid w:val="305A5F33"/>
    <w:rsid w:val="30997F39"/>
    <w:rsid w:val="30C54474"/>
    <w:rsid w:val="31C77798"/>
    <w:rsid w:val="31FF20E0"/>
    <w:rsid w:val="323D4A7D"/>
    <w:rsid w:val="32BF3509"/>
    <w:rsid w:val="334A1BAF"/>
    <w:rsid w:val="348523D7"/>
    <w:rsid w:val="36034CF9"/>
    <w:rsid w:val="37114C27"/>
    <w:rsid w:val="375D203C"/>
    <w:rsid w:val="38026A6F"/>
    <w:rsid w:val="383233C5"/>
    <w:rsid w:val="385D4C0B"/>
    <w:rsid w:val="397A4685"/>
    <w:rsid w:val="39C15447"/>
    <w:rsid w:val="3A493C25"/>
    <w:rsid w:val="3A5E69D2"/>
    <w:rsid w:val="3C975423"/>
    <w:rsid w:val="3CB41A48"/>
    <w:rsid w:val="3CDE354C"/>
    <w:rsid w:val="3D60411F"/>
    <w:rsid w:val="3D836233"/>
    <w:rsid w:val="3D852A13"/>
    <w:rsid w:val="3DB51D43"/>
    <w:rsid w:val="3E31009A"/>
    <w:rsid w:val="3EFC6F26"/>
    <w:rsid w:val="3F6E3246"/>
    <w:rsid w:val="3FED0857"/>
    <w:rsid w:val="40354679"/>
    <w:rsid w:val="4146521C"/>
    <w:rsid w:val="41590705"/>
    <w:rsid w:val="41E657FF"/>
    <w:rsid w:val="4242489F"/>
    <w:rsid w:val="424340DD"/>
    <w:rsid w:val="424D3EFC"/>
    <w:rsid w:val="433A4C14"/>
    <w:rsid w:val="439E22D6"/>
    <w:rsid w:val="440D6480"/>
    <w:rsid w:val="442567B2"/>
    <w:rsid w:val="460E37C6"/>
    <w:rsid w:val="47257089"/>
    <w:rsid w:val="4824430E"/>
    <w:rsid w:val="48523C0A"/>
    <w:rsid w:val="487E1A6D"/>
    <w:rsid w:val="494F4467"/>
    <w:rsid w:val="4AD2621A"/>
    <w:rsid w:val="4B3F6B82"/>
    <w:rsid w:val="4B6B7860"/>
    <w:rsid w:val="4C5322C9"/>
    <w:rsid w:val="4CBC757B"/>
    <w:rsid w:val="4E6C325B"/>
    <w:rsid w:val="4EFE1929"/>
    <w:rsid w:val="4F590E33"/>
    <w:rsid w:val="4F99565B"/>
    <w:rsid w:val="50AF5D81"/>
    <w:rsid w:val="51A44F19"/>
    <w:rsid w:val="51D11A4D"/>
    <w:rsid w:val="531A1076"/>
    <w:rsid w:val="5325169E"/>
    <w:rsid w:val="53C53EA9"/>
    <w:rsid w:val="53F92C98"/>
    <w:rsid w:val="543232C3"/>
    <w:rsid w:val="54517D85"/>
    <w:rsid w:val="548F1668"/>
    <w:rsid w:val="550B566B"/>
    <w:rsid w:val="565551B0"/>
    <w:rsid w:val="56CE5749"/>
    <w:rsid w:val="5720275D"/>
    <w:rsid w:val="578440A3"/>
    <w:rsid w:val="57DB397E"/>
    <w:rsid w:val="57EB54B7"/>
    <w:rsid w:val="57F5252A"/>
    <w:rsid w:val="58442460"/>
    <w:rsid w:val="5890467E"/>
    <w:rsid w:val="58FC251D"/>
    <w:rsid w:val="59C9560C"/>
    <w:rsid w:val="5A1D1FAE"/>
    <w:rsid w:val="5A3763F9"/>
    <w:rsid w:val="5A3D2A37"/>
    <w:rsid w:val="5AEA201A"/>
    <w:rsid w:val="5B1975EB"/>
    <w:rsid w:val="5C622E34"/>
    <w:rsid w:val="5CDF456F"/>
    <w:rsid w:val="5D572C78"/>
    <w:rsid w:val="5F2C355E"/>
    <w:rsid w:val="5F2F6E7D"/>
    <w:rsid w:val="5F4B72E8"/>
    <w:rsid w:val="5F7222F9"/>
    <w:rsid w:val="5FEE0229"/>
    <w:rsid w:val="60B6333E"/>
    <w:rsid w:val="60E33FEB"/>
    <w:rsid w:val="61112785"/>
    <w:rsid w:val="612D16B6"/>
    <w:rsid w:val="624B591B"/>
    <w:rsid w:val="631F3C14"/>
    <w:rsid w:val="63416D0D"/>
    <w:rsid w:val="63C139AA"/>
    <w:rsid w:val="63D10F78"/>
    <w:rsid w:val="642C1CCE"/>
    <w:rsid w:val="6432286F"/>
    <w:rsid w:val="6477675E"/>
    <w:rsid w:val="653505E7"/>
    <w:rsid w:val="65F922FE"/>
    <w:rsid w:val="674D36E2"/>
    <w:rsid w:val="68214DF7"/>
    <w:rsid w:val="68A13DAA"/>
    <w:rsid w:val="6A0445F0"/>
    <w:rsid w:val="6A075A18"/>
    <w:rsid w:val="6A94762C"/>
    <w:rsid w:val="6C7621DF"/>
    <w:rsid w:val="6C787452"/>
    <w:rsid w:val="6CEF4F0F"/>
    <w:rsid w:val="6D06067F"/>
    <w:rsid w:val="6DA305C4"/>
    <w:rsid w:val="6DAB59DE"/>
    <w:rsid w:val="6E076709"/>
    <w:rsid w:val="6F1A6B6A"/>
    <w:rsid w:val="6F602AE3"/>
    <w:rsid w:val="71467BE4"/>
    <w:rsid w:val="71EA002A"/>
    <w:rsid w:val="72291626"/>
    <w:rsid w:val="736600CA"/>
    <w:rsid w:val="73CC483B"/>
    <w:rsid w:val="73D177F0"/>
    <w:rsid w:val="7453487C"/>
    <w:rsid w:val="74F03C15"/>
    <w:rsid w:val="76266719"/>
    <w:rsid w:val="76D32EB9"/>
    <w:rsid w:val="76E370FF"/>
    <w:rsid w:val="77266D81"/>
    <w:rsid w:val="775D6D27"/>
    <w:rsid w:val="77904A82"/>
    <w:rsid w:val="77E331DB"/>
    <w:rsid w:val="78D00040"/>
    <w:rsid w:val="79493DB4"/>
    <w:rsid w:val="795C7E8F"/>
    <w:rsid w:val="7A7A1439"/>
    <w:rsid w:val="7A8A6DEE"/>
    <w:rsid w:val="7AD46AF3"/>
    <w:rsid w:val="7ADC31A8"/>
    <w:rsid w:val="7BB96FE3"/>
    <w:rsid w:val="7BE552DA"/>
    <w:rsid w:val="7C18217D"/>
    <w:rsid w:val="7C4B759C"/>
    <w:rsid w:val="7CDC143D"/>
    <w:rsid w:val="7CEF1130"/>
    <w:rsid w:val="7EFB1C64"/>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6"/>
    <w:autoRedefine/>
    <w:qFormat/>
    <w:uiPriority w:val="0"/>
    <w:pPr>
      <w:keepNext/>
      <w:keepLines/>
      <w:spacing w:after="120" w:line="360" w:lineRule="auto"/>
      <w:outlineLvl w:val="0"/>
    </w:pPr>
    <w:rPr>
      <w:kern w:val="44"/>
      <w:sz w:val="28"/>
      <w:szCs w:val="28"/>
    </w:rPr>
  </w:style>
  <w:style w:type="paragraph" w:styleId="3">
    <w:name w:val="heading 2"/>
    <w:basedOn w:val="1"/>
    <w:next w:val="4"/>
    <w:link w:val="78"/>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79"/>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5"/>
    <w:next w:val="4"/>
    <w:link w:val="80"/>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6"/>
    <w:next w:val="4"/>
    <w:link w:val="81"/>
    <w:autoRedefine/>
    <w:qFormat/>
    <w:uiPriority w:val="0"/>
    <w:pPr>
      <w:numPr>
        <w:ilvl w:val="4"/>
      </w:numPr>
      <w:spacing w:line="240" w:lineRule="exact"/>
      <w:outlineLvl w:val="4"/>
    </w:pPr>
  </w:style>
  <w:style w:type="paragraph" w:styleId="8">
    <w:name w:val="heading 6"/>
    <w:basedOn w:val="1"/>
    <w:next w:val="1"/>
    <w:link w:val="82"/>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4"/>
    <w:link w:val="83"/>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link w:val="84"/>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link w:val="85"/>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77"/>
    <w:autoRedefine/>
    <w:qFormat/>
    <w:uiPriority w:val="0"/>
    <w:pPr>
      <w:ind w:firstLine="420"/>
    </w:pPr>
    <w:rPr>
      <w:rFonts w:ascii="Times New Roman" w:hAnsi="Times New Roman"/>
      <w:szCs w:val="20"/>
    </w:rPr>
  </w:style>
  <w:style w:type="paragraph" w:styleId="12">
    <w:name w:val="List 3"/>
    <w:basedOn w:val="1"/>
    <w:autoRedefine/>
    <w:qFormat/>
    <w:uiPriority w:val="0"/>
    <w:pPr>
      <w:ind w:left="1260" w:hanging="420"/>
    </w:pPr>
    <w:rPr>
      <w:rFonts w:ascii="Times New Roman" w:hAnsi="Times New Roman"/>
      <w:szCs w:val="20"/>
    </w:rPr>
  </w:style>
  <w:style w:type="paragraph" w:styleId="13">
    <w:name w:val="toc 7"/>
    <w:basedOn w:val="1"/>
    <w:next w:val="1"/>
    <w:autoRedefine/>
    <w:qFormat/>
    <w:uiPriority w:val="39"/>
    <w:pPr>
      <w:ind w:left="2520" w:leftChars="1200"/>
    </w:pPr>
    <w:rPr>
      <w:rFonts w:ascii="Times New Roman" w:hAnsi="Times New Roman"/>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6"/>
    <w:autoRedefine/>
    <w:qFormat/>
    <w:uiPriority w:val="0"/>
    <w:pPr>
      <w:widowControl/>
      <w:overflowPunct w:val="0"/>
      <w:autoSpaceDE w:val="0"/>
      <w:autoSpaceDN w:val="0"/>
      <w:spacing w:after="160" w:line="340" w:lineRule="exact"/>
      <w:ind w:left="0" w:firstLine="0"/>
      <w:jc w:val="both"/>
      <w:textAlignment w:val="baseline"/>
    </w:pPr>
    <w:rPr>
      <w:rFonts w:hint="default" w:ascii="Arial Narrow" w:hAnsi="Arial Narrow" w:cs="Arial Narrow"/>
      <w:sz w:val="22"/>
      <w:szCs w:val="22"/>
      <w:lang w:val="de-DE" w:eastAsia="de-DE"/>
    </w:rPr>
  </w:style>
  <w:style w:type="paragraph" w:styleId="16">
    <w:name w:val="List"/>
    <w:basedOn w:val="1"/>
    <w:autoRedefine/>
    <w:qFormat/>
    <w:uiPriority w:val="0"/>
    <w:pPr>
      <w:adjustRightInd w:val="0"/>
      <w:spacing w:line="360" w:lineRule="atLeast"/>
      <w:ind w:left="420" w:hanging="420"/>
      <w:jc w:val="left"/>
    </w:pPr>
    <w:rPr>
      <w:rFonts w:hint="eastAsia" w:ascii="宋体" w:hAnsi="Times New Roman"/>
      <w:kern w:val="0"/>
      <w:sz w:val="24"/>
      <w:szCs w:val="20"/>
    </w:rPr>
  </w:style>
  <w:style w:type="paragraph" w:styleId="17">
    <w:name w:val="Document Map"/>
    <w:basedOn w:val="1"/>
    <w:link w:val="86"/>
    <w:autoRedefine/>
    <w:qFormat/>
    <w:uiPriority w:val="0"/>
    <w:pPr>
      <w:shd w:val="clear" w:color="auto" w:fill="000080"/>
    </w:pPr>
    <w:rPr>
      <w:rFonts w:ascii="Times New Roman" w:hAnsi="Times New Roman"/>
      <w:szCs w:val="20"/>
    </w:rPr>
  </w:style>
  <w:style w:type="paragraph" w:styleId="18">
    <w:name w:val="toa heading"/>
    <w:basedOn w:val="1"/>
    <w:next w:val="1"/>
    <w:autoRedefine/>
    <w:qFormat/>
    <w:uiPriority w:val="99"/>
    <w:pPr>
      <w:spacing w:before="120"/>
    </w:pPr>
    <w:rPr>
      <w:rFonts w:ascii="Arial" w:hAnsi="Arial" w:cs="Arial"/>
      <w:sz w:val="24"/>
      <w:szCs w:val="24"/>
    </w:rPr>
  </w:style>
  <w:style w:type="paragraph" w:styleId="19">
    <w:name w:val="annotation text"/>
    <w:basedOn w:val="1"/>
    <w:link w:val="87"/>
    <w:autoRedefine/>
    <w:qFormat/>
    <w:uiPriority w:val="0"/>
    <w:pPr>
      <w:spacing w:line="360" w:lineRule="auto"/>
      <w:ind w:firstLine="523" w:firstLineChars="218"/>
      <w:jc w:val="left"/>
    </w:pPr>
    <w:rPr>
      <w:rFonts w:ascii="宋体" w:hAnsi="宋体"/>
      <w:sz w:val="24"/>
      <w:szCs w:val="24"/>
    </w:rPr>
  </w:style>
  <w:style w:type="paragraph" w:styleId="20">
    <w:name w:val="Salutation"/>
    <w:basedOn w:val="1"/>
    <w:next w:val="1"/>
    <w:link w:val="276"/>
    <w:autoRedefine/>
    <w:unhideWhenUsed/>
    <w:qFormat/>
    <w:uiPriority w:val="0"/>
    <w:rPr>
      <w:rFonts w:ascii="Times New Roman" w:hAnsi="Times New Roman"/>
      <w:kern w:val="0"/>
      <w:sz w:val="30"/>
      <w:szCs w:val="20"/>
    </w:rPr>
  </w:style>
  <w:style w:type="paragraph" w:styleId="21">
    <w:name w:val="Body Text 3"/>
    <w:basedOn w:val="1"/>
    <w:link w:val="147"/>
    <w:autoRedefine/>
    <w:qFormat/>
    <w:uiPriority w:val="0"/>
    <w:rPr>
      <w:rFonts w:ascii="宋体" w:hAnsi="宋体"/>
      <w:szCs w:val="20"/>
      <w:u w:val="single"/>
      <w:bdr w:val="single" w:color="auto" w:sz="4" w:space="0"/>
    </w:rPr>
  </w:style>
  <w:style w:type="paragraph" w:styleId="22">
    <w:name w:val="Body Text"/>
    <w:basedOn w:val="1"/>
    <w:next w:val="1"/>
    <w:link w:val="74"/>
    <w:autoRedefine/>
    <w:qFormat/>
    <w:uiPriority w:val="0"/>
    <w:pPr>
      <w:spacing w:after="120"/>
    </w:pPr>
    <w:rPr>
      <w:rFonts w:ascii="Times New Roman" w:hAnsi="Times New Roman"/>
      <w:szCs w:val="20"/>
    </w:rPr>
  </w:style>
  <w:style w:type="paragraph" w:styleId="23">
    <w:name w:val="Body Text Indent"/>
    <w:basedOn w:val="1"/>
    <w:next w:val="24"/>
    <w:link w:val="88"/>
    <w:autoRedefine/>
    <w:qFormat/>
    <w:uiPriority w:val="0"/>
    <w:pPr>
      <w:ind w:firstLine="570"/>
    </w:pPr>
    <w:rPr>
      <w:rFonts w:ascii="Times New Roman" w:hAnsi="Times New Roman"/>
      <w:sz w:val="28"/>
      <w:szCs w:val="20"/>
    </w:rPr>
  </w:style>
  <w:style w:type="paragraph" w:styleId="24">
    <w:name w:val="envelope return"/>
    <w:basedOn w:val="1"/>
    <w:autoRedefine/>
    <w:qFormat/>
    <w:uiPriority w:val="0"/>
    <w:pPr>
      <w:snapToGrid w:val="0"/>
    </w:pPr>
    <w:rPr>
      <w:rFonts w:ascii="Arial" w:hAnsi="Arial"/>
      <w:szCs w:val="24"/>
    </w:rPr>
  </w:style>
  <w:style w:type="paragraph" w:styleId="25">
    <w:name w:val="List 2"/>
    <w:basedOn w:val="1"/>
    <w:autoRedefine/>
    <w:qFormat/>
    <w:uiPriority w:val="0"/>
    <w:pPr>
      <w:jc w:val="center"/>
    </w:pPr>
    <w:rPr>
      <w:rFonts w:ascii="宋体" w:hAnsi="Times New Roman"/>
      <w:sz w:val="24"/>
      <w:szCs w:val="20"/>
    </w:rPr>
  </w:style>
  <w:style w:type="paragraph" w:styleId="26">
    <w:name w:val="Block Text"/>
    <w:basedOn w:val="1"/>
    <w:autoRedefine/>
    <w:qFormat/>
    <w:uiPriority w:val="99"/>
    <w:pPr>
      <w:spacing w:line="360" w:lineRule="auto"/>
      <w:ind w:left="351" w:right="176" w:firstLine="643" w:firstLineChars="200"/>
      <w:jc w:val="center"/>
    </w:pPr>
    <w:rPr>
      <w:rFonts w:ascii="Times New Roman" w:hAnsi="Times New Roman"/>
      <w:b/>
      <w:bCs/>
      <w:sz w:val="32"/>
      <w:szCs w:val="24"/>
    </w:rPr>
  </w:style>
  <w:style w:type="paragraph" w:styleId="27">
    <w:name w:val="toc 5"/>
    <w:basedOn w:val="1"/>
    <w:next w:val="1"/>
    <w:autoRedefine/>
    <w:qFormat/>
    <w:uiPriority w:val="39"/>
    <w:pPr>
      <w:ind w:left="1680" w:leftChars="800"/>
    </w:pPr>
    <w:rPr>
      <w:rFonts w:ascii="Times New Roman" w:hAnsi="Times New Roman"/>
      <w:szCs w:val="20"/>
    </w:rPr>
  </w:style>
  <w:style w:type="paragraph" w:styleId="28">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29">
    <w:name w:val="Plain Text"/>
    <w:basedOn w:val="1"/>
    <w:next w:val="1"/>
    <w:link w:val="72"/>
    <w:autoRedefine/>
    <w:qFormat/>
    <w:uiPriority w:val="0"/>
    <w:rPr>
      <w:rFonts w:ascii="宋体" w:hAnsi="Courier New"/>
      <w:szCs w:val="20"/>
    </w:rPr>
  </w:style>
  <w:style w:type="paragraph" w:styleId="30">
    <w:name w:val="toc 8"/>
    <w:basedOn w:val="1"/>
    <w:next w:val="1"/>
    <w:autoRedefine/>
    <w:qFormat/>
    <w:uiPriority w:val="39"/>
    <w:pPr>
      <w:ind w:left="2940" w:leftChars="1400"/>
    </w:pPr>
    <w:rPr>
      <w:rFonts w:ascii="Times New Roman" w:hAnsi="Times New Roman"/>
      <w:szCs w:val="20"/>
    </w:rPr>
  </w:style>
  <w:style w:type="paragraph" w:styleId="31">
    <w:name w:val="Date"/>
    <w:basedOn w:val="1"/>
    <w:next w:val="1"/>
    <w:link w:val="89"/>
    <w:autoRedefine/>
    <w:qFormat/>
    <w:uiPriority w:val="0"/>
    <w:rPr>
      <w:rFonts w:ascii="Times New Roman" w:hAnsi="Times New Roman"/>
      <w:szCs w:val="20"/>
    </w:rPr>
  </w:style>
  <w:style w:type="paragraph" w:styleId="32">
    <w:name w:val="Body Text Indent 2"/>
    <w:basedOn w:val="1"/>
    <w:link w:val="90"/>
    <w:autoRedefine/>
    <w:qFormat/>
    <w:uiPriority w:val="0"/>
    <w:pPr>
      <w:spacing w:line="400" w:lineRule="exact"/>
      <w:ind w:left="425"/>
    </w:pPr>
    <w:rPr>
      <w:rFonts w:ascii="Times New Roman" w:hAnsi="Times New Roman"/>
      <w:color w:val="000000"/>
      <w:sz w:val="24"/>
      <w:szCs w:val="20"/>
    </w:rPr>
  </w:style>
  <w:style w:type="paragraph" w:styleId="33">
    <w:name w:val="endnote text"/>
    <w:basedOn w:val="1"/>
    <w:link w:val="91"/>
    <w:autoRedefine/>
    <w:qFormat/>
    <w:uiPriority w:val="0"/>
    <w:pPr>
      <w:snapToGrid w:val="0"/>
      <w:jc w:val="left"/>
    </w:pPr>
    <w:rPr>
      <w:rFonts w:ascii="Times New Roman" w:hAnsi="Times New Roman"/>
      <w:szCs w:val="20"/>
    </w:rPr>
  </w:style>
  <w:style w:type="paragraph" w:styleId="34">
    <w:name w:val="Balloon Text"/>
    <w:basedOn w:val="1"/>
    <w:link w:val="92"/>
    <w:autoRedefine/>
    <w:qFormat/>
    <w:uiPriority w:val="0"/>
    <w:rPr>
      <w:rFonts w:ascii="Times New Roman" w:hAnsi="Times New Roman"/>
      <w:sz w:val="18"/>
      <w:szCs w:val="18"/>
    </w:rPr>
  </w:style>
  <w:style w:type="paragraph" w:styleId="35">
    <w:name w:val="footer"/>
    <w:basedOn w:val="1"/>
    <w:link w:val="93"/>
    <w:autoRedefine/>
    <w:unhideWhenUsed/>
    <w:qFormat/>
    <w:uiPriority w:val="99"/>
    <w:pPr>
      <w:tabs>
        <w:tab w:val="center" w:pos="4153"/>
        <w:tab w:val="right" w:pos="8306"/>
      </w:tabs>
      <w:snapToGrid w:val="0"/>
      <w:jc w:val="left"/>
    </w:pPr>
    <w:rPr>
      <w:sz w:val="18"/>
      <w:szCs w:val="18"/>
    </w:rPr>
  </w:style>
  <w:style w:type="paragraph" w:styleId="36">
    <w:name w:val="header"/>
    <w:basedOn w:val="1"/>
    <w:link w:val="9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link w:val="278"/>
    <w:autoRedefine/>
    <w:qFormat/>
    <w:uiPriority w:val="0"/>
    <w:pPr>
      <w:widowControl/>
      <w:overflowPunct w:val="0"/>
      <w:autoSpaceDE w:val="0"/>
      <w:autoSpaceDN w:val="0"/>
      <w:adjustRightInd w:val="0"/>
      <w:spacing w:after="120" w:line="360" w:lineRule="auto"/>
      <w:textAlignment w:val="baseline"/>
    </w:pPr>
    <w:rPr>
      <w:rFonts w:ascii="Wund" w:hAnsi="Wund"/>
      <w:kern w:val="0"/>
      <w:sz w:val="22"/>
      <w:szCs w:val="20"/>
      <w:lang w:val="de-DE" w:eastAsia="de-DE"/>
    </w:rPr>
  </w:style>
  <w:style w:type="paragraph" w:styleId="38">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9">
    <w:name w:val="toc 4"/>
    <w:basedOn w:val="1"/>
    <w:next w:val="1"/>
    <w:autoRedefine/>
    <w:qFormat/>
    <w:uiPriority w:val="39"/>
    <w:pPr>
      <w:ind w:left="1260" w:leftChars="600"/>
    </w:pPr>
    <w:rPr>
      <w:rFonts w:ascii="Times New Roman" w:hAnsi="Times New Roman"/>
      <w:szCs w:val="20"/>
    </w:rPr>
  </w:style>
  <w:style w:type="paragraph" w:styleId="40">
    <w:name w:val="Subtitle"/>
    <w:basedOn w:val="41"/>
    <w:next w:val="22"/>
    <w:link w:val="280"/>
    <w:autoRedefine/>
    <w:qFormat/>
    <w:uiPriority w:val="0"/>
    <w:pPr>
      <w:keepLines/>
      <w:widowControl/>
      <w:overflowPunct w:val="0"/>
      <w:autoSpaceDE w:val="0"/>
      <w:autoSpaceDN w:val="0"/>
      <w:adjustRightInd w:val="0"/>
      <w:spacing w:before="360" w:after="240" w:line="360" w:lineRule="auto"/>
      <w:textAlignment w:val="baseline"/>
    </w:pPr>
    <w:rPr>
      <w:rFonts w:ascii="Cambria" w:hAnsi="Cambria"/>
      <w:bCs/>
      <w:kern w:val="28"/>
      <w:sz w:val="32"/>
      <w:szCs w:val="32"/>
      <w:lang w:val="de-DE" w:eastAsia="de-DE"/>
    </w:rPr>
  </w:style>
  <w:style w:type="paragraph" w:styleId="41">
    <w:name w:val="Title"/>
    <w:basedOn w:val="1"/>
    <w:link w:val="73"/>
    <w:autoRedefine/>
    <w:qFormat/>
    <w:uiPriority w:val="0"/>
    <w:pPr>
      <w:spacing w:before="120" w:after="60"/>
      <w:jc w:val="center"/>
    </w:pPr>
    <w:rPr>
      <w:rFonts w:ascii="Arial" w:hAnsi="Arial"/>
      <w:b/>
      <w:sz w:val="44"/>
      <w:szCs w:val="20"/>
    </w:rPr>
  </w:style>
  <w:style w:type="paragraph" w:styleId="42">
    <w:name w:val="footnote text"/>
    <w:basedOn w:val="1"/>
    <w:link w:val="95"/>
    <w:autoRedefine/>
    <w:qFormat/>
    <w:uiPriority w:val="0"/>
    <w:pPr>
      <w:snapToGrid w:val="0"/>
      <w:spacing w:line="360" w:lineRule="auto"/>
      <w:ind w:firstLine="523" w:firstLineChars="218"/>
      <w:jc w:val="left"/>
    </w:pPr>
    <w:rPr>
      <w:rFonts w:ascii="宋体" w:hAnsi="宋体"/>
      <w:sz w:val="18"/>
      <w:szCs w:val="18"/>
    </w:rPr>
  </w:style>
  <w:style w:type="paragraph" w:styleId="43">
    <w:name w:val="toc 6"/>
    <w:basedOn w:val="1"/>
    <w:next w:val="1"/>
    <w:autoRedefine/>
    <w:qFormat/>
    <w:uiPriority w:val="39"/>
    <w:pPr>
      <w:ind w:left="2100" w:leftChars="1000"/>
    </w:pPr>
    <w:rPr>
      <w:rFonts w:ascii="Times New Roman" w:hAnsi="Times New Roman"/>
      <w:szCs w:val="20"/>
    </w:rPr>
  </w:style>
  <w:style w:type="paragraph" w:styleId="44">
    <w:name w:val="Body Text Indent 3"/>
    <w:basedOn w:val="1"/>
    <w:link w:val="96"/>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45">
    <w:name w:val="table of figures"/>
    <w:basedOn w:val="1"/>
    <w:next w:val="1"/>
    <w:autoRedefine/>
    <w:semiHidden/>
    <w:qFormat/>
    <w:uiPriority w:val="0"/>
    <w:pPr>
      <w:ind w:left="840" w:leftChars="200" w:hanging="420" w:hangingChars="200"/>
    </w:pPr>
    <w:rPr>
      <w:rFonts w:ascii="Times New Roman" w:hAnsi="Times New Roman"/>
      <w:szCs w:val="24"/>
    </w:rPr>
  </w:style>
  <w:style w:type="paragraph" w:styleId="46">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47">
    <w:name w:val="toc 9"/>
    <w:basedOn w:val="1"/>
    <w:next w:val="1"/>
    <w:autoRedefine/>
    <w:qFormat/>
    <w:uiPriority w:val="39"/>
    <w:pPr>
      <w:ind w:left="3360" w:leftChars="1600"/>
    </w:pPr>
    <w:rPr>
      <w:rFonts w:ascii="Times New Roman" w:hAnsi="Times New Roman"/>
      <w:szCs w:val="20"/>
    </w:rPr>
  </w:style>
  <w:style w:type="paragraph" w:styleId="48">
    <w:name w:val="Body Text 2"/>
    <w:basedOn w:val="1"/>
    <w:link w:val="97"/>
    <w:autoRedefine/>
    <w:qFormat/>
    <w:uiPriority w:val="0"/>
    <w:rPr>
      <w:rFonts w:ascii="宋体" w:hAnsi="宋体"/>
      <w:szCs w:val="24"/>
      <w:u w:val="single"/>
    </w:rPr>
  </w:style>
  <w:style w:type="paragraph" w:styleId="49">
    <w:name w:val="HTML Preformatted"/>
    <w:basedOn w:val="1"/>
    <w:link w:val="2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lang w:val="de-DE" w:eastAsia="de-DE"/>
    </w:rPr>
  </w:style>
  <w:style w:type="paragraph" w:styleId="50">
    <w:name w:val="Normal (Web)"/>
    <w:basedOn w:val="1"/>
    <w:autoRedefine/>
    <w:qFormat/>
    <w:uiPriority w:val="0"/>
    <w:rPr>
      <w:rFonts w:ascii="Times New Roman" w:hAnsi="Times New Roman"/>
      <w:sz w:val="24"/>
    </w:rPr>
  </w:style>
  <w:style w:type="paragraph" w:styleId="51">
    <w:name w:val="index 1"/>
    <w:basedOn w:val="1"/>
    <w:next w:val="1"/>
    <w:autoRedefine/>
    <w:qFormat/>
    <w:uiPriority w:val="0"/>
    <w:rPr>
      <w:rFonts w:ascii="Times New Roman" w:hAnsi="Times New Roman" w:eastAsia="仿宋_GB2312"/>
      <w:sz w:val="28"/>
      <w:szCs w:val="20"/>
    </w:rPr>
  </w:style>
  <w:style w:type="paragraph" w:styleId="52">
    <w:name w:val="annotation subject"/>
    <w:basedOn w:val="19"/>
    <w:next w:val="19"/>
    <w:link w:val="98"/>
    <w:autoRedefine/>
    <w:qFormat/>
    <w:uiPriority w:val="0"/>
    <w:rPr>
      <w:b/>
      <w:bCs/>
    </w:rPr>
  </w:style>
  <w:style w:type="paragraph" w:styleId="53">
    <w:name w:val="Body Text First Indent"/>
    <w:basedOn w:val="22"/>
    <w:link w:val="75"/>
    <w:autoRedefine/>
    <w:qFormat/>
    <w:uiPriority w:val="0"/>
    <w:pPr>
      <w:ind w:firstLine="420"/>
    </w:pPr>
  </w:style>
  <w:style w:type="paragraph" w:styleId="54">
    <w:name w:val="Body Text First Indent 2"/>
    <w:basedOn w:val="23"/>
    <w:link w:val="99"/>
    <w:autoRedefine/>
    <w:semiHidden/>
    <w:unhideWhenUsed/>
    <w:qFormat/>
    <w:uiPriority w:val="0"/>
    <w:pPr>
      <w:spacing w:after="120"/>
      <w:ind w:left="420" w:leftChars="200" w:firstLine="420" w:firstLineChars="200"/>
    </w:pPr>
    <w:rPr>
      <w:sz w:val="21"/>
      <w:szCs w:val="22"/>
    </w:rPr>
  </w:style>
  <w:style w:type="table" w:styleId="56">
    <w:name w:val="Table Grid"/>
    <w:basedOn w:val="5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basedOn w:val="57"/>
    <w:autoRedefine/>
    <w:qFormat/>
    <w:uiPriority w:val="0"/>
    <w:rPr>
      <w:b/>
      <w:bCs/>
    </w:rPr>
  </w:style>
  <w:style w:type="character" w:styleId="59">
    <w:name w:val="endnote reference"/>
    <w:autoRedefine/>
    <w:qFormat/>
    <w:uiPriority w:val="0"/>
    <w:rPr>
      <w:vertAlign w:val="superscript"/>
    </w:rPr>
  </w:style>
  <w:style w:type="character" w:styleId="60">
    <w:name w:val="page number"/>
    <w:autoRedefine/>
    <w:qFormat/>
    <w:uiPriority w:val="99"/>
    <w:rPr>
      <w:rFonts w:cs="Times New Roman"/>
    </w:rPr>
  </w:style>
  <w:style w:type="character" w:styleId="61">
    <w:name w:val="FollowedHyperlink"/>
    <w:autoRedefine/>
    <w:unhideWhenUsed/>
    <w:qFormat/>
    <w:uiPriority w:val="0"/>
    <w:rPr>
      <w:color w:val="954F72"/>
      <w:u w:val="single"/>
    </w:rPr>
  </w:style>
  <w:style w:type="character" w:styleId="62">
    <w:name w:val="Emphasis"/>
    <w:autoRedefine/>
    <w:qFormat/>
    <w:uiPriority w:val="0"/>
    <w:rPr>
      <w:i/>
      <w:iCs/>
      <w:sz w:val="24"/>
      <w:szCs w:val="24"/>
    </w:rPr>
  </w:style>
  <w:style w:type="character" w:styleId="63">
    <w:name w:val="HTML Definition"/>
    <w:basedOn w:val="57"/>
    <w:autoRedefine/>
    <w:semiHidden/>
    <w:unhideWhenUsed/>
    <w:qFormat/>
    <w:uiPriority w:val="99"/>
    <w:rPr>
      <w:i/>
      <w:iCs/>
    </w:rPr>
  </w:style>
  <w:style w:type="character" w:styleId="64">
    <w:name w:val="Hyperlink"/>
    <w:basedOn w:val="57"/>
    <w:autoRedefine/>
    <w:qFormat/>
    <w:uiPriority w:val="99"/>
    <w:rPr>
      <w:color w:val="0000FF"/>
      <w:u w:val="single"/>
    </w:rPr>
  </w:style>
  <w:style w:type="character" w:styleId="65">
    <w:name w:val="HTML Code"/>
    <w:basedOn w:val="57"/>
    <w:autoRedefine/>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66">
    <w:name w:val="annotation reference"/>
    <w:basedOn w:val="57"/>
    <w:autoRedefine/>
    <w:qFormat/>
    <w:uiPriority w:val="0"/>
    <w:rPr>
      <w:sz w:val="21"/>
      <w:szCs w:val="21"/>
    </w:rPr>
  </w:style>
  <w:style w:type="character" w:styleId="67">
    <w:name w:val="footnote reference"/>
    <w:autoRedefine/>
    <w:qFormat/>
    <w:uiPriority w:val="0"/>
    <w:rPr>
      <w:vertAlign w:val="superscript"/>
    </w:rPr>
  </w:style>
  <w:style w:type="character" w:styleId="68">
    <w:name w:val="HTML Keyboard"/>
    <w:basedOn w:val="57"/>
    <w:autoRedefine/>
    <w:semiHidden/>
    <w:unhideWhenUsed/>
    <w:qFormat/>
    <w:uiPriority w:val="99"/>
    <w:rPr>
      <w:rFonts w:ascii="Consolas" w:hAnsi="Consolas" w:eastAsia="Consolas" w:cs="Consolas"/>
      <w:color w:val="FFFFFF"/>
      <w:sz w:val="21"/>
      <w:szCs w:val="21"/>
      <w:shd w:val="clear" w:color="auto" w:fill="333333"/>
    </w:rPr>
  </w:style>
  <w:style w:type="character" w:styleId="69">
    <w:name w:val="HTML Sample"/>
    <w:basedOn w:val="57"/>
    <w:autoRedefine/>
    <w:semiHidden/>
    <w:unhideWhenUsed/>
    <w:qFormat/>
    <w:uiPriority w:val="99"/>
    <w:rPr>
      <w:rFonts w:hint="default" w:ascii="Consolas" w:hAnsi="Consolas" w:eastAsia="Consolas" w:cs="Consolas"/>
      <w:sz w:val="21"/>
      <w:szCs w:val="21"/>
    </w:rPr>
  </w:style>
  <w:style w:type="paragraph" w:customStyle="1" w:styleId="70">
    <w:name w:val="Default"/>
    <w:autoRedefine/>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71">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纯文本 字符1"/>
    <w:link w:val="29"/>
    <w:autoRedefine/>
    <w:qFormat/>
    <w:uiPriority w:val="0"/>
    <w:rPr>
      <w:rFonts w:ascii="宋体" w:hAnsi="Courier New" w:eastAsia="宋体" w:cs="Times New Roman"/>
      <w:szCs w:val="20"/>
    </w:rPr>
  </w:style>
  <w:style w:type="character" w:customStyle="1" w:styleId="73">
    <w:name w:val="标题 字符1"/>
    <w:link w:val="41"/>
    <w:autoRedefine/>
    <w:qFormat/>
    <w:uiPriority w:val="0"/>
    <w:rPr>
      <w:rFonts w:ascii="Arial" w:hAnsi="Arial" w:eastAsia="宋体" w:cs="Times New Roman"/>
      <w:b/>
      <w:sz w:val="44"/>
      <w:szCs w:val="20"/>
    </w:rPr>
  </w:style>
  <w:style w:type="character" w:customStyle="1" w:styleId="74">
    <w:name w:val="正文文本 字符1"/>
    <w:link w:val="22"/>
    <w:autoRedefine/>
    <w:qFormat/>
    <w:uiPriority w:val="0"/>
    <w:rPr>
      <w:rFonts w:ascii="Times New Roman" w:hAnsi="Times New Roman" w:eastAsia="宋体" w:cs="Times New Roman"/>
      <w:szCs w:val="20"/>
    </w:rPr>
  </w:style>
  <w:style w:type="character" w:customStyle="1" w:styleId="75">
    <w:name w:val="正文首行缩进 字符1"/>
    <w:link w:val="53"/>
    <w:autoRedefine/>
    <w:qFormat/>
    <w:uiPriority w:val="0"/>
  </w:style>
  <w:style w:type="character" w:customStyle="1" w:styleId="76">
    <w:name w:val="标题 1 字符1"/>
    <w:link w:val="2"/>
    <w:autoRedefine/>
    <w:qFormat/>
    <w:uiPriority w:val="0"/>
    <w:rPr>
      <w:rFonts w:ascii="Arial" w:hAnsi="Arial" w:eastAsia="宋体"/>
      <w:b/>
      <w:kern w:val="44"/>
      <w:sz w:val="28"/>
      <w:szCs w:val="28"/>
    </w:rPr>
  </w:style>
  <w:style w:type="character" w:customStyle="1" w:styleId="77">
    <w:name w:val="正文缩进 字符"/>
    <w:link w:val="4"/>
    <w:autoRedefine/>
    <w:qFormat/>
    <w:locked/>
    <w:uiPriority w:val="0"/>
    <w:rPr>
      <w:rFonts w:ascii="Times New Roman" w:hAnsi="Times New Roman" w:eastAsia="宋体"/>
      <w:kern w:val="2"/>
      <w:sz w:val="21"/>
    </w:rPr>
  </w:style>
  <w:style w:type="character" w:customStyle="1" w:styleId="78">
    <w:name w:val="标题 2 字符1"/>
    <w:link w:val="3"/>
    <w:autoRedefine/>
    <w:qFormat/>
    <w:uiPriority w:val="0"/>
    <w:rPr>
      <w:rFonts w:ascii="Arial" w:hAnsi="Arial" w:eastAsia="宋体" w:cs="Times New Roman"/>
      <w:b/>
      <w:color w:val="000000"/>
      <w:sz w:val="24"/>
      <w:szCs w:val="24"/>
    </w:rPr>
  </w:style>
  <w:style w:type="character" w:customStyle="1" w:styleId="79">
    <w:name w:val="标题 3 字符1"/>
    <w:link w:val="5"/>
    <w:autoRedefine/>
    <w:qFormat/>
    <w:uiPriority w:val="0"/>
    <w:rPr>
      <w:rFonts w:ascii="宋体" w:hAnsi="宋体" w:eastAsia="宋体" w:cs="宋体"/>
      <w:kern w:val="0"/>
      <w:sz w:val="27"/>
      <w:szCs w:val="27"/>
    </w:rPr>
  </w:style>
  <w:style w:type="character" w:customStyle="1" w:styleId="80">
    <w:name w:val="标题 4 字符1"/>
    <w:link w:val="6"/>
    <w:autoRedefine/>
    <w:qFormat/>
    <w:uiPriority w:val="0"/>
    <w:rPr>
      <w:rFonts w:ascii="Arial" w:hAnsi="Arial" w:eastAsia="宋体" w:cs="Times New Roman"/>
      <w:color w:val="000000"/>
      <w:szCs w:val="21"/>
    </w:rPr>
  </w:style>
  <w:style w:type="character" w:customStyle="1" w:styleId="81">
    <w:name w:val="标题 5 字符1"/>
    <w:link w:val="7"/>
    <w:autoRedefine/>
    <w:qFormat/>
    <w:uiPriority w:val="0"/>
    <w:rPr>
      <w:rFonts w:ascii="Arial" w:hAnsi="Arial" w:eastAsia="宋体"/>
      <w:color w:val="000000"/>
      <w:kern w:val="2"/>
      <w:sz w:val="21"/>
      <w:szCs w:val="21"/>
    </w:rPr>
  </w:style>
  <w:style w:type="character" w:customStyle="1" w:styleId="82">
    <w:name w:val="标题 6 字符1"/>
    <w:link w:val="8"/>
    <w:autoRedefine/>
    <w:qFormat/>
    <w:uiPriority w:val="0"/>
    <w:rPr>
      <w:rFonts w:ascii="Arial" w:hAnsi="Arial" w:eastAsia="黑体" w:cs="Times New Roman"/>
      <w:b/>
      <w:bCs/>
      <w:sz w:val="24"/>
      <w:szCs w:val="24"/>
    </w:rPr>
  </w:style>
  <w:style w:type="character" w:customStyle="1" w:styleId="83">
    <w:name w:val="标题 7 字符1"/>
    <w:link w:val="9"/>
    <w:autoRedefine/>
    <w:qFormat/>
    <w:uiPriority w:val="0"/>
    <w:rPr>
      <w:rFonts w:ascii="Times New Roman" w:hAnsi="Times New Roman" w:eastAsia="宋体" w:cs="Times New Roman"/>
      <w:b/>
      <w:sz w:val="24"/>
      <w:szCs w:val="20"/>
    </w:rPr>
  </w:style>
  <w:style w:type="character" w:customStyle="1" w:styleId="84">
    <w:name w:val="标题 8 字符1"/>
    <w:link w:val="10"/>
    <w:autoRedefine/>
    <w:qFormat/>
    <w:uiPriority w:val="0"/>
    <w:rPr>
      <w:rFonts w:ascii="Arial" w:hAnsi="Arial" w:eastAsia="黑体" w:cs="Times New Roman"/>
      <w:sz w:val="24"/>
      <w:szCs w:val="20"/>
    </w:rPr>
  </w:style>
  <w:style w:type="character" w:customStyle="1" w:styleId="85">
    <w:name w:val="标题 9 字符1"/>
    <w:link w:val="11"/>
    <w:autoRedefine/>
    <w:qFormat/>
    <w:uiPriority w:val="0"/>
    <w:rPr>
      <w:rFonts w:ascii="Arial" w:hAnsi="Arial" w:eastAsia="黑体" w:cs="Times New Roman"/>
      <w:szCs w:val="20"/>
    </w:rPr>
  </w:style>
  <w:style w:type="character" w:customStyle="1" w:styleId="86">
    <w:name w:val="文档结构图 字符1"/>
    <w:link w:val="17"/>
    <w:autoRedefine/>
    <w:qFormat/>
    <w:uiPriority w:val="0"/>
    <w:rPr>
      <w:rFonts w:ascii="Times New Roman" w:hAnsi="Times New Roman" w:eastAsia="宋体" w:cs="Times New Roman"/>
      <w:szCs w:val="20"/>
      <w:shd w:val="clear" w:color="auto" w:fill="000080"/>
    </w:rPr>
  </w:style>
  <w:style w:type="character" w:customStyle="1" w:styleId="87">
    <w:name w:val="批注文字 字符1"/>
    <w:link w:val="19"/>
    <w:autoRedefine/>
    <w:qFormat/>
    <w:uiPriority w:val="0"/>
    <w:rPr>
      <w:rFonts w:ascii="宋体" w:hAnsi="宋体" w:eastAsia="宋体" w:cs="Times New Roman"/>
      <w:sz w:val="24"/>
      <w:szCs w:val="24"/>
    </w:rPr>
  </w:style>
  <w:style w:type="character" w:customStyle="1" w:styleId="88">
    <w:name w:val="正文文本缩进 字符1"/>
    <w:link w:val="23"/>
    <w:autoRedefine/>
    <w:qFormat/>
    <w:uiPriority w:val="0"/>
    <w:rPr>
      <w:rFonts w:ascii="Times New Roman" w:hAnsi="Times New Roman" w:eastAsia="宋体" w:cs="Times New Roman"/>
      <w:sz w:val="28"/>
      <w:szCs w:val="20"/>
    </w:rPr>
  </w:style>
  <w:style w:type="character" w:customStyle="1" w:styleId="89">
    <w:name w:val="日期 字符1"/>
    <w:link w:val="31"/>
    <w:autoRedefine/>
    <w:qFormat/>
    <w:uiPriority w:val="0"/>
    <w:rPr>
      <w:rFonts w:ascii="Times New Roman" w:hAnsi="Times New Roman" w:eastAsia="宋体" w:cs="Times New Roman"/>
      <w:szCs w:val="20"/>
    </w:rPr>
  </w:style>
  <w:style w:type="character" w:customStyle="1" w:styleId="90">
    <w:name w:val="正文文本缩进 2 字符1"/>
    <w:link w:val="32"/>
    <w:autoRedefine/>
    <w:qFormat/>
    <w:uiPriority w:val="0"/>
    <w:rPr>
      <w:rFonts w:ascii="Times New Roman" w:hAnsi="Times New Roman" w:eastAsia="宋体" w:cs="Times New Roman"/>
      <w:color w:val="000000"/>
      <w:sz w:val="24"/>
      <w:szCs w:val="20"/>
    </w:rPr>
  </w:style>
  <w:style w:type="character" w:customStyle="1" w:styleId="91">
    <w:name w:val="尾注文本 字符1"/>
    <w:link w:val="33"/>
    <w:autoRedefine/>
    <w:qFormat/>
    <w:uiPriority w:val="0"/>
    <w:rPr>
      <w:rFonts w:ascii="Times New Roman" w:hAnsi="Times New Roman" w:eastAsia="宋体" w:cs="Times New Roman"/>
      <w:szCs w:val="20"/>
    </w:rPr>
  </w:style>
  <w:style w:type="character" w:customStyle="1" w:styleId="92">
    <w:name w:val="批注框文本 字符1"/>
    <w:link w:val="34"/>
    <w:autoRedefine/>
    <w:qFormat/>
    <w:uiPriority w:val="0"/>
    <w:rPr>
      <w:rFonts w:ascii="Times New Roman" w:hAnsi="Times New Roman" w:eastAsia="宋体" w:cs="Times New Roman"/>
      <w:sz w:val="18"/>
      <w:szCs w:val="18"/>
    </w:rPr>
  </w:style>
  <w:style w:type="character" w:customStyle="1" w:styleId="93">
    <w:name w:val="页脚 字符1"/>
    <w:link w:val="35"/>
    <w:autoRedefine/>
    <w:qFormat/>
    <w:uiPriority w:val="99"/>
    <w:rPr>
      <w:rFonts w:ascii="Calibri" w:hAnsi="Calibri" w:eastAsia="宋体" w:cs="Times New Roman"/>
      <w:sz w:val="18"/>
      <w:szCs w:val="18"/>
    </w:rPr>
  </w:style>
  <w:style w:type="character" w:customStyle="1" w:styleId="94">
    <w:name w:val="页眉 字符1"/>
    <w:link w:val="36"/>
    <w:autoRedefine/>
    <w:qFormat/>
    <w:uiPriority w:val="99"/>
    <w:rPr>
      <w:rFonts w:ascii="Calibri" w:hAnsi="Calibri" w:eastAsia="宋体" w:cs="Times New Roman"/>
      <w:sz w:val="18"/>
      <w:szCs w:val="18"/>
    </w:rPr>
  </w:style>
  <w:style w:type="character" w:customStyle="1" w:styleId="95">
    <w:name w:val="脚注文本 字符1"/>
    <w:link w:val="42"/>
    <w:autoRedefine/>
    <w:qFormat/>
    <w:uiPriority w:val="0"/>
    <w:rPr>
      <w:rFonts w:ascii="宋体" w:hAnsi="宋体" w:eastAsia="宋体" w:cs="Times New Roman"/>
      <w:sz w:val="18"/>
      <w:szCs w:val="18"/>
    </w:rPr>
  </w:style>
  <w:style w:type="character" w:customStyle="1" w:styleId="96">
    <w:name w:val="正文文本缩进 3 字符1"/>
    <w:link w:val="44"/>
    <w:autoRedefine/>
    <w:qFormat/>
    <w:uiPriority w:val="0"/>
    <w:rPr>
      <w:rFonts w:ascii="Times New Roman" w:hAnsi="Times New Roman" w:eastAsia="宋体" w:cs="Times New Roman"/>
      <w:color w:val="000000"/>
      <w:sz w:val="24"/>
      <w:szCs w:val="20"/>
    </w:rPr>
  </w:style>
  <w:style w:type="character" w:customStyle="1" w:styleId="97">
    <w:name w:val="正文文本 2 字符1"/>
    <w:link w:val="48"/>
    <w:autoRedefine/>
    <w:qFormat/>
    <w:uiPriority w:val="0"/>
    <w:rPr>
      <w:rFonts w:ascii="宋体" w:hAnsi="宋体" w:eastAsia="宋体" w:cs="Times New Roman"/>
      <w:szCs w:val="24"/>
      <w:u w:val="single"/>
    </w:rPr>
  </w:style>
  <w:style w:type="character" w:customStyle="1" w:styleId="98">
    <w:name w:val="批注主题 字符1"/>
    <w:link w:val="52"/>
    <w:autoRedefine/>
    <w:qFormat/>
    <w:uiPriority w:val="0"/>
    <w:rPr>
      <w:rFonts w:ascii="宋体" w:hAnsi="宋体" w:eastAsia="宋体" w:cs="Times New Roman"/>
      <w:b/>
      <w:bCs/>
      <w:sz w:val="24"/>
      <w:szCs w:val="24"/>
    </w:rPr>
  </w:style>
  <w:style w:type="character" w:customStyle="1" w:styleId="99">
    <w:name w:val="正文首行缩进 2 字符"/>
    <w:basedOn w:val="88"/>
    <w:link w:val="54"/>
    <w:autoRedefine/>
    <w:semiHidden/>
    <w:qFormat/>
    <w:uiPriority w:val="0"/>
    <w:rPr>
      <w:rFonts w:ascii="Times New Roman" w:hAnsi="Times New Roman" w:eastAsia="宋体" w:cs="Times New Roman"/>
      <w:kern w:val="2"/>
      <w:sz w:val="21"/>
      <w:szCs w:val="22"/>
    </w:rPr>
  </w:style>
  <w:style w:type="character" w:customStyle="1" w:styleId="100">
    <w:name w:val="标题 1 字符"/>
    <w:autoRedefine/>
    <w:qFormat/>
    <w:uiPriority w:val="9"/>
    <w:rPr>
      <w:rFonts w:ascii="Calibri" w:hAnsi="Calibri" w:eastAsia="宋体" w:cs="Times New Roman"/>
      <w:b/>
      <w:bCs/>
      <w:kern w:val="44"/>
      <w:sz w:val="44"/>
      <w:szCs w:val="44"/>
    </w:rPr>
  </w:style>
  <w:style w:type="character" w:customStyle="1" w:styleId="101">
    <w:name w:val="标题 2 字符"/>
    <w:autoRedefine/>
    <w:semiHidden/>
    <w:qFormat/>
    <w:uiPriority w:val="9"/>
    <w:rPr>
      <w:rFonts w:ascii="等线 Light" w:hAnsi="等线 Light" w:eastAsia="等线 Light" w:cs="Times New Roman"/>
      <w:b/>
      <w:bCs/>
      <w:sz w:val="32"/>
      <w:szCs w:val="32"/>
    </w:rPr>
  </w:style>
  <w:style w:type="character" w:customStyle="1" w:styleId="102">
    <w:name w:val="标题 3 字符"/>
    <w:autoRedefine/>
    <w:semiHidden/>
    <w:qFormat/>
    <w:uiPriority w:val="9"/>
    <w:rPr>
      <w:rFonts w:ascii="Calibri" w:hAnsi="Calibri" w:eastAsia="宋体" w:cs="Times New Roman"/>
      <w:b/>
      <w:bCs/>
      <w:sz w:val="32"/>
      <w:szCs w:val="32"/>
    </w:rPr>
  </w:style>
  <w:style w:type="character" w:customStyle="1" w:styleId="103">
    <w:name w:val="标题 4 字符"/>
    <w:autoRedefine/>
    <w:semiHidden/>
    <w:qFormat/>
    <w:uiPriority w:val="9"/>
    <w:rPr>
      <w:rFonts w:ascii="等线 Light" w:hAnsi="等线 Light" w:eastAsia="等线 Light" w:cs="Times New Roman"/>
      <w:b/>
      <w:bCs/>
      <w:sz w:val="28"/>
      <w:szCs w:val="28"/>
    </w:rPr>
  </w:style>
  <w:style w:type="character" w:customStyle="1" w:styleId="104">
    <w:name w:val="标题 5 字符"/>
    <w:autoRedefine/>
    <w:semiHidden/>
    <w:qFormat/>
    <w:uiPriority w:val="9"/>
    <w:rPr>
      <w:rFonts w:ascii="Calibri" w:hAnsi="Calibri" w:eastAsia="宋体" w:cs="Times New Roman"/>
      <w:b/>
      <w:bCs/>
      <w:sz w:val="28"/>
      <w:szCs w:val="28"/>
    </w:rPr>
  </w:style>
  <w:style w:type="character" w:customStyle="1" w:styleId="105">
    <w:name w:val="标题 6 字符"/>
    <w:autoRedefine/>
    <w:semiHidden/>
    <w:qFormat/>
    <w:uiPriority w:val="9"/>
    <w:rPr>
      <w:rFonts w:ascii="等线 Light" w:hAnsi="等线 Light" w:eastAsia="等线 Light" w:cs="Times New Roman"/>
      <w:b/>
      <w:bCs/>
      <w:sz w:val="24"/>
      <w:szCs w:val="24"/>
    </w:rPr>
  </w:style>
  <w:style w:type="character" w:customStyle="1" w:styleId="106">
    <w:name w:val="标题 7 字符"/>
    <w:autoRedefine/>
    <w:semiHidden/>
    <w:qFormat/>
    <w:uiPriority w:val="9"/>
    <w:rPr>
      <w:rFonts w:ascii="Calibri" w:hAnsi="Calibri" w:eastAsia="宋体" w:cs="Times New Roman"/>
      <w:b/>
      <w:bCs/>
      <w:sz w:val="24"/>
      <w:szCs w:val="24"/>
    </w:rPr>
  </w:style>
  <w:style w:type="character" w:customStyle="1" w:styleId="107">
    <w:name w:val="标题 8 字符"/>
    <w:autoRedefine/>
    <w:semiHidden/>
    <w:qFormat/>
    <w:uiPriority w:val="9"/>
    <w:rPr>
      <w:rFonts w:ascii="等线 Light" w:hAnsi="等线 Light" w:eastAsia="等线 Light" w:cs="Times New Roman"/>
      <w:sz w:val="24"/>
      <w:szCs w:val="24"/>
    </w:rPr>
  </w:style>
  <w:style w:type="character" w:customStyle="1" w:styleId="108">
    <w:name w:val="标题 9 字符"/>
    <w:semiHidden/>
    <w:qFormat/>
    <w:uiPriority w:val="9"/>
    <w:rPr>
      <w:rFonts w:ascii="等线 Light" w:hAnsi="等线 Light" w:eastAsia="等线 Light" w:cs="Times New Roman"/>
      <w:szCs w:val="21"/>
    </w:rPr>
  </w:style>
  <w:style w:type="character" w:customStyle="1" w:styleId="109">
    <w:name w:val="页眉 字符"/>
    <w:autoRedefine/>
    <w:qFormat/>
    <w:uiPriority w:val="99"/>
    <w:rPr>
      <w:rFonts w:ascii="Calibri" w:hAnsi="Calibri" w:eastAsia="宋体" w:cs="Times New Roman"/>
      <w:sz w:val="18"/>
      <w:szCs w:val="18"/>
    </w:rPr>
  </w:style>
  <w:style w:type="character" w:customStyle="1" w:styleId="110">
    <w:name w:val="页脚 字符"/>
    <w:autoRedefine/>
    <w:qFormat/>
    <w:uiPriority w:val="99"/>
    <w:rPr>
      <w:rFonts w:ascii="Calibri" w:hAnsi="Calibri" w:eastAsia="宋体" w:cs="Times New Roman"/>
      <w:sz w:val="18"/>
      <w:szCs w:val="18"/>
    </w:rPr>
  </w:style>
  <w:style w:type="character" w:customStyle="1" w:styleId="111">
    <w:name w:val="标题 字符"/>
    <w:autoRedefine/>
    <w:qFormat/>
    <w:uiPriority w:val="10"/>
    <w:rPr>
      <w:rFonts w:ascii="等线 Light" w:hAnsi="等线 Light" w:eastAsia="等线 Light" w:cs="Times New Roman"/>
      <w:b/>
      <w:bCs/>
      <w:sz w:val="32"/>
      <w:szCs w:val="32"/>
    </w:rPr>
  </w:style>
  <w:style w:type="character" w:customStyle="1" w:styleId="112">
    <w:name w:val="正文文本 字符"/>
    <w:autoRedefine/>
    <w:qFormat/>
    <w:uiPriority w:val="99"/>
    <w:rPr>
      <w:rFonts w:ascii="Calibri" w:hAnsi="Calibri" w:eastAsia="宋体" w:cs="Times New Roman"/>
    </w:rPr>
  </w:style>
  <w:style w:type="character" w:customStyle="1" w:styleId="113">
    <w:name w:val="正文首行缩进 字符"/>
    <w:basedOn w:val="112"/>
    <w:autoRedefine/>
    <w:semiHidden/>
    <w:qFormat/>
    <w:uiPriority w:val="99"/>
    <w:rPr>
      <w:rFonts w:ascii="Calibri" w:hAnsi="Calibri" w:eastAsia="宋体" w:cs="Times New Roman"/>
    </w:rPr>
  </w:style>
  <w:style w:type="character" w:customStyle="1" w:styleId="114">
    <w:name w:val="日期 字符"/>
    <w:autoRedefine/>
    <w:semiHidden/>
    <w:qFormat/>
    <w:uiPriority w:val="99"/>
    <w:rPr>
      <w:rFonts w:ascii="Calibri" w:hAnsi="Calibri" w:eastAsia="宋体" w:cs="Times New Roman"/>
    </w:rPr>
  </w:style>
  <w:style w:type="character" w:customStyle="1" w:styleId="115">
    <w:name w:val="正文文本缩进 字符"/>
    <w:autoRedefine/>
    <w:qFormat/>
    <w:uiPriority w:val="99"/>
    <w:rPr>
      <w:rFonts w:ascii="Calibri" w:hAnsi="Calibri" w:eastAsia="宋体" w:cs="Times New Roman"/>
    </w:rPr>
  </w:style>
  <w:style w:type="character" w:customStyle="1" w:styleId="116">
    <w:name w:val="文档结构图 字符"/>
    <w:autoRedefine/>
    <w:qFormat/>
    <w:uiPriority w:val="99"/>
    <w:rPr>
      <w:rFonts w:ascii="Microsoft YaHei UI" w:hAnsi="Calibri" w:eastAsia="Microsoft YaHei UI" w:cs="Times New Roman"/>
      <w:sz w:val="18"/>
      <w:szCs w:val="18"/>
    </w:rPr>
  </w:style>
  <w:style w:type="character" w:customStyle="1" w:styleId="117">
    <w:name w:val="纯文本 字符"/>
    <w:autoRedefine/>
    <w:semiHidden/>
    <w:qFormat/>
    <w:uiPriority w:val="99"/>
    <w:rPr>
      <w:rFonts w:ascii="等线" w:hAnsi="Courier New" w:cs="Courier New"/>
    </w:rPr>
  </w:style>
  <w:style w:type="character" w:customStyle="1" w:styleId="118">
    <w:name w:val="正文文本缩进 2 字符"/>
    <w:autoRedefine/>
    <w:qFormat/>
    <w:uiPriority w:val="99"/>
    <w:rPr>
      <w:rFonts w:ascii="Calibri" w:hAnsi="Calibri" w:eastAsia="宋体" w:cs="Times New Roman"/>
    </w:rPr>
  </w:style>
  <w:style w:type="character" w:customStyle="1" w:styleId="119">
    <w:name w:val="正文文本缩进 3 字符"/>
    <w:autoRedefine/>
    <w:qFormat/>
    <w:uiPriority w:val="99"/>
    <w:rPr>
      <w:rFonts w:ascii="Calibri" w:hAnsi="Calibri" w:eastAsia="宋体" w:cs="Times New Roman"/>
      <w:sz w:val="16"/>
      <w:szCs w:val="16"/>
    </w:rPr>
  </w:style>
  <w:style w:type="paragraph" w:customStyle="1" w:styleId="120">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1">
    <w:name w:val="_Style 69"/>
    <w:autoRedefine/>
    <w:qFormat/>
    <w:uiPriority w:val="0"/>
    <w:rPr>
      <w:rFonts w:ascii="等线" w:hAnsi="等线" w:eastAsia="等线" w:cs="Times New Roman"/>
      <w:lang w:val="en-US" w:eastAsia="zh-CN" w:bidi="ar-SA"/>
    </w:rPr>
  </w:style>
  <w:style w:type="character" w:customStyle="1" w:styleId="122">
    <w:name w:val="正文文本 2 字符"/>
    <w:autoRedefine/>
    <w:qFormat/>
    <w:uiPriority w:val="99"/>
    <w:rPr>
      <w:rFonts w:ascii="Calibri" w:hAnsi="Calibri" w:eastAsia="宋体" w:cs="Times New Roman"/>
    </w:rPr>
  </w:style>
  <w:style w:type="paragraph" w:customStyle="1" w:styleId="123">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124">
    <w:name w:val="尾注文本 字符"/>
    <w:autoRedefine/>
    <w:qFormat/>
    <w:uiPriority w:val="99"/>
    <w:rPr>
      <w:rFonts w:ascii="Calibri" w:hAnsi="Calibri" w:eastAsia="宋体" w:cs="Times New Roman"/>
    </w:rPr>
  </w:style>
  <w:style w:type="paragraph" w:customStyle="1" w:styleId="125">
    <w:name w:val="Char"/>
    <w:basedOn w:val="1"/>
    <w:autoRedefine/>
    <w:qFormat/>
    <w:uiPriority w:val="0"/>
    <w:rPr>
      <w:rFonts w:ascii="Tahoma" w:hAnsi="Tahoma"/>
      <w:sz w:val="24"/>
      <w:szCs w:val="20"/>
    </w:rPr>
  </w:style>
  <w:style w:type="paragraph" w:customStyle="1" w:styleId="126">
    <w:name w:val="Char1"/>
    <w:basedOn w:val="1"/>
    <w:autoRedefine/>
    <w:qFormat/>
    <w:uiPriority w:val="0"/>
    <w:pPr>
      <w:numPr>
        <w:ilvl w:val="0"/>
        <w:numId w:val="1"/>
      </w:numPr>
    </w:pPr>
    <w:rPr>
      <w:rFonts w:ascii="Times New Roman" w:hAnsi="Times New Roman"/>
      <w:sz w:val="24"/>
      <w:szCs w:val="24"/>
    </w:rPr>
  </w:style>
  <w:style w:type="paragraph" w:customStyle="1" w:styleId="127">
    <w:name w:val="公文抬头"/>
    <w:basedOn w:val="4"/>
    <w:autoRedefine/>
    <w:qFormat/>
    <w:uiPriority w:val="0"/>
    <w:pPr>
      <w:ind w:firstLine="0"/>
    </w:pPr>
    <w:rPr>
      <w:rFonts w:ascii="仿宋_GB2312" w:eastAsia="仿宋_GB2312"/>
      <w:sz w:val="30"/>
      <w:szCs w:val="24"/>
    </w:rPr>
  </w:style>
  <w:style w:type="paragraph" w:customStyle="1" w:styleId="128">
    <w:name w:val="Char Char Char1 Char"/>
    <w:basedOn w:val="17"/>
    <w:autoRedefine/>
    <w:qFormat/>
    <w:uiPriority w:val="0"/>
    <w:rPr>
      <w:rFonts w:ascii="Tahoma" w:hAnsi="Tahoma"/>
      <w:sz w:val="24"/>
      <w:szCs w:val="24"/>
    </w:rPr>
  </w:style>
  <w:style w:type="paragraph" w:customStyle="1" w:styleId="12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0">
    <w:name w:val="公文标题"/>
    <w:basedOn w:val="5"/>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31">
    <w:name w:val="发文落款"/>
    <w:basedOn w:val="129"/>
    <w:autoRedefine/>
    <w:qFormat/>
    <w:uiPriority w:val="0"/>
    <w:pPr>
      <w:ind w:left="4094" w:right="607" w:firstLine="0"/>
      <w:jc w:val="center"/>
    </w:pPr>
  </w:style>
  <w:style w:type="paragraph" w:customStyle="1" w:styleId="132">
    <w:name w:val="Char Char Char Char"/>
    <w:basedOn w:val="1"/>
    <w:autoRedefine/>
    <w:qFormat/>
    <w:uiPriority w:val="0"/>
    <w:rPr>
      <w:rFonts w:ascii="Times New Roman" w:hAnsi="Times New Roman"/>
      <w:sz w:val="30"/>
      <w:szCs w:val="24"/>
    </w:rPr>
  </w:style>
  <w:style w:type="character" w:customStyle="1" w:styleId="133">
    <w:name w:val="批注框文本 字符"/>
    <w:autoRedefine/>
    <w:semiHidden/>
    <w:qFormat/>
    <w:uiPriority w:val="99"/>
    <w:rPr>
      <w:rFonts w:ascii="Calibri" w:hAnsi="Calibri" w:eastAsia="宋体" w:cs="Times New Roman"/>
      <w:sz w:val="18"/>
      <w:szCs w:val="18"/>
    </w:rPr>
  </w:style>
  <w:style w:type="paragraph" w:customStyle="1" w:styleId="134">
    <w:name w:val="TOC 标题1"/>
    <w:basedOn w:val="2"/>
    <w:next w:val="1"/>
    <w:autoRedefine/>
    <w:unhideWhenUsed/>
    <w:qFormat/>
    <w:uiPriority w:val="39"/>
    <w:pPr>
      <w:widowControl/>
      <w:spacing w:before="480" w:after="0" w:line="276" w:lineRule="auto"/>
      <w:outlineLvl w:val="9"/>
    </w:pPr>
    <w:rPr>
      <w:rFonts w:ascii="Cambria" w:hAnsi="Cambria"/>
      <w:color w:val="365F91"/>
      <w:kern w:val="0"/>
    </w:rPr>
  </w:style>
  <w:style w:type="character" w:customStyle="1" w:styleId="135">
    <w:name w:val="批注文字 字符"/>
    <w:autoRedefine/>
    <w:semiHidden/>
    <w:qFormat/>
    <w:uiPriority w:val="99"/>
    <w:rPr>
      <w:rFonts w:ascii="Calibri" w:hAnsi="Calibri" w:eastAsia="宋体" w:cs="Times New Roman"/>
    </w:rPr>
  </w:style>
  <w:style w:type="character" w:customStyle="1" w:styleId="136">
    <w:name w:val="脚注文本 字符"/>
    <w:autoRedefine/>
    <w:qFormat/>
    <w:uiPriority w:val="99"/>
    <w:rPr>
      <w:rFonts w:ascii="Calibri" w:hAnsi="Calibri" w:eastAsia="宋体" w:cs="Times New Roman"/>
      <w:sz w:val="18"/>
      <w:szCs w:val="18"/>
    </w:rPr>
  </w:style>
  <w:style w:type="character" w:customStyle="1" w:styleId="137">
    <w:name w:val="批注主题 字符"/>
    <w:autoRedefine/>
    <w:semiHidden/>
    <w:qFormat/>
    <w:uiPriority w:val="99"/>
    <w:rPr>
      <w:rFonts w:ascii="Calibri" w:hAnsi="Calibri" w:eastAsia="宋体" w:cs="Times New Roman"/>
      <w:b/>
      <w:bCs/>
    </w:rPr>
  </w:style>
  <w:style w:type="paragraph" w:styleId="138">
    <w:name w:val="List Paragraph"/>
    <w:basedOn w:val="1"/>
    <w:autoRedefine/>
    <w:qFormat/>
    <w:uiPriority w:val="0"/>
    <w:pPr>
      <w:ind w:firstLine="420" w:firstLineChars="200"/>
    </w:pPr>
    <w:rPr>
      <w:rFonts w:ascii="Times New Roman" w:hAnsi="Times New Roman"/>
      <w:szCs w:val="20"/>
    </w:rPr>
  </w:style>
  <w:style w:type="paragraph" w:customStyle="1" w:styleId="139">
    <w:name w:val="修订1"/>
    <w:autoRedefine/>
    <w:hidden/>
    <w:qFormat/>
    <w:uiPriority w:val="99"/>
    <w:rPr>
      <w:rFonts w:ascii="Times New Roman" w:hAnsi="Times New Roman" w:eastAsia="宋体" w:cs="Times New Roman"/>
      <w:kern w:val="2"/>
      <w:sz w:val="21"/>
      <w:lang w:val="en-US" w:eastAsia="zh-CN" w:bidi="ar-SA"/>
    </w:rPr>
  </w:style>
  <w:style w:type="character" w:customStyle="1" w:styleId="140">
    <w:name w:val="文一 Char Char"/>
    <w:link w:val="141"/>
    <w:autoRedefine/>
    <w:qFormat/>
    <w:uiPriority w:val="0"/>
    <w:rPr>
      <w:rFonts w:ascii="宋体" w:hAnsi="宋体"/>
      <w:snapToGrid w:val="0"/>
      <w:spacing w:val="4"/>
      <w:sz w:val="24"/>
      <w:szCs w:val="24"/>
    </w:rPr>
  </w:style>
  <w:style w:type="paragraph" w:customStyle="1" w:styleId="141">
    <w:name w:val="文一"/>
    <w:basedOn w:val="1"/>
    <w:link w:val="140"/>
    <w:autoRedefine/>
    <w:qFormat/>
    <w:uiPriority w:val="0"/>
    <w:pPr>
      <w:topLinePunct/>
      <w:adjustRightInd w:val="0"/>
      <w:snapToGrid w:val="0"/>
      <w:spacing w:line="360" w:lineRule="auto"/>
      <w:ind w:firstLine="200" w:firstLineChars="200"/>
    </w:pPr>
    <w:rPr>
      <w:rFonts w:ascii="宋体" w:hAnsi="宋体" w:eastAsia="等线"/>
      <w:snapToGrid w:val="0"/>
      <w:spacing w:val="4"/>
      <w:kern w:val="0"/>
      <w:sz w:val="24"/>
      <w:szCs w:val="24"/>
    </w:rPr>
  </w:style>
  <w:style w:type="paragraph" w:customStyle="1" w:styleId="142">
    <w:name w:val="章节三"/>
    <w:basedOn w:val="141"/>
    <w:next w:val="141"/>
    <w:autoRedefine/>
    <w:qFormat/>
    <w:uiPriority w:val="0"/>
    <w:pPr>
      <w:spacing w:beforeLines="50" w:line="240" w:lineRule="auto"/>
      <w:ind w:firstLine="0" w:firstLineChars="0"/>
      <w:jc w:val="left"/>
      <w:outlineLvl w:val="2"/>
    </w:pPr>
    <w:rPr>
      <w:rFonts w:ascii="黑体" w:eastAsia="黑体"/>
      <w:b/>
    </w:rPr>
  </w:style>
  <w:style w:type="paragraph" w:customStyle="1" w:styleId="143">
    <w:name w:val="章节二"/>
    <w:basedOn w:val="1"/>
    <w:next w:val="1"/>
    <w:autoRedefine/>
    <w:qFormat/>
    <w:uiPriority w:val="0"/>
    <w:pPr>
      <w:topLinePunct/>
      <w:adjustRightInd w:val="0"/>
      <w:snapToGrid w:val="0"/>
      <w:spacing w:beforeLines="50"/>
      <w:jc w:val="center"/>
      <w:outlineLvl w:val="1"/>
    </w:pPr>
    <w:rPr>
      <w:rFonts w:ascii="Times New Roman" w:hAnsi="Times New Roman" w:eastAsia="黑体"/>
      <w:b/>
      <w:spacing w:val="4"/>
      <w:kern w:val="0"/>
      <w:sz w:val="30"/>
      <w:szCs w:val="30"/>
    </w:rPr>
  </w:style>
  <w:style w:type="paragraph" w:customStyle="1" w:styleId="144">
    <w:name w:val="正题"/>
    <w:basedOn w:val="141"/>
    <w:next w:val="141"/>
    <w:autoRedefine/>
    <w:qFormat/>
    <w:uiPriority w:val="0"/>
    <w:pPr>
      <w:ind w:firstLine="0" w:firstLineChars="0"/>
      <w:jc w:val="center"/>
    </w:pPr>
    <w:rPr>
      <w:rFonts w:eastAsia="黑体"/>
      <w:b/>
      <w:sz w:val="36"/>
      <w:szCs w:val="36"/>
    </w:rPr>
  </w:style>
  <w:style w:type="paragraph" w:customStyle="1" w:styleId="145">
    <w:name w:val="文二"/>
    <w:basedOn w:val="1"/>
    <w:autoRedefine/>
    <w:qFormat/>
    <w:uiPriority w:val="0"/>
    <w:pPr>
      <w:jc w:val="left"/>
    </w:pPr>
    <w:rPr>
      <w:rFonts w:ascii="宋体" w:hAnsi="宋体"/>
      <w:szCs w:val="21"/>
    </w:rPr>
  </w:style>
  <w:style w:type="paragraph" w:customStyle="1" w:styleId="146">
    <w:name w:val="修订2"/>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正文文本 3 字符"/>
    <w:basedOn w:val="57"/>
    <w:link w:val="21"/>
    <w:autoRedefine/>
    <w:qFormat/>
    <w:uiPriority w:val="0"/>
    <w:rPr>
      <w:rFonts w:ascii="宋体" w:hAnsi="宋体" w:eastAsia="宋体"/>
      <w:kern w:val="2"/>
      <w:sz w:val="21"/>
      <w:u w:val="single"/>
      <w:bdr w:val="single" w:color="auto" w:sz="4" w:space="0"/>
    </w:rPr>
  </w:style>
  <w:style w:type="character" w:customStyle="1" w:styleId="148">
    <w:name w:val="标题 Char2"/>
    <w:autoRedefine/>
    <w:qFormat/>
    <w:uiPriority w:val="10"/>
    <w:rPr>
      <w:rFonts w:ascii="Arial" w:hAnsi="Arial" w:eastAsia="宋体" w:cs="Times New Roman"/>
      <w:b/>
      <w:sz w:val="44"/>
      <w:szCs w:val="24"/>
    </w:rPr>
  </w:style>
  <w:style w:type="character" w:customStyle="1" w:styleId="149">
    <w:name w:val="标题 1 Char2"/>
    <w:autoRedefine/>
    <w:qFormat/>
    <w:uiPriority w:val="0"/>
    <w:rPr>
      <w:rFonts w:ascii="Arial" w:hAnsi="Arial" w:eastAsia="宋体" w:cs="Times New Roman"/>
      <w:b/>
      <w:bCs/>
      <w:kern w:val="44"/>
      <w:sz w:val="32"/>
      <w:szCs w:val="32"/>
    </w:rPr>
  </w:style>
  <w:style w:type="paragraph" w:customStyle="1" w:styleId="150">
    <w:name w:val="Char11"/>
    <w:basedOn w:val="1"/>
    <w:autoRedefine/>
    <w:qFormat/>
    <w:uiPriority w:val="0"/>
    <w:pPr>
      <w:ind w:left="567" w:hanging="279"/>
    </w:pPr>
    <w:rPr>
      <w:rFonts w:ascii="Times New Roman" w:hAnsi="Times New Roman"/>
      <w:sz w:val="24"/>
      <w:szCs w:val="24"/>
    </w:rPr>
  </w:style>
  <w:style w:type="character" w:customStyle="1" w:styleId="151">
    <w:name w:val="Char Char"/>
    <w:autoRedefine/>
    <w:qFormat/>
    <w:uiPriority w:val="0"/>
    <w:rPr>
      <w:rFonts w:ascii="Arial" w:hAnsi="Arial" w:eastAsia="宋体"/>
      <w:b/>
      <w:kern w:val="2"/>
      <w:sz w:val="36"/>
      <w:szCs w:val="36"/>
      <w:lang w:val="en-US" w:eastAsia="zh-CN" w:bidi="ar-SA"/>
    </w:rPr>
  </w:style>
  <w:style w:type="character" w:customStyle="1" w:styleId="152">
    <w:name w:val="Char Char1"/>
    <w:autoRedefine/>
    <w:qFormat/>
    <w:uiPriority w:val="0"/>
    <w:rPr>
      <w:rFonts w:ascii="Arial" w:hAnsi="Arial" w:eastAsia="宋体"/>
      <w:b/>
      <w:bCs/>
      <w:kern w:val="44"/>
      <w:sz w:val="36"/>
      <w:szCs w:val="36"/>
      <w:lang w:val="en-US" w:eastAsia="zh-CN" w:bidi="ar-SA"/>
    </w:rPr>
  </w:style>
  <w:style w:type="paragraph" w:customStyle="1" w:styleId="153">
    <w:name w:val="标题辞"/>
    <w:basedOn w:val="2"/>
    <w:next w:val="1"/>
    <w:autoRedefine/>
    <w:qFormat/>
    <w:uiPriority w:val="0"/>
    <w:pPr>
      <w:keepLines w:val="0"/>
      <w:widowControl/>
      <w:spacing w:after="0" w:line="240" w:lineRule="auto"/>
    </w:pPr>
    <w:rPr>
      <w:rFonts w:ascii="黑体" w:hAnsi="Times New Roman" w:eastAsia="黑体"/>
      <w:kern w:val="0"/>
      <w:sz w:val="52"/>
      <w:szCs w:val="20"/>
    </w:rPr>
  </w:style>
  <w:style w:type="paragraph" w:customStyle="1" w:styleId="154">
    <w:name w:val="标题1"/>
    <w:basedOn w:val="2"/>
    <w:next w:val="1"/>
    <w:autoRedefine/>
    <w:qFormat/>
    <w:uiPriority w:val="0"/>
    <w:pPr>
      <w:keepLines w:val="0"/>
      <w:widowControl/>
      <w:spacing w:after="0" w:line="240" w:lineRule="auto"/>
    </w:pPr>
    <w:rPr>
      <w:rFonts w:ascii="黑体" w:hAnsi="Times New Roman" w:eastAsia="黑体"/>
      <w:kern w:val="0"/>
      <w:sz w:val="44"/>
      <w:szCs w:val="20"/>
    </w:rPr>
  </w:style>
  <w:style w:type="paragraph" w:customStyle="1" w:styleId="155">
    <w:name w:val="标题2"/>
    <w:basedOn w:val="3"/>
    <w:next w:val="1"/>
    <w:autoRedefine/>
    <w:qFormat/>
    <w:uiPriority w:val="0"/>
    <w:pPr>
      <w:keepNext w:val="0"/>
      <w:keepLines w:val="0"/>
      <w:tabs>
        <w:tab w:val="left" w:pos="1080"/>
      </w:tabs>
      <w:spacing w:before="0" w:after="0" w:line="360" w:lineRule="exact"/>
      <w:ind w:hanging="454"/>
      <w:outlineLvl w:val="9"/>
    </w:pPr>
    <w:rPr>
      <w:rFonts w:ascii="宋体" w:hAnsi="Times New Roman" w:eastAsia="黑体"/>
      <w:color w:val="auto"/>
      <w:sz w:val="36"/>
      <w:szCs w:val="48"/>
    </w:rPr>
  </w:style>
  <w:style w:type="paragraph" w:customStyle="1" w:styleId="156">
    <w:name w:val="标题3"/>
    <w:basedOn w:val="5"/>
    <w:next w:val="1"/>
    <w:autoRedefine/>
    <w:qFormat/>
    <w:uiPriority w:val="0"/>
    <w:pPr>
      <w:keepNext/>
      <w:keepLines/>
      <w:tabs>
        <w:tab w:val="left" w:pos="840"/>
      </w:tabs>
      <w:spacing w:before="0" w:beforeAutospacing="0" w:after="0" w:afterAutospacing="0"/>
      <w:jc w:val="center"/>
    </w:pPr>
    <w:rPr>
      <w:rFonts w:cs="Times New Roman"/>
      <w:b/>
      <w:sz w:val="32"/>
      <w:szCs w:val="20"/>
    </w:rPr>
  </w:style>
  <w:style w:type="paragraph" w:customStyle="1" w:styleId="157">
    <w:name w:val="标题4"/>
    <w:basedOn w:val="6"/>
    <w:next w:val="1"/>
    <w:autoRedefine/>
    <w:qFormat/>
    <w:uiPriority w:val="0"/>
    <w:pPr>
      <w:widowControl/>
      <w:numPr>
        <w:ilvl w:val="0"/>
        <w:numId w:val="0"/>
      </w:numPr>
      <w:tabs>
        <w:tab w:val="left" w:pos="840"/>
      </w:tabs>
      <w:spacing w:before="120" w:beforeLines="0" w:after="120" w:afterLines="0" w:line="240" w:lineRule="auto"/>
      <w:jc w:val="both"/>
    </w:pPr>
    <w:rPr>
      <w:rFonts w:ascii="宋体" w:hAnsi="宋体"/>
      <w:b/>
      <w:color w:val="auto"/>
      <w:kern w:val="0"/>
      <w:sz w:val="28"/>
      <w:szCs w:val="20"/>
    </w:rPr>
  </w:style>
  <w:style w:type="paragraph" w:customStyle="1" w:styleId="158">
    <w:name w:val="标题9"/>
    <w:basedOn w:val="1"/>
    <w:autoRedefine/>
    <w:qFormat/>
    <w:uiPriority w:val="0"/>
    <w:pPr>
      <w:spacing w:beforeLines="50" w:afterLines="50"/>
    </w:pPr>
    <w:rPr>
      <w:rFonts w:ascii="Times New Roman" w:hAnsi="Times New Roman" w:eastAsia="黑体"/>
      <w:b/>
      <w:sz w:val="32"/>
      <w:szCs w:val="24"/>
    </w:rPr>
  </w:style>
  <w:style w:type="paragraph" w:customStyle="1" w:styleId="159">
    <w:name w:val="标题10"/>
    <w:autoRedefine/>
    <w:qFormat/>
    <w:uiPriority w:val="0"/>
    <w:pPr>
      <w:spacing w:afterLines="100"/>
    </w:pPr>
    <w:rPr>
      <w:rFonts w:ascii="Times New Roman" w:hAnsi="Times New Roman" w:eastAsia="宋体" w:cs="Times New Roman"/>
      <w:b/>
      <w:sz w:val="32"/>
      <w:lang w:val="en-US" w:eastAsia="zh-CN" w:bidi="ar-SA"/>
    </w:rPr>
  </w:style>
  <w:style w:type="paragraph" w:customStyle="1" w:styleId="160">
    <w:name w:val="xl29"/>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61">
    <w:name w:val="图名"/>
    <w:basedOn w:val="1"/>
    <w:autoRedefine/>
    <w:qFormat/>
    <w:uiPriority w:val="0"/>
    <w:pPr>
      <w:spacing w:line="360" w:lineRule="auto"/>
      <w:jc w:val="center"/>
    </w:pPr>
    <w:rPr>
      <w:rFonts w:ascii="Times New Roman" w:hAnsi="Times New Roman" w:eastAsia="楷体_GB2312" w:cs="宋体"/>
      <w:b/>
      <w:sz w:val="24"/>
      <w:szCs w:val="24"/>
    </w:rPr>
  </w:style>
  <w:style w:type="paragraph" w:customStyle="1" w:styleId="162">
    <w:name w:val="biaoge"/>
    <w:basedOn w:val="1"/>
    <w:autoRedefine/>
    <w:qFormat/>
    <w:uiPriority w:val="0"/>
    <w:pPr>
      <w:widowControl/>
      <w:suppressLineNumbers/>
      <w:jc w:val="left"/>
    </w:pPr>
    <w:rPr>
      <w:rFonts w:ascii="宋体" w:hAnsi="宋体"/>
      <w:szCs w:val="21"/>
    </w:rPr>
  </w:style>
  <w:style w:type="paragraph" w:customStyle="1" w:styleId="163">
    <w:name w:val="框图"/>
    <w:basedOn w:val="1"/>
    <w:autoRedefine/>
    <w:qFormat/>
    <w:uiPriority w:val="0"/>
    <w:pPr>
      <w:widowControl/>
      <w:suppressLineNumbers/>
      <w:tabs>
        <w:tab w:val="left" w:pos="423"/>
        <w:tab w:val="left" w:pos="564"/>
        <w:tab w:val="left" w:pos="987"/>
      </w:tabs>
      <w:adjustRightInd w:val="0"/>
      <w:spacing w:beforeLines="50"/>
      <w:jc w:val="center"/>
      <w:textAlignment w:val="baseline"/>
    </w:pPr>
    <w:rPr>
      <w:rFonts w:ascii="Times New Roman" w:hAnsi="Times New Roman"/>
      <w:szCs w:val="21"/>
    </w:rPr>
  </w:style>
  <w:style w:type="paragraph" w:customStyle="1" w:styleId="164">
    <w:name w:val="前言、引言标题"/>
    <w:next w:val="1"/>
    <w:autoRedefine/>
    <w:qFormat/>
    <w:uiPriority w:val="0"/>
    <w:pPr>
      <w:numPr>
        <w:ilvl w:val="0"/>
        <w:numId w:val="3"/>
      </w:num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65">
    <w:name w:val="一级条标题"/>
    <w:basedOn w:val="3"/>
    <w:next w:val="1"/>
    <w:autoRedefine/>
    <w:qFormat/>
    <w:uiPriority w:val="0"/>
    <w:pPr>
      <w:keepNext w:val="0"/>
      <w:keepLines w:val="0"/>
      <w:widowControl/>
      <w:tabs>
        <w:tab w:val="left" w:pos="360"/>
        <w:tab w:val="left" w:pos="495"/>
        <w:tab w:val="left" w:pos="1200"/>
        <w:tab w:val="left" w:pos="1418"/>
      </w:tabs>
      <w:spacing w:before="0" w:after="0" w:line="240" w:lineRule="auto"/>
      <w:ind w:left="1418" w:hanging="567"/>
      <w:jc w:val="both"/>
      <w:outlineLvl w:val="2"/>
    </w:pPr>
    <w:rPr>
      <w:rFonts w:ascii="黑体" w:hAnsi="Times New Roman" w:eastAsia="黑体"/>
      <w:b w:val="0"/>
      <w:color w:val="auto"/>
      <w:kern w:val="0"/>
      <w:sz w:val="21"/>
      <w:szCs w:val="20"/>
    </w:rPr>
  </w:style>
  <w:style w:type="paragraph" w:customStyle="1" w:styleId="166">
    <w:name w:val="二级条标题"/>
    <w:basedOn w:val="165"/>
    <w:next w:val="1"/>
    <w:autoRedefine/>
    <w:qFormat/>
    <w:uiPriority w:val="0"/>
    <w:pPr>
      <w:tabs>
        <w:tab w:val="left" w:pos="1680"/>
        <w:tab w:val="left" w:pos="2356"/>
      </w:tabs>
      <w:ind w:left="1984" w:hanging="708"/>
      <w:outlineLvl w:val="3"/>
    </w:pPr>
  </w:style>
  <w:style w:type="paragraph" w:customStyle="1" w:styleId="167">
    <w:name w:val="三级条标题"/>
    <w:basedOn w:val="166"/>
    <w:next w:val="1"/>
    <w:autoRedefine/>
    <w:qFormat/>
    <w:uiPriority w:val="0"/>
    <w:pPr>
      <w:tabs>
        <w:tab w:val="left" w:pos="2100"/>
        <w:tab w:val="left" w:pos="2781"/>
      </w:tabs>
      <w:ind w:left="2551" w:hanging="850"/>
      <w:outlineLvl w:val="4"/>
    </w:pPr>
  </w:style>
  <w:style w:type="paragraph" w:customStyle="1" w:styleId="168">
    <w:name w:val="四级条标题"/>
    <w:basedOn w:val="167"/>
    <w:next w:val="1"/>
    <w:autoRedefine/>
    <w:qFormat/>
    <w:uiPriority w:val="0"/>
    <w:pPr>
      <w:tabs>
        <w:tab w:val="left" w:pos="2520"/>
        <w:tab w:val="left" w:pos="3566"/>
      </w:tabs>
      <w:ind w:left="3260" w:hanging="1134"/>
      <w:outlineLvl w:val="5"/>
    </w:pPr>
  </w:style>
  <w:style w:type="paragraph" w:customStyle="1" w:styleId="169">
    <w:name w:val="五级条标题"/>
    <w:basedOn w:val="168"/>
    <w:next w:val="1"/>
    <w:autoRedefine/>
    <w:qFormat/>
    <w:uiPriority w:val="0"/>
    <w:pPr>
      <w:tabs>
        <w:tab w:val="left" w:pos="2940"/>
        <w:tab w:val="left" w:pos="3991"/>
      </w:tabs>
      <w:ind w:left="3827" w:hanging="1276"/>
      <w:outlineLvl w:val="6"/>
    </w:pPr>
  </w:style>
  <w:style w:type="paragraph" w:customStyle="1" w:styleId="170">
    <w:name w:val="Char Char Char Char Char Char Char Char1 Char"/>
    <w:basedOn w:val="1"/>
    <w:autoRedefine/>
    <w:qFormat/>
    <w:uiPriority w:val="0"/>
    <w:rPr>
      <w:rFonts w:ascii="Tahoma" w:hAnsi="Tahoma" w:cs="宋体"/>
      <w:kern w:val="0"/>
      <w:sz w:val="24"/>
      <w:szCs w:val="20"/>
    </w:rPr>
  </w:style>
  <w:style w:type="paragraph" w:customStyle="1" w:styleId="171">
    <w:name w:val="默认段落字体 Para Char"/>
    <w:basedOn w:val="1"/>
    <w:autoRedefine/>
    <w:qFormat/>
    <w:uiPriority w:val="0"/>
    <w:rPr>
      <w:rFonts w:ascii="Times New Roman" w:hAnsi="Times New Roman"/>
      <w:sz w:val="30"/>
      <w:szCs w:val="24"/>
    </w:rPr>
  </w:style>
  <w:style w:type="paragraph" w:customStyle="1" w:styleId="172">
    <w:name w:val="xl37"/>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Cs w:val="21"/>
    </w:rPr>
  </w:style>
  <w:style w:type="paragraph" w:customStyle="1" w:styleId="173">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character" w:customStyle="1" w:styleId="174">
    <w:name w:val="正文文本 2 Char1"/>
    <w:autoRedefine/>
    <w:qFormat/>
    <w:uiPriority w:val="99"/>
    <w:rPr>
      <w:rFonts w:ascii="宋体" w:hAnsi="宋体" w:eastAsia="宋体" w:cs="Times New Roman"/>
      <w:szCs w:val="24"/>
      <w:u w:val="single"/>
    </w:rPr>
  </w:style>
  <w:style w:type="character" w:customStyle="1" w:styleId="175">
    <w:name w:val="Char Char4"/>
    <w:autoRedefine/>
    <w:qFormat/>
    <w:uiPriority w:val="0"/>
    <w:rPr>
      <w:rFonts w:ascii="宋体" w:hAnsi="宋体" w:eastAsia="宋体" w:cs="Times New Roman"/>
      <w:kern w:val="2"/>
      <w:sz w:val="24"/>
      <w:szCs w:val="24"/>
      <w:u w:val="single"/>
      <w:lang w:val="en-US" w:eastAsia="zh-CN" w:bidi="ar-SA"/>
    </w:rPr>
  </w:style>
  <w:style w:type="paragraph" w:customStyle="1" w:styleId="176">
    <w:name w:val="目录"/>
    <w:basedOn w:val="1"/>
    <w:autoRedefine/>
    <w:qFormat/>
    <w:uiPriority w:val="0"/>
    <w:pPr>
      <w:widowControl/>
      <w:jc w:val="center"/>
    </w:pPr>
    <w:rPr>
      <w:rFonts w:hint="eastAsia" w:ascii="宋体" w:hAnsi="Times New Roman"/>
      <w:b/>
      <w:kern w:val="0"/>
      <w:sz w:val="36"/>
      <w:szCs w:val="20"/>
    </w:rPr>
  </w:style>
  <w:style w:type="paragraph" w:customStyle="1" w:styleId="17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8">
    <w:name w:val="保留正文"/>
    <w:basedOn w:val="22"/>
    <w:autoRedefine/>
    <w:qFormat/>
    <w:uiPriority w:val="0"/>
    <w:pPr>
      <w:keepNext/>
      <w:spacing w:after="160"/>
    </w:pPr>
    <w:rPr>
      <w:szCs w:val="24"/>
    </w:rPr>
  </w:style>
  <w:style w:type="paragraph" w:customStyle="1" w:styleId="179">
    <w:name w:val="普通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81">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82">
    <w:name w:val="Para head"/>
    <w:autoRedefine/>
    <w:qFormat/>
    <w:uiPriority w:val="0"/>
    <w:rPr>
      <w:rFonts w:ascii="Arial" w:hAnsi="Arial" w:eastAsia="Times New Roman"/>
      <w:kern w:val="2"/>
      <w:sz w:val="20"/>
      <w:szCs w:val="24"/>
      <w:lang w:val="en-US" w:eastAsia="zh-CN" w:bidi="ar-SA"/>
    </w:rPr>
  </w:style>
  <w:style w:type="paragraph" w:customStyle="1" w:styleId="183">
    <w:name w:val="菲页2"/>
    <w:basedOn w:val="5"/>
    <w:autoRedefine/>
    <w:qFormat/>
    <w:uiPriority w:val="0"/>
    <w:pPr>
      <w:keepNext/>
      <w:keepLines/>
      <w:tabs>
        <w:tab w:val="left" w:pos="840"/>
        <w:tab w:val="left" w:pos="1053"/>
      </w:tabs>
      <w:spacing w:before="0" w:beforeAutospacing="0" w:after="0" w:afterAutospacing="0"/>
      <w:ind w:left="1053" w:hanging="528"/>
      <w:jc w:val="center"/>
    </w:pPr>
    <w:rPr>
      <w:rFonts w:ascii="黑体" w:eastAsia="黑体" w:cs="Times New Roman"/>
      <w:sz w:val="44"/>
      <w:szCs w:val="20"/>
    </w:rPr>
  </w:style>
  <w:style w:type="paragraph" w:customStyle="1" w:styleId="184">
    <w:name w:val="菲页1"/>
    <w:basedOn w:val="3"/>
    <w:autoRedefine/>
    <w:qFormat/>
    <w:uiPriority w:val="0"/>
    <w:pPr>
      <w:widowControl/>
      <w:spacing w:before="260" w:after="260" w:line="416" w:lineRule="auto"/>
      <w:ind w:hanging="454"/>
    </w:pPr>
    <w:rPr>
      <w:rFonts w:ascii="黑体" w:hAnsi="宋体" w:eastAsia="黑体"/>
      <w:b w:val="0"/>
      <w:color w:val="auto"/>
      <w:kern w:val="0"/>
      <w:sz w:val="52"/>
      <w:szCs w:val="20"/>
    </w:rPr>
  </w:style>
  <w:style w:type="paragraph" w:customStyle="1" w:styleId="185">
    <w:name w:val="样式1"/>
    <w:basedOn w:val="1"/>
    <w:autoRedefine/>
    <w:qFormat/>
    <w:uiPriority w:val="0"/>
    <w:pPr>
      <w:spacing w:before="120" w:after="120" w:line="300" w:lineRule="auto"/>
    </w:pPr>
    <w:rPr>
      <w:rFonts w:ascii="宋体" w:hAnsi="宋体"/>
      <w:b/>
      <w:sz w:val="24"/>
      <w:szCs w:val="20"/>
    </w:rPr>
  </w:style>
  <w:style w:type="paragraph" w:customStyle="1" w:styleId="186">
    <w:name w:val="菲页(卷)"/>
    <w:basedOn w:val="2"/>
    <w:next w:val="181"/>
    <w:autoRedefine/>
    <w:qFormat/>
    <w:uiPriority w:val="0"/>
    <w:pPr>
      <w:keepLines w:val="0"/>
      <w:widowControl/>
      <w:tabs>
        <w:tab w:val="left" w:pos="1053"/>
      </w:tabs>
      <w:spacing w:after="0" w:line="240" w:lineRule="auto"/>
      <w:ind w:left="1053" w:hanging="528"/>
      <w:outlineLvl w:val="1"/>
    </w:pPr>
    <w:rPr>
      <w:rFonts w:ascii="黑体" w:hAnsi="Times New Roman" w:eastAsia="黑体"/>
      <w:kern w:val="0"/>
      <w:sz w:val="52"/>
      <w:szCs w:val="20"/>
    </w:rPr>
  </w:style>
  <w:style w:type="paragraph" w:customStyle="1" w:styleId="18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188">
    <w:name w:val="标题 Char1"/>
    <w:autoRedefine/>
    <w:qFormat/>
    <w:uiPriority w:val="0"/>
    <w:rPr>
      <w:rFonts w:ascii="Arial" w:hAnsi="Arial" w:eastAsia="宋体"/>
      <w:b/>
      <w:kern w:val="2"/>
      <w:sz w:val="44"/>
      <w:szCs w:val="24"/>
      <w:lang w:val="en-US" w:eastAsia="zh-CN" w:bidi="ar-SA"/>
    </w:rPr>
  </w:style>
  <w:style w:type="character" w:customStyle="1" w:styleId="189">
    <w:name w:val="标题 1 Char1"/>
    <w:autoRedefine/>
    <w:qFormat/>
    <w:uiPriority w:val="0"/>
    <w:rPr>
      <w:rFonts w:ascii="Arial" w:hAnsi="Arial" w:eastAsia="宋体"/>
      <w:b/>
      <w:bCs/>
      <w:kern w:val="44"/>
      <w:sz w:val="36"/>
      <w:szCs w:val="24"/>
      <w:lang w:val="en-US" w:eastAsia="zh-CN" w:bidi="ar-SA"/>
    </w:rPr>
  </w:style>
  <w:style w:type="paragraph" w:customStyle="1" w:styleId="190">
    <w:name w:val="cjk"/>
    <w:basedOn w:val="1"/>
    <w:autoRedefine/>
    <w:qFormat/>
    <w:uiPriority w:val="0"/>
    <w:pPr>
      <w:widowControl/>
      <w:spacing w:before="284" w:after="100" w:afterAutospacing="1" w:line="360" w:lineRule="auto"/>
      <w:jc w:val="left"/>
    </w:pPr>
    <w:rPr>
      <w:rFonts w:ascii="宋体" w:hAnsi="宋体" w:cs="宋体"/>
      <w:kern w:val="0"/>
      <w:sz w:val="22"/>
    </w:rPr>
  </w:style>
  <w:style w:type="paragraph" w:customStyle="1" w:styleId="191">
    <w:name w:val="cjk1"/>
    <w:basedOn w:val="1"/>
    <w:autoRedefine/>
    <w:qFormat/>
    <w:uiPriority w:val="0"/>
    <w:pPr>
      <w:widowControl/>
      <w:spacing w:before="284" w:line="360" w:lineRule="auto"/>
      <w:jc w:val="left"/>
    </w:pPr>
    <w:rPr>
      <w:rFonts w:ascii="宋体" w:hAnsi="宋体" w:cs="宋体"/>
      <w:kern w:val="0"/>
      <w:sz w:val="22"/>
    </w:rPr>
  </w:style>
  <w:style w:type="paragraph" w:customStyle="1" w:styleId="192">
    <w:name w:val="cjk2"/>
    <w:basedOn w:val="1"/>
    <w:autoRedefine/>
    <w:qFormat/>
    <w:uiPriority w:val="0"/>
    <w:pPr>
      <w:widowControl/>
      <w:spacing w:before="284" w:line="360" w:lineRule="auto"/>
      <w:jc w:val="left"/>
    </w:pPr>
    <w:rPr>
      <w:rFonts w:ascii="宋体" w:hAnsi="宋体" w:cs="宋体"/>
      <w:kern w:val="0"/>
      <w:sz w:val="22"/>
    </w:rPr>
  </w:style>
  <w:style w:type="paragraph" w:customStyle="1" w:styleId="193">
    <w:name w:val="普通(Web)1"/>
    <w:basedOn w:val="1"/>
    <w:autoRedefine/>
    <w:qFormat/>
    <w:uiPriority w:val="0"/>
    <w:pPr>
      <w:widowControl/>
      <w:spacing w:before="284" w:line="360" w:lineRule="auto"/>
      <w:jc w:val="left"/>
    </w:pPr>
    <w:rPr>
      <w:rFonts w:ascii="宋体" w:hAnsi="宋体" w:cs="宋体"/>
      <w:kern w:val="0"/>
      <w:sz w:val="24"/>
      <w:szCs w:val="24"/>
    </w:rPr>
  </w:style>
  <w:style w:type="paragraph" w:customStyle="1" w:styleId="194">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95">
    <w:name w:val="1"/>
    <w:basedOn w:val="1"/>
    <w:next w:val="4"/>
    <w:autoRedefine/>
    <w:qFormat/>
    <w:uiPriority w:val="0"/>
    <w:pPr>
      <w:numPr>
        <w:ilvl w:val="1"/>
        <w:numId w:val="4"/>
      </w:numPr>
      <w:tabs>
        <w:tab w:val="clear" w:pos="992"/>
      </w:tabs>
      <w:ind w:left="0" w:firstLine="420"/>
    </w:pPr>
    <w:rPr>
      <w:rFonts w:ascii="Times New Roman" w:hAnsi="Times New Roman"/>
      <w:szCs w:val="20"/>
    </w:rPr>
  </w:style>
  <w:style w:type="paragraph" w:customStyle="1" w:styleId="196">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lang w:eastAsia="en-US"/>
    </w:rPr>
  </w:style>
  <w:style w:type="paragraph" w:customStyle="1" w:styleId="197">
    <w:name w:val="xl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16"/>
      <w:szCs w:val="16"/>
      <w:lang w:eastAsia="en-US"/>
    </w:rPr>
  </w:style>
  <w:style w:type="paragraph" w:customStyle="1" w:styleId="198">
    <w:name w:val="xl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Times New Roman" w:hAnsi="Times New Roman" w:eastAsia="Arial Unicode MS"/>
      <w:kern w:val="0"/>
      <w:szCs w:val="21"/>
      <w:lang w:eastAsia="en-US"/>
    </w:rPr>
  </w:style>
  <w:style w:type="paragraph" w:customStyle="1" w:styleId="199">
    <w:name w:val="xl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szCs w:val="21"/>
      <w:lang w:eastAsia="en-US"/>
    </w:rPr>
  </w:style>
  <w:style w:type="paragraph" w:customStyle="1" w:styleId="200">
    <w:name w:val="xl30"/>
    <w:basedOn w:val="1"/>
    <w:autoRedefine/>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1">
    <w:name w:val="xl31"/>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2">
    <w:name w:val="xl32"/>
    <w:basedOn w:val="1"/>
    <w:autoRedefine/>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3">
    <w:name w:val="xl33"/>
    <w:basedOn w:val="1"/>
    <w:autoRedefine/>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4">
    <w:name w:val="xl34"/>
    <w:basedOn w:val="1"/>
    <w:autoRedefine/>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5">
    <w:name w:val="xl35"/>
    <w:basedOn w:val="1"/>
    <w:autoRedefine/>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lang w:eastAsia="en-US"/>
    </w:rPr>
  </w:style>
  <w:style w:type="paragraph" w:customStyle="1" w:styleId="206">
    <w:name w:val="xl36"/>
    <w:basedOn w:val="1"/>
    <w:autoRedefine/>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lang w:eastAsia="en-US"/>
    </w:rPr>
  </w:style>
  <w:style w:type="paragraph" w:customStyle="1" w:styleId="207">
    <w:name w:val="xl3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lang w:eastAsia="en-US"/>
    </w:rPr>
  </w:style>
  <w:style w:type="paragraph" w:customStyle="1" w:styleId="208">
    <w:name w:val="xl39"/>
    <w:basedOn w:val="1"/>
    <w:autoRedefine/>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cs="Arial Unicode MS"/>
      <w:kern w:val="0"/>
      <w:sz w:val="22"/>
      <w:lang w:eastAsia="en-US"/>
    </w:rPr>
  </w:style>
  <w:style w:type="paragraph" w:customStyle="1" w:styleId="209">
    <w:name w:val="xl40"/>
    <w:basedOn w:val="1"/>
    <w:autoRedefine/>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cs="Arial Unicode MS"/>
      <w:kern w:val="0"/>
      <w:sz w:val="22"/>
      <w:lang w:eastAsia="en-US"/>
    </w:rPr>
  </w:style>
  <w:style w:type="paragraph" w:customStyle="1" w:styleId="210">
    <w:name w:val="xl41"/>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11">
    <w:name w:val="xl42"/>
    <w:basedOn w:val="1"/>
    <w:autoRedefine/>
    <w:qFormat/>
    <w:uiPriority w:val="0"/>
    <w:pPr>
      <w:widowControl/>
      <w:pBdr>
        <w:left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12">
    <w:name w:val="xl43"/>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hint="eastAsia" w:ascii="宋体" w:hAnsi="宋体" w:cs="Arial Unicode MS"/>
      <w:kern w:val="0"/>
      <w:sz w:val="22"/>
      <w:lang w:eastAsia="en-US"/>
    </w:rPr>
  </w:style>
  <w:style w:type="paragraph" w:customStyle="1" w:styleId="213">
    <w:name w:val="xl44"/>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hint="eastAsia" w:ascii="宋体" w:hAnsi="宋体" w:cs="Arial Unicode MS"/>
      <w:kern w:val="0"/>
      <w:sz w:val="22"/>
      <w:lang w:eastAsia="en-US"/>
    </w:rPr>
  </w:style>
  <w:style w:type="paragraph" w:customStyle="1" w:styleId="214">
    <w:name w:val="font7"/>
    <w:basedOn w:val="1"/>
    <w:autoRedefine/>
    <w:qFormat/>
    <w:uiPriority w:val="0"/>
    <w:pPr>
      <w:widowControl/>
      <w:spacing w:before="100" w:beforeAutospacing="1" w:after="100" w:afterAutospacing="1"/>
      <w:jc w:val="left"/>
    </w:pPr>
    <w:rPr>
      <w:rFonts w:hint="eastAsia" w:ascii="宋体" w:hAnsi="宋体" w:cs="Arial Unicode MS"/>
      <w:kern w:val="0"/>
      <w:sz w:val="22"/>
      <w:lang w:eastAsia="en-US"/>
    </w:rPr>
  </w:style>
  <w:style w:type="paragraph" w:customStyle="1" w:styleId="215">
    <w:name w:val="font8"/>
    <w:basedOn w:val="1"/>
    <w:autoRedefine/>
    <w:qFormat/>
    <w:uiPriority w:val="0"/>
    <w:pPr>
      <w:widowControl/>
      <w:spacing w:before="100" w:beforeAutospacing="1" w:after="100" w:afterAutospacing="1"/>
      <w:jc w:val="left"/>
    </w:pPr>
    <w:rPr>
      <w:rFonts w:ascii="Times New Roman" w:hAnsi="Times New Roman" w:eastAsia="Arial Unicode MS"/>
      <w:kern w:val="0"/>
      <w:sz w:val="22"/>
      <w:lang w:eastAsia="en-US"/>
    </w:rPr>
  </w:style>
  <w:style w:type="paragraph" w:customStyle="1" w:styleId="216">
    <w:name w:val="font9"/>
    <w:basedOn w:val="1"/>
    <w:autoRedefine/>
    <w:qFormat/>
    <w:uiPriority w:val="0"/>
    <w:pPr>
      <w:widowControl/>
      <w:spacing w:before="100" w:beforeAutospacing="1" w:after="100" w:afterAutospacing="1"/>
      <w:jc w:val="left"/>
    </w:pPr>
    <w:rPr>
      <w:rFonts w:ascii="Times New Roman" w:hAnsi="Times New Roman" w:eastAsia="Arial Unicode MS"/>
      <w:kern w:val="0"/>
      <w:sz w:val="18"/>
      <w:szCs w:val="18"/>
      <w:lang w:eastAsia="en-US"/>
    </w:rPr>
  </w:style>
  <w:style w:type="paragraph" w:customStyle="1" w:styleId="217">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szCs w:val="20"/>
      <w:lang w:eastAsia="en-US"/>
    </w:rPr>
  </w:style>
  <w:style w:type="paragraph" w:customStyle="1" w:styleId="21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2"/>
      <w:lang w:eastAsia="en-US"/>
    </w:rPr>
  </w:style>
  <w:style w:type="paragraph" w:customStyle="1" w:styleId="219">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Cs w:val="21"/>
      <w:lang w:eastAsia="en-US"/>
    </w:rPr>
  </w:style>
  <w:style w:type="paragraph" w:customStyle="1" w:styleId="220">
    <w:name w:val="xl48"/>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4"/>
      <w:szCs w:val="24"/>
      <w:lang w:eastAsia="en-US"/>
    </w:rPr>
  </w:style>
  <w:style w:type="paragraph" w:customStyle="1" w:styleId="221">
    <w:name w:val="xl4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lang w:eastAsia="en-US"/>
    </w:rPr>
  </w:style>
  <w:style w:type="paragraph" w:customStyle="1" w:styleId="22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223">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2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2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26">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lang w:eastAsia="en-US"/>
    </w:rPr>
  </w:style>
  <w:style w:type="paragraph" w:customStyle="1" w:styleId="227">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228">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lang w:eastAsia="en-US"/>
    </w:rPr>
  </w:style>
  <w:style w:type="paragraph" w:customStyle="1" w:styleId="229">
    <w:name w:val="xl5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30">
    <w:name w:val="xl5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231">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u w:val="single"/>
      <w:lang w:eastAsia="en-US"/>
    </w:rPr>
  </w:style>
  <w:style w:type="paragraph" w:customStyle="1" w:styleId="232">
    <w:name w:val="样式 标题 5 + 小四 行距: 1.5 倍行距"/>
    <w:basedOn w:val="7"/>
    <w:autoRedefine/>
    <w:qFormat/>
    <w:uiPriority w:val="0"/>
    <w:pPr>
      <w:keepNext w:val="0"/>
      <w:keepLines w:val="0"/>
      <w:widowControl/>
      <w:numPr>
        <w:ilvl w:val="0"/>
        <w:numId w:val="0"/>
      </w:numPr>
      <w:tabs>
        <w:tab w:val="left" w:pos="840"/>
      </w:tabs>
      <w:adjustRightInd w:val="0"/>
      <w:spacing w:before="120" w:beforeLines="0" w:after="120" w:afterLines="0" w:line="360" w:lineRule="auto"/>
      <w:textAlignment w:val="baseline"/>
    </w:pPr>
    <w:rPr>
      <w:rFonts w:ascii="Times New Roman" w:hAnsi="Times New Roman" w:eastAsia="黑体"/>
      <w:bCs/>
      <w:color w:val="auto"/>
      <w:kern w:val="0"/>
      <w:sz w:val="28"/>
      <w:szCs w:val="28"/>
      <w:lang w:val="zh-CN"/>
    </w:rPr>
  </w:style>
  <w:style w:type="paragraph" w:customStyle="1" w:styleId="233">
    <w:name w:val="样式 标题 6 + 行距: 1.5 倍行距"/>
    <w:basedOn w:val="8"/>
    <w:autoRedefine/>
    <w:qFormat/>
    <w:uiPriority w:val="0"/>
    <w:pPr>
      <w:numPr>
        <w:ilvl w:val="0"/>
        <w:numId w:val="0"/>
      </w:numPr>
      <w:tabs>
        <w:tab w:val="left" w:pos="-147"/>
      </w:tabs>
      <w:adjustRightInd w:val="0"/>
      <w:spacing w:before="0" w:after="0" w:line="360" w:lineRule="auto"/>
      <w:ind w:left="-147" w:firstLine="567"/>
      <w:jc w:val="left"/>
      <w:textAlignment w:val="baseline"/>
    </w:pPr>
    <w:rPr>
      <w:rFonts w:ascii="Times New Roman" w:hAnsi="Times New Roman"/>
      <w:b w:val="0"/>
      <w:kern w:val="0"/>
      <w:szCs w:val="28"/>
    </w:rPr>
  </w:style>
  <w:style w:type="paragraph" w:customStyle="1" w:styleId="234">
    <w:name w:val="正方框图"/>
    <w:basedOn w:val="1"/>
    <w:autoRedefine/>
    <w:qFormat/>
    <w:uiPriority w:val="0"/>
    <w:pPr>
      <w:snapToGrid w:val="0"/>
      <w:jc w:val="center"/>
    </w:pPr>
    <w:rPr>
      <w:rFonts w:ascii="Times New Roman" w:hAnsi="Times New Roman"/>
      <w:sz w:val="24"/>
      <w:szCs w:val="20"/>
    </w:rPr>
  </w:style>
  <w:style w:type="paragraph" w:customStyle="1" w:styleId="235">
    <w:name w:val="样式2"/>
    <w:basedOn w:val="3"/>
    <w:autoRedefine/>
    <w:qFormat/>
    <w:uiPriority w:val="0"/>
    <w:pPr>
      <w:keepNext w:val="0"/>
      <w:keepLines w:val="0"/>
      <w:widowControl/>
      <w:spacing w:before="260" w:after="260" w:afterAutospacing="1" w:line="416" w:lineRule="auto"/>
      <w:ind w:right="-512" w:rightChars="-244" w:hanging="454"/>
    </w:pPr>
    <w:rPr>
      <w:rFonts w:ascii="宋体" w:hAnsi="宋体" w:eastAsia="华文中宋"/>
      <w:snapToGrid w:val="0"/>
      <w:color w:val="auto"/>
      <w:kern w:val="0"/>
      <w:sz w:val="36"/>
      <w:szCs w:val="36"/>
    </w:rPr>
  </w:style>
  <w:style w:type="character" w:customStyle="1" w:styleId="236">
    <w:name w:val="Char Char Char"/>
    <w:autoRedefine/>
    <w:qFormat/>
    <w:uiPriority w:val="0"/>
    <w:rPr>
      <w:rFonts w:ascii="Arial" w:hAnsi="Arial" w:eastAsia="黑体"/>
      <w:b/>
      <w:bCs/>
      <w:kern w:val="2"/>
      <w:sz w:val="32"/>
      <w:szCs w:val="32"/>
      <w:lang w:val="en-US" w:eastAsia="zh-CN" w:bidi="ar-SA"/>
    </w:rPr>
  </w:style>
  <w:style w:type="paragraph" w:customStyle="1" w:styleId="237">
    <w:name w:val="样式 标题 1合同标题章标题 1 Char Char标题 1 Char第1章第1章 Char卷标题标题 1 1..."/>
    <w:basedOn w:val="2"/>
    <w:autoRedefine/>
    <w:qFormat/>
    <w:uiPriority w:val="0"/>
    <w:pPr>
      <w:keepNext w:val="0"/>
      <w:keepLines w:val="0"/>
      <w:widowControl/>
      <w:tabs>
        <w:tab w:val="left" w:pos="0"/>
      </w:tabs>
      <w:spacing w:before="284" w:after="0"/>
    </w:pPr>
    <w:rPr>
      <w:rFonts w:ascii="宋体" w:hAnsi="宋体" w:cs="宋体"/>
      <w:bCs/>
      <w:color w:val="000000"/>
      <w:kern w:val="36"/>
      <w:sz w:val="44"/>
      <w:szCs w:val="48"/>
    </w:rPr>
  </w:style>
  <w:style w:type="paragraph" w:customStyle="1" w:styleId="238">
    <w:name w:val="样式 标题 1合同标题章标题 1 Char Char标题 1 Char第1章第1章 Char卷标题标题 1 1...1"/>
    <w:basedOn w:val="2"/>
    <w:autoRedefine/>
    <w:qFormat/>
    <w:uiPriority w:val="0"/>
    <w:pPr>
      <w:keepNext w:val="0"/>
      <w:keepLines w:val="0"/>
      <w:widowControl/>
      <w:numPr>
        <w:ilvl w:val="0"/>
        <w:numId w:val="5"/>
      </w:numPr>
      <w:tabs>
        <w:tab w:val="left" w:pos="360"/>
        <w:tab w:val="clear" w:pos="0"/>
      </w:tabs>
      <w:spacing w:before="284" w:after="0"/>
    </w:pPr>
    <w:rPr>
      <w:rFonts w:ascii="宋体" w:hAnsi="宋体" w:cs="宋体"/>
      <w:bCs/>
      <w:color w:val="000000"/>
      <w:kern w:val="36"/>
      <w:szCs w:val="48"/>
    </w:rPr>
  </w:style>
  <w:style w:type="character" w:customStyle="1" w:styleId="239">
    <w:name w:val="样式 标题 1合同标题章标题 1 Char Char标题 1 Char第1章第1章 Char卷标题标题 1 1...1 Char"/>
    <w:autoRedefine/>
    <w:qFormat/>
    <w:uiPriority w:val="0"/>
    <w:rPr>
      <w:rFonts w:ascii="宋体" w:hAnsi="宋体" w:eastAsia="宋体" w:cs="宋体"/>
      <w:b/>
      <w:bCs/>
      <w:kern w:val="36"/>
      <w:sz w:val="28"/>
      <w:szCs w:val="48"/>
      <w:lang w:val="en-US" w:eastAsia="zh-CN" w:bidi="ar-SA"/>
    </w:rPr>
  </w:style>
  <w:style w:type="paragraph" w:customStyle="1" w:styleId="240">
    <w:name w:val="首行缩进:  2 字符"/>
    <w:basedOn w:val="1"/>
    <w:autoRedefine/>
    <w:qFormat/>
    <w:uiPriority w:val="0"/>
    <w:pPr>
      <w:spacing w:line="360" w:lineRule="auto"/>
      <w:ind w:firstLine="480" w:firstLineChars="200"/>
    </w:pPr>
    <w:rPr>
      <w:rFonts w:ascii="Times New Roman" w:hAnsi="Times New Roman" w:cs="宋体"/>
      <w:sz w:val="24"/>
      <w:szCs w:val="20"/>
    </w:rPr>
  </w:style>
  <w:style w:type="character" w:customStyle="1" w:styleId="241">
    <w:name w:val="首行缩进:  2 字符 Char Char"/>
    <w:autoRedefine/>
    <w:qFormat/>
    <w:uiPriority w:val="0"/>
    <w:rPr>
      <w:rFonts w:eastAsia="宋体" w:cs="宋体"/>
      <w:b/>
      <w:kern w:val="2"/>
      <w:sz w:val="24"/>
      <w:szCs w:val="24"/>
      <w:lang w:val="en-US" w:eastAsia="zh-CN" w:bidi="ar-SA"/>
    </w:rPr>
  </w:style>
  <w:style w:type="paragraph" w:customStyle="1" w:styleId="242">
    <w:name w:val="样式 居中"/>
    <w:basedOn w:val="1"/>
    <w:autoRedefine/>
    <w:qFormat/>
    <w:uiPriority w:val="0"/>
    <w:pPr>
      <w:spacing w:line="360" w:lineRule="auto"/>
      <w:jc w:val="center"/>
    </w:pPr>
    <w:rPr>
      <w:rFonts w:ascii="Times New Roman" w:hAnsi="Times New Roman"/>
      <w:sz w:val="24"/>
      <w:szCs w:val="24"/>
    </w:rPr>
  </w:style>
  <w:style w:type="paragraph" w:customStyle="1" w:styleId="243">
    <w:name w:val="图表文字"/>
    <w:basedOn w:val="1"/>
    <w:autoRedefine/>
    <w:semiHidden/>
    <w:qFormat/>
    <w:uiPriority w:val="0"/>
    <w:pPr>
      <w:widowControl/>
      <w:adjustRightInd w:val="0"/>
      <w:spacing w:before="120" w:after="120"/>
      <w:jc w:val="center"/>
    </w:pPr>
    <w:rPr>
      <w:rFonts w:ascii="黑体" w:hAnsi="Times New Roman" w:eastAsia="黑体"/>
      <w:kern w:val="0"/>
      <w:sz w:val="28"/>
      <w:szCs w:val="20"/>
    </w:rPr>
  </w:style>
  <w:style w:type="paragraph" w:customStyle="1" w:styleId="244">
    <w:name w:val="table"/>
    <w:basedOn w:val="1"/>
    <w:autoRedefine/>
    <w:qFormat/>
    <w:uiPriority w:val="0"/>
    <w:pPr>
      <w:widowControl/>
      <w:overflowPunct w:val="0"/>
      <w:autoSpaceDE w:val="0"/>
      <w:autoSpaceDN w:val="0"/>
      <w:adjustRightInd w:val="0"/>
      <w:spacing w:before="60" w:after="60"/>
      <w:jc w:val="center"/>
      <w:textAlignment w:val="baseline"/>
    </w:pPr>
    <w:rPr>
      <w:rFonts w:ascii="仿宋体" w:hAnsi="Times New Roman" w:eastAsia="仿宋体"/>
      <w:kern w:val="0"/>
      <w:sz w:val="24"/>
      <w:szCs w:val="20"/>
    </w:rPr>
  </w:style>
  <w:style w:type="paragraph" w:customStyle="1" w:styleId="245">
    <w:name w:val="Char Char Char1 Char Char"/>
    <w:basedOn w:val="1"/>
    <w:autoRedefine/>
    <w:qFormat/>
    <w:uiPriority w:val="0"/>
    <w:rPr>
      <w:rFonts w:ascii="Times New Roman" w:hAnsi="Times New Roman"/>
      <w:szCs w:val="24"/>
    </w:rPr>
  </w:style>
  <w:style w:type="paragraph" w:customStyle="1" w:styleId="246">
    <w:name w:val="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表文字"/>
    <w:autoRedefine/>
    <w:qFormat/>
    <w:uiPriority w:val="0"/>
    <w:rPr>
      <w:rFonts w:ascii="宋体" w:hAnsi="Times New Roman" w:eastAsia="宋体" w:cs="Times New Roman"/>
      <w:kern w:val="2"/>
      <w:lang w:val="en-US" w:eastAsia="zh-CN" w:bidi="ar-SA"/>
    </w:rPr>
  </w:style>
  <w:style w:type="character" w:customStyle="1" w:styleId="248">
    <w:name w:val="纯文本 Char1"/>
    <w:autoRedefine/>
    <w:qFormat/>
    <w:uiPriority w:val="0"/>
    <w:rPr>
      <w:rFonts w:ascii="宋体" w:hAnsi="Courier New" w:eastAsia="宋体" w:cs="Times New Roman"/>
      <w:szCs w:val="24"/>
    </w:rPr>
  </w:style>
  <w:style w:type="character" w:customStyle="1" w:styleId="249">
    <w:name w:val="合同标题 Char1"/>
    <w:autoRedefine/>
    <w:qFormat/>
    <w:uiPriority w:val="0"/>
    <w:rPr>
      <w:rFonts w:ascii="宋体" w:hAnsi="Arial" w:eastAsia="宋体"/>
      <w:b/>
      <w:bCs/>
      <w:snapToGrid w:val="0"/>
      <w:kern w:val="2"/>
      <w:sz w:val="36"/>
      <w:szCs w:val="36"/>
      <w:lang w:val="en-US" w:eastAsia="zh-CN" w:bidi="ar-SA"/>
    </w:rPr>
  </w:style>
  <w:style w:type="character" w:customStyle="1" w:styleId="250">
    <w:name w:val="FtrF Char Char"/>
    <w:autoRedefine/>
    <w:qFormat/>
    <w:uiPriority w:val="0"/>
    <w:rPr>
      <w:rFonts w:eastAsia="宋体"/>
      <w:kern w:val="2"/>
      <w:sz w:val="18"/>
      <w:szCs w:val="24"/>
      <w:lang w:val="en-US" w:eastAsia="zh-CN" w:bidi="ar-SA"/>
    </w:rPr>
  </w:style>
  <w:style w:type="paragraph" w:customStyle="1" w:styleId="251">
    <w:name w:val="news"/>
    <w:basedOn w:val="1"/>
    <w:autoRedefine/>
    <w:qFormat/>
    <w:uiPriority w:val="0"/>
    <w:pPr>
      <w:widowControl/>
      <w:spacing w:before="100" w:beforeAutospacing="1" w:after="100" w:afterAutospacing="1" w:line="360" w:lineRule="auto"/>
      <w:jc w:val="left"/>
    </w:pPr>
    <w:rPr>
      <w:rFonts w:ascii="ˎ̥" w:hAnsi="ˎ̥" w:cs="宋体"/>
      <w:kern w:val="0"/>
      <w:sz w:val="18"/>
      <w:szCs w:val="18"/>
    </w:rPr>
  </w:style>
  <w:style w:type="paragraph" w:customStyle="1" w:styleId="252">
    <w:name w:val="di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3">
    <w:name w:val="Char Char2"/>
    <w:basedOn w:val="1"/>
    <w:autoRedefine/>
    <w:qFormat/>
    <w:uiPriority w:val="0"/>
    <w:pPr>
      <w:adjustRightInd w:val="0"/>
      <w:spacing w:line="360" w:lineRule="atLeast"/>
    </w:pPr>
    <w:rPr>
      <w:rFonts w:ascii="Times New Roman" w:hAnsi="Times New Roman"/>
      <w:szCs w:val="24"/>
    </w:rPr>
  </w:style>
  <w:style w:type="paragraph" w:customStyle="1" w:styleId="254">
    <w:name w:val="需求书2"/>
    <w:basedOn w:val="1"/>
    <w:autoRedefine/>
    <w:qFormat/>
    <w:uiPriority w:val="0"/>
    <w:pPr>
      <w:numPr>
        <w:ilvl w:val="0"/>
        <w:numId w:val="6"/>
      </w:numPr>
      <w:spacing w:line="360" w:lineRule="auto"/>
    </w:pPr>
    <w:rPr>
      <w:rFonts w:ascii="黑体" w:hAnsi="宋体" w:eastAsia="黑体"/>
      <w:b/>
      <w:bCs/>
      <w:sz w:val="24"/>
      <w:szCs w:val="24"/>
    </w:rPr>
  </w:style>
  <w:style w:type="paragraph" w:customStyle="1" w:styleId="255">
    <w:name w:val="Char Char Char Char Char Char"/>
    <w:basedOn w:val="17"/>
    <w:autoRedefine/>
    <w:qFormat/>
    <w:uiPriority w:val="0"/>
    <w:pPr>
      <w:adjustRightInd w:val="0"/>
      <w:spacing w:line="436" w:lineRule="exact"/>
      <w:ind w:left="357"/>
      <w:jc w:val="left"/>
      <w:outlineLvl w:val="3"/>
    </w:pPr>
    <w:rPr>
      <w:rFonts w:ascii="Tahoma" w:hAnsi="Tahoma"/>
      <w:b/>
      <w:sz w:val="24"/>
      <w:szCs w:val="24"/>
    </w:rPr>
  </w:style>
  <w:style w:type="character" w:customStyle="1" w:styleId="256">
    <w:name w:val="标题一 宋体 小二 红色 升高量  0.5 磅"/>
    <w:autoRedefine/>
    <w:qFormat/>
    <w:uiPriority w:val="0"/>
    <w:rPr>
      <w:rFonts w:ascii="宋体" w:hAnsi="宋体" w:eastAsia="宋体"/>
      <w:color w:val="FF0000"/>
      <w:kern w:val="0"/>
      <w:position w:val="1"/>
      <w:sz w:val="36"/>
      <w:szCs w:val="24"/>
      <w:lang w:val="en-US" w:eastAsia="zh-CN" w:bidi="ar-SA"/>
    </w:rPr>
  </w:style>
  <w:style w:type="character" w:customStyle="1" w:styleId="257">
    <w:name w:val="样式 一 黑体 (中文) 黑体 (符号) 宋体 小二 升高量  0.5 磅"/>
    <w:autoRedefine/>
    <w:qFormat/>
    <w:uiPriority w:val="0"/>
    <w:rPr>
      <w:rFonts w:ascii="黑体" w:hAnsi="黑体" w:eastAsia="黑体"/>
      <w:kern w:val="0"/>
      <w:position w:val="1"/>
      <w:sz w:val="36"/>
      <w:szCs w:val="24"/>
      <w:lang w:val="en-US" w:eastAsia="zh-CN" w:bidi="ar-SA"/>
    </w:rPr>
  </w:style>
  <w:style w:type="paragraph" w:customStyle="1" w:styleId="258">
    <w:name w:val="标题二 黑体 (中文) 黑体 (符号) 宋体 小四 左 左侧:  0.18 厘米 右侧:  -0.04 厘米"/>
    <w:basedOn w:val="1"/>
    <w:autoRedefine/>
    <w:qFormat/>
    <w:uiPriority w:val="0"/>
    <w:pPr>
      <w:ind w:left="101" w:right="-20"/>
      <w:jc w:val="left"/>
    </w:pPr>
    <w:rPr>
      <w:rFonts w:ascii="黑体" w:hAnsi="宋体" w:eastAsia="黑体" w:cs="宋体"/>
      <w:kern w:val="0"/>
      <w:sz w:val="24"/>
      <w:szCs w:val="20"/>
    </w:rPr>
  </w:style>
  <w:style w:type="paragraph" w:customStyle="1" w:styleId="259">
    <w:name w:val="标题三 黑体 (中文) 黑体 (符号) 宋体 三号 居中 左侧:  7.34 厘米 右侧:  7.52 厘米"/>
    <w:basedOn w:val="1"/>
    <w:autoRedefine/>
    <w:qFormat/>
    <w:uiPriority w:val="0"/>
    <w:pPr>
      <w:ind w:left="4160" w:right="4265"/>
      <w:jc w:val="center"/>
    </w:pPr>
    <w:rPr>
      <w:rFonts w:ascii="黑体" w:hAnsi="宋体" w:eastAsia="黑体" w:cs="宋体"/>
      <w:kern w:val="0"/>
      <w:sz w:val="32"/>
      <w:szCs w:val="20"/>
    </w:rPr>
  </w:style>
  <w:style w:type="character" w:customStyle="1" w:styleId="260">
    <w:name w:val="标题四 (西文) 黑体 (中文) 黑体 (符号) 宋体 小三 升高量  0.5 磅"/>
    <w:autoRedefine/>
    <w:qFormat/>
    <w:uiPriority w:val="0"/>
    <w:rPr>
      <w:rFonts w:ascii="黑体" w:hAnsi="黑体" w:eastAsia="黑体"/>
      <w:kern w:val="0"/>
      <w:position w:val="1"/>
      <w:sz w:val="30"/>
      <w:szCs w:val="24"/>
      <w:lang w:val="en-US" w:eastAsia="zh-CN" w:bidi="ar-SA"/>
    </w:rPr>
  </w:style>
  <w:style w:type="paragraph" w:customStyle="1" w:styleId="261">
    <w:name w:val="样式100"/>
    <w:basedOn w:val="1"/>
    <w:link w:val="262"/>
    <w:autoRedefine/>
    <w:qFormat/>
    <w:uiPriority w:val="0"/>
    <w:pPr>
      <w:tabs>
        <w:tab w:val="left" w:pos="800"/>
        <w:tab w:val="left" w:pos="5887"/>
        <w:tab w:val="left" w:pos="9880"/>
      </w:tabs>
      <w:autoSpaceDE w:val="0"/>
      <w:autoSpaceDN w:val="0"/>
      <w:adjustRightInd w:val="0"/>
      <w:spacing w:line="240" w:lineRule="atLeast"/>
      <w:ind w:left="142" w:right="-153"/>
      <w:jc w:val="left"/>
      <w:outlineLvl w:val="3"/>
    </w:pPr>
    <w:rPr>
      <w:rFonts w:ascii="宋体" w:hAnsi="宋体"/>
      <w:sz w:val="24"/>
      <w:szCs w:val="24"/>
    </w:rPr>
  </w:style>
  <w:style w:type="character" w:customStyle="1" w:styleId="262">
    <w:name w:val="样式100 Char"/>
    <w:link w:val="261"/>
    <w:autoRedefine/>
    <w:qFormat/>
    <w:uiPriority w:val="0"/>
    <w:rPr>
      <w:rFonts w:ascii="宋体" w:hAnsi="宋体" w:eastAsia="宋体"/>
      <w:kern w:val="2"/>
      <w:sz w:val="24"/>
      <w:szCs w:val="24"/>
    </w:rPr>
  </w:style>
  <w:style w:type="paragraph" w:customStyle="1" w:styleId="263">
    <w:name w:val="正文21"/>
    <w:basedOn w:val="1"/>
    <w:autoRedefine/>
    <w:qFormat/>
    <w:uiPriority w:val="0"/>
    <w:pPr>
      <w:ind w:firstLine="735"/>
    </w:pPr>
    <w:rPr>
      <w:rFonts w:ascii="Times New Roman" w:hAnsi="Times New Roman"/>
      <w:b/>
      <w:sz w:val="32"/>
      <w:szCs w:val="20"/>
    </w:rPr>
  </w:style>
  <w:style w:type="character" w:customStyle="1" w:styleId="264">
    <w:name w:val="正 文 1 Char Char"/>
    <w:autoRedefine/>
    <w:qFormat/>
    <w:uiPriority w:val="0"/>
    <w:rPr>
      <w:rFonts w:ascii="宋体" w:hAnsi="Courier New" w:eastAsia="宋体"/>
      <w:kern w:val="2"/>
      <w:sz w:val="21"/>
      <w:szCs w:val="24"/>
      <w:lang w:val="en-US" w:eastAsia="zh-CN" w:bidi="ar-SA"/>
    </w:rPr>
  </w:style>
  <w:style w:type="character" w:customStyle="1" w:styleId="265">
    <w:name w:val="合同标题 Char2"/>
    <w:autoRedefine/>
    <w:qFormat/>
    <w:uiPriority w:val="0"/>
    <w:rPr>
      <w:rFonts w:ascii="Arial" w:hAnsi="Arial" w:eastAsia="宋体"/>
      <w:b/>
      <w:bCs/>
      <w:kern w:val="44"/>
      <w:sz w:val="32"/>
      <w:szCs w:val="32"/>
      <w:lang w:val="en-US" w:eastAsia="zh-CN" w:bidi="ar-SA"/>
    </w:rPr>
  </w:style>
  <w:style w:type="character" w:customStyle="1" w:styleId="266">
    <w:name w:val="FtrF Char Char1"/>
    <w:autoRedefine/>
    <w:qFormat/>
    <w:uiPriority w:val="0"/>
    <w:rPr>
      <w:rFonts w:eastAsia="宋体"/>
      <w:kern w:val="2"/>
      <w:sz w:val="18"/>
      <w:szCs w:val="24"/>
      <w:lang w:val="en-US" w:eastAsia="zh-CN" w:bidi="ar-SA"/>
    </w:rPr>
  </w:style>
  <w:style w:type="character" w:customStyle="1" w:styleId="267">
    <w:name w:val="正 文 1 Char"/>
    <w:autoRedefine/>
    <w:qFormat/>
    <w:uiPriority w:val="0"/>
    <w:rPr>
      <w:rFonts w:ascii="宋体" w:hAnsi="Courier New" w:eastAsia="宋体"/>
      <w:kern w:val="2"/>
      <w:sz w:val="21"/>
      <w:szCs w:val="24"/>
      <w:lang w:val="en-US" w:eastAsia="zh-CN" w:bidi="ar-SA"/>
    </w:rPr>
  </w:style>
  <w:style w:type="character" w:customStyle="1" w:styleId="268">
    <w:name w:val="批注文字 Char1"/>
    <w:autoRedefine/>
    <w:qFormat/>
    <w:uiPriority w:val="99"/>
    <w:rPr>
      <w:rFonts w:ascii="Times New Roman" w:hAnsi="Times New Roman" w:eastAsia="宋体" w:cs="Times New Roman"/>
      <w:szCs w:val="20"/>
    </w:rPr>
  </w:style>
  <w:style w:type="character" w:customStyle="1" w:styleId="269">
    <w:name w:val="正文首行缩进 Char1"/>
    <w:autoRedefine/>
    <w:qFormat/>
    <w:uiPriority w:val="99"/>
    <w:rPr>
      <w:rFonts w:ascii="Times New Roman" w:hAnsi="Times New Roman" w:eastAsia="宋体" w:cs="Times New Roman"/>
      <w:szCs w:val="24"/>
    </w:rPr>
  </w:style>
  <w:style w:type="character" w:customStyle="1" w:styleId="270">
    <w:name w:val="正文文本缩进 Char1"/>
    <w:autoRedefine/>
    <w:qFormat/>
    <w:uiPriority w:val="99"/>
    <w:rPr>
      <w:rFonts w:ascii="Times New Roman" w:hAnsi="Times New Roman" w:eastAsia="宋体" w:cs="Times New Roman"/>
      <w:sz w:val="28"/>
      <w:szCs w:val="24"/>
    </w:rPr>
  </w:style>
  <w:style w:type="character" w:customStyle="1" w:styleId="271">
    <w:name w:val="正文文本缩进 2 Char1"/>
    <w:autoRedefine/>
    <w:qFormat/>
    <w:uiPriority w:val="99"/>
    <w:rPr>
      <w:rFonts w:ascii="Times New Roman" w:hAnsi="Times New Roman" w:eastAsia="宋体" w:cs="Times New Roman"/>
      <w:color w:val="000000"/>
      <w:sz w:val="24"/>
      <w:szCs w:val="24"/>
    </w:rPr>
  </w:style>
  <w:style w:type="paragraph" w:customStyle="1" w:styleId="272">
    <w:name w:val="列出段落1"/>
    <w:basedOn w:val="1"/>
    <w:autoRedefine/>
    <w:qFormat/>
    <w:uiPriority w:val="34"/>
    <w:pPr>
      <w:ind w:firstLine="420" w:firstLineChars="200"/>
    </w:pPr>
    <w:rPr>
      <w:szCs w:val="24"/>
    </w:rPr>
  </w:style>
  <w:style w:type="character" w:customStyle="1" w:styleId="273">
    <w:name w:val="日期 Char1"/>
    <w:autoRedefine/>
    <w:qFormat/>
    <w:locked/>
    <w:uiPriority w:val="99"/>
    <w:rPr>
      <w:rFonts w:ascii="Times New Roman" w:hAnsi="Times New Roman" w:eastAsia="宋体" w:cs="Times New Roman"/>
      <w:szCs w:val="24"/>
    </w:rPr>
  </w:style>
  <w:style w:type="character" w:customStyle="1" w:styleId="274">
    <w:name w:val="批注框文本 Char1"/>
    <w:autoRedefine/>
    <w:qFormat/>
    <w:locked/>
    <w:uiPriority w:val="99"/>
    <w:rPr>
      <w:rFonts w:ascii="Times New Roman" w:hAnsi="Times New Roman" w:eastAsia="宋体" w:cs="Times New Roman"/>
      <w:sz w:val="18"/>
      <w:szCs w:val="18"/>
    </w:rPr>
  </w:style>
  <w:style w:type="character" w:customStyle="1" w:styleId="275">
    <w:name w:val="批注主题 Char1"/>
    <w:autoRedefine/>
    <w:qFormat/>
    <w:locked/>
    <w:uiPriority w:val="99"/>
    <w:rPr>
      <w:rFonts w:ascii="Times New Roman" w:hAnsi="Times New Roman" w:eastAsia="宋体" w:cs="Times New Roman"/>
      <w:b/>
      <w:bCs/>
      <w:szCs w:val="20"/>
    </w:rPr>
  </w:style>
  <w:style w:type="character" w:customStyle="1" w:styleId="276">
    <w:name w:val="称呼 字符"/>
    <w:basedOn w:val="57"/>
    <w:link w:val="20"/>
    <w:autoRedefine/>
    <w:qFormat/>
    <w:uiPriority w:val="0"/>
    <w:rPr>
      <w:rFonts w:ascii="Times New Roman" w:hAnsi="Times New Roman" w:eastAsia="宋体"/>
      <w:sz w:val="30"/>
    </w:rPr>
  </w:style>
  <w:style w:type="character" w:customStyle="1" w:styleId="277">
    <w:name w:val="称呼 Char"/>
    <w:basedOn w:val="57"/>
    <w:autoRedefine/>
    <w:qFormat/>
    <w:uiPriority w:val="0"/>
    <w:rPr>
      <w:rFonts w:ascii="Calibri" w:hAnsi="Calibri" w:eastAsia="宋体"/>
      <w:kern w:val="2"/>
      <w:sz w:val="21"/>
      <w:szCs w:val="22"/>
    </w:rPr>
  </w:style>
  <w:style w:type="character" w:customStyle="1" w:styleId="278">
    <w:name w:val="签名 字符"/>
    <w:basedOn w:val="57"/>
    <w:link w:val="37"/>
    <w:autoRedefine/>
    <w:qFormat/>
    <w:uiPriority w:val="0"/>
    <w:rPr>
      <w:rFonts w:ascii="Wund" w:hAnsi="Wund" w:eastAsia="宋体"/>
      <w:sz w:val="22"/>
      <w:lang w:val="de-DE" w:eastAsia="de-DE"/>
    </w:rPr>
  </w:style>
  <w:style w:type="character" w:customStyle="1" w:styleId="279">
    <w:name w:val="签名 Char"/>
    <w:basedOn w:val="57"/>
    <w:autoRedefine/>
    <w:qFormat/>
    <w:uiPriority w:val="0"/>
    <w:rPr>
      <w:rFonts w:ascii="Calibri" w:hAnsi="Calibri" w:eastAsia="宋体"/>
      <w:kern w:val="2"/>
      <w:sz w:val="21"/>
      <w:szCs w:val="22"/>
    </w:rPr>
  </w:style>
  <w:style w:type="character" w:customStyle="1" w:styleId="280">
    <w:name w:val="副标题 字符"/>
    <w:basedOn w:val="57"/>
    <w:link w:val="40"/>
    <w:autoRedefine/>
    <w:qFormat/>
    <w:uiPriority w:val="0"/>
    <w:rPr>
      <w:rFonts w:ascii="Cambria" w:hAnsi="Cambria" w:eastAsia="宋体"/>
      <w:b/>
      <w:bCs/>
      <w:kern w:val="28"/>
      <w:sz w:val="32"/>
      <w:szCs w:val="32"/>
      <w:lang w:val="de-DE" w:eastAsia="de-DE"/>
    </w:rPr>
  </w:style>
  <w:style w:type="character" w:customStyle="1" w:styleId="281">
    <w:name w:val="副标题 Char"/>
    <w:basedOn w:val="57"/>
    <w:autoRedefine/>
    <w:qFormat/>
    <w:uiPriority w:val="0"/>
    <w:rPr>
      <w:rFonts w:eastAsia="宋体" w:asciiTheme="majorHAnsi" w:hAnsiTheme="majorHAnsi" w:cstheme="majorBidi"/>
      <w:b/>
      <w:bCs/>
      <w:kern w:val="28"/>
      <w:sz w:val="32"/>
      <w:szCs w:val="32"/>
    </w:rPr>
  </w:style>
  <w:style w:type="character" w:customStyle="1" w:styleId="282">
    <w:name w:val="HTML 预设格式 字符"/>
    <w:basedOn w:val="57"/>
    <w:link w:val="49"/>
    <w:autoRedefine/>
    <w:qFormat/>
    <w:uiPriority w:val="0"/>
    <w:rPr>
      <w:rFonts w:ascii="Courier New" w:hAnsi="Courier New" w:eastAsia="宋体"/>
      <w:lang w:val="de-DE" w:eastAsia="de-DE"/>
    </w:rPr>
  </w:style>
  <w:style w:type="character" w:customStyle="1" w:styleId="283">
    <w:name w:val="HTML 预设格式 Char"/>
    <w:basedOn w:val="57"/>
    <w:autoRedefine/>
    <w:qFormat/>
    <w:uiPriority w:val="0"/>
    <w:rPr>
      <w:rFonts w:ascii="Courier New" w:hAnsi="Courier New" w:eastAsia="宋体" w:cs="Courier New"/>
      <w:kern w:val="2"/>
    </w:rPr>
  </w:style>
  <w:style w:type="character" w:customStyle="1" w:styleId="284">
    <w:name w:val="标题 5 Char1"/>
    <w:autoRedefine/>
    <w:qFormat/>
    <w:uiPriority w:val="9"/>
    <w:rPr>
      <w:rFonts w:ascii="Arial" w:hAnsi="Arial" w:eastAsia="宋体" w:cs="Times New Roman"/>
      <w:color w:val="000000"/>
      <w:kern w:val="2"/>
      <w:sz w:val="21"/>
      <w:szCs w:val="21"/>
    </w:rPr>
  </w:style>
  <w:style w:type="character" w:customStyle="1" w:styleId="285">
    <w:name w:val="times"/>
    <w:autoRedefine/>
    <w:qFormat/>
    <w:uiPriority w:val="0"/>
    <w:rPr>
      <w:color w:val="CDCDCD"/>
      <w:bdr w:val="single" w:color="CDCDCD" w:sz="6" w:space="0"/>
      <w:shd w:val="clear" w:color="auto" w:fill="EFEFEF"/>
    </w:rPr>
  </w:style>
  <w:style w:type="character" w:customStyle="1" w:styleId="286">
    <w:name w:val="标题 4 Char1"/>
    <w:autoRedefine/>
    <w:qFormat/>
    <w:uiPriority w:val="9"/>
    <w:rPr>
      <w:rFonts w:ascii="Arial" w:hAnsi="Arial"/>
      <w:color w:val="000000"/>
      <w:kern w:val="2"/>
      <w:sz w:val="21"/>
      <w:szCs w:val="21"/>
    </w:rPr>
  </w:style>
  <w:style w:type="paragraph" w:customStyle="1" w:styleId="287">
    <w:name w:val="_Style 28"/>
    <w:basedOn w:val="1"/>
    <w:next w:val="138"/>
    <w:autoRedefine/>
    <w:qFormat/>
    <w:uiPriority w:val="0"/>
    <w:pPr>
      <w:ind w:firstLine="420" w:firstLineChars="200"/>
    </w:pPr>
    <w:rPr>
      <w:rFonts w:ascii="Times New Roman" w:hAnsi="Times New Roman"/>
      <w:kern w:val="0"/>
      <w:sz w:val="20"/>
      <w:szCs w:val="20"/>
    </w:rPr>
  </w:style>
  <w:style w:type="character" w:customStyle="1" w:styleId="288">
    <w:name w:val="hover42"/>
    <w:basedOn w:val="57"/>
    <w:autoRedefine/>
    <w:qFormat/>
    <w:uiPriority w:val="0"/>
  </w:style>
  <w:style w:type="character" w:customStyle="1" w:styleId="289">
    <w:name w:val="标题 9 Char1"/>
    <w:autoRedefine/>
    <w:qFormat/>
    <w:uiPriority w:val="9"/>
    <w:rPr>
      <w:rFonts w:ascii="Arial" w:hAnsi="Arial" w:eastAsia="黑体"/>
      <w:kern w:val="2"/>
      <w:sz w:val="21"/>
    </w:rPr>
  </w:style>
  <w:style w:type="character" w:customStyle="1" w:styleId="290">
    <w:name w:val="标题 7 Char1"/>
    <w:autoRedefine/>
    <w:qFormat/>
    <w:uiPriority w:val="9"/>
    <w:rPr>
      <w:b/>
      <w:kern w:val="2"/>
      <w:sz w:val="24"/>
    </w:rPr>
  </w:style>
  <w:style w:type="character" w:customStyle="1" w:styleId="291">
    <w:name w:val="times1"/>
    <w:autoRedefine/>
    <w:qFormat/>
    <w:uiPriority w:val="0"/>
    <w:rPr>
      <w:color w:val="3399FF"/>
      <w:bdr w:val="single" w:color="D1EDF8" w:sz="6" w:space="0"/>
      <w:shd w:val="clear" w:color="auto" w:fill="EAF9FF"/>
    </w:rPr>
  </w:style>
  <w:style w:type="character" w:customStyle="1" w:styleId="292">
    <w:name w:val="标题 8 Char1"/>
    <w:autoRedefine/>
    <w:qFormat/>
    <w:uiPriority w:val="9"/>
    <w:rPr>
      <w:rFonts w:ascii="Arial" w:hAnsi="Arial" w:eastAsia="黑体"/>
      <w:kern w:val="2"/>
      <w:sz w:val="24"/>
    </w:rPr>
  </w:style>
  <w:style w:type="character" w:customStyle="1" w:styleId="293">
    <w:name w:val="hover41"/>
    <w:basedOn w:val="57"/>
    <w:autoRedefine/>
    <w:qFormat/>
    <w:uiPriority w:val="0"/>
  </w:style>
  <w:style w:type="paragraph" w:customStyle="1" w:styleId="294">
    <w:name w:val="List Paragraph1"/>
    <w:basedOn w:val="1"/>
    <w:autoRedefine/>
    <w:qFormat/>
    <w:uiPriority w:val="99"/>
    <w:pPr>
      <w:ind w:firstLine="420" w:firstLineChars="200"/>
    </w:pPr>
  </w:style>
  <w:style w:type="character" w:customStyle="1" w:styleId="295">
    <w:name w:val="hover40"/>
    <w:basedOn w:val="57"/>
    <w:autoRedefine/>
    <w:qFormat/>
    <w:uiPriority w:val="0"/>
  </w:style>
  <w:style w:type="character" w:customStyle="1" w:styleId="296">
    <w:name w:val="sh141"/>
    <w:autoRedefine/>
    <w:qFormat/>
    <w:uiPriority w:val="0"/>
    <w:rPr>
      <w:color w:val="auto"/>
      <w:sz w:val="21"/>
      <w:szCs w:val="21"/>
    </w:rPr>
  </w:style>
  <w:style w:type="character" w:customStyle="1" w:styleId="297">
    <w:name w:val="标题 5 Char Char"/>
    <w:autoRedefine/>
    <w:qFormat/>
    <w:uiPriority w:val="0"/>
    <w:rPr>
      <w:b/>
      <w:kern w:val="2"/>
      <w:sz w:val="28"/>
    </w:rPr>
  </w:style>
  <w:style w:type="character" w:customStyle="1" w:styleId="298">
    <w:name w:val="正文文本 Char1"/>
    <w:autoRedefine/>
    <w:qFormat/>
    <w:uiPriority w:val="99"/>
    <w:rPr>
      <w:kern w:val="2"/>
      <w:sz w:val="21"/>
      <w:szCs w:val="24"/>
    </w:rPr>
  </w:style>
  <w:style w:type="character" w:customStyle="1" w:styleId="299">
    <w:name w:val="Char Char10"/>
    <w:autoRedefine/>
    <w:qFormat/>
    <w:uiPriority w:val="0"/>
    <w:rPr>
      <w:rFonts w:hint="eastAsia" w:ascii="楷体_GB2312" w:eastAsia="楷体_GB2312"/>
      <w:b/>
      <w:spacing w:val="-24"/>
      <w:sz w:val="28"/>
    </w:rPr>
  </w:style>
  <w:style w:type="character" w:customStyle="1" w:styleId="300">
    <w:name w:val="副标题 Char2"/>
    <w:autoRedefine/>
    <w:qFormat/>
    <w:uiPriority w:val="11"/>
    <w:rPr>
      <w:rFonts w:ascii="Cambria" w:hAnsi="Cambria" w:eastAsia="宋体" w:cs="Times New Roman"/>
      <w:b/>
      <w:bCs/>
      <w:kern w:val="28"/>
      <w:sz w:val="32"/>
      <w:szCs w:val="32"/>
    </w:rPr>
  </w:style>
  <w:style w:type="character" w:customStyle="1" w:styleId="301">
    <w:name w:val="Char Char11"/>
    <w:autoRedefine/>
    <w:qFormat/>
    <w:uiPriority w:val="0"/>
    <w:rPr>
      <w:rFonts w:ascii="楷体_GB2312" w:eastAsia="楷体_GB2312"/>
      <w:sz w:val="18"/>
    </w:rPr>
  </w:style>
  <w:style w:type="character" w:customStyle="1" w:styleId="302">
    <w:name w:val="Char Char9"/>
    <w:autoRedefine/>
    <w:qFormat/>
    <w:uiPriority w:val="0"/>
    <w:rPr>
      <w:sz w:val="18"/>
      <w:szCs w:val="18"/>
    </w:rPr>
  </w:style>
  <w:style w:type="character" w:customStyle="1" w:styleId="303">
    <w:name w:val="正文文本 3 Char1"/>
    <w:autoRedefine/>
    <w:qFormat/>
    <w:uiPriority w:val="99"/>
    <w:rPr>
      <w:kern w:val="2"/>
      <w:sz w:val="16"/>
      <w:szCs w:val="16"/>
    </w:rPr>
  </w:style>
  <w:style w:type="character" w:customStyle="1" w:styleId="304">
    <w:name w:val="标题 1 Char Char"/>
    <w:autoRedefine/>
    <w:qFormat/>
    <w:uiPriority w:val="0"/>
    <w:rPr>
      <w:b/>
      <w:kern w:val="44"/>
      <w:sz w:val="44"/>
    </w:rPr>
  </w:style>
  <w:style w:type="character" w:customStyle="1" w:styleId="305">
    <w:name w:val="font11"/>
    <w:autoRedefine/>
    <w:qFormat/>
    <w:uiPriority w:val="0"/>
    <w:rPr>
      <w:rFonts w:hint="default" w:ascii="Times New Roman" w:hAnsi="Times New Roman" w:cs="Times New Roman"/>
      <w:color w:val="000000"/>
      <w:sz w:val="24"/>
      <w:szCs w:val="24"/>
      <w:u w:val="none"/>
    </w:rPr>
  </w:style>
  <w:style w:type="character" w:customStyle="1" w:styleId="306">
    <w:name w:val="Char Char13"/>
    <w:autoRedefine/>
    <w:qFormat/>
    <w:uiPriority w:val="0"/>
    <w:rPr>
      <w:rFonts w:ascii="宋体"/>
      <w:sz w:val="28"/>
    </w:rPr>
  </w:style>
  <w:style w:type="character" w:customStyle="1" w:styleId="307">
    <w:name w:val="Numerierungszeichen"/>
    <w:autoRedefine/>
    <w:qFormat/>
    <w:uiPriority w:val="0"/>
    <w:rPr>
      <w:sz w:val="24"/>
      <w:szCs w:val="24"/>
    </w:rPr>
  </w:style>
  <w:style w:type="character" w:customStyle="1" w:styleId="308">
    <w:name w:val="Char Char121"/>
    <w:autoRedefine/>
    <w:qFormat/>
    <w:uiPriority w:val="0"/>
    <w:rPr>
      <w:rFonts w:ascii="Wund" w:hAnsi="Wund" w:eastAsia="宋体" w:cs="Wund"/>
      <w:sz w:val="22"/>
      <w:szCs w:val="22"/>
      <w:lang w:val="de-DE" w:eastAsia="de-DE"/>
    </w:rPr>
  </w:style>
  <w:style w:type="character" w:customStyle="1" w:styleId="309">
    <w:name w:val="HTML 预设格式 Char1"/>
    <w:autoRedefine/>
    <w:qFormat/>
    <w:uiPriority w:val="0"/>
    <w:rPr>
      <w:rFonts w:ascii="Courier New" w:hAnsi="Courier New" w:cs="Courier New"/>
      <w:kern w:val="2"/>
    </w:rPr>
  </w:style>
  <w:style w:type="character" w:customStyle="1" w:styleId="310">
    <w:name w:val="WW-Endnotenzeichen"/>
    <w:autoRedefine/>
    <w:qFormat/>
    <w:uiPriority w:val="0"/>
    <w:rPr>
      <w:sz w:val="24"/>
      <w:szCs w:val="24"/>
      <w:vertAlign w:val="superscript"/>
    </w:rPr>
  </w:style>
  <w:style w:type="character" w:customStyle="1" w:styleId="311">
    <w:name w:val="Einleitung"/>
    <w:autoRedefine/>
    <w:qFormat/>
    <w:uiPriority w:val="0"/>
    <w:rPr>
      <w:b/>
      <w:bCs/>
      <w:i/>
      <w:iCs/>
      <w:sz w:val="24"/>
      <w:szCs w:val="24"/>
    </w:rPr>
  </w:style>
  <w:style w:type="character" w:customStyle="1" w:styleId="312">
    <w:name w:val="Char Char91"/>
    <w:autoRedefine/>
    <w:qFormat/>
    <w:uiPriority w:val="0"/>
    <w:rPr>
      <w:sz w:val="18"/>
      <w:szCs w:val="18"/>
    </w:rPr>
  </w:style>
  <w:style w:type="character" w:customStyle="1" w:styleId="313">
    <w:name w:val="Char Char6"/>
    <w:autoRedefine/>
    <w:qFormat/>
    <w:uiPriority w:val="0"/>
    <w:rPr>
      <w:shd w:val="clear" w:color="auto" w:fill="000080"/>
    </w:rPr>
  </w:style>
  <w:style w:type="character" w:customStyle="1" w:styleId="314">
    <w:name w:val="日期 Char Char"/>
    <w:autoRedefine/>
    <w:qFormat/>
    <w:uiPriority w:val="0"/>
    <w:rPr>
      <w:kern w:val="2"/>
      <w:sz w:val="21"/>
    </w:rPr>
  </w:style>
  <w:style w:type="character" w:customStyle="1" w:styleId="315">
    <w:name w:val="正文文本缩进 3 Char Char"/>
    <w:autoRedefine/>
    <w:qFormat/>
    <w:uiPriority w:val="0"/>
    <w:rPr>
      <w:kern w:val="2"/>
      <w:sz w:val="16"/>
    </w:rPr>
  </w:style>
  <w:style w:type="character" w:customStyle="1" w:styleId="316">
    <w:name w:val="页眉 Char2"/>
    <w:autoRedefine/>
    <w:qFormat/>
    <w:uiPriority w:val="99"/>
    <w:rPr>
      <w:kern w:val="2"/>
      <w:sz w:val="18"/>
      <w:szCs w:val="18"/>
    </w:rPr>
  </w:style>
  <w:style w:type="character" w:customStyle="1" w:styleId="317">
    <w:name w:val="页脚 Char Char"/>
    <w:autoRedefine/>
    <w:qFormat/>
    <w:uiPriority w:val="0"/>
    <w:rPr>
      <w:kern w:val="2"/>
      <w:sz w:val="18"/>
    </w:rPr>
  </w:style>
  <w:style w:type="character" w:customStyle="1" w:styleId="318">
    <w:name w:val="样式 楷体_GB2312"/>
    <w:autoRedefine/>
    <w:qFormat/>
    <w:uiPriority w:val="0"/>
    <w:rPr>
      <w:rFonts w:ascii="楷体_GB2312" w:hAnsi="楷体_GB2312" w:eastAsia="楷体_GB2312" w:cs="楷体_GB2312"/>
    </w:rPr>
  </w:style>
  <w:style w:type="character" w:customStyle="1" w:styleId="319">
    <w:name w:val="正文文本 Char Char"/>
    <w:autoRedefine/>
    <w:qFormat/>
    <w:uiPriority w:val="0"/>
    <w:rPr>
      <w:kern w:val="2"/>
      <w:sz w:val="21"/>
    </w:rPr>
  </w:style>
  <w:style w:type="character" w:customStyle="1" w:styleId="320">
    <w:name w:val="批注框文本 Char Char"/>
    <w:autoRedefine/>
    <w:qFormat/>
    <w:uiPriority w:val="0"/>
    <w:rPr>
      <w:kern w:val="2"/>
      <w:sz w:val="18"/>
    </w:rPr>
  </w:style>
  <w:style w:type="character" w:customStyle="1" w:styleId="321">
    <w:name w:val="标书正文格式 Char Char"/>
    <w:link w:val="322"/>
    <w:autoRedefine/>
    <w:qFormat/>
    <w:uiPriority w:val="0"/>
    <w:rPr>
      <w:rFonts w:eastAsia="楷体_GB2312"/>
      <w:sz w:val="24"/>
      <w:szCs w:val="24"/>
    </w:rPr>
  </w:style>
  <w:style w:type="paragraph" w:customStyle="1" w:styleId="322">
    <w:name w:val="标书正文格式"/>
    <w:link w:val="321"/>
    <w:autoRedefine/>
    <w:qFormat/>
    <w:uiPriority w:val="0"/>
    <w:pPr>
      <w:spacing w:line="360" w:lineRule="auto"/>
      <w:ind w:firstLine="200" w:firstLineChars="200"/>
    </w:pPr>
    <w:rPr>
      <w:rFonts w:ascii="等线" w:hAnsi="等线" w:eastAsia="楷体_GB2312" w:cs="Times New Roman"/>
      <w:sz w:val="24"/>
      <w:szCs w:val="24"/>
      <w:lang w:val="en-US" w:eastAsia="zh-CN" w:bidi="ar-SA"/>
    </w:rPr>
  </w:style>
  <w:style w:type="character" w:customStyle="1" w:styleId="323">
    <w:name w:val="标题 3 Char1"/>
    <w:autoRedefine/>
    <w:qFormat/>
    <w:uiPriority w:val="0"/>
    <w:rPr>
      <w:rFonts w:ascii="仿宋_GB2312" w:eastAsia="仿宋_GB2312"/>
      <w:kern w:val="2"/>
      <w:sz w:val="32"/>
      <w:lang w:val="en-US" w:eastAsia="zh-CN" w:bidi="ar-SA"/>
    </w:rPr>
  </w:style>
  <w:style w:type="character" w:customStyle="1" w:styleId="324">
    <w:name w:val="副标题 Char1"/>
    <w:autoRedefine/>
    <w:qFormat/>
    <w:uiPriority w:val="0"/>
    <w:rPr>
      <w:rFonts w:ascii="Cambria" w:hAnsi="Cambria" w:cs="Times New Roman"/>
      <w:b/>
      <w:bCs/>
      <w:kern w:val="28"/>
      <w:sz w:val="32"/>
      <w:szCs w:val="32"/>
    </w:rPr>
  </w:style>
  <w:style w:type="character" w:customStyle="1" w:styleId="325">
    <w:name w:val="Char Char101"/>
    <w:autoRedefine/>
    <w:qFormat/>
    <w:uiPriority w:val="0"/>
    <w:rPr>
      <w:rFonts w:ascii="楷体_GB2312" w:eastAsia="楷体_GB2312"/>
      <w:b/>
      <w:spacing w:val="-24"/>
      <w:sz w:val="28"/>
    </w:rPr>
  </w:style>
  <w:style w:type="character" w:customStyle="1" w:styleId="326">
    <w:name w:val="Char Char61"/>
    <w:autoRedefine/>
    <w:qFormat/>
    <w:uiPriority w:val="0"/>
    <w:rPr>
      <w:shd w:val="clear" w:color="auto" w:fill="000080"/>
    </w:rPr>
  </w:style>
  <w:style w:type="character" w:customStyle="1" w:styleId="327">
    <w:name w:val="标题 Char Char"/>
    <w:autoRedefine/>
    <w:qFormat/>
    <w:uiPriority w:val="0"/>
    <w:rPr>
      <w:rFonts w:ascii="Cambria" w:hAnsi="Cambria"/>
      <w:b/>
      <w:kern w:val="2"/>
      <w:sz w:val="32"/>
    </w:rPr>
  </w:style>
  <w:style w:type="character" w:customStyle="1" w:styleId="328">
    <w:name w:val="p12"/>
    <w:basedOn w:val="57"/>
    <w:autoRedefine/>
    <w:qFormat/>
    <w:uiPriority w:val="0"/>
  </w:style>
  <w:style w:type="character" w:customStyle="1" w:styleId="329">
    <w:name w:val="Char Char8"/>
    <w:autoRedefine/>
    <w:qFormat/>
    <w:uiPriority w:val="0"/>
    <w:rPr>
      <w:sz w:val="18"/>
      <w:szCs w:val="18"/>
    </w:rPr>
  </w:style>
  <w:style w:type="character" w:customStyle="1" w:styleId="330">
    <w:name w:val="textcontents"/>
    <w:basedOn w:val="57"/>
    <w:autoRedefine/>
    <w:qFormat/>
    <w:uiPriority w:val="0"/>
  </w:style>
  <w:style w:type="character" w:customStyle="1" w:styleId="331">
    <w:name w:val="消息标题号"/>
    <w:autoRedefine/>
    <w:qFormat/>
    <w:uiPriority w:val="0"/>
    <w:rPr>
      <w:rFonts w:ascii="Arial Black" w:hAnsi="Arial Black" w:eastAsia="黑体"/>
      <w:b/>
      <w:sz w:val="21"/>
      <w:lang w:eastAsia="zh-CN"/>
    </w:rPr>
  </w:style>
  <w:style w:type="character" w:customStyle="1" w:styleId="332">
    <w:name w:val="Body Text Char"/>
    <w:autoRedefine/>
    <w:qFormat/>
    <w:uiPriority w:val="0"/>
    <w:rPr>
      <w:rFonts w:ascii="Wund" w:hAnsi="Wund" w:eastAsia="宋体" w:cs="Times New Roman"/>
      <w:sz w:val="22"/>
      <w:lang w:val="de-DE" w:eastAsia="de-DE"/>
    </w:rPr>
  </w:style>
  <w:style w:type="character" w:customStyle="1" w:styleId="333">
    <w:name w:val="WW-Anmerkungszeichen"/>
    <w:autoRedefine/>
    <w:qFormat/>
    <w:uiPriority w:val="0"/>
    <w:rPr>
      <w:sz w:val="16"/>
      <w:szCs w:val="16"/>
    </w:rPr>
  </w:style>
  <w:style w:type="character" w:customStyle="1" w:styleId="334">
    <w:name w:val="Hochgestellt"/>
    <w:autoRedefine/>
    <w:qFormat/>
    <w:uiPriority w:val="0"/>
    <w:rPr>
      <w:sz w:val="24"/>
      <w:szCs w:val="24"/>
      <w:vertAlign w:val="superscript"/>
    </w:rPr>
  </w:style>
  <w:style w:type="character" w:customStyle="1" w:styleId="335">
    <w:name w:val="称呼 Char2"/>
    <w:autoRedefine/>
    <w:qFormat/>
    <w:uiPriority w:val="0"/>
    <w:rPr>
      <w:kern w:val="2"/>
      <w:sz w:val="21"/>
      <w:szCs w:val="24"/>
    </w:rPr>
  </w:style>
  <w:style w:type="character" w:customStyle="1" w:styleId="336">
    <w:name w:val="脚注文本 Char Char"/>
    <w:autoRedefine/>
    <w:qFormat/>
    <w:uiPriority w:val="0"/>
    <w:rPr>
      <w:kern w:val="2"/>
      <w:sz w:val="18"/>
    </w:rPr>
  </w:style>
  <w:style w:type="character" w:customStyle="1" w:styleId="337">
    <w:name w:val="WW-Zeilennummer"/>
    <w:autoRedefine/>
    <w:qFormat/>
    <w:uiPriority w:val="0"/>
    <w:rPr>
      <w:rFonts w:ascii="Arial" w:hAnsi="Arial" w:cs="Arial"/>
      <w:sz w:val="18"/>
      <w:szCs w:val="18"/>
    </w:rPr>
  </w:style>
  <w:style w:type="character" w:customStyle="1" w:styleId="338">
    <w:name w:val="hl"/>
    <w:autoRedefine/>
    <w:qFormat/>
    <w:uiPriority w:val="0"/>
    <w:rPr>
      <w:b/>
      <w:bCs/>
    </w:rPr>
  </w:style>
  <w:style w:type="character" w:customStyle="1" w:styleId="339">
    <w:name w:val="highlight1"/>
    <w:autoRedefine/>
    <w:qFormat/>
    <w:uiPriority w:val="0"/>
    <w:rPr>
      <w:sz w:val="28"/>
      <w:szCs w:val="28"/>
    </w:rPr>
  </w:style>
  <w:style w:type="character" w:customStyle="1" w:styleId="340">
    <w:name w:val="不明显强调1"/>
    <w:autoRedefine/>
    <w:qFormat/>
    <w:uiPriority w:val="19"/>
    <w:rPr>
      <w:rFonts w:eastAsia="宋体" w:cs="Times New Roman"/>
      <w:i/>
      <w:iCs/>
      <w:color w:val="808080"/>
      <w:szCs w:val="22"/>
      <w:lang w:eastAsia="zh-CN"/>
    </w:rPr>
  </w:style>
  <w:style w:type="character" w:customStyle="1" w:styleId="341">
    <w:name w:val="Char Char111"/>
    <w:autoRedefine/>
    <w:qFormat/>
    <w:uiPriority w:val="0"/>
    <w:rPr>
      <w:rFonts w:hint="eastAsia" w:ascii="楷体_GB2312" w:eastAsia="楷体_GB2312"/>
      <w:sz w:val="18"/>
    </w:rPr>
  </w:style>
  <w:style w:type="character" w:customStyle="1" w:styleId="342">
    <w:name w:val="WW-Absatz-Standardschriftart"/>
    <w:autoRedefine/>
    <w:qFormat/>
    <w:uiPriority w:val="0"/>
    <w:rPr>
      <w:sz w:val="24"/>
      <w:szCs w:val="24"/>
    </w:rPr>
  </w:style>
  <w:style w:type="character" w:customStyle="1" w:styleId="343">
    <w:name w:val="正文文本缩进 2 Char Char"/>
    <w:autoRedefine/>
    <w:qFormat/>
    <w:uiPriority w:val="0"/>
    <w:rPr>
      <w:kern w:val="2"/>
      <w:sz w:val="21"/>
    </w:rPr>
  </w:style>
  <w:style w:type="character" w:customStyle="1" w:styleId="344">
    <w:name w:val="纯文本 Char Char Char1"/>
    <w:autoRedefine/>
    <w:qFormat/>
    <w:uiPriority w:val="0"/>
    <w:rPr>
      <w:rFonts w:ascii="宋体" w:hAnsi="Courier New" w:cs="金山简魏碑"/>
      <w:kern w:val="2"/>
      <w:sz w:val="21"/>
      <w:szCs w:val="21"/>
    </w:rPr>
  </w:style>
  <w:style w:type="character" w:customStyle="1" w:styleId="345">
    <w:name w:val="页脚 Char1"/>
    <w:autoRedefine/>
    <w:qFormat/>
    <w:uiPriority w:val="99"/>
    <w:rPr>
      <w:kern w:val="2"/>
      <w:sz w:val="18"/>
      <w:szCs w:val="18"/>
    </w:rPr>
  </w:style>
  <w:style w:type="character" w:customStyle="1" w:styleId="346">
    <w:name w:val="Char Char7"/>
    <w:autoRedefine/>
    <w:qFormat/>
    <w:uiPriority w:val="0"/>
    <w:rPr>
      <w:rFonts w:ascii="仿宋_GB2312" w:eastAsia="仿宋_GB2312"/>
      <w:sz w:val="28"/>
    </w:rPr>
  </w:style>
  <w:style w:type="character" w:customStyle="1" w:styleId="347">
    <w:name w:val="Char Char12"/>
    <w:autoRedefine/>
    <w:qFormat/>
    <w:uiPriority w:val="0"/>
    <w:rPr>
      <w:rFonts w:hint="eastAsia" w:ascii="宋体" w:hAnsi="宋体" w:eastAsia="宋体"/>
      <w:sz w:val="28"/>
    </w:rPr>
  </w:style>
  <w:style w:type="character" w:customStyle="1" w:styleId="348">
    <w:name w:val="Platzhalter"/>
    <w:autoRedefine/>
    <w:qFormat/>
    <w:uiPriority w:val="0"/>
    <w:rPr>
      <w:smallCaps/>
      <w:color w:val="008080"/>
      <w:sz w:val="24"/>
      <w:szCs w:val="24"/>
      <w:u w:val="dotted"/>
    </w:rPr>
  </w:style>
  <w:style w:type="character" w:customStyle="1" w:styleId="349">
    <w:name w:val="Char Char14"/>
    <w:autoRedefine/>
    <w:qFormat/>
    <w:uiPriority w:val="0"/>
    <w:rPr>
      <w:b/>
      <w:bCs/>
      <w:kern w:val="2"/>
      <w:sz w:val="32"/>
      <w:szCs w:val="32"/>
    </w:rPr>
  </w:style>
  <w:style w:type="character" w:customStyle="1" w:styleId="350">
    <w:name w:val="Char Char15"/>
    <w:autoRedefine/>
    <w:qFormat/>
    <w:uiPriority w:val="0"/>
    <w:rPr>
      <w:b/>
      <w:bCs/>
      <w:kern w:val="44"/>
      <w:sz w:val="44"/>
      <w:szCs w:val="44"/>
    </w:rPr>
  </w:style>
  <w:style w:type="character" w:customStyle="1" w:styleId="351">
    <w:name w:val="无间隔 字符"/>
    <w:link w:val="352"/>
    <w:autoRedefine/>
    <w:qFormat/>
    <w:uiPriority w:val="1"/>
    <w:rPr>
      <w:rFonts w:ascii="Calibri" w:hAnsi="Calibri"/>
      <w:sz w:val="22"/>
      <w:szCs w:val="22"/>
    </w:rPr>
  </w:style>
  <w:style w:type="paragraph" w:styleId="352">
    <w:name w:val="No Spacing"/>
    <w:link w:val="351"/>
    <w:autoRedefine/>
    <w:qFormat/>
    <w:uiPriority w:val="1"/>
    <w:rPr>
      <w:rFonts w:ascii="Calibri" w:hAnsi="Calibri" w:eastAsia="等线" w:cs="Times New Roman"/>
      <w:sz w:val="22"/>
      <w:szCs w:val="22"/>
      <w:lang w:val="en-US" w:eastAsia="zh-CN" w:bidi="ar-SA"/>
    </w:rPr>
  </w:style>
  <w:style w:type="character" w:customStyle="1" w:styleId="353">
    <w:name w:val="Footer Char"/>
    <w:autoRedefine/>
    <w:qFormat/>
    <w:uiPriority w:val="0"/>
    <w:rPr>
      <w:rFonts w:ascii="Wund" w:hAnsi="Wund" w:cs="Times New Roman"/>
      <w:sz w:val="22"/>
      <w:lang w:val="de-DE" w:eastAsia="de-DE"/>
    </w:rPr>
  </w:style>
  <w:style w:type="character" w:customStyle="1" w:styleId="354">
    <w:name w:val="Char Char71"/>
    <w:autoRedefine/>
    <w:qFormat/>
    <w:uiPriority w:val="0"/>
    <w:rPr>
      <w:rFonts w:hint="eastAsia" w:ascii="仿宋_GB2312" w:eastAsia="仿宋_GB2312"/>
      <w:sz w:val="28"/>
    </w:rPr>
  </w:style>
  <w:style w:type="character" w:customStyle="1" w:styleId="355">
    <w:name w:val="Char Char122"/>
    <w:autoRedefine/>
    <w:qFormat/>
    <w:uiPriority w:val="0"/>
    <w:rPr>
      <w:rFonts w:ascii="宋体"/>
      <w:sz w:val="28"/>
    </w:rPr>
  </w:style>
  <w:style w:type="character" w:customStyle="1" w:styleId="356">
    <w:name w:val="标题 6 Char Char"/>
    <w:autoRedefine/>
    <w:qFormat/>
    <w:uiPriority w:val="0"/>
    <w:rPr>
      <w:rFonts w:ascii="Cambria" w:hAnsi="Cambria" w:eastAsia="宋体"/>
      <w:b/>
      <w:kern w:val="2"/>
      <w:sz w:val="24"/>
    </w:rPr>
  </w:style>
  <w:style w:type="character" w:customStyle="1" w:styleId="357">
    <w:name w:val="Char Char21"/>
    <w:autoRedefine/>
    <w:qFormat/>
    <w:uiPriority w:val="0"/>
    <w:rPr>
      <w:rFonts w:ascii="Wund" w:hAnsi="Wund" w:eastAsia="宋体" w:cs="Wund"/>
      <w:sz w:val="22"/>
      <w:szCs w:val="22"/>
      <w:lang w:val="de-DE" w:eastAsia="de-DE"/>
    </w:rPr>
  </w:style>
  <w:style w:type="character" w:customStyle="1" w:styleId="358">
    <w:name w:val="bar_info2"/>
    <w:basedOn w:val="57"/>
    <w:autoRedefine/>
    <w:qFormat/>
    <w:uiPriority w:val="0"/>
  </w:style>
  <w:style w:type="character" w:customStyle="1" w:styleId="359">
    <w:name w:val="标书正文 Char1"/>
    <w:link w:val="360"/>
    <w:autoRedefine/>
    <w:qFormat/>
    <w:uiPriority w:val="0"/>
    <w:rPr>
      <w:rFonts w:ascii="宋体" w:hAnsi="宋体"/>
      <w:bCs/>
      <w:sz w:val="24"/>
      <w:szCs w:val="24"/>
    </w:rPr>
  </w:style>
  <w:style w:type="paragraph" w:customStyle="1" w:styleId="360">
    <w:name w:val="标书正文"/>
    <w:basedOn w:val="1"/>
    <w:link w:val="359"/>
    <w:autoRedefine/>
    <w:qFormat/>
    <w:uiPriority w:val="0"/>
    <w:pPr>
      <w:tabs>
        <w:tab w:val="left" w:pos="4680"/>
      </w:tabs>
      <w:adjustRightInd w:val="0"/>
      <w:snapToGrid w:val="0"/>
      <w:spacing w:line="360" w:lineRule="auto"/>
      <w:ind w:firstLine="480" w:firstLineChars="200"/>
      <w:jc w:val="left"/>
    </w:pPr>
    <w:rPr>
      <w:rFonts w:ascii="宋体" w:hAnsi="宋体" w:eastAsia="等线"/>
      <w:bCs/>
      <w:kern w:val="0"/>
      <w:sz w:val="24"/>
      <w:szCs w:val="24"/>
    </w:rPr>
  </w:style>
  <w:style w:type="character" w:customStyle="1" w:styleId="361">
    <w:name w:val="Char Char81"/>
    <w:autoRedefine/>
    <w:qFormat/>
    <w:uiPriority w:val="0"/>
    <w:rPr>
      <w:sz w:val="18"/>
      <w:szCs w:val="18"/>
    </w:rPr>
  </w:style>
  <w:style w:type="character" w:customStyle="1" w:styleId="362">
    <w:name w:val="标题 4 Char Char"/>
    <w:autoRedefine/>
    <w:qFormat/>
    <w:uiPriority w:val="0"/>
    <w:rPr>
      <w:rFonts w:ascii="Cambria" w:hAnsi="Cambria" w:eastAsia="宋体"/>
      <w:b/>
      <w:kern w:val="2"/>
      <w:sz w:val="28"/>
    </w:rPr>
  </w:style>
  <w:style w:type="character" w:customStyle="1" w:styleId="363">
    <w:name w:val="页眉 Char Char"/>
    <w:autoRedefine/>
    <w:qFormat/>
    <w:uiPriority w:val="0"/>
    <w:rPr>
      <w:kern w:val="2"/>
      <w:sz w:val="18"/>
    </w:rPr>
  </w:style>
  <w:style w:type="character" w:customStyle="1" w:styleId="364">
    <w:name w:val="z正文 Char Char Char"/>
    <w:link w:val="365"/>
    <w:autoRedefine/>
    <w:qFormat/>
    <w:uiPriority w:val="0"/>
    <w:rPr>
      <w:sz w:val="24"/>
    </w:rPr>
  </w:style>
  <w:style w:type="paragraph" w:customStyle="1" w:styleId="365">
    <w:name w:val="z正文 Char"/>
    <w:basedOn w:val="1"/>
    <w:link w:val="364"/>
    <w:autoRedefine/>
    <w:qFormat/>
    <w:uiPriority w:val="0"/>
    <w:pPr>
      <w:adjustRightInd w:val="0"/>
      <w:spacing w:line="360" w:lineRule="auto"/>
    </w:pPr>
    <w:rPr>
      <w:rFonts w:ascii="等线" w:hAnsi="等线" w:eastAsia="等线"/>
      <w:kern w:val="0"/>
      <w:sz w:val="24"/>
      <w:szCs w:val="20"/>
    </w:rPr>
  </w:style>
  <w:style w:type="character" w:customStyle="1" w:styleId="366">
    <w:name w:val="正文文本 3 Char Char"/>
    <w:autoRedefine/>
    <w:qFormat/>
    <w:uiPriority w:val="0"/>
    <w:rPr>
      <w:kern w:val="2"/>
      <w:sz w:val="16"/>
    </w:rPr>
  </w:style>
  <w:style w:type="character" w:customStyle="1" w:styleId="367">
    <w:name w:val="fontp1"/>
    <w:autoRedefine/>
    <w:qFormat/>
    <w:uiPriority w:val="0"/>
    <w:rPr>
      <w:rFonts w:hint="eastAsia" w:ascii="宋体" w:hAnsi="宋体" w:eastAsia="宋体"/>
      <w:sz w:val="18"/>
      <w:szCs w:val="18"/>
    </w:rPr>
  </w:style>
  <w:style w:type="character" w:customStyle="1" w:styleId="368">
    <w:name w:val="font41"/>
    <w:autoRedefine/>
    <w:qFormat/>
    <w:uiPriority w:val="0"/>
    <w:rPr>
      <w:rFonts w:hint="eastAsia" w:ascii="宋体" w:hAnsi="宋体" w:eastAsia="宋体" w:cs="宋体"/>
      <w:color w:val="000000"/>
      <w:sz w:val="24"/>
      <w:szCs w:val="24"/>
      <w:u w:val="none"/>
    </w:rPr>
  </w:style>
  <w:style w:type="character" w:customStyle="1" w:styleId="369">
    <w:name w:val="正文文本缩进 Char Char"/>
    <w:autoRedefine/>
    <w:qFormat/>
    <w:uiPriority w:val="0"/>
    <w:rPr>
      <w:kern w:val="2"/>
      <w:sz w:val="21"/>
    </w:rPr>
  </w:style>
  <w:style w:type="character" w:customStyle="1" w:styleId="370">
    <w:name w:val="正文首行缩进 Char2"/>
    <w:autoRedefine/>
    <w:qFormat/>
    <w:uiPriority w:val="0"/>
    <w:rPr>
      <w:color w:val="000000"/>
      <w:kern w:val="2"/>
      <w:sz w:val="21"/>
      <w:szCs w:val="24"/>
    </w:rPr>
  </w:style>
  <w:style w:type="character" w:customStyle="1" w:styleId="371">
    <w:name w:val="正文文本 2 Char Char"/>
    <w:autoRedefine/>
    <w:qFormat/>
    <w:uiPriority w:val="0"/>
    <w:rPr>
      <w:kern w:val="2"/>
      <w:sz w:val="21"/>
    </w:rPr>
  </w:style>
  <w:style w:type="character" w:customStyle="1" w:styleId="372">
    <w:name w:val="标题 9 Char Char"/>
    <w:autoRedefine/>
    <w:qFormat/>
    <w:uiPriority w:val="0"/>
    <w:rPr>
      <w:rFonts w:ascii="Cambria" w:hAnsi="Cambria" w:eastAsia="宋体"/>
      <w:kern w:val="2"/>
      <w:sz w:val="21"/>
    </w:rPr>
  </w:style>
  <w:style w:type="character" w:customStyle="1" w:styleId="373">
    <w:name w:val="Char Char141"/>
    <w:autoRedefine/>
    <w:qFormat/>
    <w:uiPriority w:val="0"/>
    <w:rPr>
      <w:b/>
      <w:bCs/>
      <w:kern w:val="2"/>
      <w:sz w:val="32"/>
      <w:szCs w:val="32"/>
    </w:rPr>
  </w:style>
  <w:style w:type="character" w:customStyle="1" w:styleId="374">
    <w:name w:val="font01"/>
    <w:autoRedefine/>
    <w:qFormat/>
    <w:uiPriority w:val="0"/>
    <w:rPr>
      <w:rFonts w:hint="default" w:ascii="Times New Roman" w:hAnsi="Times New Roman" w:cs="Times New Roman"/>
      <w:color w:val="000000"/>
      <w:sz w:val="24"/>
      <w:szCs w:val="24"/>
      <w:u w:val="none"/>
      <w:vertAlign w:val="subscript"/>
    </w:rPr>
  </w:style>
  <w:style w:type="character" w:customStyle="1" w:styleId="375">
    <w:name w:val="HTML 预设格式 Char Char"/>
    <w:autoRedefine/>
    <w:qFormat/>
    <w:uiPriority w:val="0"/>
    <w:rPr>
      <w:rFonts w:ascii="Courier New" w:hAnsi="Courier New"/>
      <w:kern w:val="2"/>
    </w:rPr>
  </w:style>
  <w:style w:type="character" w:customStyle="1" w:styleId="376">
    <w:name w:val="Char Char151"/>
    <w:autoRedefine/>
    <w:qFormat/>
    <w:uiPriority w:val="0"/>
    <w:rPr>
      <w:b/>
      <w:bCs/>
      <w:kern w:val="44"/>
      <w:sz w:val="44"/>
      <w:szCs w:val="44"/>
    </w:rPr>
  </w:style>
  <w:style w:type="character" w:customStyle="1" w:styleId="377">
    <w:name w:val="apple-style-span"/>
    <w:basedOn w:val="57"/>
    <w:autoRedefine/>
    <w:qFormat/>
    <w:uiPriority w:val="0"/>
  </w:style>
  <w:style w:type="character" w:customStyle="1" w:styleId="378">
    <w:name w:val="st1"/>
    <w:basedOn w:val="57"/>
    <w:autoRedefine/>
    <w:qFormat/>
    <w:uiPriority w:val="0"/>
  </w:style>
  <w:style w:type="character" w:customStyle="1" w:styleId="379">
    <w:name w:val="批注文字 Char Char"/>
    <w:autoRedefine/>
    <w:qFormat/>
    <w:uiPriority w:val="0"/>
    <w:rPr>
      <w:kern w:val="2"/>
      <w:sz w:val="21"/>
    </w:rPr>
  </w:style>
  <w:style w:type="character" w:customStyle="1" w:styleId="380">
    <w:name w:val="Header Char"/>
    <w:autoRedefine/>
    <w:qFormat/>
    <w:uiPriority w:val="0"/>
    <w:rPr>
      <w:rFonts w:eastAsia="宋体"/>
      <w:kern w:val="2"/>
      <w:sz w:val="18"/>
      <w:szCs w:val="18"/>
      <w:lang w:val="en-US" w:eastAsia="zh-CN" w:bidi="ar-SA"/>
    </w:rPr>
  </w:style>
  <w:style w:type="character" w:customStyle="1" w:styleId="381">
    <w:name w:val="正文文本缩进 Char Char Char"/>
    <w:autoRedefine/>
    <w:qFormat/>
    <w:uiPriority w:val="0"/>
    <w:rPr>
      <w:rFonts w:ascii="宋体" w:eastAsia="宋体"/>
      <w:sz w:val="28"/>
      <w:lang w:val="en-US" w:eastAsia="zh-CN" w:bidi="ar-SA"/>
    </w:rPr>
  </w:style>
  <w:style w:type="character" w:customStyle="1" w:styleId="382">
    <w:name w:val="标题 8 Char Char"/>
    <w:autoRedefine/>
    <w:qFormat/>
    <w:uiPriority w:val="0"/>
    <w:rPr>
      <w:rFonts w:ascii="Cambria" w:hAnsi="Cambria" w:eastAsia="宋体"/>
      <w:kern w:val="2"/>
      <w:sz w:val="24"/>
    </w:rPr>
  </w:style>
  <w:style w:type="character" w:customStyle="1" w:styleId="383">
    <w:name w:val="标题 7 Char Char"/>
    <w:autoRedefine/>
    <w:qFormat/>
    <w:uiPriority w:val="0"/>
    <w:rPr>
      <w:b/>
      <w:kern w:val="2"/>
      <w:sz w:val="24"/>
    </w:rPr>
  </w:style>
  <w:style w:type="character" w:customStyle="1" w:styleId="384">
    <w:name w:val="Char Char131"/>
    <w:autoRedefine/>
    <w:qFormat/>
    <w:uiPriority w:val="0"/>
    <w:rPr>
      <w:rFonts w:hint="eastAsia" w:ascii="宋体" w:hAnsi="宋体" w:eastAsia="宋体"/>
      <w:sz w:val="28"/>
    </w:rPr>
  </w:style>
  <w:style w:type="character" w:customStyle="1" w:styleId="385">
    <w:name w:val="标题 2 Char Char"/>
    <w:autoRedefine/>
    <w:qFormat/>
    <w:uiPriority w:val="0"/>
    <w:rPr>
      <w:rFonts w:ascii="Wund" w:hAnsi="Wund" w:eastAsia="宋体" w:cs="Wund"/>
      <w:sz w:val="28"/>
      <w:szCs w:val="28"/>
      <w:lang w:val="en-US" w:eastAsia="de-DE"/>
    </w:rPr>
  </w:style>
  <w:style w:type="character" w:customStyle="1" w:styleId="386">
    <w:name w:val="正文文本缩进 3 Char1"/>
    <w:autoRedefine/>
    <w:qFormat/>
    <w:uiPriority w:val="99"/>
    <w:rPr>
      <w:kern w:val="2"/>
      <w:sz w:val="16"/>
      <w:szCs w:val="16"/>
    </w:rPr>
  </w:style>
  <w:style w:type="character" w:customStyle="1" w:styleId="387">
    <w:name w:val="t11"/>
    <w:autoRedefine/>
    <w:qFormat/>
    <w:uiPriority w:val="0"/>
    <w:rPr>
      <w:spacing w:val="300"/>
      <w:sz w:val="18"/>
      <w:szCs w:val="18"/>
    </w:rPr>
  </w:style>
  <w:style w:type="paragraph" w:customStyle="1" w:styleId="388">
    <w:name w:val="WW-Listenfortsetzung 4"/>
    <w:basedOn w:val="389"/>
    <w:autoRedefine/>
    <w:qFormat/>
    <w:uiPriority w:val="0"/>
    <w:pPr>
      <w:tabs>
        <w:tab w:val="left" w:pos="720"/>
      </w:tabs>
      <w:ind w:left="1800"/>
    </w:pPr>
  </w:style>
  <w:style w:type="paragraph" w:customStyle="1" w:styleId="389">
    <w:name w:val="WW-Listenfortsetzung"/>
    <w:basedOn w:val="16"/>
    <w:autoRedefine/>
    <w:qFormat/>
    <w:uiPriority w:val="0"/>
    <w:pPr>
      <w:tabs>
        <w:tab w:val="left" w:pos="720"/>
      </w:tabs>
      <w:suppressAutoHyphens/>
      <w:overflowPunct w:val="0"/>
      <w:autoSpaceDE w:val="0"/>
      <w:autoSpaceDN w:val="0"/>
      <w:spacing w:after="16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390">
    <w:name w:val="CM8"/>
    <w:basedOn w:val="70"/>
    <w:next w:val="70"/>
    <w:autoRedefine/>
    <w:qFormat/>
    <w:uiPriority w:val="0"/>
    <w:pPr>
      <w:spacing w:line="246" w:lineRule="atLeast"/>
    </w:pPr>
    <w:rPr>
      <w:rFonts w:ascii="宋体" w:eastAsia="宋体" w:cs="宋体"/>
      <w:color w:val="auto"/>
    </w:rPr>
  </w:style>
  <w:style w:type="paragraph" w:customStyle="1" w:styleId="391">
    <w:name w:val="Zu Händen von"/>
    <w:basedOn w:val="22"/>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b/>
      <w:bCs/>
      <w:i/>
      <w:iCs/>
      <w:kern w:val="0"/>
      <w:sz w:val="22"/>
      <w:szCs w:val="22"/>
      <w:lang w:val="de-DE" w:eastAsia="de-DE"/>
    </w:rPr>
  </w:style>
  <w:style w:type="paragraph" w:customStyle="1" w:styleId="392">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93">
    <w:name w:val="Fußzeile Erste"/>
    <w:basedOn w:val="35"/>
    <w:autoRedefine/>
    <w:qFormat/>
    <w:uiPriority w:val="0"/>
    <w:pPr>
      <w:keepLines/>
      <w:widowControl/>
      <w:tabs>
        <w:tab w:val="center" w:pos="4320"/>
        <w:tab w:val="right" w:pos="8640"/>
        <w:tab w:val="clear" w:pos="4153"/>
        <w:tab w:val="clear" w:pos="8306"/>
      </w:tabs>
      <w:overflowPunct w:val="0"/>
      <w:autoSpaceDE w:val="0"/>
      <w:autoSpaceDN w:val="0"/>
      <w:adjustRightInd w:val="0"/>
      <w:snapToGrid/>
      <w:spacing w:after="120" w:line="360" w:lineRule="auto"/>
      <w:jc w:val="center"/>
      <w:textAlignment w:val="baseline"/>
    </w:pPr>
    <w:rPr>
      <w:rFonts w:ascii="Wund" w:hAnsi="Wund"/>
      <w:kern w:val="0"/>
      <w:lang w:val="de-DE" w:eastAsia="de-DE"/>
    </w:rPr>
  </w:style>
  <w:style w:type="paragraph" w:customStyle="1" w:styleId="394">
    <w:name w:val="Bildunterschrift HW"/>
    <w:basedOn w:val="22"/>
    <w:autoRedefine/>
    <w:qFormat/>
    <w:uiPriority w:val="0"/>
    <w:pPr>
      <w:suppressAutoHyphens/>
      <w:overflowPunct w:val="0"/>
      <w:autoSpaceDE w:val="0"/>
      <w:autoSpaceDN w:val="0"/>
      <w:adjustRightInd w:val="0"/>
      <w:spacing w:before="120" w:after="360" w:line="340" w:lineRule="atLeast"/>
      <w:jc w:val="center"/>
      <w:textAlignment w:val="baseline"/>
    </w:pPr>
    <w:rPr>
      <w:rFonts w:ascii="Arial Narrow" w:hAnsi="Arial Narrow" w:cs="Arial Narrow"/>
      <w:i/>
      <w:iCs/>
      <w:kern w:val="0"/>
      <w:sz w:val="22"/>
      <w:szCs w:val="22"/>
      <w:lang w:val="de-DE" w:eastAsia="de-DE"/>
    </w:rPr>
  </w:style>
  <w:style w:type="paragraph" w:customStyle="1" w:styleId="395">
    <w:name w:val="CM141"/>
    <w:basedOn w:val="70"/>
    <w:next w:val="70"/>
    <w:autoRedefine/>
    <w:qFormat/>
    <w:uiPriority w:val="0"/>
    <w:pPr>
      <w:spacing w:after="67"/>
    </w:pPr>
    <w:rPr>
      <w:rFonts w:ascii="宋体" w:eastAsia="宋体" w:cs="宋体"/>
      <w:color w:val="auto"/>
    </w:rPr>
  </w:style>
  <w:style w:type="paragraph" w:customStyle="1" w:styleId="396">
    <w:name w:val="CM3"/>
    <w:basedOn w:val="70"/>
    <w:next w:val="70"/>
    <w:autoRedefine/>
    <w:qFormat/>
    <w:uiPriority w:val="0"/>
    <w:pPr>
      <w:spacing w:line="500" w:lineRule="atLeast"/>
    </w:pPr>
    <w:rPr>
      <w:rFonts w:ascii="宋体" w:eastAsia="宋体" w:cs="宋体"/>
      <w:color w:val="auto"/>
    </w:rPr>
  </w:style>
  <w:style w:type="paragraph" w:customStyle="1" w:styleId="397">
    <w:name w:val="p0"/>
    <w:basedOn w:val="1"/>
    <w:autoRedefine/>
    <w:qFormat/>
    <w:uiPriority w:val="0"/>
    <w:pPr>
      <w:widowControl/>
    </w:pPr>
    <w:rPr>
      <w:rFonts w:ascii="宋体" w:hAnsi="宋体" w:cs="宋体"/>
      <w:kern w:val="0"/>
      <w:sz w:val="24"/>
      <w:szCs w:val="24"/>
    </w:rPr>
  </w:style>
  <w:style w:type="paragraph" w:customStyle="1" w:styleId="398">
    <w:name w:val="CM47"/>
    <w:basedOn w:val="70"/>
    <w:next w:val="70"/>
    <w:autoRedefine/>
    <w:qFormat/>
    <w:uiPriority w:val="0"/>
    <w:pPr>
      <w:spacing w:line="440" w:lineRule="atLeast"/>
    </w:pPr>
    <w:rPr>
      <w:rFonts w:ascii="宋体" w:eastAsia="宋体" w:cs="宋体"/>
      <w:color w:val="auto"/>
    </w:rPr>
  </w:style>
  <w:style w:type="paragraph" w:customStyle="1" w:styleId="399">
    <w:name w:val="WW-Verzeichnis 9"/>
    <w:basedOn w:val="1"/>
    <w:autoRedefine/>
    <w:qFormat/>
    <w:uiPriority w:val="0"/>
    <w:pPr>
      <w:widowControl/>
      <w:tabs>
        <w:tab w:val="right" w:leader="dot" w:pos="9072"/>
      </w:tabs>
      <w:overflowPunct w:val="0"/>
      <w:autoSpaceDE w:val="0"/>
      <w:autoSpaceDN w:val="0"/>
      <w:adjustRightInd w:val="0"/>
      <w:spacing w:after="120" w:line="360" w:lineRule="auto"/>
      <w:ind w:left="1680"/>
      <w:jc w:val="left"/>
      <w:textAlignment w:val="baseline"/>
    </w:pPr>
    <w:rPr>
      <w:rFonts w:ascii="Times New Roman" w:hAnsi="Times New Roman"/>
      <w:kern w:val="0"/>
      <w:sz w:val="18"/>
      <w:szCs w:val="18"/>
      <w:lang w:val="de-DE" w:eastAsia="de-DE"/>
    </w:rPr>
  </w:style>
  <w:style w:type="paragraph" w:customStyle="1" w:styleId="400">
    <w:name w:val="kopf-wörner"/>
    <w:basedOn w:val="1"/>
    <w:autoRedefine/>
    <w:qFormat/>
    <w:uiPriority w:val="0"/>
    <w:pPr>
      <w:widowControl/>
      <w:tabs>
        <w:tab w:val="center" w:pos="8080"/>
      </w:tabs>
      <w:overflowPunct w:val="0"/>
      <w:autoSpaceDE w:val="0"/>
      <w:autoSpaceDN w:val="0"/>
      <w:adjustRightInd w:val="0"/>
      <w:spacing w:after="120"/>
      <w:textAlignment w:val="baseline"/>
    </w:pPr>
    <w:rPr>
      <w:rFonts w:ascii="Wund" w:hAnsi="Wund" w:cs="Wund"/>
      <w:b/>
      <w:bCs/>
      <w:i/>
      <w:iCs/>
      <w:kern w:val="0"/>
      <w:sz w:val="18"/>
      <w:szCs w:val="18"/>
      <w:lang w:val="de-DE" w:eastAsia="de-DE"/>
    </w:rPr>
  </w:style>
  <w:style w:type="paragraph" w:customStyle="1" w:styleId="401">
    <w:name w:val="CM80"/>
    <w:basedOn w:val="70"/>
    <w:next w:val="70"/>
    <w:autoRedefine/>
    <w:qFormat/>
    <w:uiPriority w:val="0"/>
    <w:pPr>
      <w:spacing w:line="440" w:lineRule="atLeast"/>
    </w:pPr>
    <w:rPr>
      <w:rFonts w:ascii="宋体" w:eastAsia="宋体" w:cs="宋体"/>
      <w:color w:val="auto"/>
    </w:rPr>
  </w:style>
  <w:style w:type="paragraph" w:customStyle="1" w:styleId="402">
    <w:name w:val="CM77"/>
    <w:basedOn w:val="70"/>
    <w:next w:val="70"/>
    <w:autoRedefine/>
    <w:qFormat/>
    <w:uiPriority w:val="0"/>
    <w:pPr>
      <w:spacing w:line="400" w:lineRule="atLeast"/>
    </w:pPr>
    <w:rPr>
      <w:rFonts w:ascii="宋体" w:eastAsia="宋体" w:cs="宋体"/>
      <w:color w:val="auto"/>
    </w:rPr>
  </w:style>
  <w:style w:type="paragraph" w:customStyle="1" w:styleId="403">
    <w:name w:val="Textkörper Einzug negativ"/>
    <w:basedOn w:val="22"/>
    <w:autoRedefine/>
    <w:qFormat/>
    <w:uiPriority w:val="0"/>
    <w:pPr>
      <w:tabs>
        <w:tab w:val="left" w:pos="360"/>
      </w:tabs>
      <w:suppressAutoHyphens/>
      <w:overflowPunct w:val="0"/>
      <w:autoSpaceDE w:val="0"/>
      <w:autoSpaceDN w:val="0"/>
      <w:adjustRightInd w:val="0"/>
      <w:spacing w:line="340" w:lineRule="atLeast"/>
      <w:ind w:left="360"/>
      <w:textAlignment w:val="baseline"/>
    </w:pPr>
    <w:rPr>
      <w:rFonts w:ascii="Arial Narrow" w:hAnsi="Arial Narrow" w:cs="Arial Narrow"/>
      <w:kern w:val="0"/>
      <w:sz w:val="22"/>
      <w:szCs w:val="22"/>
      <w:lang w:val="de-DE" w:eastAsia="de-DE"/>
    </w:rPr>
  </w:style>
  <w:style w:type="paragraph" w:customStyle="1" w:styleId="404">
    <w:name w:val="Blockzitat Ende"/>
    <w:basedOn w:val="405"/>
    <w:next w:val="22"/>
    <w:autoRedefine/>
    <w:qFormat/>
    <w:uiPriority w:val="0"/>
    <w:pPr>
      <w:spacing w:after="240"/>
    </w:pPr>
  </w:style>
  <w:style w:type="paragraph" w:customStyle="1" w:styleId="405">
    <w:name w:val="Blockzitat"/>
    <w:basedOn w:val="22"/>
    <w:autoRedefine/>
    <w:qFormat/>
    <w:uiPriority w:val="0"/>
    <w:pPr>
      <w:keepLines/>
      <w:suppressAutoHyphens/>
      <w:overflowPunct w:val="0"/>
      <w:autoSpaceDE w:val="0"/>
      <w:autoSpaceDN w:val="0"/>
      <w:adjustRightInd w:val="0"/>
      <w:spacing w:line="340" w:lineRule="atLeast"/>
      <w:ind w:left="720" w:right="720"/>
      <w:textAlignment w:val="baseline"/>
    </w:pPr>
    <w:rPr>
      <w:rFonts w:ascii="Arial Narrow" w:hAnsi="Arial Narrow" w:cs="Arial Narrow"/>
      <w:i/>
      <w:iCs/>
      <w:kern w:val="0"/>
      <w:sz w:val="22"/>
      <w:szCs w:val="22"/>
      <w:lang w:val="de-DE" w:eastAsia="de-DE"/>
    </w:rPr>
  </w:style>
  <w:style w:type="paragraph" w:customStyle="1" w:styleId="406">
    <w:name w:val="CM93"/>
    <w:basedOn w:val="70"/>
    <w:next w:val="70"/>
    <w:autoRedefine/>
    <w:qFormat/>
    <w:uiPriority w:val="0"/>
    <w:pPr>
      <w:spacing w:after="628"/>
    </w:pPr>
    <w:rPr>
      <w:rFonts w:ascii="宋体" w:eastAsia="宋体" w:cs="宋体"/>
      <w:color w:val="auto"/>
    </w:rPr>
  </w:style>
  <w:style w:type="paragraph" w:customStyle="1" w:styleId="407">
    <w:name w:val="Char Char Char Char Char Char Char1"/>
    <w:basedOn w:val="1"/>
    <w:autoRedefine/>
    <w:qFormat/>
    <w:uiPriority w:val="0"/>
    <w:rPr>
      <w:rFonts w:ascii="Times New Roman" w:hAnsi="Times New Roman"/>
      <w:szCs w:val="24"/>
    </w:rPr>
  </w:style>
  <w:style w:type="paragraph" w:customStyle="1" w:styleId="408">
    <w:name w:val="Stichwortverzeichnis Überschrift"/>
    <w:basedOn w:val="1"/>
    <w:next w:val="51"/>
    <w:autoRedefine/>
    <w:qFormat/>
    <w:uiPriority w:val="0"/>
    <w:pPr>
      <w:widowControl/>
      <w:overflowPunct w:val="0"/>
      <w:autoSpaceDE w:val="0"/>
      <w:autoSpaceDN w:val="0"/>
      <w:adjustRightInd w:val="0"/>
      <w:spacing w:before="240" w:after="120" w:line="360" w:lineRule="auto"/>
      <w:textAlignment w:val="baseline"/>
    </w:pPr>
    <w:rPr>
      <w:rFonts w:ascii="Arial" w:hAnsi="Arial" w:cs="Arial"/>
      <w:b/>
      <w:bCs/>
      <w:kern w:val="0"/>
      <w:sz w:val="28"/>
      <w:szCs w:val="28"/>
      <w:lang w:val="de-DE" w:eastAsia="de-DE"/>
    </w:rPr>
  </w:style>
  <w:style w:type="paragraph" w:customStyle="1" w:styleId="409">
    <w:name w:val="章标题"/>
    <w:next w:val="410"/>
    <w:autoRedefine/>
    <w:qFormat/>
    <w:uiPriority w:val="0"/>
    <w:pPr>
      <w:tabs>
        <w:tab w:val="left" w:pos="840"/>
      </w:tabs>
      <w:spacing w:beforeLines="50"/>
      <w:jc w:val="both"/>
      <w:outlineLvl w:val="1"/>
    </w:pPr>
    <w:rPr>
      <w:rFonts w:ascii="黑体" w:hAnsi="Times New Roman" w:eastAsia="黑体" w:cs="Times New Roman"/>
      <w:sz w:val="21"/>
      <w:lang w:val="en-US" w:eastAsia="zh-CN" w:bidi="ar-SA"/>
    </w:rPr>
  </w:style>
  <w:style w:type="paragraph" w:customStyle="1" w:styleId="41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1">
    <w:name w:val="Zchn Zchn2"/>
    <w:basedOn w:val="17"/>
    <w:autoRedefine/>
    <w:qFormat/>
    <w:uiPriority w:val="0"/>
    <w:rPr>
      <w:rFonts w:ascii="Calibri" w:hAnsi="Calibri"/>
      <w:kern w:val="0"/>
      <w:sz w:val="16"/>
      <w:szCs w:val="16"/>
      <w:lang w:val="de-DE" w:eastAsia="de-DE"/>
    </w:rPr>
  </w:style>
  <w:style w:type="paragraph" w:customStyle="1" w:styleId="412">
    <w:name w:val="CM99"/>
    <w:basedOn w:val="70"/>
    <w:next w:val="70"/>
    <w:autoRedefine/>
    <w:qFormat/>
    <w:uiPriority w:val="0"/>
    <w:pPr>
      <w:spacing w:after="443"/>
    </w:pPr>
    <w:rPr>
      <w:rFonts w:ascii="宋体" w:eastAsia="宋体" w:cs="宋体"/>
      <w:color w:val="auto"/>
    </w:rPr>
  </w:style>
  <w:style w:type="paragraph" w:customStyle="1" w:styleId="413">
    <w:name w:val="CM89"/>
    <w:basedOn w:val="70"/>
    <w:next w:val="70"/>
    <w:autoRedefine/>
    <w:qFormat/>
    <w:uiPriority w:val="0"/>
    <w:pPr>
      <w:spacing w:line="440" w:lineRule="atLeast"/>
    </w:pPr>
    <w:rPr>
      <w:rFonts w:ascii="宋体" w:eastAsia="宋体" w:cs="宋体"/>
      <w:color w:val="auto"/>
    </w:rPr>
  </w:style>
  <w:style w:type="paragraph" w:customStyle="1" w:styleId="414">
    <w:name w:val="2"/>
    <w:basedOn w:val="1"/>
    <w:next w:val="48"/>
    <w:autoRedefine/>
    <w:qFormat/>
    <w:uiPriority w:val="0"/>
    <w:pPr>
      <w:spacing w:afterLines="50" w:line="300" w:lineRule="auto"/>
    </w:pPr>
    <w:rPr>
      <w:rFonts w:ascii="Arial" w:hAnsi="Arial" w:cs="Arial"/>
      <w:sz w:val="24"/>
      <w:szCs w:val="24"/>
    </w:rPr>
  </w:style>
  <w:style w:type="paragraph" w:customStyle="1" w:styleId="415">
    <w:name w:val="CM72"/>
    <w:basedOn w:val="70"/>
    <w:next w:val="70"/>
    <w:autoRedefine/>
    <w:qFormat/>
    <w:uiPriority w:val="0"/>
    <w:rPr>
      <w:rFonts w:ascii="宋体" w:eastAsia="宋体" w:cs="宋体"/>
      <w:color w:val="auto"/>
    </w:rPr>
  </w:style>
  <w:style w:type="paragraph" w:customStyle="1" w:styleId="416">
    <w:name w:val="CM57"/>
    <w:basedOn w:val="70"/>
    <w:next w:val="70"/>
    <w:autoRedefine/>
    <w:qFormat/>
    <w:uiPriority w:val="0"/>
    <w:pPr>
      <w:spacing w:line="400" w:lineRule="atLeast"/>
    </w:pPr>
    <w:rPr>
      <w:rFonts w:ascii="宋体" w:eastAsia="宋体" w:cs="宋体"/>
      <w:color w:val="auto"/>
    </w:rPr>
  </w:style>
  <w:style w:type="paragraph" w:customStyle="1" w:styleId="417">
    <w:name w:val="WW-Überschrift 9"/>
    <w:basedOn w:val="1"/>
    <w:next w:val="22"/>
    <w:autoRedefine/>
    <w:qFormat/>
    <w:uiPriority w:val="0"/>
    <w:pPr>
      <w:widowControl/>
      <w:overflowPunct w:val="0"/>
      <w:autoSpaceDE w:val="0"/>
      <w:autoSpaceDN w:val="0"/>
      <w:adjustRightInd w:val="0"/>
      <w:spacing w:before="80" w:after="60" w:line="360" w:lineRule="auto"/>
      <w:ind w:left="6372" w:hanging="708"/>
      <w:textAlignment w:val="baseline"/>
    </w:pPr>
    <w:rPr>
      <w:rFonts w:ascii="Wund" w:hAnsi="Wund" w:cs="Wund"/>
      <w:b/>
      <w:bCs/>
      <w:i/>
      <w:iCs/>
      <w:kern w:val="0"/>
      <w:sz w:val="22"/>
      <w:lang w:val="de-DE" w:eastAsia="de-DE"/>
    </w:rPr>
  </w:style>
  <w:style w:type="paragraph" w:customStyle="1" w:styleId="418">
    <w:name w:val="WW-Überschrift 8"/>
    <w:basedOn w:val="1"/>
    <w:next w:val="22"/>
    <w:autoRedefine/>
    <w:qFormat/>
    <w:uiPriority w:val="0"/>
    <w:pPr>
      <w:widowControl/>
      <w:overflowPunct w:val="0"/>
      <w:autoSpaceDE w:val="0"/>
      <w:autoSpaceDN w:val="0"/>
      <w:adjustRightInd w:val="0"/>
      <w:spacing w:before="80" w:after="60" w:line="360" w:lineRule="auto"/>
      <w:ind w:left="5664" w:hanging="708"/>
      <w:textAlignment w:val="baseline"/>
    </w:pPr>
    <w:rPr>
      <w:rFonts w:ascii="Wund" w:hAnsi="Wund" w:cs="Wund"/>
      <w:b/>
      <w:bCs/>
      <w:i/>
      <w:iCs/>
      <w:kern w:val="0"/>
      <w:sz w:val="22"/>
      <w:lang w:val="de-DE" w:eastAsia="de-DE"/>
    </w:rPr>
  </w:style>
  <w:style w:type="paragraph" w:customStyle="1" w:styleId="419">
    <w:name w:val="Kopfzeile rechts"/>
    <w:basedOn w:val="1"/>
    <w:autoRedefine/>
    <w:qFormat/>
    <w:uiPriority w:val="0"/>
    <w:pPr>
      <w:widowControl/>
      <w:tabs>
        <w:tab w:val="center" w:pos="4819"/>
        <w:tab w:val="right" w:pos="9639"/>
      </w:tabs>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420">
    <w:name w:val="Kapitelunterüberschrift"/>
    <w:basedOn w:val="1"/>
    <w:next w:val="22"/>
    <w:autoRedefine/>
    <w:qFormat/>
    <w:uiPriority w:val="0"/>
    <w:pPr>
      <w:keepLines/>
      <w:widowControl/>
      <w:overflowPunct w:val="0"/>
      <w:autoSpaceDE w:val="0"/>
      <w:autoSpaceDN w:val="0"/>
      <w:adjustRightInd w:val="0"/>
      <w:spacing w:before="360" w:after="360" w:line="360" w:lineRule="auto"/>
      <w:jc w:val="center"/>
      <w:textAlignment w:val="baseline"/>
    </w:pPr>
    <w:rPr>
      <w:rFonts w:ascii="Arial" w:hAnsi="Arial" w:cs="Arial"/>
      <w:i/>
      <w:iCs/>
      <w:kern w:val="0"/>
      <w:sz w:val="28"/>
      <w:szCs w:val="28"/>
      <w:lang w:val="de-DE" w:eastAsia="de-DE"/>
    </w:rPr>
  </w:style>
  <w:style w:type="paragraph" w:customStyle="1" w:styleId="421">
    <w:name w:val="Basis-Fußnote"/>
    <w:basedOn w:val="1"/>
    <w:autoRedefine/>
    <w:qFormat/>
    <w:uiPriority w:val="0"/>
    <w:pPr>
      <w:widowControl/>
      <w:tabs>
        <w:tab w:val="left" w:pos="187"/>
      </w:tabs>
      <w:overflowPunct w:val="0"/>
      <w:autoSpaceDE w:val="0"/>
      <w:autoSpaceDN w:val="0"/>
      <w:adjustRightInd w:val="0"/>
      <w:spacing w:after="120" w:line="220" w:lineRule="atLeast"/>
      <w:ind w:left="187" w:hanging="187"/>
      <w:textAlignment w:val="baseline"/>
    </w:pPr>
    <w:rPr>
      <w:rFonts w:ascii="Wund" w:hAnsi="Wund" w:cs="Wund"/>
      <w:kern w:val="0"/>
      <w:sz w:val="18"/>
      <w:szCs w:val="18"/>
      <w:lang w:val="de-DE" w:eastAsia="de-DE"/>
    </w:rPr>
  </w:style>
  <w:style w:type="paragraph" w:customStyle="1" w:styleId="422">
    <w:name w:val="CM94"/>
    <w:basedOn w:val="70"/>
    <w:next w:val="70"/>
    <w:autoRedefine/>
    <w:qFormat/>
    <w:uiPriority w:val="0"/>
    <w:pPr>
      <w:spacing w:after="63"/>
    </w:pPr>
    <w:rPr>
      <w:rFonts w:ascii="宋体" w:eastAsia="宋体" w:cs="宋体"/>
      <w:color w:val="auto"/>
    </w:rPr>
  </w:style>
  <w:style w:type="paragraph" w:customStyle="1" w:styleId="423">
    <w:name w:val="WW-Listenfortsetzung 5"/>
    <w:basedOn w:val="389"/>
    <w:autoRedefine/>
    <w:qFormat/>
    <w:uiPriority w:val="0"/>
    <w:pPr>
      <w:ind w:left="2160"/>
    </w:pPr>
  </w:style>
  <w:style w:type="paragraph" w:customStyle="1" w:styleId="424">
    <w:name w:val="CM32"/>
    <w:basedOn w:val="70"/>
    <w:next w:val="70"/>
    <w:autoRedefine/>
    <w:qFormat/>
    <w:uiPriority w:val="0"/>
    <w:pPr>
      <w:spacing w:after="383"/>
    </w:pPr>
    <w:rPr>
      <w:rFonts w:ascii="Century Gothic" w:hAnsi="Century Gothic" w:eastAsia="宋体" w:cs="Century Gothic"/>
      <w:color w:val="auto"/>
    </w:rPr>
  </w:style>
  <w:style w:type="paragraph" w:customStyle="1" w:styleId="425">
    <w:name w:val="CM96"/>
    <w:basedOn w:val="70"/>
    <w:next w:val="70"/>
    <w:autoRedefine/>
    <w:qFormat/>
    <w:uiPriority w:val="0"/>
    <w:pPr>
      <w:spacing w:after="298"/>
    </w:pPr>
    <w:rPr>
      <w:rFonts w:ascii="宋体" w:eastAsia="宋体" w:cs="宋体"/>
      <w:color w:val="auto"/>
    </w:rPr>
  </w:style>
  <w:style w:type="paragraph" w:customStyle="1" w:styleId="426">
    <w:name w:val="font10"/>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427">
    <w:name w:val="Char2"/>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28">
    <w:name w:val="Char1 Char Char Char Char Char1 Char"/>
    <w:basedOn w:val="1"/>
    <w:autoRedefine/>
    <w:qFormat/>
    <w:uiPriority w:val="0"/>
    <w:pPr>
      <w:spacing w:line="360" w:lineRule="auto"/>
      <w:jc w:val="left"/>
    </w:pPr>
    <w:rPr>
      <w:rFonts w:ascii="Times New Roman" w:hAnsi="Times New Roman" w:eastAsia="仿宋_GB2312"/>
      <w:b/>
      <w:bCs/>
      <w:sz w:val="32"/>
      <w:szCs w:val="32"/>
    </w:rPr>
  </w:style>
  <w:style w:type="paragraph" w:customStyle="1" w:styleId="429">
    <w:name w:val="CM49"/>
    <w:basedOn w:val="70"/>
    <w:next w:val="70"/>
    <w:autoRedefine/>
    <w:qFormat/>
    <w:uiPriority w:val="0"/>
    <w:pPr>
      <w:spacing w:line="440" w:lineRule="atLeast"/>
    </w:pPr>
    <w:rPr>
      <w:rFonts w:ascii="宋体" w:eastAsia="宋体" w:cs="宋体"/>
      <w:color w:val="auto"/>
    </w:rPr>
  </w:style>
  <w:style w:type="paragraph" w:customStyle="1" w:styleId="430">
    <w:name w:val="CM1"/>
    <w:basedOn w:val="70"/>
    <w:next w:val="70"/>
    <w:autoRedefine/>
    <w:qFormat/>
    <w:uiPriority w:val="0"/>
    <w:rPr>
      <w:rFonts w:ascii="宋体" w:eastAsia="宋体" w:cs="宋体"/>
      <w:color w:val="auto"/>
    </w:rPr>
  </w:style>
  <w:style w:type="paragraph" w:customStyle="1" w:styleId="431">
    <w:name w:val="WW-Listennummer 3"/>
    <w:basedOn w:val="432"/>
    <w:autoRedefine/>
    <w:qFormat/>
    <w:uiPriority w:val="0"/>
    <w:pPr>
      <w:tabs>
        <w:tab w:val="left" w:pos="720"/>
      </w:tabs>
      <w:ind w:left="1440"/>
    </w:pPr>
  </w:style>
  <w:style w:type="paragraph" w:customStyle="1" w:styleId="432">
    <w:name w:val="WW-Listennummer"/>
    <w:basedOn w:val="16"/>
    <w:autoRedefine/>
    <w:qFormat/>
    <w:uiPriority w:val="0"/>
    <w:pPr>
      <w:tabs>
        <w:tab w:val="left" w:pos="720"/>
      </w:tabs>
      <w:suppressAutoHyphens/>
      <w:overflowPunct w:val="0"/>
      <w:autoSpaceDE w:val="0"/>
      <w:autoSpaceDN w:val="0"/>
      <w:spacing w:after="16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433">
    <w:name w:val="CM6"/>
    <w:basedOn w:val="70"/>
    <w:next w:val="70"/>
    <w:autoRedefine/>
    <w:qFormat/>
    <w:uiPriority w:val="0"/>
    <w:pPr>
      <w:spacing w:line="318" w:lineRule="atLeast"/>
    </w:pPr>
    <w:rPr>
      <w:rFonts w:ascii="宋体" w:eastAsia="宋体" w:cs="宋体"/>
      <w:color w:val="auto"/>
    </w:rPr>
  </w:style>
  <w:style w:type="paragraph" w:customStyle="1" w:styleId="434">
    <w:name w:val="p16"/>
    <w:basedOn w:val="1"/>
    <w:autoRedefine/>
    <w:qFormat/>
    <w:uiPriority w:val="0"/>
    <w:pPr>
      <w:widowControl/>
      <w:spacing w:line="420" w:lineRule="atLeast"/>
      <w:ind w:firstLine="525"/>
    </w:pPr>
    <w:rPr>
      <w:rFonts w:ascii="宋体" w:hAnsi="宋体" w:cs="宋体"/>
      <w:kern w:val="0"/>
      <w:szCs w:val="21"/>
    </w:rPr>
  </w:style>
  <w:style w:type="paragraph" w:customStyle="1" w:styleId="435">
    <w:name w:val="CM25"/>
    <w:basedOn w:val="70"/>
    <w:next w:val="70"/>
    <w:autoRedefine/>
    <w:qFormat/>
    <w:uiPriority w:val="0"/>
    <w:pPr>
      <w:spacing w:line="440" w:lineRule="atLeast"/>
    </w:pPr>
    <w:rPr>
      <w:rFonts w:ascii="宋体" w:eastAsia="宋体" w:cs="宋体"/>
      <w:color w:val="auto"/>
    </w:rPr>
  </w:style>
  <w:style w:type="paragraph" w:customStyle="1" w:styleId="436">
    <w:name w:val="Aufzählung 1 Fortsetzung"/>
    <w:basedOn w:val="16"/>
    <w:autoRedefine/>
    <w:qFormat/>
    <w:uiPriority w:val="0"/>
    <w:pPr>
      <w:tabs>
        <w:tab w:val="left" w:pos="720"/>
      </w:tabs>
      <w:suppressAutoHyphens/>
      <w:overflowPunct w:val="0"/>
      <w:autoSpaceDE w:val="0"/>
      <w:autoSpaceDN w:val="0"/>
      <w:spacing w:after="120" w:line="340" w:lineRule="atLeast"/>
      <w:ind w:left="283" w:firstLine="0"/>
      <w:jc w:val="both"/>
      <w:textAlignment w:val="baseline"/>
    </w:pPr>
    <w:rPr>
      <w:rFonts w:hint="default" w:ascii="Arial Narrow" w:hAnsi="Arial Narrow" w:cs="Arial Narrow"/>
      <w:sz w:val="22"/>
      <w:szCs w:val="22"/>
      <w:lang w:val="de-DE" w:eastAsia="de-DE"/>
    </w:rPr>
  </w:style>
  <w:style w:type="paragraph" w:customStyle="1" w:styleId="437">
    <w:name w:val="Adresse"/>
    <w:basedOn w:val="1"/>
    <w:autoRedefine/>
    <w:qFormat/>
    <w:uiPriority w:val="0"/>
    <w:pPr>
      <w:widowControl/>
      <w:overflowPunct w:val="0"/>
      <w:autoSpaceDE w:val="0"/>
      <w:autoSpaceDN w:val="0"/>
      <w:adjustRightInd w:val="0"/>
      <w:spacing w:after="120"/>
      <w:jc w:val="left"/>
      <w:textAlignment w:val="baseline"/>
    </w:pPr>
    <w:rPr>
      <w:rFonts w:ascii="Wund" w:hAnsi="Wund" w:cs="Wund"/>
      <w:kern w:val="0"/>
      <w:sz w:val="22"/>
      <w:lang w:val="de-DE" w:eastAsia="de-DE"/>
    </w:rPr>
  </w:style>
  <w:style w:type="paragraph" w:customStyle="1" w:styleId="438">
    <w:name w:val="Kopfzeile Erste"/>
    <w:basedOn w:val="36"/>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120" w:line="360" w:lineRule="auto"/>
      <w:textAlignment w:val="baseline"/>
    </w:pPr>
    <w:rPr>
      <w:rFonts w:ascii="Wund" w:hAnsi="Wund"/>
      <w:kern w:val="0"/>
      <w:lang w:val="de-DE" w:eastAsia="de-DE"/>
    </w:rPr>
  </w:style>
  <w:style w:type="paragraph" w:customStyle="1" w:styleId="439">
    <w:name w:val="Kapitelbezeichnung"/>
    <w:basedOn w:val="1"/>
    <w:next w:val="1"/>
    <w:autoRedefine/>
    <w:qFormat/>
    <w:uiPriority w:val="0"/>
    <w:pPr>
      <w:widowControl/>
      <w:overflowPunct w:val="0"/>
      <w:autoSpaceDE w:val="0"/>
      <w:autoSpaceDN w:val="0"/>
      <w:adjustRightInd w:val="0"/>
      <w:spacing w:before="360" w:after="120" w:line="360" w:lineRule="auto"/>
      <w:jc w:val="center"/>
      <w:textAlignment w:val="baseline"/>
    </w:pPr>
    <w:rPr>
      <w:rFonts w:ascii="Arial" w:hAnsi="Arial" w:cs="Arial"/>
      <w:b/>
      <w:bCs/>
      <w:kern w:val="0"/>
      <w:sz w:val="22"/>
      <w:u w:val="single"/>
      <w:lang w:val="de-DE" w:eastAsia="de-DE"/>
    </w:rPr>
  </w:style>
  <w:style w:type="paragraph" w:customStyle="1" w:styleId="440">
    <w:name w:val="Liste Anfang"/>
    <w:basedOn w:val="16"/>
    <w:next w:val="16"/>
    <w:autoRedefine/>
    <w:qFormat/>
    <w:uiPriority w:val="0"/>
    <w:pPr>
      <w:tabs>
        <w:tab w:val="left" w:pos="720"/>
      </w:tabs>
      <w:suppressAutoHyphens/>
      <w:overflowPunct w:val="0"/>
      <w:autoSpaceDE w:val="0"/>
      <w:autoSpaceDN w:val="0"/>
      <w:spacing w:before="80" w:after="8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441">
    <w:name w:val="CM33"/>
    <w:basedOn w:val="70"/>
    <w:next w:val="70"/>
    <w:autoRedefine/>
    <w:qFormat/>
    <w:uiPriority w:val="0"/>
    <w:pPr>
      <w:spacing w:line="240" w:lineRule="atLeast"/>
    </w:pPr>
    <w:rPr>
      <w:rFonts w:ascii="宋体" w:eastAsia="宋体" w:cs="宋体"/>
      <w:color w:val="auto"/>
    </w:rPr>
  </w:style>
  <w:style w:type="paragraph" w:customStyle="1" w:styleId="442">
    <w:name w:val="WW-Listennummer 4"/>
    <w:basedOn w:val="432"/>
    <w:autoRedefine/>
    <w:qFormat/>
    <w:uiPriority w:val="0"/>
    <w:pPr>
      <w:ind w:left="1800"/>
    </w:pPr>
  </w:style>
  <w:style w:type="paragraph" w:customStyle="1" w:styleId="443">
    <w:name w:val="Kapitelüberschrift"/>
    <w:basedOn w:val="1"/>
    <w:next w:val="420"/>
    <w:autoRedefine/>
    <w:qFormat/>
    <w:uiPriority w:val="0"/>
    <w:pPr>
      <w:keepLines/>
      <w:widowControl/>
      <w:overflowPunct w:val="0"/>
      <w:autoSpaceDE w:val="0"/>
      <w:autoSpaceDN w:val="0"/>
      <w:adjustRightInd w:val="0"/>
      <w:spacing w:before="600" w:after="120" w:line="360" w:lineRule="auto"/>
      <w:jc w:val="center"/>
      <w:textAlignment w:val="baseline"/>
    </w:pPr>
    <w:rPr>
      <w:rFonts w:ascii="Arial" w:hAnsi="Arial" w:cs="Arial"/>
      <w:b/>
      <w:bCs/>
      <w:kern w:val="0"/>
      <w:sz w:val="32"/>
      <w:szCs w:val="32"/>
      <w:lang w:val="de-DE" w:eastAsia="de-DE"/>
    </w:rPr>
  </w:style>
  <w:style w:type="paragraph" w:customStyle="1" w:styleId="444">
    <w:name w:val="WW-Index 9"/>
    <w:basedOn w:val="1"/>
    <w:autoRedefine/>
    <w:qFormat/>
    <w:uiPriority w:val="0"/>
    <w:pPr>
      <w:widowControl/>
      <w:tabs>
        <w:tab w:val="right" w:leader="dot" w:pos="3960"/>
      </w:tabs>
      <w:overflowPunct w:val="0"/>
      <w:autoSpaceDE w:val="0"/>
      <w:autoSpaceDN w:val="0"/>
      <w:adjustRightInd w:val="0"/>
      <w:spacing w:after="120" w:line="360" w:lineRule="auto"/>
      <w:ind w:left="2880" w:hanging="720"/>
      <w:textAlignment w:val="baseline"/>
    </w:pPr>
    <w:rPr>
      <w:rFonts w:ascii="Wund" w:hAnsi="Wund" w:cs="Wund"/>
      <w:kern w:val="0"/>
      <w:sz w:val="22"/>
      <w:lang w:val="de-DE" w:eastAsia="de-DE"/>
    </w:rPr>
  </w:style>
  <w:style w:type="paragraph" w:customStyle="1" w:styleId="445">
    <w:name w:val="CM20"/>
    <w:basedOn w:val="70"/>
    <w:next w:val="70"/>
    <w:autoRedefine/>
    <w:qFormat/>
    <w:uiPriority w:val="0"/>
    <w:pPr>
      <w:spacing w:line="400" w:lineRule="atLeast"/>
    </w:pPr>
    <w:rPr>
      <w:rFonts w:ascii="宋体" w:eastAsia="宋体" w:cs="宋体"/>
      <w:color w:val="auto"/>
    </w:rPr>
  </w:style>
  <w:style w:type="paragraph" w:customStyle="1" w:styleId="446">
    <w:name w:val="日期1"/>
    <w:basedOn w:val="22"/>
    <w:autoRedefine/>
    <w:qFormat/>
    <w:uiPriority w:val="0"/>
    <w:pPr>
      <w:suppressAutoHyphens/>
      <w:overflowPunct w:val="0"/>
      <w:autoSpaceDE w:val="0"/>
      <w:autoSpaceDN w:val="0"/>
      <w:adjustRightInd w:val="0"/>
      <w:spacing w:before="480" w:line="340" w:lineRule="atLeast"/>
      <w:textAlignment w:val="baseline"/>
    </w:pPr>
    <w:rPr>
      <w:rFonts w:ascii="Arial Narrow" w:hAnsi="Arial Narrow" w:cs="Arial Narrow"/>
      <w:b/>
      <w:bCs/>
      <w:kern w:val="0"/>
      <w:sz w:val="22"/>
      <w:szCs w:val="22"/>
      <w:lang w:val="de-DE" w:eastAsia="de-DE"/>
    </w:rPr>
  </w:style>
  <w:style w:type="paragraph" w:customStyle="1" w:styleId="447">
    <w:name w:val="CM97"/>
    <w:basedOn w:val="70"/>
    <w:next w:val="70"/>
    <w:autoRedefine/>
    <w:qFormat/>
    <w:uiPriority w:val="0"/>
    <w:pPr>
      <w:spacing w:after="373"/>
    </w:pPr>
    <w:rPr>
      <w:rFonts w:ascii="宋体" w:eastAsia="宋体" w:cs="宋体"/>
      <w:color w:val="auto"/>
    </w:rPr>
  </w:style>
  <w:style w:type="paragraph" w:customStyle="1" w:styleId="448">
    <w:name w:val="Firmenname"/>
    <w:basedOn w:val="22"/>
    <w:next w:val="1"/>
    <w:autoRedefine/>
    <w:qFormat/>
    <w:uiPriority w:val="0"/>
    <w:pPr>
      <w:suppressAutoHyphens/>
      <w:overflowPunct w:val="0"/>
      <w:autoSpaceDE w:val="0"/>
      <w:autoSpaceDN w:val="0"/>
      <w:adjustRightInd w:val="0"/>
      <w:spacing w:before="80"/>
      <w:jc w:val="right"/>
      <w:textAlignment w:val="baseline"/>
    </w:pPr>
    <w:rPr>
      <w:b/>
      <w:bCs/>
      <w:kern w:val="0"/>
      <w:sz w:val="20"/>
      <w:lang w:val="de-DE" w:eastAsia="de-DE"/>
    </w:rPr>
  </w:style>
  <w:style w:type="paragraph" w:customStyle="1" w:styleId="449">
    <w:name w:val="WW-Index 6"/>
    <w:basedOn w:val="1"/>
    <w:autoRedefine/>
    <w:qFormat/>
    <w:uiPriority w:val="0"/>
    <w:pPr>
      <w:widowControl/>
      <w:tabs>
        <w:tab w:val="right" w:leader="dot" w:pos="3960"/>
      </w:tabs>
      <w:overflowPunct w:val="0"/>
      <w:autoSpaceDE w:val="0"/>
      <w:autoSpaceDN w:val="0"/>
      <w:adjustRightInd w:val="0"/>
      <w:spacing w:after="120" w:line="360" w:lineRule="auto"/>
      <w:ind w:left="1800" w:hanging="720"/>
      <w:textAlignment w:val="baseline"/>
    </w:pPr>
    <w:rPr>
      <w:rFonts w:ascii="Wund" w:hAnsi="Wund" w:cs="Wund"/>
      <w:kern w:val="0"/>
      <w:sz w:val="22"/>
      <w:lang w:val="de-DE" w:eastAsia="de-DE"/>
    </w:rPr>
  </w:style>
  <w:style w:type="paragraph" w:customStyle="1" w:styleId="450">
    <w:name w:val="CM92"/>
    <w:basedOn w:val="70"/>
    <w:next w:val="70"/>
    <w:autoRedefine/>
    <w:qFormat/>
    <w:uiPriority w:val="0"/>
    <w:pPr>
      <w:spacing w:after="530"/>
    </w:pPr>
    <w:rPr>
      <w:rFonts w:ascii="宋体" w:eastAsia="宋体" w:cs="宋体"/>
      <w:color w:val="auto"/>
    </w:rPr>
  </w:style>
  <w:style w:type="paragraph" w:customStyle="1" w:styleId="451">
    <w:name w:val="CM48"/>
    <w:basedOn w:val="70"/>
    <w:next w:val="70"/>
    <w:autoRedefine/>
    <w:qFormat/>
    <w:uiPriority w:val="0"/>
    <w:pPr>
      <w:spacing w:line="540" w:lineRule="atLeast"/>
    </w:pPr>
    <w:rPr>
      <w:rFonts w:ascii="宋体" w:eastAsia="宋体" w:cs="宋体"/>
      <w:color w:val="auto"/>
    </w:rPr>
  </w:style>
  <w:style w:type="paragraph" w:customStyle="1" w:styleId="452">
    <w:name w:val="WW-Verzeichnis 8"/>
    <w:basedOn w:val="1"/>
    <w:autoRedefine/>
    <w:qFormat/>
    <w:uiPriority w:val="0"/>
    <w:pPr>
      <w:widowControl/>
      <w:tabs>
        <w:tab w:val="right" w:leader="dot" w:pos="9072"/>
      </w:tabs>
      <w:overflowPunct w:val="0"/>
      <w:autoSpaceDE w:val="0"/>
      <w:autoSpaceDN w:val="0"/>
      <w:adjustRightInd w:val="0"/>
      <w:spacing w:after="120" w:line="360" w:lineRule="auto"/>
      <w:ind w:left="1440"/>
      <w:jc w:val="left"/>
      <w:textAlignment w:val="baseline"/>
    </w:pPr>
    <w:rPr>
      <w:rFonts w:ascii="Times New Roman" w:hAnsi="Times New Roman"/>
      <w:kern w:val="0"/>
      <w:sz w:val="18"/>
      <w:szCs w:val="18"/>
      <w:lang w:val="de-DE" w:eastAsia="de-DE"/>
    </w:rPr>
  </w:style>
  <w:style w:type="paragraph" w:customStyle="1" w:styleId="453">
    <w:name w:val="CM18"/>
    <w:basedOn w:val="70"/>
    <w:next w:val="70"/>
    <w:autoRedefine/>
    <w:qFormat/>
    <w:uiPriority w:val="0"/>
    <w:pPr>
      <w:spacing w:line="313" w:lineRule="atLeast"/>
    </w:pPr>
    <w:rPr>
      <w:rFonts w:ascii="宋体" w:eastAsia="宋体" w:cs="宋体"/>
      <w:color w:val="auto"/>
    </w:rPr>
  </w:style>
  <w:style w:type="paragraph" w:customStyle="1" w:styleId="454">
    <w:name w:val="Blockzitat Anfang"/>
    <w:basedOn w:val="405"/>
    <w:next w:val="405"/>
    <w:autoRedefine/>
    <w:qFormat/>
    <w:uiPriority w:val="0"/>
    <w:pPr>
      <w:spacing w:before="120"/>
    </w:pPr>
  </w:style>
  <w:style w:type="paragraph" w:customStyle="1" w:styleId="455">
    <w:name w:val="Zchn Zchn"/>
    <w:basedOn w:val="17"/>
    <w:autoRedefine/>
    <w:qFormat/>
    <w:uiPriority w:val="0"/>
    <w:rPr>
      <w:rFonts w:ascii="Calibri" w:hAnsi="Calibri"/>
      <w:sz w:val="24"/>
      <w:szCs w:val="24"/>
    </w:rPr>
  </w:style>
  <w:style w:type="paragraph" w:customStyle="1" w:styleId="456">
    <w:name w:val="CM28"/>
    <w:basedOn w:val="70"/>
    <w:next w:val="70"/>
    <w:autoRedefine/>
    <w:qFormat/>
    <w:uiPriority w:val="0"/>
    <w:rPr>
      <w:rFonts w:ascii="宋体" w:eastAsia="宋体" w:cs="宋体"/>
      <w:color w:val="auto"/>
    </w:rPr>
  </w:style>
  <w:style w:type="paragraph" w:customStyle="1" w:styleId="457">
    <w:name w:val="font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458">
    <w:name w:val="CM15"/>
    <w:basedOn w:val="70"/>
    <w:next w:val="70"/>
    <w:autoRedefine/>
    <w:qFormat/>
    <w:uiPriority w:val="0"/>
    <w:pPr>
      <w:spacing w:line="313" w:lineRule="atLeast"/>
    </w:pPr>
    <w:rPr>
      <w:rFonts w:ascii="宋体" w:eastAsia="宋体" w:cs="宋体"/>
      <w:color w:val="auto"/>
    </w:rPr>
  </w:style>
  <w:style w:type="paragraph" w:customStyle="1" w:styleId="459">
    <w:name w:val="CM91"/>
    <w:basedOn w:val="70"/>
    <w:next w:val="70"/>
    <w:autoRedefine/>
    <w:qFormat/>
    <w:uiPriority w:val="0"/>
    <w:pPr>
      <w:spacing w:after="160"/>
    </w:pPr>
    <w:rPr>
      <w:rFonts w:ascii="宋体" w:eastAsia="宋体" w:cs="宋体"/>
      <w:color w:val="auto"/>
    </w:rPr>
  </w:style>
  <w:style w:type="paragraph" w:customStyle="1" w:styleId="460">
    <w:name w:val="CM4"/>
    <w:basedOn w:val="70"/>
    <w:next w:val="70"/>
    <w:autoRedefine/>
    <w:qFormat/>
    <w:uiPriority w:val="0"/>
    <w:rPr>
      <w:rFonts w:ascii="宋体" w:eastAsia="宋体" w:cs="宋体"/>
      <w:color w:val="auto"/>
    </w:rPr>
  </w:style>
  <w:style w:type="paragraph" w:customStyle="1" w:styleId="461">
    <w:name w:val="CM65"/>
    <w:basedOn w:val="70"/>
    <w:next w:val="70"/>
    <w:autoRedefine/>
    <w:qFormat/>
    <w:uiPriority w:val="0"/>
    <w:rPr>
      <w:rFonts w:ascii="宋体" w:eastAsia="宋体" w:cs="宋体"/>
      <w:color w:val="auto"/>
    </w:rPr>
  </w:style>
  <w:style w:type="paragraph" w:customStyle="1" w:styleId="462">
    <w:name w:val="CM174"/>
    <w:basedOn w:val="70"/>
    <w:next w:val="70"/>
    <w:autoRedefine/>
    <w:qFormat/>
    <w:uiPriority w:val="0"/>
    <w:pPr>
      <w:spacing w:after="238"/>
    </w:pPr>
    <w:rPr>
      <w:rFonts w:ascii="宋体" w:eastAsia="宋体" w:cs="宋体"/>
      <w:color w:val="auto"/>
    </w:rPr>
  </w:style>
  <w:style w:type="paragraph" w:customStyle="1" w:styleId="463">
    <w:name w:val="WW-Index 4"/>
    <w:basedOn w:val="1"/>
    <w:autoRedefine/>
    <w:qFormat/>
    <w:uiPriority w:val="0"/>
    <w:pPr>
      <w:widowControl/>
      <w:tabs>
        <w:tab w:val="right" w:leader="dot" w:pos="3960"/>
      </w:tabs>
      <w:overflowPunct w:val="0"/>
      <w:autoSpaceDE w:val="0"/>
      <w:autoSpaceDN w:val="0"/>
      <w:adjustRightInd w:val="0"/>
      <w:spacing w:after="120" w:line="360" w:lineRule="auto"/>
      <w:ind w:left="1800" w:hanging="720"/>
      <w:textAlignment w:val="baseline"/>
    </w:pPr>
    <w:rPr>
      <w:rFonts w:ascii="Wund" w:hAnsi="Wund" w:cs="Wund"/>
      <w:kern w:val="0"/>
      <w:sz w:val="22"/>
      <w:lang w:val="de-DE" w:eastAsia="de-DE"/>
    </w:rPr>
  </w:style>
  <w:style w:type="paragraph" w:customStyle="1" w:styleId="464">
    <w:name w:val="标书---正文"/>
    <w:autoRedefine/>
    <w:qFormat/>
    <w:uiPriority w:val="0"/>
    <w:pPr>
      <w:spacing w:line="276" w:lineRule="auto"/>
      <w:ind w:firstLine="200" w:firstLineChars="200"/>
    </w:pPr>
    <w:rPr>
      <w:rFonts w:ascii="宋体" w:hAnsi="Times New Roman" w:eastAsia="宋体" w:cs="Times New Roman"/>
      <w:kern w:val="2"/>
      <w:sz w:val="21"/>
      <w:lang w:val="en-US" w:eastAsia="zh-CN" w:bidi="ar-SA"/>
    </w:rPr>
  </w:style>
  <w:style w:type="paragraph" w:customStyle="1" w:styleId="465">
    <w:name w:val="Unterüberschrift Titelseite"/>
    <w:basedOn w:val="1"/>
    <w:next w:val="22"/>
    <w:autoRedefine/>
    <w:qFormat/>
    <w:uiPriority w:val="0"/>
    <w:pPr>
      <w:widowControl/>
      <w:overflowPunct w:val="0"/>
      <w:autoSpaceDE w:val="0"/>
      <w:autoSpaceDN w:val="0"/>
      <w:adjustRightInd w:val="0"/>
      <w:spacing w:before="240" w:after="160" w:line="360" w:lineRule="auto"/>
      <w:jc w:val="center"/>
      <w:textAlignment w:val="baseline"/>
    </w:pPr>
    <w:rPr>
      <w:rFonts w:ascii="Arial" w:hAnsi="Arial" w:cs="Arial"/>
      <w:i/>
      <w:iCs/>
      <w:kern w:val="0"/>
      <w:sz w:val="36"/>
      <w:szCs w:val="36"/>
      <w:lang w:val="de-DE" w:eastAsia="de-DE"/>
    </w:rPr>
  </w:style>
  <w:style w:type="paragraph" w:customStyle="1" w:styleId="466">
    <w:name w:val="Überschrift Titelseite"/>
    <w:basedOn w:val="467"/>
    <w:next w:val="465"/>
    <w:autoRedefine/>
    <w:qFormat/>
    <w:uiPriority w:val="0"/>
    <w:pPr>
      <w:spacing w:before="720" w:after="160"/>
      <w:jc w:val="center"/>
    </w:pPr>
    <w:rPr>
      <w:sz w:val="48"/>
      <w:szCs w:val="48"/>
    </w:rPr>
  </w:style>
  <w:style w:type="paragraph" w:customStyle="1" w:styleId="467">
    <w:name w:val="Basis-Überschrift"/>
    <w:basedOn w:val="1"/>
    <w:next w:val="22"/>
    <w:autoRedefine/>
    <w:qFormat/>
    <w:uiPriority w:val="0"/>
    <w:pPr>
      <w:keepLines/>
      <w:widowControl/>
      <w:overflowPunct w:val="0"/>
      <w:autoSpaceDE w:val="0"/>
      <w:autoSpaceDN w:val="0"/>
      <w:adjustRightInd w:val="0"/>
      <w:spacing w:before="240" w:after="120" w:line="360" w:lineRule="auto"/>
      <w:textAlignment w:val="baseline"/>
    </w:pPr>
    <w:rPr>
      <w:rFonts w:ascii="Arial" w:hAnsi="Arial" w:cs="Arial"/>
      <w:b/>
      <w:bCs/>
      <w:kern w:val="0"/>
      <w:sz w:val="36"/>
      <w:szCs w:val="36"/>
      <w:lang w:val="de-DE" w:eastAsia="de-DE"/>
    </w:rPr>
  </w:style>
  <w:style w:type="paragraph" w:customStyle="1" w:styleId="468">
    <w:name w:val="Kopfzeile links"/>
    <w:basedOn w:val="1"/>
    <w:autoRedefine/>
    <w:qFormat/>
    <w:uiPriority w:val="0"/>
    <w:pPr>
      <w:widowControl/>
      <w:tabs>
        <w:tab w:val="center" w:pos="4819"/>
        <w:tab w:val="right" w:pos="9639"/>
      </w:tabs>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469">
    <w:name w:val="CM12"/>
    <w:basedOn w:val="70"/>
    <w:next w:val="70"/>
    <w:autoRedefine/>
    <w:qFormat/>
    <w:uiPriority w:val="0"/>
    <w:pPr>
      <w:spacing w:line="286" w:lineRule="atLeast"/>
    </w:pPr>
    <w:rPr>
      <w:rFonts w:ascii="宋体" w:eastAsia="宋体" w:cs="宋体"/>
      <w:color w:val="auto"/>
    </w:rPr>
  </w:style>
  <w:style w:type="paragraph" w:customStyle="1" w:styleId="470">
    <w:name w:val="Grafik"/>
    <w:basedOn w:val="22"/>
    <w:next w:val="14"/>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kern w:val="0"/>
      <w:sz w:val="22"/>
      <w:szCs w:val="22"/>
      <w:lang w:val="de-DE" w:eastAsia="de-DE"/>
    </w:rPr>
  </w:style>
  <w:style w:type="paragraph" w:customStyle="1" w:styleId="471">
    <w:name w:val="WW-Aufzählungszeichen 4"/>
    <w:basedOn w:val="472"/>
    <w:autoRedefine/>
    <w:qFormat/>
    <w:uiPriority w:val="0"/>
    <w:pPr>
      <w:tabs>
        <w:tab w:val="left" w:pos="720"/>
      </w:tabs>
      <w:ind w:left="1800"/>
    </w:pPr>
  </w:style>
  <w:style w:type="paragraph" w:customStyle="1" w:styleId="472">
    <w:name w:val="WW-Aufzählungszeichen"/>
    <w:basedOn w:val="16"/>
    <w:autoRedefine/>
    <w:qFormat/>
    <w:uiPriority w:val="0"/>
    <w:pPr>
      <w:tabs>
        <w:tab w:val="left" w:pos="720"/>
      </w:tabs>
      <w:suppressAutoHyphens/>
      <w:overflowPunct w:val="0"/>
      <w:autoSpaceDE w:val="0"/>
      <w:autoSpaceDN w:val="0"/>
      <w:spacing w:after="16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473">
    <w:name w:val="xl23"/>
    <w:basedOn w:val="1"/>
    <w:autoRedefine/>
    <w:qFormat/>
    <w:uiPriority w:val="0"/>
    <w:pPr>
      <w:widowControl/>
      <w:shd w:val="clear" w:color="auto"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474">
    <w:name w:val="Bezeichnung"/>
    <w:basedOn w:val="1"/>
    <w:autoRedefine/>
    <w:qFormat/>
    <w:uiPriority w:val="0"/>
    <w:pPr>
      <w:widowControl/>
      <w:overflowPunct w:val="0"/>
      <w:autoSpaceDE w:val="0"/>
      <w:autoSpaceDN w:val="0"/>
      <w:adjustRightInd w:val="0"/>
      <w:spacing w:before="240" w:after="360" w:line="360" w:lineRule="auto"/>
      <w:textAlignment w:val="baseline"/>
    </w:pPr>
    <w:rPr>
      <w:rFonts w:ascii="Wund" w:hAnsi="Wund" w:cs="Wund"/>
      <w:b/>
      <w:bCs/>
      <w:kern w:val="0"/>
      <w:sz w:val="36"/>
      <w:szCs w:val="36"/>
      <w:lang w:val="de-DE" w:eastAsia="de-DE"/>
    </w:rPr>
  </w:style>
  <w:style w:type="paragraph" w:customStyle="1" w:styleId="475">
    <w:name w:val="Liste Ende"/>
    <w:basedOn w:val="16"/>
    <w:next w:val="22"/>
    <w:autoRedefine/>
    <w:qFormat/>
    <w:uiPriority w:val="0"/>
    <w:pPr>
      <w:tabs>
        <w:tab w:val="left" w:pos="720"/>
      </w:tabs>
      <w:suppressAutoHyphens/>
      <w:overflowPunct w:val="0"/>
      <w:autoSpaceDE w:val="0"/>
      <w:autoSpaceDN w:val="0"/>
      <w:spacing w:after="24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476">
    <w:name w:val="CM125"/>
    <w:basedOn w:val="70"/>
    <w:next w:val="70"/>
    <w:autoRedefine/>
    <w:qFormat/>
    <w:uiPriority w:val="0"/>
    <w:pPr>
      <w:spacing w:after="140"/>
    </w:pPr>
    <w:rPr>
      <w:rFonts w:ascii="宋体" w:eastAsia="宋体" w:cs="宋体"/>
      <w:color w:val="auto"/>
    </w:rPr>
  </w:style>
  <w:style w:type="paragraph" w:customStyle="1" w:styleId="477">
    <w:name w:val="CM103"/>
    <w:basedOn w:val="70"/>
    <w:next w:val="70"/>
    <w:autoRedefine/>
    <w:qFormat/>
    <w:uiPriority w:val="0"/>
    <w:pPr>
      <w:spacing w:after="1508"/>
    </w:pPr>
    <w:rPr>
      <w:rFonts w:ascii="宋体" w:eastAsia="宋体" w:cs="宋体"/>
      <w:color w:val="auto"/>
    </w:rPr>
  </w:style>
  <w:style w:type="paragraph" w:customStyle="1" w:styleId="478">
    <w:name w:val="CM69"/>
    <w:basedOn w:val="70"/>
    <w:next w:val="70"/>
    <w:autoRedefine/>
    <w:qFormat/>
    <w:uiPriority w:val="0"/>
    <w:pPr>
      <w:spacing w:line="400" w:lineRule="atLeast"/>
    </w:pPr>
    <w:rPr>
      <w:rFonts w:ascii="宋体" w:eastAsia="宋体" w:cs="宋体"/>
      <w:color w:val="auto"/>
    </w:rPr>
  </w:style>
  <w:style w:type="paragraph" w:customStyle="1" w:styleId="479">
    <w:name w:val="Basis-Index"/>
    <w:basedOn w:val="1"/>
    <w:autoRedefine/>
    <w:qFormat/>
    <w:uiPriority w:val="0"/>
    <w:pPr>
      <w:widowControl/>
      <w:tabs>
        <w:tab w:val="right" w:leader="dot" w:pos="3960"/>
      </w:tabs>
      <w:overflowPunct w:val="0"/>
      <w:autoSpaceDE w:val="0"/>
      <w:autoSpaceDN w:val="0"/>
      <w:adjustRightInd w:val="0"/>
      <w:spacing w:after="120" w:line="360" w:lineRule="auto"/>
      <w:ind w:left="720" w:hanging="720"/>
      <w:textAlignment w:val="baseline"/>
    </w:pPr>
    <w:rPr>
      <w:rFonts w:ascii="Wund" w:hAnsi="Wund" w:cs="Wund"/>
      <w:kern w:val="0"/>
      <w:sz w:val="22"/>
      <w:lang w:val="de-DE" w:eastAsia="de-DE"/>
    </w:rPr>
  </w:style>
  <w:style w:type="paragraph" w:customStyle="1" w:styleId="480">
    <w:name w:val="Decimal Aligned"/>
    <w:basedOn w:val="1"/>
    <w:autoRedefine/>
    <w:qFormat/>
    <w:uiPriority w:val="40"/>
    <w:pPr>
      <w:widowControl/>
      <w:tabs>
        <w:tab w:val="decimal" w:pos="360"/>
      </w:tabs>
      <w:spacing w:after="200" w:line="276" w:lineRule="auto"/>
      <w:jc w:val="left"/>
    </w:pPr>
    <w:rPr>
      <w:kern w:val="0"/>
      <w:sz w:val="22"/>
    </w:rPr>
  </w:style>
  <w:style w:type="paragraph" w:customStyle="1" w:styleId="481">
    <w:name w:val="CM98"/>
    <w:basedOn w:val="70"/>
    <w:next w:val="70"/>
    <w:autoRedefine/>
    <w:qFormat/>
    <w:uiPriority w:val="0"/>
    <w:pPr>
      <w:spacing w:after="570"/>
    </w:pPr>
    <w:rPr>
      <w:rFonts w:ascii="宋体" w:eastAsia="宋体" w:cs="宋体"/>
      <w:color w:val="auto"/>
    </w:rPr>
  </w:style>
  <w:style w:type="paragraph" w:customStyle="1" w:styleId="482">
    <w:name w:val="Numerierung 1 Anfang"/>
    <w:basedOn w:val="16"/>
    <w:autoRedefine/>
    <w:qFormat/>
    <w:uiPriority w:val="0"/>
    <w:pPr>
      <w:tabs>
        <w:tab w:val="left" w:pos="720"/>
      </w:tabs>
      <w:suppressAutoHyphens/>
      <w:overflowPunct w:val="0"/>
      <w:autoSpaceDE w:val="0"/>
      <w:autoSpaceDN w:val="0"/>
      <w:spacing w:before="240" w:after="12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483">
    <w:name w:val="CM130"/>
    <w:basedOn w:val="70"/>
    <w:next w:val="70"/>
    <w:autoRedefine/>
    <w:qFormat/>
    <w:uiPriority w:val="0"/>
    <w:pPr>
      <w:spacing w:after="540"/>
    </w:pPr>
    <w:rPr>
      <w:rFonts w:ascii="宋体" w:eastAsia="宋体" w:cs="宋体"/>
      <w:color w:val="auto"/>
    </w:rPr>
  </w:style>
  <w:style w:type="paragraph" w:customStyle="1" w:styleId="484">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485">
    <w:name w:val="CM19"/>
    <w:basedOn w:val="70"/>
    <w:next w:val="70"/>
    <w:autoRedefine/>
    <w:qFormat/>
    <w:uiPriority w:val="0"/>
    <w:pPr>
      <w:spacing w:line="398" w:lineRule="atLeast"/>
    </w:pPr>
    <w:rPr>
      <w:rFonts w:ascii="宋体" w:eastAsia="宋体" w:cs="宋体"/>
      <w:color w:val="auto"/>
    </w:rPr>
  </w:style>
  <w:style w:type="paragraph" w:customStyle="1" w:styleId="486">
    <w:name w:val="CM90"/>
    <w:basedOn w:val="70"/>
    <w:next w:val="70"/>
    <w:autoRedefine/>
    <w:qFormat/>
    <w:uiPriority w:val="0"/>
    <w:rPr>
      <w:rFonts w:ascii="宋体" w:eastAsia="宋体" w:cs="宋体"/>
      <w:color w:val="auto"/>
    </w:rPr>
  </w:style>
  <w:style w:type="paragraph" w:customStyle="1" w:styleId="487">
    <w:name w:val="CM83"/>
    <w:basedOn w:val="70"/>
    <w:next w:val="70"/>
    <w:autoRedefine/>
    <w:qFormat/>
    <w:uiPriority w:val="0"/>
    <w:pPr>
      <w:spacing w:line="440" w:lineRule="atLeast"/>
    </w:pPr>
    <w:rPr>
      <w:rFonts w:ascii="宋体" w:eastAsia="宋体" w:cs="宋体"/>
      <w:color w:val="auto"/>
    </w:rPr>
  </w:style>
  <w:style w:type="paragraph" w:customStyle="1" w:styleId="488">
    <w:name w:val="xl22"/>
    <w:basedOn w:val="1"/>
    <w:autoRedefine/>
    <w:qFormat/>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89">
    <w:name w:val="WW-Endnotentext"/>
    <w:basedOn w:val="1"/>
    <w:autoRedefine/>
    <w:qFormat/>
    <w:uiPriority w:val="0"/>
    <w:pPr>
      <w:widowControl/>
      <w:tabs>
        <w:tab w:val="left" w:pos="187"/>
      </w:tabs>
      <w:overflowPunct w:val="0"/>
      <w:autoSpaceDE w:val="0"/>
      <w:autoSpaceDN w:val="0"/>
      <w:adjustRightInd w:val="0"/>
      <w:spacing w:after="120" w:line="220" w:lineRule="atLeast"/>
      <w:ind w:left="187" w:hanging="187"/>
      <w:textAlignment w:val="baseline"/>
    </w:pPr>
    <w:rPr>
      <w:rFonts w:ascii="Wund" w:hAnsi="Wund" w:cs="Wund"/>
      <w:kern w:val="0"/>
      <w:sz w:val="18"/>
      <w:szCs w:val="18"/>
      <w:lang w:val="de-DE" w:eastAsia="de-DE"/>
    </w:rPr>
  </w:style>
  <w:style w:type="paragraph" w:customStyle="1" w:styleId="490">
    <w:name w:val="正文文本 21"/>
    <w:basedOn w:val="1"/>
    <w:autoRedefine/>
    <w:qFormat/>
    <w:uiPriority w:val="0"/>
    <w:pPr>
      <w:widowControl/>
      <w:overflowPunct w:val="0"/>
      <w:autoSpaceDE w:val="0"/>
      <w:autoSpaceDN w:val="0"/>
      <w:adjustRightInd w:val="0"/>
      <w:spacing w:line="360" w:lineRule="auto"/>
      <w:textAlignment w:val="baseline"/>
    </w:pPr>
    <w:rPr>
      <w:rFonts w:ascii="Wund" w:hAnsi="Wund" w:cs="Wund"/>
      <w:kern w:val="0"/>
      <w:sz w:val="22"/>
      <w:lang w:val="de-DE" w:eastAsia="de-DE"/>
    </w:rPr>
  </w:style>
  <w:style w:type="paragraph" w:customStyle="1" w:styleId="491">
    <w:name w:val="Aufzählung 1"/>
    <w:basedOn w:val="16"/>
    <w:autoRedefine/>
    <w:qFormat/>
    <w:uiPriority w:val="0"/>
    <w:pPr>
      <w:tabs>
        <w:tab w:val="left" w:pos="720"/>
      </w:tabs>
      <w:suppressAutoHyphens/>
      <w:overflowPunct w:val="0"/>
      <w:autoSpaceDE w:val="0"/>
      <w:autoSpaceDN w:val="0"/>
      <w:spacing w:after="12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492">
    <w:name w:val="p10"/>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93">
    <w:name w:val="CM56"/>
    <w:basedOn w:val="70"/>
    <w:next w:val="70"/>
    <w:autoRedefine/>
    <w:qFormat/>
    <w:uiPriority w:val="0"/>
    <w:rPr>
      <w:rFonts w:ascii="宋体" w:eastAsia="宋体" w:cs="宋体"/>
      <w:color w:val="auto"/>
    </w:rPr>
  </w:style>
  <w:style w:type="paragraph" w:customStyle="1" w:styleId="494">
    <w:name w:val="Kopfzeile ungerade"/>
    <w:basedOn w:val="36"/>
    <w:autoRedefine/>
    <w:qFormat/>
    <w:uiPriority w:val="0"/>
    <w:pPr>
      <w:keepLines/>
      <w:widowControl/>
      <w:pBdr>
        <w:bottom w:val="none" w:color="auto" w:sz="0" w:space="0"/>
      </w:pBdr>
      <w:tabs>
        <w:tab w:val="right" w:pos="0"/>
        <w:tab w:val="clear" w:pos="4153"/>
        <w:tab w:val="clear" w:pos="8306"/>
      </w:tabs>
      <w:overflowPunct w:val="0"/>
      <w:autoSpaceDE w:val="0"/>
      <w:autoSpaceDN w:val="0"/>
      <w:adjustRightInd w:val="0"/>
      <w:snapToGrid/>
      <w:spacing w:after="120" w:line="360" w:lineRule="auto"/>
      <w:jc w:val="right"/>
      <w:textAlignment w:val="baseline"/>
    </w:pPr>
    <w:rPr>
      <w:rFonts w:ascii="Wund" w:hAnsi="Wund"/>
      <w:kern w:val="0"/>
      <w:lang w:val="de-DE" w:eastAsia="de-DE"/>
    </w:rPr>
  </w:style>
  <w:style w:type="paragraph" w:customStyle="1" w:styleId="495">
    <w:name w:val="WW-Verzeichnis 6"/>
    <w:basedOn w:val="1"/>
    <w:autoRedefine/>
    <w:qFormat/>
    <w:uiPriority w:val="0"/>
    <w:pPr>
      <w:widowControl/>
      <w:tabs>
        <w:tab w:val="right" w:leader="dot" w:pos="9072"/>
      </w:tabs>
      <w:overflowPunct w:val="0"/>
      <w:autoSpaceDE w:val="0"/>
      <w:autoSpaceDN w:val="0"/>
      <w:adjustRightInd w:val="0"/>
      <w:spacing w:after="120" w:line="360" w:lineRule="auto"/>
      <w:ind w:left="960"/>
      <w:jc w:val="left"/>
      <w:textAlignment w:val="baseline"/>
    </w:pPr>
    <w:rPr>
      <w:rFonts w:ascii="Times New Roman" w:hAnsi="Times New Roman"/>
      <w:kern w:val="0"/>
      <w:sz w:val="18"/>
      <w:szCs w:val="18"/>
      <w:lang w:val="de-DE" w:eastAsia="de-DE"/>
    </w:rPr>
  </w:style>
  <w:style w:type="paragraph" w:customStyle="1" w:styleId="496">
    <w:name w:val="Aufzählung Anfang"/>
    <w:basedOn w:val="472"/>
    <w:next w:val="472"/>
    <w:autoRedefine/>
    <w:qFormat/>
    <w:uiPriority w:val="0"/>
    <w:pPr>
      <w:spacing w:before="80"/>
    </w:pPr>
  </w:style>
  <w:style w:type="paragraph" w:customStyle="1" w:styleId="497">
    <w:name w:val="CM23"/>
    <w:basedOn w:val="70"/>
    <w:next w:val="70"/>
    <w:autoRedefine/>
    <w:qFormat/>
    <w:uiPriority w:val="0"/>
    <w:pPr>
      <w:spacing w:line="398" w:lineRule="atLeast"/>
    </w:pPr>
    <w:rPr>
      <w:rFonts w:ascii="宋体" w:eastAsia="宋体" w:cs="宋体"/>
      <w:color w:val="auto"/>
    </w:rPr>
  </w:style>
  <w:style w:type="paragraph" w:customStyle="1" w:styleId="498">
    <w:name w:val="WW-Aufzählungszeichen 3"/>
    <w:basedOn w:val="472"/>
    <w:autoRedefine/>
    <w:qFormat/>
    <w:uiPriority w:val="0"/>
    <w:pPr>
      <w:ind w:left="1440"/>
    </w:pPr>
  </w:style>
  <w:style w:type="paragraph" w:customStyle="1" w:styleId="499">
    <w:name w:val="CM62"/>
    <w:basedOn w:val="70"/>
    <w:next w:val="70"/>
    <w:autoRedefine/>
    <w:qFormat/>
    <w:uiPriority w:val="0"/>
    <w:pPr>
      <w:spacing w:line="400" w:lineRule="atLeast"/>
    </w:pPr>
    <w:rPr>
      <w:rFonts w:ascii="宋体" w:eastAsia="宋体" w:cs="宋体"/>
      <w:color w:val="auto"/>
    </w:rPr>
  </w:style>
  <w:style w:type="paragraph" w:customStyle="1" w:styleId="500">
    <w:name w:val="WW-Aufzählungszeichen 5"/>
    <w:basedOn w:val="472"/>
    <w:autoRedefine/>
    <w:qFormat/>
    <w:uiPriority w:val="0"/>
    <w:pPr>
      <w:ind w:left="2160"/>
    </w:pPr>
  </w:style>
  <w:style w:type="paragraph" w:customStyle="1" w:styleId="501">
    <w:name w:val="WW-Zusatz 2"/>
    <w:basedOn w:val="1"/>
    <w:autoRedefine/>
    <w:qFormat/>
    <w:uiPriority w:val="0"/>
    <w:pPr>
      <w:widowControl/>
      <w:tabs>
        <w:tab w:val="right" w:leader="dot" w:pos="8640"/>
      </w:tabs>
      <w:overflowPunct w:val="0"/>
      <w:autoSpaceDE w:val="0"/>
      <w:autoSpaceDN w:val="0"/>
      <w:adjustRightInd w:val="0"/>
      <w:spacing w:after="120" w:line="360" w:lineRule="auto"/>
      <w:ind w:left="360" w:hanging="360"/>
      <w:textAlignment w:val="baseline"/>
    </w:pPr>
    <w:rPr>
      <w:rFonts w:ascii="Wund" w:hAnsi="Wund" w:cs="Wund"/>
      <w:kern w:val="0"/>
      <w:sz w:val="22"/>
      <w:lang w:val="de-DE" w:eastAsia="de-DE"/>
    </w:rPr>
  </w:style>
  <w:style w:type="paragraph" w:customStyle="1" w:styleId="502">
    <w:name w:val="Überschrift Abschnitt"/>
    <w:basedOn w:val="467"/>
    <w:autoRedefine/>
    <w:qFormat/>
    <w:uiPriority w:val="0"/>
    <w:pPr>
      <w:spacing w:after="80"/>
    </w:pPr>
    <w:rPr>
      <w:sz w:val="28"/>
      <w:szCs w:val="28"/>
    </w:rPr>
  </w:style>
  <w:style w:type="paragraph" w:customStyle="1" w:styleId="503">
    <w:name w:val="WW-Zusatz 1"/>
    <w:basedOn w:val="502"/>
    <w:next w:val="501"/>
    <w:autoRedefine/>
    <w:qFormat/>
    <w:uiPriority w:val="0"/>
  </w:style>
  <w:style w:type="paragraph" w:customStyle="1" w:styleId="504">
    <w:name w:val="CM44"/>
    <w:basedOn w:val="70"/>
    <w:next w:val="70"/>
    <w:autoRedefine/>
    <w:qFormat/>
    <w:uiPriority w:val="0"/>
    <w:pPr>
      <w:spacing w:line="440" w:lineRule="atLeast"/>
    </w:pPr>
    <w:rPr>
      <w:rFonts w:ascii="宋体" w:eastAsia="宋体" w:cs="宋体"/>
      <w:color w:val="auto"/>
    </w:rPr>
  </w:style>
  <w:style w:type="paragraph" w:customStyle="1" w:styleId="505">
    <w:name w:val="Kopfzeile gerade"/>
    <w:basedOn w:val="36"/>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120" w:line="360" w:lineRule="auto"/>
      <w:jc w:val="both"/>
      <w:textAlignment w:val="baseline"/>
    </w:pPr>
    <w:rPr>
      <w:rFonts w:ascii="Wund" w:hAnsi="Wund"/>
      <w:kern w:val="0"/>
      <w:lang w:val="de-DE" w:eastAsia="de-DE"/>
    </w:rPr>
  </w:style>
  <w:style w:type="paragraph" w:customStyle="1" w:styleId="506">
    <w:name w:val="_Style 5"/>
    <w:basedOn w:val="1"/>
    <w:autoRedefine/>
    <w:qFormat/>
    <w:uiPriority w:val="34"/>
    <w:pPr>
      <w:ind w:firstLine="420" w:firstLineChars="200"/>
    </w:pPr>
    <w:rPr>
      <w:rFonts w:ascii="宋体" w:hAnsi="Times New Roman"/>
      <w:kern w:val="0"/>
      <w:sz w:val="20"/>
      <w:szCs w:val="24"/>
    </w:rPr>
  </w:style>
  <w:style w:type="paragraph" w:customStyle="1" w:styleId="507">
    <w:name w:val="_Style 216"/>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8">
    <w:name w:val="Fließtext"/>
    <w:basedOn w:val="1"/>
    <w:autoRedefine/>
    <w:qFormat/>
    <w:uiPriority w:val="0"/>
    <w:pPr>
      <w:widowControl/>
      <w:jc w:val="left"/>
    </w:pPr>
    <w:rPr>
      <w:rFonts w:ascii="Times New Roman" w:hAnsi="Times New Roman"/>
      <w:kern w:val="0"/>
      <w:sz w:val="22"/>
      <w:lang w:val="de-DE" w:eastAsia="de-DE"/>
    </w:rPr>
  </w:style>
  <w:style w:type="paragraph" w:customStyle="1" w:styleId="509">
    <w:name w:val="Absätze zusammenhalten"/>
    <w:basedOn w:val="22"/>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kern w:val="0"/>
      <w:sz w:val="22"/>
      <w:szCs w:val="22"/>
      <w:lang w:val="de-DE" w:eastAsia="de-DE"/>
    </w:rPr>
  </w:style>
  <w:style w:type="paragraph" w:customStyle="1" w:styleId="510">
    <w:name w:val="TOC 标题2"/>
    <w:basedOn w:val="2"/>
    <w:next w:val="1"/>
    <w:autoRedefine/>
    <w:qFormat/>
    <w:uiPriority w:val="39"/>
    <w:pPr>
      <w:widowControl/>
      <w:tabs>
        <w:tab w:val="left" w:pos="1140"/>
      </w:tabs>
      <w:spacing w:before="480" w:after="0" w:line="276" w:lineRule="auto"/>
      <w:jc w:val="left"/>
      <w:outlineLvl w:val="9"/>
    </w:pPr>
    <w:rPr>
      <w:rFonts w:ascii="Cambria" w:hAnsi="Cambria"/>
      <w:bCs/>
      <w:color w:val="365F91"/>
      <w:kern w:val="0"/>
    </w:rPr>
  </w:style>
  <w:style w:type="paragraph" w:customStyle="1" w:styleId="511">
    <w:name w:val="CM95"/>
    <w:basedOn w:val="70"/>
    <w:next w:val="70"/>
    <w:autoRedefine/>
    <w:qFormat/>
    <w:uiPriority w:val="0"/>
    <w:pPr>
      <w:spacing w:after="115"/>
    </w:pPr>
    <w:rPr>
      <w:rFonts w:ascii="宋体" w:eastAsia="宋体" w:cs="宋体"/>
      <w:color w:val="auto"/>
    </w:rPr>
  </w:style>
  <w:style w:type="paragraph" w:customStyle="1" w:styleId="512">
    <w:name w:val="CM35"/>
    <w:basedOn w:val="70"/>
    <w:next w:val="70"/>
    <w:autoRedefine/>
    <w:qFormat/>
    <w:uiPriority w:val="0"/>
    <w:pPr>
      <w:spacing w:line="400" w:lineRule="atLeast"/>
    </w:pPr>
    <w:rPr>
      <w:rFonts w:ascii="宋体" w:eastAsia="宋体" w:cs="宋体"/>
      <w:color w:val="auto"/>
    </w:rPr>
  </w:style>
  <w:style w:type="paragraph" w:customStyle="1" w:styleId="513">
    <w:name w:val="WW-Anmerkungstext"/>
    <w:basedOn w:val="1"/>
    <w:autoRedefine/>
    <w:qFormat/>
    <w:uiPriority w:val="0"/>
    <w:pPr>
      <w:widowControl/>
      <w:tabs>
        <w:tab w:val="left" w:pos="187"/>
      </w:tabs>
      <w:overflowPunct w:val="0"/>
      <w:autoSpaceDE w:val="0"/>
      <w:autoSpaceDN w:val="0"/>
      <w:adjustRightInd w:val="0"/>
      <w:spacing w:after="120" w:line="220" w:lineRule="atLeast"/>
      <w:ind w:left="187" w:hanging="187"/>
      <w:textAlignment w:val="baseline"/>
    </w:pPr>
    <w:rPr>
      <w:rFonts w:ascii="Wund" w:hAnsi="Wund" w:cs="Wund"/>
      <w:kern w:val="0"/>
      <w:sz w:val="22"/>
      <w:lang w:val="de-DE" w:eastAsia="de-DE"/>
    </w:rPr>
  </w:style>
  <w:style w:type="paragraph" w:customStyle="1" w:styleId="514">
    <w:name w:val="Fußzeile gerade"/>
    <w:basedOn w:val="35"/>
    <w:autoRedefine/>
    <w:qFormat/>
    <w:uiPriority w:val="0"/>
    <w:pPr>
      <w:keepLines/>
      <w:widowControl/>
      <w:tabs>
        <w:tab w:val="center" w:pos="4320"/>
        <w:tab w:val="right" w:pos="8640"/>
        <w:tab w:val="clear" w:pos="4153"/>
        <w:tab w:val="clear" w:pos="8306"/>
      </w:tabs>
      <w:overflowPunct w:val="0"/>
      <w:autoSpaceDE w:val="0"/>
      <w:autoSpaceDN w:val="0"/>
      <w:adjustRightInd w:val="0"/>
      <w:snapToGrid/>
      <w:spacing w:after="120" w:line="360" w:lineRule="auto"/>
      <w:jc w:val="both"/>
      <w:textAlignment w:val="baseline"/>
    </w:pPr>
    <w:rPr>
      <w:rFonts w:ascii="Wund" w:hAnsi="Wund"/>
      <w:kern w:val="0"/>
      <w:lang w:val="de-DE" w:eastAsia="de-DE"/>
    </w:rPr>
  </w:style>
  <w:style w:type="paragraph" w:customStyle="1" w:styleId="515">
    <w:name w:val="p17"/>
    <w:basedOn w:val="1"/>
    <w:autoRedefine/>
    <w:qFormat/>
    <w:uiPriority w:val="0"/>
    <w:pPr>
      <w:widowControl/>
      <w:ind w:firstLine="420"/>
    </w:pPr>
    <w:rPr>
      <w:rFonts w:ascii="Times New Roman" w:hAnsi="Times New Roman"/>
      <w:kern w:val="0"/>
      <w:szCs w:val="21"/>
    </w:rPr>
  </w:style>
  <w:style w:type="paragraph" w:customStyle="1" w:styleId="516">
    <w:name w:val="WW-Listenfortsetzung 3"/>
    <w:basedOn w:val="389"/>
    <w:autoRedefine/>
    <w:qFormat/>
    <w:uiPriority w:val="0"/>
    <w:pPr>
      <w:ind w:left="1440"/>
    </w:pPr>
  </w:style>
  <w:style w:type="paragraph" w:customStyle="1" w:styleId="517">
    <w:name w:val="CM36"/>
    <w:basedOn w:val="70"/>
    <w:next w:val="70"/>
    <w:autoRedefine/>
    <w:qFormat/>
    <w:uiPriority w:val="0"/>
    <w:pPr>
      <w:spacing w:after="68"/>
    </w:pPr>
    <w:rPr>
      <w:rFonts w:ascii="Century Gothic" w:hAnsi="Century Gothic" w:eastAsia="宋体" w:cs="Century Gothic"/>
      <w:color w:val="auto"/>
    </w:rPr>
  </w:style>
  <w:style w:type="paragraph" w:customStyle="1" w:styleId="518">
    <w:name w:val="WW-Listenfortsetzung 2"/>
    <w:basedOn w:val="389"/>
    <w:autoRedefine/>
    <w:qFormat/>
    <w:uiPriority w:val="0"/>
    <w:pPr>
      <w:ind w:left="1080"/>
    </w:pPr>
  </w:style>
  <w:style w:type="paragraph" w:customStyle="1" w:styleId="519">
    <w:name w:val="Verzeichnis"/>
    <w:basedOn w:val="1"/>
    <w:autoRedefine/>
    <w:qFormat/>
    <w:uiPriority w:val="0"/>
    <w:pPr>
      <w:widowControl/>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520">
    <w:name w:val="xl60"/>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21">
    <w:name w:val="WW-Index 7"/>
    <w:basedOn w:val="1"/>
    <w:autoRedefine/>
    <w:qFormat/>
    <w:uiPriority w:val="0"/>
    <w:pPr>
      <w:widowControl/>
      <w:tabs>
        <w:tab w:val="right" w:leader="dot" w:pos="3960"/>
      </w:tabs>
      <w:overflowPunct w:val="0"/>
      <w:autoSpaceDE w:val="0"/>
      <w:autoSpaceDN w:val="0"/>
      <w:adjustRightInd w:val="0"/>
      <w:spacing w:after="120" w:line="360" w:lineRule="auto"/>
      <w:ind w:left="2160" w:hanging="720"/>
      <w:textAlignment w:val="baseline"/>
    </w:pPr>
    <w:rPr>
      <w:rFonts w:ascii="Wund" w:hAnsi="Wund" w:cs="Wund"/>
      <w:kern w:val="0"/>
      <w:sz w:val="22"/>
      <w:lang w:val="de-DE" w:eastAsia="de-DE"/>
    </w:rPr>
  </w:style>
  <w:style w:type="paragraph" w:customStyle="1" w:styleId="522">
    <w:name w:val="Heading #1|1"/>
    <w:basedOn w:val="1"/>
    <w:autoRedefine/>
    <w:qFormat/>
    <w:uiPriority w:val="0"/>
    <w:pPr>
      <w:spacing w:after="100"/>
      <w:jc w:val="center"/>
      <w:outlineLvl w:val="0"/>
    </w:pPr>
    <w:rPr>
      <w:rFonts w:ascii="宋体" w:hAnsi="宋体" w:cs="宋体"/>
      <w:sz w:val="44"/>
      <w:szCs w:val="44"/>
      <w:lang w:val="zh-TW" w:eastAsia="zh-TW" w:bidi="zh-TW"/>
    </w:rPr>
  </w:style>
  <w:style w:type="paragraph" w:customStyle="1" w:styleId="523">
    <w:name w:val="WW-Aufzählungszeichen 2"/>
    <w:basedOn w:val="472"/>
    <w:autoRedefine/>
    <w:qFormat/>
    <w:uiPriority w:val="0"/>
    <w:pPr>
      <w:ind w:left="1080"/>
    </w:pPr>
  </w:style>
  <w:style w:type="paragraph" w:customStyle="1" w:styleId="524">
    <w:name w:val="CM34"/>
    <w:basedOn w:val="70"/>
    <w:next w:val="70"/>
    <w:autoRedefine/>
    <w:qFormat/>
    <w:uiPriority w:val="0"/>
    <w:pPr>
      <w:spacing w:line="398" w:lineRule="atLeast"/>
    </w:pPr>
    <w:rPr>
      <w:rFonts w:ascii="宋体" w:eastAsia="宋体" w:cs="宋体"/>
      <w:color w:val="auto"/>
    </w:rPr>
  </w:style>
  <w:style w:type="paragraph" w:customStyle="1" w:styleId="525">
    <w:name w:val="WW-Überschrift 7"/>
    <w:basedOn w:val="1"/>
    <w:next w:val="22"/>
    <w:autoRedefine/>
    <w:qFormat/>
    <w:uiPriority w:val="0"/>
    <w:pPr>
      <w:widowControl/>
      <w:overflowPunct w:val="0"/>
      <w:autoSpaceDE w:val="0"/>
      <w:autoSpaceDN w:val="0"/>
      <w:adjustRightInd w:val="0"/>
      <w:spacing w:before="80" w:after="60" w:line="360" w:lineRule="auto"/>
      <w:ind w:left="4956" w:hanging="708"/>
      <w:textAlignment w:val="baseline"/>
    </w:pPr>
    <w:rPr>
      <w:rFonts w:ascii="Wund" w:hAnsi="Wund" w:cs="Wund"/>
      <w:b/>
      <w:bCs/>
      <w:kern w:val="0"/>
      <w:sz w:val="22"/>
      <w:lang w:val="de-DE" w:eastAsia="de-DE"/>
    </w:rPr>
  </w:style>
  <w:style w:type="paragraph" w:customStyle="1" w:styleId="526">
    <w:name w:val="CM46"/>
    <w:basedOn w:val="70"/>
    <w:next w:val="70"/>
    <w:autoRedefine/>
    <w:qFormat/>
    <w:uiPriority w:val="0"/>
    <w:rPr>
      <w:rFonts w:ascii="宋体" w:eastAsia="宋体" w:cs="宋体"/>
      <w:color w:val="auto"/>
    </w:rPr>
  </w:style>
  <w:style w:type="paragraph" w:customStyle="1" w:styleId="527">
    <w:name w:val="Absender"/>
    <w:basedOn w:val="1"/>
    <w:next w:val="1"/>
    <w:autoRedefine/>
    <w:qFormat/>
    <w:uiPriority w:val="0"/>
    <w:pPr>
      <w:keepLines/>
      <w:widowControl/>
      <w:overflowPunct w:val="0"/>
      <w:autoSpaceDE w:val="0"/>
      <w:autoSpaceDN w:val="0"/>
      <w:adjustRightInd w:val="0"/>
      <w:spacing w:after="120"/>
      <w:jc w:val="right"/>
      <w:textAlignment w:val="baseline"/>
    </w:pPr>
    <w:rPr>
      <w:rFonts w:ascii="Times New Roman" w:hAnsi="Times New Roman"/>
      <w:kern w:val="0"/>
      <w:sz w:val="20"/>
      <w:szCs w:val="20"/>
      <w:lang w:val="de-DE" w:eastAsia="de-DE"/>
    </w:rPr>
  </w:style>
  <w:style w:type="paragraph" w:customStyle="1" w:styleId="528">
    <w:name w:val="CM102"/>
    <w:basedOn w:val="70"/>
    <w:next w:val="70"/>
    <w:autoRedefine/>
    <w:qFormat/>
    <w:uiPriority w:val="0"/>
    <w:pPr>
      <w:spacing w:after="878"/>
    </w:pPr>
    <w:rPr>
      <w:rFonts w:ascii="宋体" w:eastAsia="宋体" w:cs="宋体"/>
      <w:color w:val="auto"/>
    </w:rPr>
  </w:style>
  <w:style w:type="paragraph" w:customStyle="1" w:styleId="529">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530">
    <w:name w:val="Teil Beschriftung"/>
    <w:basedOn w:val="467"/>
    <w:next w:val="1"/>
    <w:autoRedefine/>
    <w:qFormat/>
    <w:uiPriority w:val="0"/>
    <w:pPr>
      <w:spacing w:before="600" w:after="160"/>
      <w:jc w:val="center"/>
    </w:pPr>
    <w:rPr>
      <w:b w:val="0"/>
      <w:bCs w:val="0"/>
      <w:sz w:val="24"/>
      <w:szCs w:val="24"/>
      <w:u w:val="single"/>
    </w:rPr>
  </w:style>
  <w:style w:type="paragraph" w:customStyle="1" w:styleId="531">
    <w:name w:val="CM40"/>
    <w:basedOn w:val="70"/>
    <w:next w:val="70"/>
    <w:autoRedefine/>
    <w:qFormat/>
    <w:uiPriority w:val="0"/>
    <w:pPr>
      <w:spacing w:after="60"/>
    </w:pPr>
    <w:rPr>
      <w:rFonts w:ascii="Century Gothic" w:hAnsi="Century Gothic" w:eastAsia="宋体" w:cs="Century Gothic"/>
      <w:color w:val="auto"/>
    </w:rPr>
  </w:style>
  <w:style w:type="paragraph" w:customStyle="1" w:styleId="532">
    <w:name w:val="CM53"/>
    <w:basedOn w:val="70"/>
    <w:next w:val="70"/>
    <w:autoRedefine/>
    <w:qFormat/>
    <w:uiPriority w:val="0"/>
    <w:pPr>
      <w:spacing w:line="400" w:lineRule="atLeast"/>
    </w:pPr>
    <w:rPr>
      <w:rFonts w:ascii="宋体" w:eastAsia="宋体" w:cs="宋体"/>
      <w:color w:val="auto"/>
    </w:rPr>
  </w:style>
  <w:style w:type="paragraph" w:customStyle="1" w:styleId="533">
    <w:name w:val="WW-Liste 4"/>
    <w:basedOn w:val="16"/>
    <w:autoRedefine/>
    <w:qFormat/>
    <w:uiPriority w:val="0"/>
    <w:pPr>
      <w:tabs>
        <w:tab w:val="left" w:pos="1800"/>
      </w:tabs>
      <w:suppressAutoHyphens/>
      <w:overflowPunct w:val="0"/>
      <w:autoSpaceDE w:val="0"/>
      <w:autoSpaceDN w:val="0"/>
      <w:spacing w:after="80" w:line="340" w:lineRule="atLeast"/>
      <w:ind w:left="1800" w:hanging="360"/>
      <w:jc w:val="both"/>
      <w:textAlignment w:val="baseline"/>
    </w:pPr>
    <w:rPr>
      <w:rFonts w:hint="default" w:ascii="Arial Narrow" w:hAnsi="Arial Narrow" w:cs="Arial Narrow"/>
      <w:sz w:val="22"/>
      <w:szCs w:val="22"/>
      <w:lang w:val="de-DE" w:eastAsia="de-DE"/>
    </w:rPr>
  </w:style>
  <w:style w:type="paragraph" w:customStyle="1" w:styleId="534">
    <w:name w:val="Char Char Char Char1"/>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535">
    <w:name w:val="CM39"/>
    <w:basedOn w:val="70"/>
    <w:next w:val="70"/>
    <w:autoRedefine/>
    <w:qFormat/>
    <w:uiPriority w:val="0"/>
    <w:pPr>
      <w:spacing w:line="400" w:lineRule="atLeast"/>
    </w:pPr>
    <w:rPr>
      <w:rFonts w:ascii="宋体" w:eastAsia="宋体" w:cs="宋体"/>
      <w:color w:val="auto"/>
    </w:rPr>
  </w:style>
  <w:style w:type="paragraph" w:customStyle="1" w:styleId="536">
    <w:name w:val="Basis-Verzeichnis"/>
    <w:basedOn w:val="1"/>
    <w:autoRedefine/>
    <w:qFormat/>
    <w:uiPriority w:val="0"/>
    <w:pPr>
      <w:widowControl/>
      <w:tabs>
        <w:tab w:val="right" w:leader="dot" w:pos="8640"/>
      </w:tabs>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537">
    <w:name w:val="Überschrift"/>
    <w:basedOn w:val="1"/>
    <w:next w:val="22"/>
    <w:autoRedefine/>
    <w:qFormat/>
    <w:uiPriority w:val="0"/>
    <w:pPr>
      <w:keepNext/>
      <w:widowControl/>
      <w:overflowPunct w:val="0"/>
      <w:autoSpaceDE w:val="0"/>
      <w:autoSpaceDN w:val="0"/>
      <w:adjustRightInd w:val="0"/>
      <w:spacing w:before="240" w:after="120" w:line="360" w:lineRule="auto"/>
      <w:ind w:left="993" w:hanging="993"/>
      <w:textAlignment w:val="baseline"/>
    </w:pPr>
    <w:rPr>
      <w:rFonts w:ascii="Wund" w:hAnsi="Wund" w:cs="Wund"/>
      <w:b/>
      <w:bCs/>
      <w:smallCaps/>
      <w:kern w:val="0"/>
      <w:sz w:val="36"/>
      <w:szCs w:val="36"/>
      <w:lang w:val="de-DE" w:eastAsia="de-DE"/>
    </w:rPr>
  </w:style>
  <w:style w:type="paragraph" w:customStyle="1" w:styleId="538">
    <w:name w:val="Inhaltsverzeichnis Überschrift"/>
    <w:basedOn w:val="537"/>
    <w:autoRedefine/>
    <w:qFormat/>
    <w:uiPriority w:val="0"/>
    <w:pPr>
      <w:ind w:left="0" w:firstLine="0"/>
    </w:pPr>
    <w:rPr>
      <w:sz w:val="32"/>
      <w:szCs w:val="32"/>
    </w:rPr>
  </w:style>
  <w:style w:type="paragraph" w:customStyle="1" w:styleId="539">
    <w:name w:val="列出段落2"/>
    <w:basedOn w:val="1"/>
    <w:autoRedefine/>
    <w:qFormat/>
    <w:uiPriority w:val="0"/>
    <w:pPr>
      <w:ind w:firstLine="420" w:firstLineChars="200"/>
    </w:pPr>
    <w:rPr>
      <w:rFonts w:ascii="Times New Roman" w:hAnsi="Times New Roman"/>
      <w:szCs w:val="24"/>
    </w:rPr>
  </w:style>
  <w:style w:type="paragraph" w:customStyle="1" w:styleId="540">
    <w:name w:val="Textkörper Einzug"/>
    <w:basedOn w:val="1"/>
    <w:autoRedefine/>
    <w:qFormat/>
    <w:uiPriority w:val="0"/>
    <w:pPr>
      <w:widowControl/>
      <w:overflowPunct w:val="0"/>
      <w:autoSpaceDE w:val="0"/>
      <w:autoSpaceDN w:val="0"/>
      <w:adjustRightInd w:val="0"/>
      <w:spacing w:after="120" w:line="280" w:lineRule="atLeast"/>
      <w:ind w:left="1080"/>
      <w:textAlignment w:val="baseline"/>
    </w:pPr>
    <w:rPr>
      <w:rFonts w:ascii="Arial" w:hAnsi="Arial" w:cs="Arial"/>
      <w:kern w:val="0"/>
      <w:sz w:val="22"/>
      <w:lang w:val="de-DE" w:eastAsia="de-DE"/>
    </w:rPr>
  </w:style>
  <w:style w:type="paragraph" w:customStyle="1" w:styleId="541">
    <w:name w:val="CM76"/>
    <w:basedOn w:val="70"/>
    <w:next w:val="70"/>
    <w:autoRedefine/>
    <w:qFormat/>
    <w:uiPriority w:val="0"/>
    <w:pPr>
      <w:spacing w:line="400" w:lineRule="atLeast"/>
    </w:pPr>
    <w:rPr>
      <w:rFonts w:ascii="宋体" w:eastAsia="宋体" w:cs="宋体"/>
      <w:color w:val="auto"/>
    </w:rPr>
  </w:style>
  <w:style w:type="paragraph" w:customStyle="1" w:styleId="542">
    <w:name w:val="CM50"/>
    <w:basedOn w:val="70"/>
    <w:next w:val="70"/>
    <w:autoRedefine/>
    <w:qFormat/>
    <w:uiPriority w:val="0"/>
    <w:pPr>
      <w:spacing w:line="1020" w:lineRule="atLeast"/>
    </w:pPr>
    <w:rPr>
      <w:rFonts w:ascii="宋体" w:eastAsia="宋体" w:cs="宋体"/>
      <w:color w:val="auto"/>
    </w:rPr>
  </w:style>
  <w:style w:type="paragraph" w:customStyle="1" w:styleId="543">
    <w:name w:val="CM81"/>
    <w:basedOn w:val="70"/>
    <w:next w:val="70"/>
    <w:autoRedefine/>
    <w:qFormat/>
    <w:uiPriority w:val="0"/>
    <w:pPr>
      <w:spacing w:line="440" w:lineRule="atLeast"/>
    </w:pPr>
    <w:rPr>
      <w:rFonts w:ascii="宋体" w:eastAsia="宋体" w:cs="宋体"/>
      <w:color w:val="auto"/>
    </w:rPr>
  </w:style>
  <w:style w:type="paragraph" w:customStyle="1" w:styleId="544">
    <w:name w:val="WW-Verzeichnis 7"/>
    <w:basedOn w:val="1"/>
    <w:autoRedefine/>
    <w:qFormat/>
    <w:uiPriority w:val="0"/>
    <w:pPr>
      <w:widowControl/>
      <w:tabs>
        <w:tab w:val="right" w:leader="dot" w:pos="9072"/>
      </w:tabs>
      <w:overflowPunct w:val="0"/>
      <w:autoSpaceDE w:val="0"/>
      <w:autoSpaceDN w:val="0"/>
      <w:adjustRightInd w:val="0"/>
      <w:spacing w:after="120" w:line="360" w:lineRule="auto"/>
      <w:ind w:left="1200"/>
      <w:jc w:val="left"/>
      <w:textAlignment w:val="baseline"/>
    </w:pPr>
    <w:rPr>
      <w:rFonts w:ascii="Times New Roman" w:hAnsi="Times New Roman"/>
      <w:kern w:val="0"/>
      <w:sz w:val="18"/>
      <w:szCs w:val="18"/>
      <w:lang w:val="de-DE" w:eastAsia="de-DE"/>
    </w:rPr>
  </w:style>
  <w:style w:type="paragraph" w:customStyle="1" w:styleId="545">
    <w:name w:val="WW-Liste 5"/>
    <w:basedOn w:val="16"/>
    <w:autoRedefine/>
    <w:qFormat/>
    <w:uiPriority w:val="0"/>
    <w:pPr>
      <w:tabs>
        <w:tab w:val="left" w:pos="2160"/>
      </w:tabs>
      <w:suppressAutoHyphens/>
      <w:overflowPunct w:val="0"/>
      <w:autoSpaceDE w:val="0"/>
      <w:autoSpaceDN w:val="0"/>
      <w:spacing w:after="80" w:line="340" w:lineRule="atLeast"/>
      <w:ind w:left="2160" w:hanging="360"/>
      <w:jc w:val="both"/>
      <w:textAlignment w:val="baseline"/>
    </w:pPr>
    <w:rPr>
      <w:rFonts w:hint="default" w:ascii="Arial Narrow" w:hAnsi="Arial Narrow" w:cs="Arial Narrow"/>
      <w:sz w:val="22"/>
      <w:szCs w:val="22"/>
      <w:lang w:val="de-DE" w:eastAsia="de-DE"/>
    </w:rPr>
  </w:style>
  <w:style w:type="paragraph" w:customStyle="1" w:styleId="546">
    <w:name w:val="Char Char Char Char Char Char Char Char Char Char Char Char Char"/>
    <w:basedOn w:val="1"/>
    <w:autoRedefine/>
    <w:qFormat/>
    <w:uiPriority w:val="0"/>
    <w:pPr>
      <w:spacing w:afterLines="100"/>
    </w:pPr>
    <w:rPr>
      <w:rFonts w:ascii="仿宋_GB2312" w:hAnsi="Times New Roman"/>
      <w:b/>
      <w:sz w:val="36"/>
      <w:szCs w:val="32"/>
    </w:rPr>
  </w:style>
  <w:style w:type="paragraph" w:customStyle="1" w:styleId="547">
    <w:name w:val="Teil Titel"/>
    <w:basedOn w:val="467"/>
    <w:next w:val="548"/>
    <w:autoRedefine/>
    <w:qFormat/>
    <w:uiPriority w:val="0"/>
    <w:pPr>
      <w:spacing w:before="600"/>
      <w:jc w:val="center"/>
    </w:pPr>
  </w:style>
  <w:style w:type="paragraph" w:customStyle="1" w:styleId="548">
    <w:name w:val="Teil Untertitel"/>
    <w:basedOn w:val="1"/>
    <w:next w:val="22"/>
    <w:autoRedefine/>
    <w:qFormat/>
    <w:uiPriority w:val="0"/>
    <w:pPr>
      <w:widowControl/>
      <w:overflowPunct w:val="0"/>
      <w:autoSpaceDE w:val="0"/>
      <w:autoSpaceDN w:val="0"/>
      <w:adjustRightInd w:val="0"/>
      <w:spacing w:before="360" w:after="120" w:line="360" w:lineRule="auto"/>
      <w:jc w:val="center"/>
      <w:textAlignment w:val="baseline"/>
    </w:pPr>
    <w:rPr>
      <w:rFonts w:ascii="Arial" w:hAnsi="Arial" w:cs="Arial"/>
      <w:i/>
      <w:iCs/>
      <w:kern w:val="0"/>
      <w:sz w:val="32"/>
      <w:szCs w:val="32"/>
      <w:lang w:val="de-DE" w:eastAsia="de-DE"/>
    </w:rPr>
  </w:style>
  <w:style w:type="paragraph" w:customStyle="1" w:styleId="549">
    <w:name w:val="Bildunterschrift"/>
    <w:basedOn w:val="1"/>
    <w:autoRedefine/>
    <w:qFormat/>
    <w:uiPriority w:val="0"/>
    <w:pPr>
      <w:widowControl/>
      <w:overflowPunct w:val="0"/>
      <w:autoSpaceDE w:val="0"/>
      <w:autoSpaceDN w:val="0"/>
      <w:adjustRightInd w:val="0"/>
      <w:spacing w:before="5670" w:after="120" w:line="360" w:lineRule="auto"/>
      <w:jc w:val="center"/>
      <w:textAlignment w:val="baseline"/>
    </w:pPr>
    <w:rPr>
      <w:rFonts w:ascii="Arial" w:hAnsi="Arial" w:cs="Arial"/>
      <w:i/>
      <w:iCs/>
      <w:kern w:val="0"/>
      <w:sz w:val="22"/>
      <w:lang w:val="de-DE" w:eastAsia="de-DE"/>
    </w:rPr>
  </w:style>
  <w:style w:type="paragraph" w:customStyle="1" w:styleId="550">
    <w:name w:val="p15"/>
    <w:basedOn w:val="1"/>
    <w:autoRedefine/>
    <w:qFormat/>
    <w:uiPriority w:val="0"/>
    <w:pPr>
      <w:widowControl/>
      <w:snapToGrid w:val="0"/>
      <w:jc w:val="left"/>
    </w:pPr>
    <w:rPr>
      <w:rFonts w:ascii="宋体" w:hAnsi="宋体" w:cs="宋体"/>
      <w:b/>
      <w:bCs/>
      <w:kern w:val="0"/>
      <w:sz w:val="24"/>
      <w:szCs w:val="24"/>
    </w:rPr>
  </w:style>
  <w:style w:type="paragraph" w:customStyle="1" w:styleId="551">
    <w:name w:val="CM31"/>
    <w:basedOn w:val="70"/>
    <w:next w:val="70"/>
    <w:autoRedefine/>
    <w:qFormat/>
    <w:uiPriority w:val="0"/>
    <w:pPr>
      <w:spacing w:line="400" w:lineRule="atLeast"/>
    </w:pPr>
    <w:rPr>
      <w:rFonts w:ascii="宋体" w:eastAsia="宋体" w:cs="宋体"/>
      <w:color w:val="auto"/>
    </w:rPr>
  </w:style>
  <w:style w:type="paragraph" w:customStyle="1" w:styleId="552">
    <w:name w:val="Char16"/>
    <w:basedOn w:val="1"/>
    <w:autoRedefine/>
    <w:qFormat/>
    <w:uiPriority w:val="0"/>
    <w:rPr>
      <w:rFonts w:ascii="Times New Roman" w:hAnsi="Times New Roman"/>
      <w:szCs w:val="20"/>
    </w:rPr>
  </w:style>
  <w:style w:type="paragraph" w:customStyle="1" w:styleId="553">
    <w:name w:val="CM13"/>
    <w:basedOn w:val="70"/>
    <w:next w:val="70"/>
    <w:autoRedefine/>
    <w:qFormat/>
    <w:uiPriority w:val="0"/>
    <w:pPr>
      <w:spacing w:line="276" w:lineRule="atLeast"/>
    </w:pPr>
    <w:rPr>
      <w:rFonts w:ascii="Century Gothic" w:hAnsi="Century Gothic" w:eastAsia="宋体" w:cs="Century Gothic"/>
      <w:color w:val="auto"/>
    </w:rPr>
  </w:style>
  <w:style w:type="paragraph" w:customStyle="1" w:styleId="554">
    <w:name w:val="样式4"/>
    <w:basedOn w:val="2"/>
    <w:autoRedefine/>
    <w:qFormat/>
    <w:uiPriority w:val="0"/>
    <w:pPr>
      <w:spacing w:before="340" w:after="330" w:line="578" w:lineRule="auto"/>
      <w:ind w:firstLine="641"/>
    </w:pPr>
    <w:rPr>
      <w:rFonts w:ascii="仿宋_GB2312" w:hAnsi="仿宋_GB2312" w:eastAsia="楷体_GB2312"/>
      <w:bCs/>
      <w:sz w:val="32"/>
      <w:szCs w:val="32"/>
    </w:rPr>
  </w:style>
  <w:style w:type="paragraph" w:customStyle="1" w:styleId="555">
    <w:name w:val="Fußzeile ungerade"/>
    <w:basedOn w:val="35"/>
    <w:autoRedefine/>
    <w:qFormat/>
    <w:uiPriority w:val="0"/>
    <w:pPr>
      <w:keepLines/>
      <w:widowControl/>
      <w:tabs>
        <w:tab w:val="right" w:pos="0"/>
        <w:tab w:val="clear" w:pos="4153"/>
        <w:tab w:val="clear" w:pos="8306"/>
      </w:tabs>
      <w:overflowPunct w:val="0"/>
      <w:autoSpaceDE w:val="0"/>
      <w:autoSpaceDN w:val="0"/>
      <w:adjustRightInd w:val="0"/>
      <w:snapToGrid/>
      <w:spacing w:after="120" w:line="360" w:lineRule="auto"/>
      <w:jc w:val="right"/>
      <w:textAlignment w:val="baseline"/>
    </w:pPr>
    <w:rPr>
      <w:rFonts w:ascii="Wund" w:hAnsi="Wund"/>
      <w:kern w:val="0"/>
      <w:lang w:val="de-DE" w:eastAsia="de-DE"/>
    </w:rPr>
  </w:style>
  <w:style w:type="paragraph" w:customStyle="1" w:styleId="556">
    <w:name w:val="段落"/>
    <w:autoRedefine/>
    <w:qFormat/>
    <w:uiPriority w:val="0"/>
    <w:pPr>
      <w:spacing w:line="310" w:lineRule="exact"/>
      <w:ind w:firstLine="200" w:firstLineChars="200"/>
    </w:pPr>
    <w:rPr>
      <w:rFonts w:ascii="Times New Roman" w:hAnsi="Times New Roman" w:eastAsia="宋体" w:cs="Times New Roman"/>
      <w:sz w:val="21"/>
      <w:lang w:val="en-US" w:eastAsia="zh-CN" w:bidi="ar-SA"/>
    </w:rPr>
  </w:style>
  <w:style w:type="paragraph" w:customStyle="1" w:styleId="557">
    <w:name w:val="CM101"/>
    <w:basedOn w:val="70"/>
    <w:next w:val="70"/>
    <w:autoRedefine/>
    <w:qFormat/>
    <w:uiPriority w:val="0"/>
    <w:pPr>
      <w:spacing w:after="800"/>
    </w:pPr>
    <w:rPr>
      <w:rFonts w:ascii="宋体" w:eastAsia="宋体" w:cs="宋体"/>
      <w:color w:val="auto"/>
    </w:rPr>
  </w:style>
  <w:style w:type="paragraph" w:customStyle="1" w:styleId="558">
    <w:name w:val="CM29"/>
    <w:basedOn w:val="70"/>
    <w:next w:val="70"/>
    <w:autoRedefine/>
    <w:qFormat/>
    <w:uiPriority w:val="0"/>
    <w:pPr>
      <w:spacing w:line="400" w:lineRule="atLeast"/>
    </w:pPr>
    <w:rPr>
      <w:rFonts w:ascii="宋体" w:eastAsia="宋体" w:cs="宋体"/>
      <w:color w:val="auto"/>
    </w:rPr>
  </w:style>
  <w:style w:type="paragraph" w:customStyle="1" w:styleId="559">
    <w:name w:val="Char Char Char Char Char Char Char"/>
    <w:basedOn w:val="1"/>
    <w:autoRedefine/>
    <w:qFormat/>
    <w:uiPriority w:val="0"/>
    <w:pPr>
      <w:tabs>
        <w:tab w:val="left" w:pos="360"/>
      </w:tabs>
    </w:pPr>
    <w:rPr>
      <w:rFonts w:ascii="Times New Roman" w:hAnsi="Times New Roman"/>
      <w:szCs w:val="24"/>
    </w:rPr>
  </w:style>
  <w:style w:type="paragraph" w:customStyle="1" w:styleId="560">
    <w:name w:val="_Style 6"/>
    <w:basedOn w:val="1"/>
    <w:autoRedefine/>
    <w:qFormat/>
    <w:uiPriority w:val="0"/>
    <w:pPr>
      <w:widowControl/>
      <w:spacing w:after="200" w:line="252" w:lineRule="auto"/>
      <w:ind w:left="720"/>
      <w:contextualSpacing/>
      <w:jc w:val="left"/>
    </w:pPr>
    <w:rPr>
      <w:rFonts w:ascii="Cambria" w:hAnsi="Cambria"/>
      <w:kern w:val="0"/>
      <w:sz w:val="22"/>
      <w:szCs w:val="24"/>
      <w:lang w:eastAsia="en-US" w:bidi="en-US"/>
    </w:rPr>
  </w:style>
  <w:style w:type="paragraph" w:customStyle="1" w:styleId="561">
    <w:name w:val="CM14"/>
    <w:basedOn w:val="70"/>
    <w:next w:val="70"/>
    <w:autoRedefine/>
    <w:qFormat/>
    <w:uiPriority w:val="0"/>
    <w:pPr>
      <w:spacing w:line="278" w:lineRule="atLeast"/>
    </w:pPr>
    <w:rPr>
      <w:rFonts w:ascii="Century Gothic" w:hAnsi="Century Gothic" w:eastAsia="宋体" w:cs="Century Gothic"/>
      <w:color w:val="auto"/>
    </w:rPr>
  </w:style>
  <w:style w:type="paragraph" w:customStyle="1" w:styleId="562">
    <w:name w:val="默认段落字体 Para Char Char Char Char Char Char Char"/>
    <w:basedOn w:val="17"/>
    <w:autoRedefine/>
    <w:qFormat/>
    <w:uiPriority w:val="0"/>
    <w:pPr>
      <w:adjustRightInd w:val="0"/>
      <w:spacing w:line="436" w:lineRule="exact"/>
      <w:ind w:left="357"/>
      <w:jc w:val="left"/>
      <w:outlineLvl w:val="3"/>
    </w:pPr>
    <w:rPr>
      <w:rFonts w:ascii="Tahoma" w:hAnsi="Tahoma"/>
      <w:b/>
      <w:sz w:val="24"/>
      <w:szCs w:val="24"/>
    </w:rPr>
  </w:style>
  <w:style w:type="paragraph" w:customStyle="1" w:styleId="563">
    <w:name w:val="默认段落字体 Para Char Char Char Char"/>
    <w:basedOn w:val="1"/>
    <w:autoRedefine/>
    <w:qFormat/>
    <w:uiPriority w:val="0"/>
    <w:rPr>
      <w:rFonts w:ascii="Times New Roman" w:hAnsi="Times New Roman"/>
      <w:kern w:val="0"/>
      <w:sz w:val="24"/>
      <w:szCs w:val="20"/>
    </w:rPr>
  </w:style>
  <w:style w:type="paragraph" w:customStyle="1" w:styleId="564">
    <w:name w:val="Numerierung Ende"/>
    <w:basedOn w:val="432"/>
    <w:next w:val="22"/>
    <w:autoRedefine/>
    <w:qFormat/>
    <w:uiPriority w:val="0"/>
    <w:pPr>
      <w:spacing w:after="240"/>
    </w:pPr>
  </w:style>
  <w:style w:type="paragraph" w:customStyle="1" w:styleId="565">
    <w:name w:val="WW-Liste 3"/>
    <w:basedOn w:val="16"/>
    <w:autoRedefine/>
    <w:qFormat/>
    <w:uiPriority w:val="0"/>
    <w:pPr>
      <w:tabs>
        <w:tab w:val="left" w:pos="1440"/>
      </w:tabs>
      <w:suppressAutoHyphens/>
      <w:overflowPunct w:val="0"/>
      <w:autoSpaceDE w:val="0"/>
      <w:autoSpaceDN w:val="0"/>
      <w:spacing w:after="80" w:line="340" w:lineRule="atLeast"/>
      <w:ind w:left="1440" w:hanging="360"/>
      <w:jc w:val="both"/>
      <w:textAlignment w:val="baseline"/>
    </w:pPr>
    <w:rPr>
      <w:rFonts w:hint="default" w:ascii="Arial Narrow" w:hAnsi="Arial Narrow" w:cs="Arial Narrow"/>
      <w:sz w:val="22"/>
      <w:szCs w:val="22"/>
      <w:lang w:val="de-DE" w:eastAsia="de-DE"/>
    </w:rPr>
  </w:style>
  <w:style w:type="paragraph" w:customStyle="1" w:styleId="566">
    <w:name w:val="Numerierung Anfang"/>
    <w:basedOn w:val="432"/>
    <w:next w:val="432"/>
    <w:autoRedefine/>
    <w:qFormat/>
    <w:uiPriority w:val="0"/>
    <w:pPr>
      <w:spacing w:before="80"/>
    </w:pPr>
  </w:style>
  <w:style w:type="paragraph" w:customStyle="1" w:styleId="567">
    <w:name w:val="Aufzählung Ende"/>
    <w:basedOn w:val="472"/>
    <w:next w:val="22"/>
    <w:autoRedefine/>
    <w:qFormat/>
    <w:uiPriority w:val="0"/>
    <w:pPr>
      <w:spacing w:after="240"/>
    </w:pPr>
  </w:style>
  <w:style w:type="paragraph" w:customStyle="1" w:styleId="568">
    <w:name w:val="WW-Index 8"/>
    <w:basedOn w:val="1"/>
    <w:autoRedefine/>
    <w:qFormat/>
    <w:uiPriority w:val="0"/>
    <w:pPr>
      <w:widowControl/>
      <w:tabs>
        <w:tab w:val="right" w:leader="dot" w:pos="3960"/>
      </w:tabs>
      <w:overflowPunct w:val="0"/>
      <w:autoSpaceDE w:val="0"/>
      <w:autoSpaceDN w:val="0"/>
      <w:adjustRightInd w:val="0"/>
      <w:spacing w:after="120" w:line="360" w:lineRule="auto"/>
      <w:ind w:left="2520" w:hanging="720"/>
      <w:textAlignment w:val="baseline"/>
    </w:pPr>
    <w:rPr>
      <w:rFonts w:ascii="Wund" w:hAnsi="Wund" w:cs="Wund"/>
      <w:kern w:val="0"/>
      <w:sz w:val="22"/>
      <w:lang w:val="de-DE" w:eastAsia="de-DE"/>
    </w:rPr>
  </w:style>
  <w:style w:type="paragraph" w:customStyle="1" w:styleId="569">
    <w:name w:val="CM24"/>
    <w:basedOn w:val="70"/>
    <w:next w:val="70"/>
    <w:autoRedefine/>
    <w:qFormat/>
    <w:uiPriority w:val="0"/>
    <w:pPr>
      <w:spacing w:line="440" w:lineRule="atLeast"/>
    </w:pPr>
    <w:rPr>
      <w:rFonts w:ascii="宋体" w:eastAsia="宋体" w:cs="宋体"/>
      <w:color w:val="auto"/>
    </w:rPr>
  </w:style>
  <w:style w:type="paragraph" w:customStyle="1" w:styleId="570">
    <w:name w:val="正文文字缩进"/>
    <w:basedOn w:val="1"/>
    <w:next w:val="1"/>
    <w:autoRedefine/>
    <w:qFormat/>
    <w:uiPriority w:val="0"/>
    <w:pPr>
      <w:widowControl/>
      <w:tabs>
        <w:tab w:val="left" w:pos="0"/>
        <w:tab w:val="left" w:pos="993"/>
        <w:tab w:val="left" w:pos="1134"/>
      </w:tabs>
      <w:spacing w:line="500" w:lineRule="exact"/>
      <w:ind w:firstLine="567"/>
    </w:pPr>
    <w:rPr>
      <w:rFonts w:ascii="宋体" w:hAnsi="Times New Roman"/>
      <w:color w:val="000000"/>
      <w:kern w:val="0"/>
      <w:sz w:val="28"/>
      <w:szCs w:val="20"/>
    </w:rPr>
  </w:style>
  <w:style w:type="paragraph" w:customStyle="1" w:styleId="571">
    <w:name w:val="Aufzählung 1 Anfang"/>
    <w:basedOn w:val="16"/>
    <w:autoRedefine/>
    <w:qFormat/>
    <w:uiPriority w:val="0"/>
    <w:pPr>
      <w:tabs>
        <w:tab w:val="left" w:pos="720"/>
      </w:tabs>
      <w:suppressAutoHyphens/>
      <w:overflowPunct w:val="0"/>
      <w:autoSpaceDE w:val="0"/>
      <w:autoSpaceDN w:val="0"/>
      <w:spacing w:before="240" w:after="12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572">
    <w:name w:val="CM26"/>
    <w:basedOn w:val="70"/>
    <w:next w:val="70"/>
    <w:autoRedefine/>
    <w:qFormat/>
    <w:uiPriority w:val="0"/>
    <w:pPr>
      <w:spacing w:line="400" w:lineRule="atLeast"/>
    </w:pPr>
    <w:rPr>
      <w:rFonts w:ascii="宋体" w:eastAsia="宋体" w:cs="宋体"/>
      <w:color w:val="auto"/>
    </w:rPr>
  </w:style>
  <w:style w:type="paragraph" w:customStyle="1" w:styleId="573">
    <w:name w:val="Titel-Gutachten"/>
    <w:basedOn w:val="1"/>
    <w:autoRedefine/>
    <w:qFormat/>
    <w:uiPriority w:val="0"/>
    <w:pPr>
      <w:widowControl/>
      <w:overflowPunct w:val="0"/>
      <w:autoSpaceDE w:val="0"/>
      <w:autoSpaceDN w:val="0"/>
      <w:adjustRightInd w:val="0"/>
      <w:spacing w:after="120" w:line="360" w:lineRule="auto"/>
      <w:jc w:val="center"/>
      <w:textAlignment w:val="baseline"/>
    </w:pPr>
    <w:rPr>
      <w:rFonts w:ascii="Wund" w:hAnsi="Wund" w:cs="Wund"/>
      <w:b/>
      <w:bCs/>
      <w:kern w:val="0"/>
      <w:sz w:val="36"/>
      <w:szCs w:val="36"/>
      <w:lang w:val="de-DE" w:eastAsia="de-DE"/>
    </w:rPr>
  </w:style>
  <w:style w:type="paragraph" w:customStyle="1" w:styleId="574">
    <w:name w:val="WW-Index 5"/>
    <w:basedOn w:val="1"/>
    <w:autoRedefine/>
    <w:qFormat/>
    <w:uiPriority w:val="0"/>
    <w:pPr>
      <w:widowControl/>
      <w:tabs>
        <w:tab w:val="right" w:leader="dot" w:pos="3960"/>
      </w:tabs>
      <w:overflowPunct w:val="0"/>
      <w:autoSpaceDE w:val="0"/>
      <w:autoSpaceDN w:val="0"/>
      <w:adjustRightInd w:val="0"/>
      <w:spacing w:after="120" w:line="360" w:lineRule="auto"/>
      <w:ind w:left="2160" w:hanging="720"/>
      <w:textAlignment w:val="baseline"/>
    </w:pPr>
    <w:rPr>
      <w:rFonts w:ascii="Wund" w:hAnsi="Wund" w:cs="Wund"/>
      <w:kern w:val="0"/>
      <w:sz w:val="22"/>
      <w:lang w:val="de-DE" w:eastAsia="de-DE"/>
    </w:rPr>
  </w:style>
  <w:style w:type="paragraph" w:customStyle="1" w:styleId="575">
    <w:name w:val="CM85"/>
    <w:basedOn w:val="70"/>
    <w:next w:val="70"/>
    <w:autoRedefine/>
    <w:qFormat/>
    <w:uiPriority w:val="0"/>
    <w:pPr>
      <w:spacing w:line="443" w:lineRule="atLeast"/>
    </w:pPr>
    <w:rPr>
      <w:rFonts w:ascii="宋体" w:eastAsia="宋体" w:cs="宋体"/>
      <w:color w:val="auto"/>
    </w:rPr>
  </w:style>
  <w:style w:type="paragraph" w:customStyle="1" w:styleId="576">
    <w:name w:val="CM104"/>
    <w:basedOn w:val="70"/>
    <w:next w:val="70"/>
    <w:autoRedefine/>
    <w:qFormat/>
    <w:uiPriority w:val="0"/>
    <w:pPr>
      <w:spacing w:after="1318"/>
    </w:pPr>
    <w:rPr>
      <w:rFonts w:ascii="宋体" w:eastAsia="宋体" w:cs="宋体"/>
      <w:color w:val="auto"/>
    </w:rPr>
  </w:style>
  <w:style w:type="paragraph" w:customStyle="1" w:styleId="577">
    <w:name w:val="Zchn Zchn21"/>
    <w:basedOn w:val="17"/>
    <w:autoRedefine/>
    <w:qFormat/>
    <w:uiPriority w:val="0"/>
    <w:rPr>
      <w:rFonts w:ascii="Calibri" w:hAnsi="Calibri"/>
      <w:kern w:val="0"/>
      <w:sz w:val="16"/>
      <w:szCs w:val="16"/>
      <w:lang w:val="de-DE" w:eastAsia="de-DE"/>
    </w:rPr>
  </w:style>
  <w:style w:type="paragraph" w:customStyle="1" w:styleId="578">
    <w:name w:val="WW-Makrotext"/>
    <w:basedOn w:val="22"/>
    <w:autoRedefine/>
    <w:qFormat/>
    <w:uiPriority w:val="0"/>
    <w:pPr>
      <w:suppressAutoHyphens/>
      <w:overflowPunct w:val="0"/>
      <w:autoSpaceDE w:val="0"/>
      <w:autoSpaceDN w:val="0"/>
      <w:adjustRightInd w:val="0"/>
      <w:spacing w:line="340" w:lineRule="atLeast"/>
      <w:textAlignment w:val="baseline"/>
    </w:pPr>
    <w:rPr>
      <w:rFonts w:ascii="Courier New" w:hAnsi="Courier New" w:cs="Courier New"/>
      <w:kern w:val="0"/>
      <w:sz w:val="22"/>
      <w:szCs w:val="22"/>
      <w:lang w:val="de-DE" w:eastAsia="de-DE"/>
    </w:rPr>
  </w:style>
  <w:style w:type="paragraph" w:customStyle="1" w:styleId="579">
    <w:name w:val="CM30"/>
    <w:basedOn w:val="70"/>
    <w:next w:val="70"/>
    <w:autoRedefine/>
    <w:qFormat/>
    <w:uiPriority w:val="0"/>
    <w:pPr>
      <w:spacing w:after="260"/>
    </w:pPr>
    <w:rPr>
      <w:rFonts w:ascii="Century Gothic" w:hAnsi="Century Gothic" w:eastAsia="宋体" w:cs="Century Gothic"/>
      <w:color w:val="auto"/>
    </w:rPr>
  </w:style>
  <w:style w:type="paragraph" w:customStyle="1" w:styleId="580">
    <w:name w:val="CM2"/>
    <w:basedOn w:val="70"/>
    <w:next w:val="70"/>
    <w:autoRedefine/>
    <w:qFormat/>
    <w:uiPriority w:val="0"/>
    <w:pPr>
      <w:spacing w:line="500" w:lineRule="atLeast"/>
    </w:pPr>
    <w:rPr>
      <w:rFonts w:ascii="宋体" w:eastAsia="宋体" w:cs="宋体"/>
      <w:color w:val="auto"/>
    </w:rPr>
  </w:style>
  <w:style w:type="paragraph" w:customStyle="1" w:styleId="581">
    <w:name w:val="Char Char Char Char Char Char Char Char Char Char Char Char Char1"/>
    <w:basedOn w:val="1"/>
    <w:autoRedefine/>
    <w:qFormat/>
    <w:uiPriority w:val="0"/>
    <w:rPr>
      <w:rFonts w:ascii="仿宋_GB2312" w:hAnsi="Times New Roman" w:eastAsia="仿宋_GB2312"/>
      <w:b/>
      <w:sz w:val="32"/>
      <w:szCs w:val="32"/>
    </w:rPr>
  </w:style>
  <w:style w:type="paragraph" w:customStyle="1" w:styleId="582">
    <w:name w:val="Basis-Kopfzeile"/>
    <w:basedOn w:val="1"/>
    <w:autoRedefine/>
    <w:qFormat/>
    <w:uiPriority w:val="0"/>
    <w:pPr>
      <w:keepLines/>
      <w:widowControl/>
      <w:tabs>
        <w:tab w:val="center" w:pos="4320"/>
        <w:tab w:val="right" w:pos="8640"/>
      </w:tabs>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583">
    <w:name w:val="CM140"/>
    <w:basedOn w:val="70"/>
    <w:next w:val="70"/>
    <w:autoRedefine/>
    <w:qFormat/>
    <w:uiPriority w:val="0"/>
    <w:pPr>
      <w:spacing w:after="115"/>
    </w:pPr>
    <w:rPr>
      <w:rFonts w:ascii="宋体" w:eastAsia="宋体" w:cs="宋体"/>
      <w:color w:val="auto"/>
    </w:rPr>
  </w:style>
  <w:style w:type="paragraph" w:customStyle="1" w:styleId="584">
    <w:name w:val="Char Char Char1 Char Char Char Char"/>
    <w:basedOn w:val="1"/>
    <w:autoRedefine/>
    <w:qFormat/>
    <w:uiPriority w:val="0"/>
    <w:pPr>
      <w:widowControl/>
      <w:spacing w:after="160" w:line="240" w:lineRule="exact"/>
      <w:jc w:val="left"/>
    </w:pPr>
    <w:rPr>
      <w:rFonts w:ascii="宋体" w:hAnsi="宋体"/>
      <w:b/>
      <w:kern w:val="0"/>
      <w:sz w:val="28"/>
      <w:szCs w:val="28"/>
    </w:rPr>
  </w:style>
  <w:style w:type="paragraph" w:customStyle="1" w:styleId="585">
    <w:name w:val="1.正文"/>
    <w:autoRedefine/>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4"/>
      <w:lang w:val="en-US" w:eastAsia="zh-CN" w:bidi="ar-SA"/>
    </w:rPr>
  </w:style>
  <w:style w:type="paragraph" w:customStyle="1" w:styleId="586">
    <w:name w:val="WW-Nachrichtenkopf"/>
    <w:basedOn w:val="22"/>
    <w:autoRedefine/>
    <w:qFormat/>
    <w:uiPriority w:val="0"/>
    <w:pPr>
      <w:keepLines/>
      <w:tabs>
        <w:tab w:val="left" w:pos="3600"/>
        <w:tab w:val="left" w:pos="4680"/>
      </w:tabs>
      <w:suppressAutoHyphens/>
      <w:overflowPunct w:val="0"/>
      <w:autoSpaceDE w:val="0"/>
      <w:autoSpaceDN w:val="0"/>
      <w:adjustRightInd w:val="0"/>
      <w:spacing w:after="240" w:line="340" w:lineRule="atLeast"/>
      <w:ind w:left="1080" w:right="2880" w:hanging="1080"/>
      <w:textAlignment w:val="baseline"/>
    </w:pPr>
    <w:rPr>
      <w:rFonts w:ascii="Wund" w:hAnsi="Wund"/>
      <w:kern w:val="0"/>
      <w:sz w:val="22"/>
      <w:szCs w:val="22"/>
      <w:lang w:val="de-DE" w:eastAsia="de-DE"/>
    </w:rPr>
  </w:style>
  <w:style w:type="paragraph" w:customStyle="1" w:styleId="587">
    <w:name w:val="正文文本1"/>
    <w:basedOn w:val="1"/>
    <w:autoRedefine/>
    <w:qFormat/>
    <w:uiPriority w:val="0"/>
    <w:pPr>
      <w:suppressAutoHyphens/>
      <w:overflowPunct w:val="0"/>
      <w:autoSpaceDE w:val="0"/>
      <w:autoSpaceDN w:val="0"/>
      <w:adjustRightInd w:val="0"/>
      <w:spacing w:after="160" w:line="56" w:lineRule="atLeast"/>
      <w:textAlignment w:val="baseline"/>
    </w:pPr>
    <w:rPr>
      <w:rFonts w:ascii="Arial Narrow" w:hAnsi="Arial Narrow" w:cs="Arial Narrow"/>
      <w:kern w:val="0"/>
      <w:sz w:val="24"/>
      <w:szCs w:val="24"/>
      <w:lang w:val="de-DE" w:eastAsia="de-DE"/>
    </w:rPr>
  </w:style>
  <w:style w:type="paragraph" w:customStyle="1" w:styleId="588">
    <w:name w:val="CM105"/>
    <w:basedOn w:val="70"/>
    <w:next w:val="70"/>
    <w:autoRedefine/>
    <w:qFormat/>
    <w:uiPriority w:val="0"/>
    <w:pPr>
      <w:spacing w:after="1040"/>
    </w:pPr>
    <w:rPr>
      <w:rFonts w:ascii="宋体" w:eastAsia="宋体" w:cs="宋体"/>
      <w:color w:val="auto"/>
    </w:rPr>
  </w:style>
  <w:style w:type="paragraph" w:customStyle="1" w:styleId="589">
    <w:name w:val="SS正文首行缩进 +"/>
    <w:basedOn w:val="53"/>
    <w:autoRedefine/>
    <w:qFormat/>
    <w:uiPriority w:val="0"/>
    <w:pPr>
      <w:spacing w:beforeLines="50" w:after="0" w:line="360" w:lineRule="auto"/>
      <w:ind w:firstLine="480" w:firstLineChars="200"/>
    </w:pPr>
    <w:rPr>
      <w:rFonts w:eastAsia="Times New Roman"/>
      <w:color w:val="000000"/>
      <w:sz w:val="24"/>
      <w:szCs w:val="24"/>
    </w:rPr>
  </w:style>
  <w:style w:type="paragraph" w:customStyle="1" w:styleId="590">
    <w:name w:val="正文缩进1"/>
    <w:autoRedefine/>
    <w:qFormat/>
    <w:uiPriority w:val="0"/>
    <w:pPr>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s>
      <w:spacing w:line="440" w:lineRule="exact"/>
      <w:ind w:firstLine="200"/>
      <w:jc w:val="center"/>
    </w:pPr>
    <w:rPr>
      <w:rFonts w:ascii="Lucida Grande" w:hAnsi="Lucida Grande" w:eastAsia="宋体" w:cs="Times New Roman"/>
      <w:b/>
      <w:color w:val="000000"/>
      <w:spacing w:val="14"/>
      <w:kern w:val="24"/>
      <w:sz w:val="21"/>
      <w:lang w:val="en-US" w:eastAsia="zh-CN" w:bidi="ar-SA"/>
    </w:rPr>
  </w:style>
  <w:style w:type="paragraph" w:customStyle="1" w:styleId="591">
    <w:name w:val="Betreff"/>
    <w:basedOn w:val="22"/>
    <w:next w:val="22"/>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i/>
      <w:iCs/>
      <w:kern w:val="0"/>
      <w:sz w:val="22"/>
      <w:szCs w:val="22"/>
      <w:u w:val="single"/>
      <w:lang w:val="de-DE" w:eastAsia="de-DE"/>
    </w:rPr>
  </w:style>
  <w:style w:type="paragraph" w:customStyle="1" w:styleId="592">
    <w:name w:val="Char161"/>
    <w:basedOn w:val="1"/>
    <w:autoRedefine/>
    <w:qFormat/>
    <w:uiPriority w:val="0"/>
    <w:rPr>
      <w:rFonts w:ascii="Times New Roman" w:hAnsi="Times New Roman"/>
      <w:szCs w:val="20"/>
    </w:rPr>
  </w:style>
  <w:style w:type="paragraph" w:customStyle="1" w:styleId="593">
    <w:name w:val="CM172"/>
    <w:basedOn w:val="70"/>
    <w:next w:val="70"/>
    <w:autoRedefine/>
    <w:qFormat/>
    <w:uiPriority w:val="0"/>
    <w:pPr>
      <w:spacing w:after="108"/>
    </w:pPr>
    <w:rPr>
      <w:rFonts w:ascii="宋体" w:eastAsia="宋体" w:cs="宋体"/>
      <w:color w:val="auto"/>
    </w:rPr>
  </w:style>
  <w:style w:type="paragraph" w:customStyle="1" w:styleId="594">
    <w:name w:val="Char Char Char1"/>
    <w:basedOn w:val="1"/>
    <w:autoRedefine/>
    <w:qFormat/>
    <w:uiPriority w:val="0"/>
    <w:rPr>
      <w:rFonts w:ascii="Times New Roman" w:hAnsi="Times New Roman"/>
      <w:szCs w:val="20"/>
    </w:rPr>
  </w:style>
  <w:style w:type="paragraph" w:customStyle="1" w:styleId="595">
    <w:name w:val="CM42"/>
    <w:basedOn w:val="70"/>
    <w:next w:val="70"/>
    <w:autoRedefine/>
    <w:qFormat/>
    <w:uiPriority w:val="0"/>
    <w:pPr>
      <w:spacing w:after="120"/>
    </w:pPr>
    <w:rPr>
      <w:rFonts w:ascii="Century Gothic" w:hAnsi="Century Gothic" w:eastAsia="宋体" w:cs="Century Gothic"/>
      <w:color w:val="auto"/>
    </w:rPr>
  </w:style>
  <w:style w:type="paragraph" w:customStyle="1" w:styleId="596">
    <w:name w:val="Aufzählung 1 Ende"/>
    <w:basedOn w:val="16"/>
    <w:autoRedefine/>
    <w:qFormat/>
    <w:uiPriority w:val="0"/>
    <w:pPr>
      <w:tabs>
        <w:tab w:val="left" w:pos="720"/>
      </w:tabs>
      <w:suppressAutoHyphens/>
      <w:overflowPunct w:val="0"/>
      <w:autoSpaceDE w:val="0"/>
      <w:autoSpaceDN w:val="0"/>
      <w:spacing w:after="24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597">
    <w:name w:val="Numerierung 1 Ende"/>
    <w:basedOn w:val="16"/>
    <w:autoRedefine/>
    <w:qFormat/>
    <w:uiPriority w:val="0"/>
    <w:pPr>
      <w:tabs>
        <w:tab w:val="left" w:pos="720"/>
      </w:tabs>
      <w:suppressAutoHyphens/>
      <w:overflowPunct w:val="0"/>
      <w:autoSpaceDE w:val="0"/>
      <w:autoSpaceDN w:val="0"/>
      <w:spacing w:after="24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598">
    <w:name w:val="WW-Listennummer 5"/>
    <w:basedOn w:val="432"/>
    <w:autoRedefine/>
    <w:qFormat/>
    <w:uiPriority w:val="0"/>
    <w:pPr>
      <w:ind w:left="2160"/>
    </w:pPr>
  </w:style>
  <w:style w:type="paragraph" w:customStyle="1" w:styleId="599">
    <w:name w:val="CM54"/>
    <w:basedOn w:val="70"/>
    <w:next w:val="70"/>
    <w:autoRedefine/>
    <w:qFormat/>
    <w:uiPriority w:val="0"/>
    <w:pPr>
      <w:spacing w:line="398" w:lineRule="atLeast"/>
    </w:pPr>
    <w:rPr>
      <w:rFonts w:ascii="宋体" w:eastAsia="宋体" w:cs="宋体"/>
      <w:color w:val="auto"/>
    </w:rPr>
  </w:style>
  <w:style w:type="paragraph" w:customStyle="1" w:styleId="600">
    <w:name w:val="Abschnittsbezeichnung"/>
    <w:basedOn w:val="467"/>
    <w:next w:val="22"/>
    <w:autoRedefine/>
    <w:qFormat/>
    <w:uiPriority w:val="0"/>
    <w:pPr>
      <w:spacing w:after="360"/>
      <w:jc w:val="center"/>
    </w:pPr>
  </w:style>
  <w:style w:type="paragraph" w:customStyle="1" w:styleId="601">
    <w:name w:val="Rahmeninhalt"/>
    <w:basedOn w:val="22"/>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kern w:val="0"/>
      <w:sz w:val="22"/>
      <w:szCs w:val="22"/>
      <w:lang w:val="de-DE" w:eastAsia="de-DE"/>
    </w:rPr>
  </w:style>
  <w:style w:type="paragraph" w:customStyle="1" w:styleId="602">
    <w:name w:val="Char Char Char Char Char Char1"/>
    <w:basedOn w:val="1"/>
    <w:qFormat/>
    <w:uiPriority w:val="0"/>
    <w:rPr>
      <w:rFonts w:ascii="Tahoma" w:hAnsi="Tahoma"/>
      <w:sz w:val="24"/>
      <w:szCs w:val="20"/>
    </w:rPr>
  </w:style>
  <w:style w:type="paragraph" w:customStyle="1" w:styleId="603">
    <w:name w:val="WW-Liste 2"/>
    <w:basedOn w:val="16"/>
    <w:autoRedefine/>
    <w:qFormat/>
    <w:uiPriority w:val="0"/>
    <w:pPr>
      <w:tabs>
        <w:tab w:val="left" w:pos="1080"/>
      </w:tabs>
      <w:suppressAutoHyphens/>
      <w:overflowPunct w:val="0"/>
      <w:autoSpaceDE w:val="0"/>
      <w:autoSpaceDN w:val="0"/>
      <w:spacing w:after="80" w:line="340" w:lineRule="atLeast"/>
      <w:ind w:left="1080" w:hanging="360"/>
      <w:jc w:val="both"/>
      <w:textAlignment w:val="baseline"/>
    </w:pPr>
    <w:rPr>
      <w:rFonts w:hint="default" w:ascii="Arial Narrow" w:hAnsi="Arial Narrow" w:cs="Arial Narrow"/>
      <w:sz w:val="22"/>
      <w:szCs w:val="22"/>
      <w:lang w:val="de-DE" w:eastAsia="de-DE"/>
    </w:rPr>
  </w:style>
  <w:style w:type="paragraph" w:customStyle="1" w:styleId="604">
    <w:name w:val="Numerierung 1"/>
    <w:basedOn w:val="16"/>
    <w:autoRedefine/>
    <w:qFormat/>
    <w:uiPriority w:val="0"/>
    <w:pPr>
      <w:tabs>
        <w:tab w:val="left" w:pos="720"/>
      </w:tabs>
      <w:suppressAutoHyphens/>
      <w:overflowPunct w:val="0"/>
      <w:autoSpaceDE w:val="0"/>
      <w:autoSpaceDN w:val="0"/>
      <w:spacing w:after="12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605">
    <w:name w:val="CM16"/>
    <w:basedOn w:val="70"/>
    <w:next w:val="70"/>
    <w:autoRedefine/>
    <w:qFormat/>
    <w:uiPriority w:val="0"/>
    <w:pPr>
      <w:spacing w:line="276" w:lineRule="atLeast"/>
    </w:pPr>
    <w:rPr>
      <w:rFonts w:ascii="Century Gothic" w:hAnsi="Century Gothic" w:eastAsia="宋体" w:cs="Century Gothic"/>
      <w:color w:val="auto"/>
    </w:rPr>
  </w:style>
  <w:style w:type="paragraph" w:customStyle="1" w:styleId="606">
    <w:name w:val="Numerierung 1 Fortsetzung"/>
    <w:basedOn w:val="16"/>
    <w:autoRedefine/>
    <w:qFormat/>
    <w:uiPriority w:val="0"/>
    <w:pPr>
      <w:tabs>
        <w:tab w:val="left" w:pos="720"/>
      </w:tabs>
      <w:suppressAutoHyphens/>
      <w:overflowPunct w:val="0"/>
      <w:autoSpaceDE w:val="0"/>
      <w:autoSpaceDN w:val="0"/>
      <w:spacing w:after="120" w:line="340" w:lineRule="atLeast"/>
      <w:ind w:left="283" w:firstLine="0"/>
      <w:jc w:val="both"/>
      <w:textAlignment w:val="baseline"/>
    </w:pPr>
    <w:rPr>
      <w:rFonts w:hint="default" w:ascii="Arial Narrow" w:hAnsi="Arial Narrow" w:cs="Arial Narrow"/>
      <w:sz w:val="22"/>
      <w:szCs w:val="22"/>
      <w:lang w:val="de-DE" w:eastAsia="de-DE"/>
    </w:rPr>
  </w:style>
  <w:style w:type="paragraph" w:customStyle="1" w:styleId="607">
    <w:name w:val="CM38"/>
    <w:basedOn w:val="70"/>
    <w:next w:val="70"/>
    <w:autoRedefine/>
    <w:qFormat/>
    <w:uiPriority w:val="0"/>
    <w:pPr>
      <w:spacing w:after="525"/>
    </w:pPr>
    <w:rPr>
      <w:rFonts w:ascii="Century Gothic" w:hAnsi="Century Gothic" w:eastAsia="宋体" w:cs="Century Gothic"/>
      <w:color w:val="auto"/>
    </w:rPr>
  </w:style>
  <w:style w:type="paragraph" w:customStyle="1" w:styleId="608">
    <w:name w:val="CM9"/>
    <w:basedOn w:val="70"/>
    <w:next w:val="70"/>
    <w:autoRedefine/>
    <w:qFormat/>
    <w:uiPriority w:val="0"/>
    <w:pPr>
      <w:spacing w:line="323" w:lineRule="atLeast"/>
    </w:pPr>
    <w:rPr>
      <w:rFonts w:ascii="Century Gothic" w:hAnsi="Century Gothic" w:eastAsia="宋体" w:cs="Century Gothic"/>
      <w:color w:val="auto"/>
    </w:rPr>
  </w:style>
  <w:style w:type="paragraph" w:customStyle="1" w:styleId="609">
    <w:name w:val="WW-Listennummer 2"/>
    <w:basedOn w:val="432"/>
    <w:autoRedefine/>
    <w:qFormat/>
    <w:uiPriority w:val="0"/>
    <w:pPr>
      <w:ind w:left="1080"/>
    </w:pPr>
  </w:style>
  <w:style w:type="paragraph" w:customStyle="1" w:styleId="610">
    <w:name w:val="修订4"/>
    <w:autoRedefine/>
    <w:hidden/>
    <w:unhideWhenUsed/>
    <w:qFormat/>
    <w:uiPriority w:val="99"/>
    <w:rPr>
      <w:rFonts w:ascii="Times New Roman" w:hAnsi="Times New Roman" w:eastAsia="宋体" w:cs="Times New Roman"/>
      <w:kern w:val="2"/>
      <w:sz w:val="21"/>
      <w:szCs w:val="22"/>
      <w:lang w:val="en-US" w:eastAsia="zh-CN" w:bidi="ar-SA"/>
    </w:rPr>
  </w:style>
  <w:style w:type="paragraph" w:customStyle="1" w:styleId="611">
    <w:name w:val="列出段落31"/>
    <w:basedOn w:val="1"/>
    <w:autoRedefine/>
    <w:qFormat/>
    <w:uiPriority w:val="0"/>
    <w:pPr>
      <w:ind w:firstLine="420" w:firstLineChars="200"/>
    </w:pPr>
  </w:style>
  <w:style w:type="character" w:customStyle="1" w:styleId="612">
    <w:name w:val="username"/>
    <w:basedOn w:val="57"/>
    <w:autoRedefine/>
    <w:qFormat/>
    <w:uiPriority w:val="0"/>
  </w:style>
  <w:style w:type="character" w:customStyle="1" w:styleId="613">
    <w:name w:val="title26"/>
    <w:basedOn w:val="57"/>
    <w:autoRedefine/>
    <w:qFormat/>
    <w:uiPriority w:val="0"/>
  </w:style>
  <w:style w:type="character" w:customStyle="1" w:styleId="614">
    <w:name w:val="title24"/>
    <w:basedOn w:val="57"/>
    <w:autoRedefine/>
    <w:qFormat/>
    <w:uiPriority w:val="0"/>
  </w:style>
  <w:style w:type="paragraph" w:customStyle="1" w:styleId="615">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6">
    <w:name w:val="正文 New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617">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A11E-BFB4-4CB4-925C-A96840A87B5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44332</Words>
  <Characters>46969</Characters>
  <Lines>580</Lines>
  <Paragraphs>163</Paragraphs>
  <TotalTime>6</TotalTime>
  <ScaleCrop>false</ScaleCrop>
  <LinksUpToDate>false</LinksUpToDate>
  <CharactersWithSpaces>49388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2024-03-06T02:40:00Z</dcterms:created>
  <dc:creator>管理员</dc:creator>
  <cp:lastModifiedBy>广东</cp:lastModifiedBy>
  <cp:lastPrinted>2023-06-16T00:52:00Z</cp:lastPrinted>
  <dcterms:modified xsi:type="dcterms:W3CDTF">2024-03-25T04:47:58Z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093EAC24AD61412B8AEA5E439E501E4A_13</vt:lpwstr>
  </property>
</Properties>
</file>