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883"/>
        <w:rPr>
          <w:rFonts w:ascii="宋体" w:hAnsi="宋体"/>
          <w:b/>
          <w:color w:val="auto"/>
          <w:sz w:val="44"/>
          <w:szCs w:val="44"/>
          <w:highlight w:val="none"/>
        </w:rPr>
      </w:pPr>
      <w:bookmarkStart w:id="0" w:name="_Toc25072048"/>
    </w:p>
    <w:p>
      <w:pPr>
        <w:ind w:firstLine="964"/>
        <w:jc w:val="center"/>
        <w:rPr>
          <w:rFonts w:ascii="宋体" w:hAnsi="宋体"/>
          <w:b/>
          <w:color w:val="auto"/>
          <w:sz w:val="52"/>
          <w:szCs w:val="52"/>
          <w:highlight w:val="none"/>
        </w:rPr>
      </w:pPr>
      <w:r>
        <w:rPr>
          <w:rFonts w:hint="eastAsia" w:ascii="宋体" w:hAnsi="宋体"/>
          <w:b/>
          <w:color w:val="auto"/>
          <w:sz w:val="48"/>
          <w:szCs w:val="48"/>
          <w:highlight w:val="none"/>
        </w:rPr>
        <w:t>广东省计量科学研究院知识城检测基地项目方案设计、初步设计</w:t>
      </w:r>
    </w:p>
    <w:p>
      <w:pPr>
        <w:pStyle w:val="7"/>
        <w:ind w:left="63" w:right="63" w:firstLine="480"/>
        <w:rPr>
          <w:color w:val="auto"/>
          <w:highlight w:val="none"/>
        </w:rPr>
      </w:pPr>
    </w:p>
    <w:p>
      <w:pPr>
        <w:ind w:firstLine="480"/>
        <w:rPr>
          <w:color w:val="auto"/>
          <w:highlight w:val="none"/>
        </w:rPr>
      </w:pPr>
    </w:p>
    <w:p>
      <w:pPr>
        <w:pStyle w:val="7"/>
        <w:ind w:left="63" w:right="63" w:firstLine="480"/>
        <w:rPr>
          <w:color w:val="auto"/>
          <w:highlight w:val="none"/>
        </w:rPr>
      </w:pPr>
    </w:p>
    <w:p>
      <w:pPr>
        <w:ind w:firstLine="480"/>
        <w:rPr>
          <w:color w:val="auto"/>
          <w:highlight w:val="none"/>
        </w:rPr>
      </w:pPr>
    </w:p>
    <w:p>
      <w:pPr>
        <w:pStyle w:val="7"/>
        <w:ind w:left="63" w:right="63" w:firstLine="480"/>
        <w:rPr>
          <w:color w:val="auto"/>
          <w:highlight w:val="none"/>
        </w:rPr>
      </w:pPr>
    </w:p>
    <w:p>
      <w:pPr>
        <w:ind w:firstLine="1044"/>
        <w:jc w:val="center"/>
        <w:rPr>
          <w:rFonts w:ascii="宋体" w:hAnsi="宋体"/>
          <w:b/>
          <w:color w:val="auto"/>
          <w:sz w:val="52"/>
          <w:szCs w:val="52"/>
          <w:highlight w:val="none"/>
        </w:rPr>
      </w:pPr>
      <w:r>
        <w:rPr>
          <w:rFonts w:hint="eastAsia" w:ascii="宋体" w:hAnsi="宋体"/>
          <w:b/>
          <w:color w:val="auto"/>
          <w:sz w:val="52"/>
          <w:szCs w:val="52"/>
          <w:highlight w:val="none"/>
        </w:rPr>
        <w:t>招标公告</w:t>
      </w:r>
    </w:p>
    <w:p>
      <w:pPr>
        <w:spacing w:line="360" w:lineRule="auto"/>
        <w:ind w:firstLine="723"/>
        <w:jc w:val="center"/>
        <w:rPr>
          <w:rFonts w:ascii="宋体" w:hAnsi="宋体"/>
          <w:b/>
          <w:color w:val="auto"/>
          <w:sz w:val="36"/>
          <w:szCs w:val="36"/>
          <w:highlight w:val="none"/>
        </w:rPr>
      </w:pPr>
    </w:p>
    <w:p>
      <w:pPr>
        <w:pStyle w:val="5"/>
        <w:rPr>
          <w:color w:val="auto"/>
          <w:highlight w:val="none"/>
        </w:rPr>
      </w:pPr>
    </w:p>
    <w:p>
      <w:pPr>
        <w:ind w:firstLine="480"/>
        <w:rPr>
          <w:color w:val="auto"/>
          <w:highlight w:val="none"/>
        </w:rPr>
      </w:pPr>
    </w:p>
    <w:p>
      <w:pPr>
        <w:pStyle w:val="5"/>
        <w:rPr>
          <w:color w:val="auto"/>
          <w:highlight w:val="none"/>
        </w:rPr>
      </w:pPr>
    </w:p>
    <w:p>
      <w:pPr>
        <w:ind w:firstLine="480"/>
        <w:rPr>
          <w:color w:val="auto"/>
          <w:highlight w:val="none"/>
        </w:rPr>
      </w:pPr>
    </w:p>
    <w:p>
      <w:pPr>
        <w:pStyle w:val="5"/>
        <w:rPr>
          <w:color w:val="auto"/>
          <w:highlight w:val="none"/>
        </w:rPr>
      </w:pPr>
    </w:p>
    <w:p>
      <w:pPr>
        <w:ind w:firstLine="480"/>
        <w:rPr>
          <w:color w:val="auto"/>
          <w:highlight w:val="none"/>
        </w:rPr>
      </w:pPr>
    </w:p>
    <w:p>
      <w:pPr>
        <w:pStyle w:val="5"/>
        <w:rPr>
          <w:color w:val="auto"/>
          <w:highlight w:val="none"/>
        </w:rPr>
      </w:pPr>
    </w:p>
    <w:p>
      <w:pPr>
        <w:ind w:firstLine="480"/>
        <w:rPr>
          <w:color w:val="auto"/>
          <w:highlight w:val="none"/>
        </w:rPr>
      </w:pPr>
    </w:p>
    <w:p>
      <w:pPr>
        <w:pStyle w:val="5"/>
        <w:rPr>
          <w:color w:val="auto"/>
          <w:highlight w:val="none"/>
        </w:rPr>
      </w:pPr>
    </w:p>
    <w:p>
      <w:pPr>
        <w:pStyle w:val="5"/>
        <w:rPr>
          <w:color w:val="auto"/>
          <w:highlight w:val="none"/>
        </w:rPr>
      </w:pPr>
    </w:p>
    <w:p>
      <w:pPr>
        <w:ind w:firstLine="480"/>
        <w:rPr>
          <w:color w:val="auto"/>
          <w:highlight w:val="none"/>
        </w:rPr>
      </w:pPr>
    </w:p>
    <w:p>
      <w:pPr>
        <w:pStyle w:val="5"/>
        <w:rPr>
          <w:color w:val="auto"/>
          <w:highlight w:val="none"/>
        </w:rPr>
      </w:pPr>
    </w:p>
    <w:p>
      <w:pPr>
        <w:spacing w:line="360" w:lineRule="auto"/>
        <w:ind w:firstLine="964" w:firstLineChars="300"/>
        <w:rPr>
          <w:rFonts w:ascii="宋体" w:hAnsi="宋体"/>
          <w:b/>
          <w:color w:val="auto"/>
          <w:sz w:val="32"/>
          <w:szCs w:val="32"/>
          <w:highlight w:val="none"/>
        </w:rPr>
      </w:pPr>
      <w:r>
        <w:rPr>
          <w:rFonts w:hint="eastAsia" w:ascii="宋体" w:hAnsi="宋体"/>
          <w:b/>
          <w:color w:val="auto"/>
          <w:sz w:val="32"/>
          <w:szCs w:val="32"/>
          <w:highlight w:val="none"/>
        </w:rPr>
        <w:t>招   标   人：广东省代建项目管理局</w:t>
      </w:r>
    </w:p>
    <w:p>
      <w:pPr>
        <w:spacing w:line="360" w:lineRule="auto"/>
        <w:ind w:firstLine="964" w:firstLineChars="300"/>
        <w:rPr>
          <w:rFonts w:ascii="宋体" w:hAnsi="宋体"/>
          <w:b/>
          <w:color w:val="auto"/>
          <w:sz w:val="32"/>
          <w:szCs w:val="32"/>
          <w:highlight w:val="none"/>
        </w:rPr>
      </w:pPr>
      <w:r>
        <w:rPr>
          <w:rFonts w:hint="eastAsia" w:ascii="宋体" w:hAnsi="宋体"/>
          <w:b/>
          <w:color w:val="auto"/>
          <w:sz w:val="32"/>
          <w:szCs w:val="32"/>
          <w:highlight w:val="none"/>
        </w:rPr>
        <w:t>招标代理机构：广州市市政工程监理有限公司</w:t>
      </w:r>
    </w:p>
    <w:p>
      <w:pPr>
        <w:tabs>
          <w:tab w:val="left" w:pos="561"/>
        </w:tabs>
        <w:spacing w:line="360" w:lineRule="auto"/>
        <w:ind w:firstLine="964" w:firstLineChars="300"/>
        <w:rPr>
          <w:rFonts w:ascii="宋体" w:hAnsi="宋体"/>
          <w:b/>
          <w:color w:val="auto"/>
          <w:sz w:val="32"/>
          <w:szCs w:val="32"/>
          <w:highlight w:val="none"/>
        </w:rPr>
      </w:pPr>
      <w:r>
        <w:rPr>
          <w:rFonts w:hint="eastAsia" w:ascii="宋体" w:hAnsi="宋体"/>
          <w:b/>
          <w:color w:val="auto"/>
          <w:sz w:val="32"/>
          <w:szCs w:val="32"/>
          <w:highlight w:val="none"/>
        </w:rPr>
        <w:t>日        期：2024年3月</w:t>
      </w:r>
    </w:p>
    <w:p>
      <w:pPr>
        <w:pStyle w:val="5"/>
        <w:rPr>
          <w:color w:val="auto"/>
          <w:highlight w:val="none"/>
        </w:rPr>
      </w:pPr>
    </w:p>
    <w:p>
      <w:pPr>
        <w:spacing w:line="360" w:lineRule="auto"/>
        <w:ind w:firstLine="723"/>
        <w:jc w:val="center"/>
        <w:rPr>
          <w:rFonts w:ascii="宋体" w:hAnsi="宋体"/>
          <w:b/>
          <w:color w:val="auto"/>
          <w:sz w:val="36"/>
          <w:szCs w:val="36"/>
          <w:highlight w:val="none"/>
        </w:rPr>
      </w:pPr>
      <w:r>
        <w:rPr>
          <w:rFonts w:ascii="宋体" w:hAnsi="宋体"/>
          <w:b/>
          <w:color w:val="auto"/>
          <w:sz w:val="36"/>
          <w:szCs w:val="36"/>
          <w:highlight w:val="none"/>
        </w:rPr>
        <w:br w:type="page"/>
      </w:r>
      <w:r>
        <w:rPr>
          <w:rFonts w:hint="eastAsia" w:ascii="宋体" w:hAnsi="宋体"/>
          <w:b/>
          <w:color w:val="auto"/>
          <w:sz w:val="36"/>
          <w:szCs w:val="36"/>
          <w:highlight w:val="none"/>
        </w:rPr>
        <w:t>广东省计量科学研究院知识城检测基地项目方案设计、初步设计招标公告</w:t>
      </w:r>
    </w:p>
    <w:p>
      <w:pPr>
        <w:pStyle w:val="4"/>
        <w:spacing w:line="360" w:lineRule="auto"/>
        <w:ind w:firstLine="647"/>
        <w:rPr>
          <w:rFonts w:ascii="宋体" w:hAnsi="宋体"/>
          <w:b/>
          <w:color w:val="auto"/>
          <w:sz w:val="32"/>
          <w:highlight w:val="none"/>
        </w:rPr>
      </w:pPr>
      <w:r>
        <w:rPr>
          <w:rFonts w:hint="eastAsia" w:ascii="宋体" w:hAnsi="宋体"/>
          <w:b/>
          <w:color w:val="auto"/>
          <w:spacing w:val="1"/>
          <w:sz w:val="32"/>
          <w:highlight w:val="none"/>
        </w:rPr>
        <w:t>1</w:t>
      </w:r>
      <w:r>
        <w:rPr>
          <w:rFonts w:hint="eastAsia" w:ascii="宋体" w:hAnsi="宋体"/>
          <w:b/>
          <w:color w:val="auto"/>
          <w:sz w:val="32"/>
          <w:highlight w:val="none"/>
        </w:rPr>
        <w:t>.招标条件</w:t>
      </w:r>
      <w:bookmarkEnd w:id="0"/>
    </w:p>
    <w:p>
      <w:pPr>
        <w:spacing w:line="360" w:lineRule="auto"/>
        <w:ind w:firstLine="480" w:firstLineChars="200"/>
        <w:rPr>
          <w:rFonts w:ascii="宋体" w:hAnsi="宋体"/>
          <w:color w:val="auto"/>
          <w:sz w:val="24"/>
          <w:highlight w:val="none"/>
        </w:rPr>
      </w:pPr>
      <w:r>
        <w:rPr>
          <w:rFonts w:hint="eastAsia" w:ascii="宋体" w:hAnsi="宋体" w:cs="宋体"/>
          <w:color w:val="auto"/>
          <w:sz w:val="24"/>
          <w:highlight w:val="none"/>
          <w:u w:val="single"/>
        </w:rPr>
        <w:t>广东省计量科学研究院知识城检测基地项目方案设计、初步设计</w:t>
      </w:r>
      <w:r>
        <w:rPr>
          <w:rFonts w:hint="eastAsia" w:ascii="宋体" w:hAnsi="宋体" w:cs="宋体"/>
          <w:color w:val="auto"/>
          <w:sz w:val="24"/>
          <w:highlight w:val="none"/>
        </w:rPr>
        <w:t>已由</w:t>
      </w:r>
      <w:r>
        <w:rPr>
          <w:rFonts w:hint="eastAsia" w:ascii="宋体" w:hAnsi="宋体" w:cs="宋体"/>
          <w:color w:val="auto"/>
          <w:sz w:val="24"/>
          <w:highlight w:val="none"/>
          <w:u w:val="single"/>
        </w:rPr>
        <w:t>粤发改投审〔2023〕24号（项目代码：2204-440116-34-01-747538）</w:t>
      </w:r>
      <w:r>
        <w:rPr>
          <w:rFonts w:hint="eastAsia" w:ascii="宋体" w:hAnsi="宋体" w:cs="宋体"/>
          <w:color w:val="auto"/>
          <w:sz w:val="24"/>
          <w:highlight w:val="none"/>
        </w:rPr>
        <w:t>批准建设，</w:t>
      </w:r>
      <w:r>
        <w:rPr>
          <w:rFonts w:hint="eastAsia" w:ascii="宋体" w:hAnsi="宋体"/>
          <w:color w:val="auto"/>
          <w:sz w:val="24"/>
          <w:highlight w:val="none"/>
        </w:rPr>
        <w:t>项目业主为</w:t>
      </w:r>
      <w:r>
        <w:rPr>
          <w:rFonts w:hint="eastAsia" w:ascii="宋体" w:hAnsi="宋体"/>
          <w:color w:val="auto"/>
          <w:sz w:val="24"/>
          <w:highlight w:val="none"/>
          <w:u w:val="single"/>
        </w:rPr>
        <w:t>广东省计量科学研究院，</w:t>
      </w:r>
      <w:r>
        <w:rPr>
          <w:rFonts w:hint="eastAsia" w:ascii="宋体" w:hAnsi="宋体" w:cs="宋体"/>
          <w:color w:val="auto"/>
          <w:sz w:val="24"/>
          <w:highlight w:val="none"/>
        </w:rPr>
        <w:t>建设资金来自</w:t>
      </w:r>
      <w:r>
        <w:rPr>
          <w:rFonts w:hint="eastAsia" w:ascii="宋体" w:hAnsi="宋体" w:cs="宋体"/>
          <w:color w:val="auto"/>
          <w:sz w:val="24"/>
          <w:highlight w:val="none"/>
          <w:u w:val="single"/>
        </w:rPr>
        <w:t>省市场监管局自筹解决</w:t>
      </w:r>
      <w:r>
        <w:rPr>
          <w:rFonts w:hint="eastAsia" w:ascii="宋体" w:hAnsi="宋体" w:cs="宋体"/>
          <w:color w:val="auto"/>
          <w:sz w:val="24"/>
          <w:highlight w:val="none"/>
        </w:rPr>
        <w:t>，出资比例为</w:t>
      </w:r>
      <w:r>
        <w:rPr>
          <w:rFonts w:hint="eastAsia" w:ascii="宋体" w:hAnsi="宋体" w:cs="宋体"/>
          <w:color w:val="auto"/>
          <w:sz w:val="24"/>
          <w:highlight w:val="none"/>
          <w:u w:val="single"/>
        </w:rPr>
        <w:t>100%</w:t>
      </w:r>
      <w:r>
        <w:rPr>
          <w:rFonts w:hint="eastAsia" w:ascii="宋体" w:hAnsi="宋体" w:cs="宋体"/>
          <w:color w:val="auto"/>
          <w:sz w:val="24"/>
          <w:highlight w:val="none"/>
        </w:rPr>
        <w:t>，招标人为</w:t>
      </w:r>
      <w:r>
        <w:rPr>
          <w:rFonts w:hint="eastAsia" w:ascii="宋体" w:hAnsi="宋体" w:cs="宋体"/>
          <w:color w:val="auto"/>
          <w:sz w:val="24"/>
          <w:highlight w:val="none"/>
          <w:u w:val="single"/>
        </w:rPr>
        <w:t>广东省代建项目管理局</w:t>
      </w:r>
      <w:r>
        <w:rPr>
          <w:rFonts w:hint="eastAsia" w:ascii="宋体" w:hAnsi="宋体" w:cs="宋体"/>
          <w:color w:val="auto"/>
          <w:sz w:val="24"/>
          <w:highlight w:val="none"/>
        </w:rPr>
        <w:t>。项目已具备招标条件，现对该项目的</w:t>
      </w:r>
      <w:r>
        <w:rPr>
          <w:rFonts w:hint="eastAsia" w:ascii="宋体" w:hAnsi="宋体" w:cs="宋体"/>
          <w:color w:val="auto"/>
          <w:sz w:val="24"/>
          <w:highlight w:val="none"/>
          <w:u w:val="single"/>
        </w:rPr>
        <w:t xml:space="preserve"> 方案设计、初步设计 </w:t>
      </w:r>
      <w:r>
        <w:rPr>
          <w:rFonts w:hint="eastAsia" w:ascii="宋体" w:hAnsi="宋体" w:cs="宋体"/>
          <w:color w:val="auto"/>
          <w:sz w:val="24"/>
          <w:highlight w:val="none"/>
        </w:rPr>
        <w:t>进行公开招标</w:t>
      </w:r>
      <w:r>
        <w:rPr>
          <w:rFonts w:hint="eastAsia" w:ascii="宋体" w:hAnsi="宋体"/>
          <w:color w:val="auto"/>
          <w:sz w:val="24"/>
          <w:highlight w:val="none"/>
        </w:rPr>
        <w:t>。</w:t>
      </w:r>
    </w:p>
    <w:p>
      <w:pPr>
        <w:pStyle w:val="4"/>
        <w:spacing w:line="360" w:lineRule="auto"/>
        <w:ind w:firstLine="647"/>
        <w:rPr>
          <w:rFonts w:ascii="宋体" w:hAnsi="宋体"/>
          <w:b/>
          <w:color w:val="auto"/>
          <w:spacing w:val="1"/>
          <w:sz w:val="32"/>
          <w:highlight w:val="none"/>
        </w:rPr>
      </w:pPr>
      <w:bookmarkStart w:id="1" w:name="_Toc25072049"/>
      <w:r>
        <w:rPr>
          <w:rFonts w:hint="eastAsia" w:ascii="宋体" w:hAnsi="宋体"/>
          <w:b/>
          <w:color w:val="auto"/>
          <w:spacing w:val="1"/>
          <w:sz w:val="32"/>
          <w:highlight w:val="none"/>
        </w:rPr>
        <w:t>2.项目概况与招标范围</w:t>
      </w:r>
      <w:bookmarkEnd w:id="1"/>
    </w:p>
    <w:p>
      <w:pPr>
        <w:spacing w:line="360" w:lineRule="auto"/>
        <w:ind w:firstLine="480" w:firstLineChars="200"/>
        <w:jc w:val="left"/>
        <w:rPr>
          <w:rFonts w:ascii="宋体" w:hAnsi="宋体"/>
          <w:color w:val="auto"/>
          <w:sz w:val="24"/>
          <w:highlight w:val="none"/>
        </w:rPr>
      </w:pPr>
      <w:r>
        <w:rPr>
          <w:rFonts w:hint="eastAsia" w:ascii="宋体" w:hAnsi="宋体"/>
          <w:color w:val="auto"/>
          <w:sz w:val="24"/>
          <w:highlight w:val="none"/>
        </w:rPr>
        <w:t>2.1  招标项目概况</w:t>
      </w:r>
    </w:p>
    <w:p>
      <w:pPr>
        <w:spacing w:line="360" w:lineRule="auto"/>
        <w:ind w:firstLine="480" w:firstLineChars="200"/>
        <w:jc w:val="left"/>
        <w:rPr>
          <w:rFonts w:ascii="宋体" w:hAnsi="宋体"/>
          <w:color w:val="auto"/>
          <w:sz w:val="24"/>
          <w:highlight w:val="none"/>
        </w:rPr>
      </w:pPr>
      <w:r>
        <w:rPr>
          <w:rFonts w:hint="eastAsia" w:ascii="宋体" w:hAnsi="宋体"/>
          <w:color w:val="auto"/>
          <w:sz w:val="24"/>
          <w:highlight w:val="none"/>
        </w:rPr>
        <w:t>2.1.1  招标项目名称：</w:t>
      </w:r>
      <w:r>
        <w:rPr>
          <w:rFonts w:hint="eastAsia" w:ascii="宋体" w:hAnsi="宋体" w:cs="宋体"/>
          <w:color w:val="auto"/>
          <w:sz w:val="24"/>
          <w:highlight w:val="none"/>
          <w:u w:val="single"/>
        </w:rPr>
        <w:t>广东省计量科学研究院知识城检测基地项目方案设计、初步设计</w:t>
      </w:r>
      <w:r>
        <w:rPr>
          <w:rFonts w:hint="eastAsia" w:ascii="宋体" w:hAnsi="宋体"/>
          <w:color w:val="auto"/>
          <w:sz w:val="24"/>
          <w:highlight w:val="none"/>
        </w:rPr>
        <w:t>。</w:t>
      </w:r>
    </w:p>
    <w:p>
      <w:pPr>
        <w:spacing w:line="360" w:lineRule="auto"/>
        <w:ind w:firstLine="480" w:firstLineChars="200"/>
        <w:jc w:val="left"/>
        <w:rPr>
          <w:rFonts w:ascii="宋体" w:hAnsi="宋体"/>
          <w:color w:val="auto"/>
          <w:sz w:val="24"/>
          <w:highlight w:val="none"/>
        </w:rPr>
      </w:pPr>
      <w:r>
        <w:rPr>
          <w:rFonts w:hint="eastAsia" w:ascii="宋体" w:hAnsi="宋体"/>
          <w:color w:val="auto"/>
          <w:sz w:val="24"/>
          <w:highlight w:val="none"/>
        </w:rPr>
        <w:t>2.1.2  工程建设地点：</w:t>
      </w:r>
      <w:r>
        <w:rPr>
          <w:rFonts w:hint="eastAsia" w:ascii="宋体" w:hAnsi="宋体"/>
          <w:color w:val="auto"/>
          <w:sz w:val="24"/>
          <w:highlight w:val="none"/>
          <w:u w:val="single"/>
        </w:rPr>
        <w:t>知识城新一代信息技术创新园区内，广河北辅路以北，东方纵横项目东侧。</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2.1.3  工程建设规模：</w:t>
      </w:r>
      <w:r>
        <w:rPr>
          <w:rFonts w:hint="eastAsia" w:ascii="宋体" w:hAnsi="宋体" w:cs="宋体"/>
          <w:color w:val="auto"/>
          <w:sz w:val="24"/>
          <w:szCs w:val="22"/>
          <w:highlight w:val="none"/>
          <w:u w:val="single"/>
        </w:rPr>
        <w:t>项目总建筑面积59165平方米，其中，计量测试实验室42084平方米，附属用房7470平方米（包括仪器收发等其他辅助室5900平方米、食堂642平方米、学术交流室200平方米、门卫室100平方米、档案室628平方米），人防工程及地下停车库建筑面积9611平方米。单体主楼建筑面积45053平方米（计容面积为47742平方米），其中地下室建筑面积15283平方米（地下室实验室计容面积5672平方米），裙楼建筑面积12970平方米（计容面积25940平方米）；单体副楼1建筑面积7056平方米（计容面积为9408平方米）；单体副楼2建筑面积7056平方米（计容面积为9408平方米）。本项目不涉及古树名木迁移。</w:t>
      </w:r>
    </w:p>
    <w:p>
      <w:pPr>
        <w:spacing w:line="360" w:lineRule="auto"/>
        <w:ind w:firstLine="480" w:firstLineChars="200"/>
        <w:jc w:val="left"/>
        <w:rPr>
          <w:rFonts w:ascii="宋体" w:hAnsi="宋体"/>
          <w:color w:val="auto"/>
          <w:sz w:val="24"/>
          <w:highlight w:val="none"/>
        </w:rPr>
      </w:pPr>
      <w:r>
        <w:rPr>
          <w:rFonts w:hint="eastAsia" w:ascii="宋体" w:hAnsi="宋体"/>
          <w:color w:val="auto"/>
          <w:sz w:val="24"/>
          <w:highlight w:val="none"/>
        </w:rPr>
        <w:t>2.1.4  规划用地文件：</w:t>
      </w:r>
      <w:r>
        <w:rPr>
          <w:rFonts w:hint="eastAsia" w:ascii="宋体" w:hAnsi="宋体"/>
          <w:color w:val="auto"/>
          <w:sz w:val="24"/>
          <w:highlight w:val="none"/>
          <w:u w:val="single"/>
        </w:rPr>
        <w:t>粤（2021）广州市不动产权第06019838号</w:t>
      </w:r>
      <w:r>
        <w:rPr>
          <w:rFonts w:hint="eastAsia" w:ascii="宋体" w:hAnsi="宋体"/>
          <w:color w:val="auto"/>
          <w:sz w:val="24"/>
          <w:highlight w:val="none"/>
        </w:rPr>
        <w:t>。</w:t>
      </w:r>
    </w:p>
    <w:p>
      <w:pPr>
        <w:spacing w:line="360" w:lineRule="auto"/>
        <w:ind w:firstLine="480" w:firstLineChars="200"/>
        <w:jc w:val="left"/>
        <w:rPr>
          <w:rFonts w:ascii="宋体" w:hAnsi="宋体"/>
          <w:color w:val="auto"/>
          <w:sz w:val="24"/>
          <w:highlight w:val="none"/>
        </w:rPr>
      </w:pPr>
      <w:r>
        <w:rPr>
          <w:rFonts w:hint="eastAsia" w:ascii="宋体" w:hAnsi="宋体"/>
          <w:color w:val="auto"/>
          <w:sz w:val="24"/>
          <w:highlight w:val="none"/>
        </w:rPr>
        <w:t>2.1.5  项目批准文件：</w:t>
      </w:r>
      <w:r>
        <w:rPr>
          <w:rFonts w:hint="eastAsia" w:ascii="宋体" w:hAnsi="宋体" w:cs="宋体"/>
          <w:color w:val="auto"/>
          <w:sz w:val="24"/>
          <w:highlight w:val="none"/>
          <w:u w:val="single"/>
        </w:rPr>
        <w:t>粤发改投审〔2023〕24号（项目代码：2204-440116-34-01-747538）</w:t>
      </w:r>
      <w:r>
        <w:rPr>
          <w:rFonts w:hint="eastAsia" w:ascii="宋体" w:hAnsi="宋体"/>
          <w:color w:val="auto"/>
          <w:sz w:val="24"/>
          <w:highlight w:val="none"/>
        </w:rPr>
        <w:t>。</w:t>
      </w:r>
    </w:p>
    <w:p>
      <w:pPr>
        <w:spacing w:line="360" w:lineRule="auto"/>
        <w:ind w:firstLine="480" w:firstLineChars="200"/>
        <w:jc w:val="left"/>
        <w:rPr>
          <w:rFonts w:ascii="宋体" w:hAnsi="宋体"/>
          <w:color w:val="auto"/>
          <w:sz w:val="24"/>
          <w:highlight w:val="none"/>
        </w:rPr>
      </w:pPr>
      <w:r>
        <w:rPr>
          <w:rFonts w:hint="eastAsia" w:ascii="宋体" w:hAnsi="宋体"/>
          <w:color w:val="auto"/>
          <w:sz w:val="24"/>
          <w:highlight w:val="none"/>
        </w:rPr>
        <w:t>2.1.6  资金来源：</w:t>
      </w:r>
      <w:r>
        <w:rPr>
          <w:rFonts w:hint="eastAsia" w:ascii="宋体" w:hAnsi="宋体"/>
          <w:color w:val="auto"/>
          <w:sz w:val="24"/>
          <w:highlight w:val="none"/>
          <w:u w:val="single"/>
        </w:rPr>
        <w:t>由省市场监管局自筹解决。</w:t>
      </w:r>
    </w:p>
    <w:p>
      <w:pPr>
        <w:spacing w:line="360" w:lineRule="auto"/>
        <w:ind w:firstLine="480" w:firstLineChars="200"/>
        <w:jc w:val="left"/>
        <w:rPr>
          <w:rFonts w:ascii="宋体" w:hAnsi="宋体"/>
          <w:color w:val="auto"/>
          <w:sz w:val="24"/>
          <w:highlight w:val="none"/>
          <w:u w:val="single"/>
        </w:rPr>
      </w:pPr>
      <w:r>
        <w:rPr>
          <w:rFonts w:hint="eastAsia" w:ascii="宋体" w:hAnsi="宋体"/>
          <w:color w:val="auto"/>
          <w:sz w:val="24"/>
          <w:highlight w:val="none"/>
        </w:rPr>
        <w:t>2.1.7  投资总额：</w:t>
      </w:r>
      <w:r>
        <w:rPr>
          <w:rFonts w:hint="eastAsia" w:ascii="宋体" w:hAnsi="宋体"/>
          <w:color w:val="auto"/>
          <w:sz w:val="24"/>
          <w:highlight w:val="none"/>
          <w:u w:val="single"/>
        </w:rPr>
        <w:t>本项目总投资40843万元，其中工程费用32465万元，工程建设其他费用6433万元，预备费1945万元。</w:t>
      </w:r>
    </w:p>
    <w:p>
      <w:pPr>
        <w:spacing w:line="360" w:lineRule="auto"/>
        <w:ind w:firstLine="480" w:firstLineChars="200"/>
        <w:jc w:val="left"/>
        <w:rPr>
          <w:rFonts w:ascii="宋体" w:hAnsi="宋体"/>
          <w:color w:val="auto"/>
          <w:sz w:val="24"/>
          <w:highlight w:val="none"/>
          <w:u w:val="single"/>
        </w:rPr>
      </w:pPr>
      <w:r>
        <w:rPr>
          <w:rFonts w:hint="eastAsia" w:ascii="宋体" w:hAnsi="宋体"/>
          <w:color w:val="auto"/>
          <w:sz w:val="24"/>
          <w:highlight w:val="none"/>
        </w:rPr>
        <w:t>2.1.8  标段划分：</w:t>
      </w:r>
      <w:r>
        <w:rPr>
          <w:rFonts w:hint="eastAsia" w:ascii="宋体" w:hAnsi="宋体"/>
          <w:color w:val="auto"/>
          <w:sz w:val="24"/>
          <w:highlight w:val="none"/>
          <w:u w:val="single"/>
        </w:rPr>
        <w:t>本项目设1个标段。</w:t>
      </w:r>
    </w:p>
    <w:p>
      <w:pPr>
        <w:spacing w:line="360" w:lineRule="auto"/>
        <w:ind w:firstLine="480" w:firstLineChars="200"/>
        <w:jc w:val="left"/>
        <w:rPr>
          <w:rFonts w:ascii="宋体" w:hAnsi="宋体"/>
          <w:color w:val="auto"/>
          <w:sz w:val="24"/>
          <w:highlight w:val="none"/>
        </w:rPr>
      </w:pPr>
      <w:r>
        <w:rPr>
          <w:rFonts w:hint="eastAsia" w:ascii="宋体" w:hAnsi="宋体"/>
          <w:color w:val="auto"/>
          <w:sz w:val="24"/>
          <w:highlight w:val="none"/>
        </w:rPr>
        <w:t>2.2  招标范围及招标内容：</w:t>
      </w:r>
    </w:p>
    <w:p>
      <w:pPr>
        <w:spacing w:line="360" w:lineRule="auto"/>
        <w:ind w:firstLine="480" w:firstLineChars="200"/>
        <w:jc w:val="left"/>
        <w:rPr>
          <w:rFonts w:ascii="宋体" w:hAnsi="宋体"/>
          <w:color w:val="auto"/>
          <w:sz w:val="24"/>
          <w:highlight w:val="none"/>
          <w:u w:val="single"/>
        </w:rPr>
      </w:pPr>
      <w:r>
        <w:rPr>
          <w:rFonts w:hint="eastAsia" w:ascii="宋体" w:hAnsi="宋体"/>
          <w:color w:val="auto"/>
          <w:sz w:val="24"/>
          <w:highlight w:val="none"/>
        </w:rPr>
        <w:t>2.2.1招标范围及招标内容：</w:t>
      </w:r>
      <w:r>
        <w:rPr>
          <w:rFonts w:hint="eastAsia" w:ascii="宋体" w:hAnsi="宋体"/>
          <w:color w:val="auto"/>
          <w:sz w:val="24"/>
          <w:highlight w:val="none"/>
          <w:u w:val="single"/>
        </w:rPr>
        <w:t>根据基础资料等要求，完成项目建设范围所涉及建设内容的方案设计及初步设计工作。</w:t>
      </w:r>
    </w:p>
    <w:p>
      <w:pPr>
        <w:pStyle w:val="10"/>
        <w:ind w:firstLine="480" w:firstLineChars="200"/>
        <w:rPr>
          <w:rFonts w:hAnsi="宋体"/>
          <w:color w:val="auto"/>
          <w:sz w:val="24"/>
          <w:szCs w:val="24"/>
          <w:highlight w:val="none"/>
          <w:u w:val="single"/>
        </w:rPr>
      </w:pPr>
      <w:r>
        <w:rPr>
          <w:rFonts w:hint="eastAsia" w:hAnsi="宋体"/>
          <w:color w:val="auto"/>
          <w:sz w:val="24"/>
          <w:szCs w:val="24"/>
          <w:highlight w:val="none"/>
          <w:u w:val="single"/>
        </w:rPr>
        <w:t>2.2.</w:t>
      </w:r>
      <w:r>
        <w:rPr>
          <w:rFonts w:hAnsi="宋体"/>
          <w:color w:val="auto"/>
          <w:sz w:val="24"/>
          <w:szCs w:val="24"/>
          <w:highlight w:val="none"/>
          <w:u w:val="single"/>
        </w:rPr>
        <w:t>2</w:t>
      </w:r>
      <w:r>
        <w:rPr>
          <w:rFonts w:hint="eastAsia" w:hAnsi="宋体"/>
          <w:color w:val="auto"/>
          <w:sz w:val="24"/>
          <w:szCs w:val="24"/>
          <w:highlight w:val="none"/>
          <w:u w:val="single"/>
        </w:rPr>
        <w:t>设计（方案设计及初步设计）工作范围</w:t>
      </w:r>
    </w:p>
    <w:p>
      <w:pPr>
        <w:spacing w:line="360" w:lineRule="auto"/>
        <w:ind w:firstLine="470" w:firstLineChars="196"/>
        <w:rPr>
          <w:rFonts w:ascii="宋体" w:hAnsi="宋体" w:cs="宋体"/>
          <w:color w:val="auto"/>
          <w:sz w:val="24"/>
          <w:highlight w:val="none"/>
          <w:u w:val="single"/>
        </w:rPr>
      </w:pPr>
      <w:r>
        <w:rPr>
          <w:rFonts w:hint="eastAsia" w:ascii="宋体" w:hAnsi="宋体" w:cs="宋体"/>
          <w:color w:val="auto"/>
          <w:sz w:val="24"/>
          <w:highlight w:val="none"/>
          <w:u w:val="single"/>
        </w:rPr>
        <w:t>（1）方案设计阶段：</w:t>
      </w:r>
    </w:p>
    <w:p>
      <w:pPr>
        <w:spacing w:line="360" w:lineRule="auto"/>
        <w:ind w:firstLine="470" w:firstLineChars="196"/>
        <w:rPr>
          <w:rFonts w:ascii="宋体" w:hAnsi="宋体" w:cs="宋体"/>
          <w:color w:val="auto"/>
          <w:sz w:val="24"/>
          <w:highlight w:val="none"/>
          <w:u w:val="single"/>
        </w:rPr>
      </w:pPr>
      <w:r>
        <w:rPr>
          <w:rFonts w:hint="eastAsia" w:ascii="宋体" w:hAnsi="宋体" w:cs="宋体"/>
          <w:color w:val="auto"/>
          <w:sz w:val="24"/>
          <w:highlight w:val="none"/>
          <w:u w:val="single"/>
        </w:rPr>
        <w:t xml:space="preserve">① </w:t>
      </w:r>
      <w:r>
        <w:rPr>
          <w:rFonts w:hint="eastAsia" w:ascii="宋体" w:hAnsi="宋体"/>
          <w:color w:val="auto"/>
          <w:sz w:val="24"/>
          <w:highlight w:val="none"/>
          <w:u w:val="single"/>
        </w:rPr>
        <w:t>对中标方案进行调整和优化，提供完整的设计方案及效果图，直至取得甲方确认。</w:t>
      </w:r>
    </w:p>
    <w:p>
      <w:pPr>
        <w:spacing w:line="360" w:lineRule="auto"/>
        <w:ind w:firstLine="470" w:firstLineChars="196"/>
        <w:rPr>
          <w:rFonts w:ascii="宋体" w:hAnsi="宋体" w:cs="宋体"/>
          <w:color w:val="auto"/>
          <w:sz w:val="24"/>
          <w:highlight w:val="none"/>
          <w:u w:val="single"/>
        </w:rPr>
      </w:pPr>
      <w:r>
        <w:rPr>
          <w:rFonts w:hint="eastAsia" w:ascii="宋体" w:hAnsi="宋体" w:cs="宋体"/>
          <w:color w:val="auto"/>
          <w:sz w:val="24"/>
          <w:highlight w:val="none"/>
          <w:u w:val="single"/>
        </w:rPr>
        <w:t xml:space="preserve">② </w:t>
      </w:r>
      <w:r>
        <w:rPr>
          <w:rFonts w:hint="eastAsia" w:ascii="宋体" w:hAnsi="宋体"/>
          <w:color w:val="auto"/>
          <w:sz w:val="24"/>
          <w:highlight w:val="none"/>
          <w:u w:val="single"/>
        </w:rPr>
        <w:t>提供调整后的方案设计说明及图纸、效果图。</w:t>
      </w:r>
    </w:p>
    <w:p>
      <w:pPr>
        <w:spacing w:line="360" w:lineRule="auto"/>
        <w:ind w:firstLine="470" w:firstLineChars="196"/>
        <w:rPr>
          <w:rFonts w:ascii="宋体" w:hAnsi="宋体" w:cs="宋体"/>
          <w:color w:val="auto"/>
          <w:sz w:val="24"/>
          <w:highlight w:val="none"/>
          <w:u w:val="single"/>
        </w:rPr>
      </w:pPr>
      <w:r>
        <w:rPr>
          <w:rFonts w:hint="eastAsia" w:ascii="宋体" w:hAnsi="宋体" w:cs="宋体"/>
          <w:color w:val="auto"/>
          <w:sz w:val="24"/>
          <w:highlight w:val="none"/>
          <w:u w:val="single"/>
        </w:rPr>
        <w:t xml:space="preserve">③ </w:t>
      </w:r>
      <w:r>
        <w:rPr>
          <w:rFonts w:hint="eastAsia" w:ascii="宋体" w:hAnsi="宋体" w:cs="仿宋"/>
          <w:color w:val="auto"/>
          <w:sz w:val="24"/>
          <w:highlight w:val="none"/>
          <w:u w:val="single"/>
        </w:rPr>
        <w:t>按照限额设计要求，完成本项目招标范围内工程投资方案设计估算等造价文件的编制及相关配合报审工作，还包括各阶段方案比选、技术选型比选的投资分析、协助竣工图审核等。</w:t>
      </w:r>
    </w:p>
    <w:p>
      <w:pPr>
        <w:spacing w:line="360" w:lineRule="auto"/>
        <w:ind w:firstLine="470" w:firstLineChars="196"/>
        <w:rPr>
          <w:rFonts w:ascii="宋体" w:hAnsi="宋体" w:cs="宋体"/>
          <w:color w:val="auto"/>
          <w:sz w:val="24"/>
          <w:highlight w:val="none"/>
          <w:u w:val="single"/>
        </w:rPr>
      </w:pPr>
      <w:r>
        <w:rPr>
          <w:rFonts w:hint="eastAsia" w:ascii="宋体" w:hAnsi="宋体" w:cs="宋体"/>
          <w:color w:val="auto"/>
          <w:sz w:val="24"/>
          <w:highlight w:val="none"/>
          <w:u w:val="single"/>
        </w:rPr>
        <w:t xml:space="preserve">④ </w:t>
      </w:r>
      <w:r>
        <w:rPr>
          <w:rFonts w:hint="eastAsia" w:ascii="宋体" w:hAnsi="宋体"/>
          <w:color w:val="auto"/>
          <w:sz w:val="24"/>
          <w:highlight w:val="none"/>
          <w:u w:val="single"/>
        </w:rPr>
        <w:t>准备一套主要材料样板（方案深度）。</w:t>
      </w:r>
    </w:p>
    <w:p>
      <w:pPr>
        <w:spacing w:line="360" w:lineRule="auto"/>
        <w:ind w:firstLine="470" w:firstLineChars="196"/>
        <w:rPr>
          <w:rFonts w:ascii="宋体" w:hAnsi="宋体" w:cs="宋体"/>
          <w:color w:val="auto"/>
          <w:sz w:val="24"/>
          <w:highlight w:val="none"/>
          <w:u w:val="single"/>
        </w:rPr>
      </w:pPr>
      <w:r>
        <w:rPr>
          <w:rFonts w:hint="eastAsia" w:hAnsi="宋体" w:cs="宋体"/>
          <w:color w:val="auto"/>
          <w:sz w:val="24"/>
          <w:highlight w:val="none"/>
          <w:u w:val="single"/>
        </w:rPr>
        <w:t xml:space="preserve">⑤ </w:t>
      </w:r>
      <w:r>
        <w:rPr>
          <w:rFonts w:hint="eastAsia" w:ascii="宋体" w:hAnsi="宋体" w:cs="宋体"/>
          <w:color w:val="auto"/>
          <w:sz w:val="24"/>
          <w:highlight w:val="none"/>
          <w:u w:val="single"/>
        </w:rPr>
        <w:t>方案设计完成后，送甲方审查认可，并协助甲方按规定报政府主管部门审查。</w:t>
      </w:r>
    </w:p>
    <w:p>
      <w:pPr>
        <w:spacing w:line="360" w:lineRule="auto"/>
        <w:ind w:firstLine="470" w:firstLineChars="196"/>
        <w:rPr>
          <w:rFonts w:ascii="宋体" w:hAnsi="宋体" w:cs="宋体"/>
          <w:color w:val="auto"/>
          <w:sz w:val="24"/>
          <w:highlight w:val="none"/>
          <w:u w:val="single"/>
        </w:rPr>
      </w:pPr>
      <w:r>
        <w:rPr>
          <w:rFonts w:hint="eastAsia" w:hAnsi="宋体" w:cs="宋体"/>
          <w:color w:val="auto"/>
          <w:sz w:val="24"/>
          <w:highlight w:val="none"/>
          <w:u w:val="single"/>
        </w:rPr>
        <w:t>⑥</w:t>
      </w:r>
      <w:r>
        <w:rPr>
          <w:rFonts w:hint="eastAsia" w:ascii="宋体" w:hAnsi="宋体"/>
          <w:color w:val="auto"/>
          <w:sz w:val="24"/>
          <w:highlight w:val="none"/>
          <w:u w:val="single"/>
        </w:rPr>
        <w:t>提交的方案设计文件取得政府主管部门同意批文，并按本合同条款规定提供方案设计成果。</w:t>
      </w:r>
    </w:p>
    <w:p>
      <w:pPr>
        <w:spacing w:line="360" w:lineRule="auto"/>
        <w:ind w:firstLine="470" w:firstLineChars="196"/>
        <w:rPr>
          <w:rFonts w:ascii="宋体" w:hAnsi="宋体" w:cs="宋体"/>
          <w:color w:val="auto"/>
          <w:sz w:val="24"/>
          <w:highlight w:val="none"/>
          <w:u w:val="single"/>
        </w:rPr>
      </w:pPr>
      <w:r>
        <w:rPr>
          <w:rFonts w:hint="eastAsia" w:hAnsi="宋体" w:cs="宋体"/>
          <w:color w:val="auto"/>
          <w:sz w:val="24"/>
          <w:highlight w:val="none"/>
          <w:u w:val="single"/>
        </w:rPr>
        <w:t>⑦</w:t>
      </w:r>
      <w:r>
        <w:rPr>
          <w:rFonts w:hint="eastAsia" w:ascii="宋体" w:hAnsi="宋体"/>
          <w:color w:val="auto"/>
          <w:sz w:val="24"/>
          <w:highlight w:val="none"/>
          <w:u w:val="single"/>
        </w:rPr>
        <w:t>建筑方案满足使用单位功能需求，符合项目建议书、可行性研究报告、相关文件及函的要求</w:t>
      </w:r>
      <w:r>
        <w:rPr>
          <w:rFonts w:hint="eastAsia" w:ascii="宋体" w:hAnsi="宋体"/>
          <w:color w:val="auto"/>
          <w:sz w:val="24"/>
          <w:highlight w:val="none"/>
          <w:u w:val="single"/>
        </w:rPr>
        <w:t>。</w:t>
      </w:r>
    </w:p>
    <w:p>
      <w:pPr>
        <w:pStyle w:val="10"/>
        <w:spacing w:line="360" w:lineRule="auto"/>
        <w:ind w:firstLine="480" w:firstLineChars="200"/>
        <w:rPr>
          <w:rFonts w:hAnsi="宋体"/>
          <w:color w:val="auto"/>
          <w:sz w:val="24"/>
          <w:highlight w:val="none"/>
          <w:u w:val="single"/>
        </w:rPr>
      </w:pPr>
      <w:r>
        <w:rPr>
          <w:rFonts w:hint="eastAsia" w:ascii="Times New Roman" w:hAnsi="宋体" w:cs="宋体"/>
          <w:color w:val="auto"/>
          <w:kern w:val="2"/>
          <w:sz w:val="24"/>
          <w:szCs w:val="24"/>
          <w:highlight w:val="none"/>
          <w:u w:val="single"/>
        </w:rPr>
        <w:t>⑧ 编</w:t>
      </w:r>
      <w:r>
        <w:rPr>
          <w:rFonts w:hint="eastAsia" w:hAnsi="宋体"/>
          <w:color w:val="auto"/>
          <w:sz w:val="24"/>
          <w:highlight w:val="none"/>
          <w:u w:val="single"/>
        </w:rPr>
        <w:t>制规划报建资料，为规划部门确定用地边界、容积率、绿地率、建筑密度、建筑高度等用地规划指标，最终调整地块现状控规指标，并为批复工程设计方案、《建设工程规划许可证》等提供依据。</w:t>
      </w:r>
    </w:p>
    <w:p>
      <w:pPr>
        <w:pStyle w:val="10"/>
        <w:spacing w:line="360" w:lineRule="auto"/>
        <w:ind w:firstLine="480" w:firstLineChars="200"/>
        <w:rPr>
          <w:rFonts w:ascii="Times New Roman" w:hAnsi="宋体" w:cs="宋体"/>
          <w:color w:val="auto"/>
          <w:kern w:val="2"/>
          <w:sz w:val="24"/>
          <w:szCs w:val="24"/>
          <w:highlight w:val="none"/>
          <w:u w:val="single"/>
        </w:rPr>
      </w:pPr>
      <w:r>
        <w:rPr>
          <w:rFonts w:hint="eastAsia" w:ascii="Times New Roman" w:hAnsi="宋体" w:cs="宋体"/>
          <w:color w:val="auto"/>
          <w:kern w:val="2"/>
          <w:sz w:val="24"/>
          <w:szCs w:val="24"/>
          <w:highlight w:val="none"/>
          <w:u w:val="single"/>
        </w:rPr>
        <w:t>⑨</w:t>
      </w:r>
      <w:r>
        <w:rPr>
          <w:rFonts w:hint="eastAsia" w:hAnsi="宋体"/>
          <w:color w:val="auto"/>
          <w:sz w:val="24"/>
          <w:highlight w:val="none"/>
          <w:u w:val="single"/>
        </w:rPr>
        <w:t>配合可研报告编制单位完善方案优化。</w:t>
      </w:r>
    </w:p>
    <w:p>
      <w:pPr>
        <w:spacing w:line="360" w:lineRule="auto"/>
        <w:ind w:firstLine="470" w:firstLineChars="196"/>
        <w:rPr>
          <w:rFonts w:ascii="宋体" w:hAnsi="宋体" w:cs="宋体"/>
          <w:color w:val="auto"/>
          <w:sz w:val="24"/>
          <w:highlight w:val="none"/>
          <w:u w:val="single"/>
        </w:rPr>
      </w:pPr>
      <w:r>
        <w:rPr>
          <w:rFonts w:hint="eastAsia" w:ascii="宋体" w:hAnsi="宋体" w:cs="宋体"/>
          <w:color w:val="auto"/>
          <w:sz w:val="24"/>
          <w:highlight w:val="none"/>
          <w:u w:val="single"/>
        </w:rPr>
        <w:t>（2）初步设计阶段</w:t>
      </w:r>
    </w:p>
    <w:p>
      <w:pPr>
        <w:spacing w:line="360" w:lineRule="auto"/>
        <w:ind w:firstLine="470" w:firstLineChars="196"/>
        <w:rPr>
          <w:rFonts w:ascii="宋体" w:hAnsi="宋体" w:cs="宋体"/>
          <w:color w:val="auto"/>
          <w:sz w:val="24"/>
          <w:highlight w:val="none"/>
          <w:u w:val="single"/>
        </w:rPr>
      </w:pPr>
      <w:r>
        <w:rPr>
          <w:rFonts w:hint="eastAsia" w:ascii="宋体" w:hAnsi="宋体" w:cs="宋体"/>
          <w:color w:val="auto"/>
          <w:sz w:val="24"/>
          <w:highlight w:val="none"/>
          <w:u w:val="single"/>
        </w:rPr>
        <w:t xml:space="preserve">① </w:t>
      </w:r>
      <w:r>
        <w:rPr>
          <w:rFonts w:hint="eastAsia" w:ascii="宋体" w:hAnsi="宋体"/>
          <w:color w:val="auto"/>
          <w:sz w:val="24"/>
          <w:highlight w:val="none"/>
          <w:u w:val="single"/>
        </w:rPr>
        <w:t>根据批准后的设计方案完成所有专业的初步设计文件。</w:t>
      </w:r>
      <w:r>
        <w:rPr>
          <w:rFonts w:hint="eastAsia" w:ascii="宋体" w:hAnsi="宋体" w:cs="宋体"/>
          <w:color w:val="auto"/>
          <w:sz w:val="24"/>
          <w:highlight w:val="none"/>
          <w:u w:val="single"/>
          <w:lang w:val="zh-TW" w:eastAsia="zh-TW"/>
        </w:rPr>
        <w:t>包括但不限于：规划用地范围内的规划、总图、建筑、</w:t>
      </w:r>
      <w:r>
        <w:rPr>
          <w:rFonts w:hint="eastAsia" w:ascii="宋体" w:hAnsi="宋体" w:cs="宋体"/>
          <w:color w:val="auto"/>
          <w:sz w:val="24"/>
          <w:highlight w:val="none"/>
          <w:u w:val="single"/>
          <w:lang w:val="zh-TW"/>
        </w:rPr>
        <w:t>基坑开挖与支护、</w:t>
      </w:r>
      <w:r>
        <w:rPr>
          <w:rFonts w:hint="eastAsia" w:ascii="宋体" w:hAnsi="宋体" w:cs="宋体"/>
          <w:color w:val="auto"/>
          <w:sz w:val="24"/>
          <w:highlight w:val="none"/>
          <w:u w:val="single"/>
          <w:lang w:val="zh-TW" w:eastAsia="zh-TW"/>
        </w:rPr>
        <w:t>结构、电气、给排水、通风与空调、装饰</w:t>
      </w:r>
      <w:r>
        <w:rPr>
          <w:rFonts w:hint="eastAsia" w:ascii="宋体" w:hAnsi="宋体" w:cs="宋体"/>
          <w:color w:val="auto"/>
          <w:sz w:val="24"/>
          <w:highlight w:val="none"/>
          <w:u w:val="single"/>
          <w:lang w:val="zh-TW"/>
        </w:rPr>
        <w:t>装修</w:t>
      </w:r>
      <w:r>
        <w:rPr>
          <w:rFonts w:hint="eastAsia" w:ascii="宋体" w:hAnsi="宋体" w:cs="宋体"/>
          <w:color w:val="auto"/>
          <w:sz w:val="24"/>
          <w:highlight w:val="none"/>
          <w:u w:val="single"/>
          <w:lang w:val="zh-TW" w:eastAsia="zh-TW"/>
        </w:rPr>
        <w:t>（含室内外）、建筑智能化系统、消防、景观园林、绿色建筑、燃气、电梯</w:t>
      </w:r>
      <w:r>
        <w:rPr>
          <w:rFonts w:ascii="宋体" w:hAnsi="宋体" w:cs="宋体"/>
          <w:color w:val="auto"/>
          <w:sz w:val="24"/>
          <w:highlight w:val="none"/>
          <w:u w:val="single"/>
        </w:rPr>
        <w:t>(</w:t>
      </w:r>
      <w:r>
        <w:rPr>
          <w:rFonts w:hint="eastAsia" w:ascii="宋体" w:hAnsi="宋体" w:cs="宋体"/>
          <w:color w:val="auto"/>
          <w:sz w:val="24"/>
          <w:highlight w:val="none"/>
          <w:u w:val="single"/>
          <w:lang w:val="zh-TW" w:eastAsia="zh-TW"/>
        </w:rPr>
        <w:t>升降梯及自动扶梯</w:t>
      </w:r>
      <w:r>
        <w:rPr>
          <w:rFonts w:ascii="宋体" w:hAnsi="宋体" w:cs="宋体"/>
          <w:color w:val="auto"/>
          <w:sz w:val="24"/>
          <w:highlight w:val="none"/>
          <w:u w:val="single"/>
        </w:rPr>
        <w:t>)</w:t>
      </w:r>
      <w:r>
        <w:rPr>
          <w:rFonts w:hint="eastAsia" w:ascii="宋体" w:hAnsi="宋体" w:cs="宋体"/>
          <w:color w:val="auto"/>
          <w:sz w:val="24"/>
          <w:highlight w:val="none"/>
          <w:u w:val="single"/>
          <w:lang w:val="zh-TW" w:eastAsia="zh-TW"/>
        </w:rPr>
        <w:t>、钢结构、幕墙、室外道路、交通组织设计</w:t>
      </w:r>
      <w:r>
        <w:rPr>
          <w:rFonts w:hint="eastAsia" w:ascii="宋体" w:hAnsi="宋体" w:cs="宋体"/>
          <w:color w:val="auto"/>
          <w:sz w:val="24"/>
          <w:highlight w:val="none"/>
          <w:u w:val="single"/>
          <w:lang w:val="zh-TW"/>
        </w:rPr>
        <w:t>、</w:t>
      </w:r>
      <w:r>
        <w:rPr>
          <w:rFonts w:hint="eastAsia" w:ascii="宋体" w:hAnsi="宋体" w:cs="宋体"/>
          <w:color w:val="auto"/>
          <w:sz w:val="24"/>
          <w:highlight w:val="none"/>
          <w:u w:val="single"/>
          <w:lang w:val="zh-TW" w:eastAsia="zh-TW"/>
        </w:rPr>
        <w:t>人防工程、</w:t>
      </w:r>
      <w:r>
        <w:rPr>
          <w:rFonts w:ascii="宋体" w:hAnsi="宋体" w:cs="宋体"/>
          <w:color w:val="auto"/>
          <w:sz w:val="24"/>
          <w:highlight w:val="none"/>
          <w:u w:val="single"/>
        </w:rPr>
        <w:t>BIM</w:t>
      </w:r>
      <w:r>
        <w:rPr>
          <w:rFonts w:hint="eastAsia" w:ascii="宋体" w:hAnsi="宋体" w:cs="宋体"/>
          <w:color w:val="auto"/>
          <w:sz w:val="24"/>
          <w:highlight w:val="none"/>
          <w:u w:val="single"/>
          <w:lang w:val="zh-TW" w:eastAsia="zh-TW"/>
        </w:rPr>
        <w:t>设计</w:t>
      </w:r>
      <w:r>
        <w:rPr>
          <w:rFonts w:hint="eastAsia" w:ascii="宋体" w:hAnsi="宋体" w:cs="宋体"/>
          <w:color w:val="auto"/>
          <w:sz w:val="24"/>
          <w:highlight w:val="none"/>
          <w:u w:val="single"/>
          <w:lang w:val="zh-TW"/>
        </w:rPr>
        <w:t>、海绵城市设计、古树后续资源设计、截洪沟工程设计、场地平整设计、管线综合设计</w:t>
      </w:r>
      <w:r>
        <w:rPr>
          <w:rFonts w:hint="eastAsia" w:ascii="宋体" w:hAnsi="宋体" w:cs="宋体"/>
          <w:color w:val="auto"/>
          <w:sz w:val="24"/>
          <w:highlight w:val="none"/>
          <w:u w:val="single"/>
          <w:lang w:val="zh-TW" w:eastAsia="zh-TW"/>
        </w:rPr>
        <w:t>等</w:t>
      </w:r>
      <w:r>
        <w:rPr>
          <w:rFonts w:hint="eastAsia" w:ascii="宋体" w:hAnsi="宋体" w:cs="宋体"/>
          <w:color w:val="auto"/>
          <w:sz w:val="24"/>
          <w:highlight w:val="none"/>
          <w:u w:val="single"/>
        </w:rPr>
        <w:t xml:space="preserve">。  </w:t>
      </w:r>
    </w:p>
    <w:p>
      <w:pPr>
        <w:spacing w:line="360" w:lineRule="auto"/>
        <w:ind w:firstLine="470" w:firstLineChars="196"/>
        <w:rPr>
          <w:rFonts w:ascii="宋体" w:hAnsi="宋体" w:cs="宋体"/>
          <w:color w:val="auto"/>
          <w:sz w:val="24"/>
          <w:highlight w:val="none"/>
          <w:u w:val="single"/>
        </w:rPr>
      </w:pPr>
      <w:r>
        <w:rPr>
          <w:rFonts w:hint="eastAsia" w:ascii="宋体" w:hAnsi="宋体" w:cs="宋体"/>
          <w:color w:val="auto"/>
          <w:sz w:val="24"/>
          <w:highlight w:val="none"/>
          <w:u w:val="single"/>
        </w:rPr>
        <w:t xml:space="preserve">② </w:t>
      </w:r>
      <w:r>
        <w:rPr>
          <w:rFonts w:hint="eastAsia" w:ascii="宋体" w:hAnsi="宋体"/>
          <w:color w:val="auto"/>
          <w:sz w:val="24"/>
          <w:highlight w:val="none"/>
          <w:u w:val="single"/>
        </w:rPr>
        <w:t>初步设计文件完成后，送甲方审查认可，并协助甲方按规定报政府主管部门审查，并按审查意见修改初步设计文件，直至审查通过。</w:t>
      </w:r>
    </w:p>
    <w:p>
      <w:pPr>
        <w:spacing w:line="360" w:lineRule="auto"/>
        <w:ind w:firstLine="470" w:firstLineChars="196"/>
        <w:rPr>
          <w:rFonts w:ascii="宋体" w:hAnsi="宋体" w:cs="宋体"/>
          <w:color w:val="auto"/>
          <w:sz w:val="24"/>
          <w:highlight w:val="none"/>
          <w:u w:val="single"/>
        </w:rPr>
      </w:pPr>
      <w:r>
        <w:rPr>
          <w:rFonts w:hint="eastAsia" w:ascii="宋体" w:hAnsi="宋体" w:cs="宋体"/>
          <w:color w:val="auto"/>
          <w:sz w:val="24"/>
          <w:highlight w:val="none"/>
          <w:u w:val="single"/>
        </w:rPr>
        <w:t>③提供调整后的方案设计说明及图纸、效果图。</w:t>
      </w:r>
    </w:p>
    <w:p>
      <w:pPr>
        <w:spacing w:line="360" w:lineRule="auto"/>
        <w:ind w:firstLine="470" w:firstLineChars="196"/>
        <w:rPr>
          <w:rFonts w:ascii="宋体" w:hAnsi="宋体" w:cs="宋体"/>
          <w:color w:val="auto"/>
          <w:sz w:val="24"/>
          <w:highlight w:val="none"/>
        </w:rPr>
      </w:pPr>
      <w:r>
        <w:rPr>
          <w:rFonts w:hint="eastAsia" w:ascii="宋体" w:hAnsi="宋体" w:cs="宋体"/>
          <w:color w:val="auto"/>
          <w:sz w:val="24"/>
          <w:highlight w:val="none"/>
          <w:u w:val="single"/>
        </w:rPr>
        <w:t xml:space="preserve">④ </w:t>
      </w:r>
      <w:r>
        <w:rPr>
          <w:rFonts w:hint="eastAsia" w:ascii="宋体" w:hAnsi="宋体"/>
          <w:color w:val="auto"/>
          <w:sz w:val="24"/>
          <w:highlight w:val="none"/>
          <w:u w:val="single"/>
        </w:rPr>
        <w:t>提交的初步设计文件取得政府主管部门同意批文，并按本合同条款规定提供初步设计成果后，</w:t>
      </w:r>
      <w:r>
        <w:rPr>
          <w:rFonts w:hint="eastAsia" w:ascii="宋体" w:hAnsi="宋体" w:cs="仿宋"/>
          <w:color w:val="auto"/>
          <w:sz w:val="24"/>
          <w:highlight w:val="none"/>
          <w:u w:val="single"/>
        </w:rPr>
        <w:t>完成本项目招标范围内初步设计概算等造价文件的编制并获得政府投资主管部门的批复。</w:t>
      </w:r>
    </w:p>
    <w:p>
      <w:pPr>
        <w:spacing w:line="360" w:lineRule="auto"/>
        <w:ind w:firstLine="470" w:firstLineChars="196"/>
        <w:rPr>
          <w:rFonts w:ascii="宋体" w:hAnsi="宋体" w:cs="宋体"/>
          <w:color w:val="auto"/>
          <w:sz w:val="24"/>
          <w:highlight w:val="none"/>
          <w:u w:val="single"/>
        </w:rPr>
      </w:pPr>
      <w:r>
        <w:rPr>
          <w:rFonts w:hint="eastAsia" w:ascii="宋体" w:hAnsi="宋体" w:cs="宋体"/>
          <w:color w:val="auto"/>
          <w:sz w:val="24"/>
          <w:highlight w:val="none"/>
          <w:u w:val="single"/>
        </w:rPr>
        <w:t>⑤ 交通组织方案：做好交通组织设计方案及围蔽施工方案的设计工作。</w:t>
      </w:r>
    </w:p>
    <w:p>
      <w:pPr>
        <w:pStyle w:val="10"/>
        <w:spacing w:line="360" w:lineRule="auto"/>
        <w:ind w:firstLine="480" w:firstLineChars="200"/>
        <w:rPr>
          <w:rFonts w:hint="eastAsia" w:ascii="Cambria Math" w:hAnsi="Cambria Math" w:cs="Cambria Math"/>
          <w:color w:val="auto"/>
          <w:kern w:val="2"/>
          <w:sz w:val="24"/>
          <w:szCs w:val="24"/>
          <w:highlight w:val="none"/>
          <w:u w:val="single"/>
        </w:rPr>
      </w:pPr>
      <w:r>
        <w:rPr>
          <w:rFonts w:hint="eastAsia" w:ascii="Cambria Math" w:hAnsi="Cambria Math" w:cs="Cambria Math"/>
          <w:color w:val="auto"/>
          <w:kern w:val="2"/>
          <w:sz w:val="24"/>
          <w:szCs w:val="24"/>
          <w:highlight w:val="none"/>
          <w:u w:val="single"/>
        </w:rPr>
        <w:t>⑥</w:t>
      </w:r>
      <w:r>
        <w:rPr>
          <w:rFonts w:hint="eastAsia" w:ascii="Cambria Math" w:hAnsi="Cambria Math" w:cs="Cambria Math"/>
          <w:b/>
          <w:bCs/>
          <w:color w:val="auto"/>
          <w:kern w:val="2"/>
          <w:sz w:val="24"/>
          <w:szCs w:val="24"/>
          <w:highlight w:val="none"/>
          <w:u w:val="single"/>
        </w:rPr>
        <w:t>负责基坑工程施工图设计（含基坑开挖及支护）</w:t>
      </w:r>
      <w:r>
        <w:rPr>
          <w:rFonts w:hint="eastAsia" w:ascii="Cambria Math" w:hAnsi="Cambria Math" w:cs="Cambria Math"/>
          <w:b/>
          <w:bCs/>
          <w:strike w:val="0"/>
          <w:color w:val="auto"/>
          <w:kern w:val="2"/>
          <w:sz w:val="24"/>
          <w:szCs w:val="24"/>
          <w:highlight w:val="none"/>
          <w:u w:val="single"/>
        </w:rPr>
        <w:t>，</w:t>
      </w:r>
      <w:r>
        <w:rPr>
          <w:rFonts w:hint="eastAsia" w:ascii="Cambria Math" w:hAnsi="Cambria Math" w:cs="Cambria Math"/>
          <w:b/>
          <w:bCs/>
          <w:color w:val="auto"/>
          <w:kern w:val="2"/>
          <w:sz w:val="24"/>
          <w:szCs w:val="24"/>
          <w:highlight w:val="none"/>
          <w:u w:val="single"/>
        </w:rPr>
        <w:t>负责土方工程施工图设计（含土方平衡方案），负责标高论证</w:t>
      </w:r>
      <w:r>
        <w:rPr>
          <w:rFonts w:hint="eastAsia" w:ascii="Cambria Math" w:hAnsi="Cambria Math" w:cs="Cambria Math"/>
          <w:color w:val="auto"/>
          <w:kern w:val="2"/>
          <w:sz w:val="24"/>
          <w:szCs w:val="24"/>
          <w:highlight w:val="none"/>
          <w:u w:val="single"/>
        </w:rPr>
        <w:t>。要求在确保基坑、土方等安全可靠的前提下做到经济合理、施工便捷，并按照专家意见修改完善，作为基坑支护、开挖及土方施工依据。</w:t>
      </w:r>
    </w:p>
    <w:p>
      <w:pPr>
        <w:pStyle w:val="10"/>
        <w:spacing w:line="360" w:lineRule="auto"/>
        <w:ind w:firstLine="480" w:firstLineChars="200"/>
        <w:rPr>
          <w:rFonts w:hAnsi="宋体"/>
          <w:color w:val="auto"/>
          <w:sz w:val="24"/>
          <w:highlight w:val="none"/>
          <w:u w:val="single"/>
        </w:rPr>
      </w:pPr>
      <w:r>
        <w:rPr>
          <w:rFonts w:hint="eastAsia" w:ascii="Times New Roman" w:hAnsi="宋体" w:cs="宋体"/>
          <w:color w:val="auto"/>
          <w:kern w:val="2"/>
          <w:sz w:val="24"/>
          <w:szCs w:val="24"/>
          <w:highlight w:val="none"/>
          <w:u w:val="single"/>
        </w:rPr>
        <w:t>⑦ 配合编制施工图预算（</w:t>
      </w:r>
      <w:r>
        <w:rPr>
          <w:rFonts w:hint="eastAsia" w:ascii="Times New Roman" w:hAnsi="宋体" w:cs="宋体"/>
          <w:b/>
          <w:bCs/>
          <w:color w:val="auto"/>
          <w:kern w:val="2"/>
          <w:sz w:val="24"/>
          <w:szCs w:val="24"/>
          <w:highlight w:val="none"/>
          <w:u w:val="single"/>
        </w:rPr>
        <w:t>承担基坑工程、基坑支护、场地土方平衡等施工图预算编制配合</w:t>
      </w:r>
      <w:r>
        <w:rPr>
          <w:rFonts w:hint="eastAsia" w:ascii="Times New Roman" w:hAnsi="宋体" w:cs="宋体"/>
          <w:color w:val="auto"/>
          <w:kern w:val="2"/>
          <w:sz w:val="24"/>
          <w:szCs w:val="24"/>
          <w:highlight w:val="none"/>
          <w:u w:val="single"/>
        </w:rPr>
        <w:t>）。</w:t>
      </w:r>
    </w:p>
    <w:p>
      <w:pPr>
        <w:spacing w:line="360" w:lineRule="auto"/>
        <w:ind w:firstLine="470" w:firstLineChars="196"/>
        <w:rPr>
          <w:rFonts w:ascii="宋体" w:hAnsi="宋体" w:cs="宋体"/>
          <w:color w:val="auto"/>
          <w:sz w:val="24"/>
          <w:highlight w:val="none"/>
        </w:rPr>
      </w:pPr>
      <w:r>
        <w:rPr>
          <w:rFonts w:hint="eastAsia" w:ascii="宋体" w:hAnsi="宋体" w:cs="宋体"/>
          <w:color w:val="auto"/>
          <w:sz w:val="24"/>
          <w:highlight w:val="none"/>
          <w:u w:val="single"/>
        </w:rPr>
        <w:t>2.2.3施工阶段工作：</w:t>
      </w:r>
      <w:r>
        <w:rPr>
          <w:rFonts w:hint="eastAsia" w:ascii="宋体" w:hAnsi="宋体" w:cs="宋体"/>
          <w:color w:val="auto"/>
          <w:sz w:val="24"/>
          <w:highlight w:val="none"/>
          <w:u w:val="single"/>
          <w:lang w:val="zh-TW" w:eastAsia="zh-TW"/>
        </w:rPr>
        <w:t>提供后续工艺设计单位及施工图设计单位的配合工作，按招标人要求（如有）对已确认的方案设计、初步设计进行调整，并有对施工图设计成果评价和把控的责任。</w:t>
      </w:r>
      <w:r>
        <w:rPr>
          <w:rFonts w:hint="eastAsia" w:ascii="宋体" w:hAnsi="宋体"/>
          <w:color w:val="auto"/>
          <w:sz w:val="24"/>
          <w:highlight w:val="none"/>
          <w:u w:val="single"/>
        </w:rPr>
        <w:t>如施工服务阶段涉及重大设计方案变更，乙方须配合甲方及施工图设计单位做好相关工作，以及“负责施工图设计文件和施工图深化设计文件审核（与使用需求的符合性、与方案设计和初步设计各专业的符合性及经济合理性、其他相关配套专业符合性等设计服务）</w:t>
      </w:r>
      <w:r>
        <w:rPr>
          <w:rFonts w:hint="eastAsia" w:ascii="宋体" w:hAnsi="宋体" w:cs="宋体"/>
          <w:color w:val="auto"/>
          <w:sz w:val="24"/>
          <w:highlight w:val="none"/>
        </w:rPr>
        <w:t>。</w:t>
      </w:r>
    </w:p>
    <w:p>
      <w:pPr>
        <w:spacing w:line="360" w:lineRule="auto"/>
        <w:ind w:firstLine="470" w:firstLineChars="196"/>
        <w:rPr>
          <w:rFonts w:ascii="宋体" w:hAnsi="宋体" w:cs="宋体"/>
          <w:color w:val="auto"/>
          <w:sz w:val="24"/>
          <w:highlight w:val="none"/>
          <w:u w:val="single"/>
        </w:rPr>
      </w:pPr>
      <w:r>
        <w:rPr>
          <w:rFonts w:hint="eastAsia" w:ascii="宋体" w:hAnsi="宋体"/>
          <w:color w:val="auto"/>
          <w:sz w:val="24"/>
          <w:highlight w:val="none"/>
          <w:u w:val="single"/>
        </w:rPr>
        <w:t>2.</w:t>
      </w:r>
      <w:r>
        <w:rPr>
          <w:rFonts w:hint="eastAsia" w:hAnsi="宋体"/>
          <w:color w:val="auto"/>
          <w:sz w:val="24"/>
          <w:highlight w:val="none"/>
          <w:u w:val="single"/>
        </w:rPr>
        <w:t>2</w:t>
      </w:r>
      <w:r>
        <w:rPr>
          <w:rFonts w:hint="eastAsia" w:ascii="宋体" w:hAnsi="宋体"/>
          <w:color w:val="auto"/>
          <w:sz w:val="24"/>
          <w:highlight w:val="none"/>
          <w:u w:val="single"/>
        </w:rPr>
        <w:t>.</w:t>
      </w:r>
      <w:r>
        <w:rPr>
          <w:rFonts w:hAnsi="宋体"/>
          <w:color w:val="auto"/>
          <w:sz w:val="24"/>
          <w:highlight w:val="none"/>
          <w:u w:val="single"/>
        </w:rPr>
        <w:t>4</w:t>
      </w:r>
      <w:r>
        <w:rPr>
          <w:rFonts w:hint="eastAsia" w:ascii="宋体" w:hAnsi="宋体"/>
          <w:color w:val="auto"/>
          <w:sz w:val="24"/>
          <w:highlight w:val="none"/>
          <w:u w:val="single"/>
        </w:rPr>
        <w:t>建筑节能与新技术的应用及设计：包括节能、环保、绿色建筑、海绵城市、BIM等专项工程设计，项目设计全过程须应用BIM技术。</w:t>
      </w:r>
    </w:p>
    <w:p>
      <w:pPr>
        <w:spacing w:line="360" w:lineRule="auto"/>
        <w:ind w:firstLine="470" w:firstLineChars="196"/>
        <w:rPr>
          <w:rFonts w:ascii="宋体" w:hAnsi="宋体"/>
          <w:color w:val="auto"/>
          <w:sz w:val="24"/>
          <w:highlight w:val="none"/>
          <w:u w:val="single"/>
        </w:rPr>
      </w:pPr>
      <w:r>
        <w:rPr>
          <w:rFonts w:hint="eastAsia" w:ascii="宋体" w:hAnsi="宋体"/>
          <w:color w:val="auto"/>
          <w:sz w:val="24"/>
          <w:highlight w:val="none"/>
          <w:u w:val="single"/>
        </w:rPr>
        <w:t>2.</w:t>
      </w:r>
      <w:r>
        <w:rPr>
          <w:rFonts w:hint="eastAsia" w:hAnsi="宋体"/>
          <w:color w:val="auto"/>
          <w:sz w:val="24"/>
          <w:highlight w:val="none"/>
          <w:u w:val="single"/>
        </w:rPr>
        <w:t>2</w:t>
      </w:r>
      <w:r>
        <w:rPr>
          <w:rFonts w:hint="eastAsia" w:ascii="宋体" w:hAnsi="宋体"/>
          <w:color w:val="auto"/>
          <w:sz w:val="24"/>
          <w:highlight w:val="none"/>
          <w:u w:val="single"/>
        </w:rPr>
        <w:t>.</w:t>
      </w:r>
      <w:r>
        <w:rPr>
          <w:rFonts w:hAnsi="宋体"/>
          <w:color w:val="auto"/>
          <w:sz w:val="24"/>
          <w:highlight w:val="none"/>
          <w:u w:val="single"/>
        </w:rPr>
        <w:t>5</w:t>
      </w:r>
      <w:r>
        <w:rPr>
          <w:rFonts w:hint="eastAsia" w:ascii="宋体" w:hAnsi="宋体"/>
          <w:color w:val="auto"/>
          <w:sz w:val="24"/>
          <w:highlight w:val="none"/>
          <w:u w:val="single"/>
        </w:rPr>
        <w:t>BIM技术运用：</w:t>
      </w:r>
      <w:r>
        <w:rPr>
          <w:rFonts w:hint="eastAsia" w:ascii="宋体" w:hAnsi="宋体" w:cs="仿宋"/>
          <w:color w:val="auto"/>
          <w:sz w:val="24"/>
          <w:highlight w:val="none"/>
          <w:u w:val="single"/>
        </w:rPr>
        <w:t>整个设计过程运用BIM建筑信息模型，</w:t>
      </w:r>
      <w:r>
        <w:rPr>
          <w:rFonts w:hint="eastAsia" w:ascii="宋体" w:hAnsi="宋体"/>
          <w:color w:val="auto"/>
          <w:sz w:val="24"/>
          <w:highlight w:val="none"/>
          <w:u w:val="single"/>
        </w:rPr>
        <w:t>包括有关模型，及相关文档、数据，模型深度应符合各阶段设计深度要求，</w:t>
      </w:r>
      <w:r>
        <w:rPr>
          <w:rFonts w:hint="eastAsia" w:ascii="宋体" w:hAnsi="宋体" w:cs="仿宋"/>
          <w:color w:val="auto"/>
          <w:sz w:val="24"/>
          <w:highlight w:val="none"/>
          <w:u w:val="single"/>
        </w:rPr>
        <w:t>运用BIM检查初步设计、施工图设计中的错、漏、碰、缺，利用BIM技术进行管线综合平衡设计，要求实现项目参与各方在同一平台上项目信息数据共享，</w:t>
      </w:r>
      <w:r>
        <w:rPr>
          <w:rFonts w:hint="eastAsia" w:ascii="宋体" w:hAnsi="宋体"/>
          <w:color w:val="auto"/>
          <w:sz w:val="24"/>
          <w:highlight w:val="none"/>
          <w:u w:val="single"/>
        </w:rPr>
        <w:t>实现设计工作中的沟通与协调，协助业主进行全程可视化交流服务，重点难点节点展示及深化设计复核等工作，</w:t>
      </w:r>
      <w:r>
        <w:rPr>
          <w:rFonts w:hint="eastAsia" w:ascii="宋体" w:hAnsi="宋体" w:cs="仿宋"/>
          <w:color w:val="auto"/>
          <w:sz w:val="24"/>
          <w:highlight w:val="none"/>
          <w:u w:val="single"/>
        </w:rPr>
        <w:t>在BIM中插入、提取、更新和修改信息，确保各方协同作业，建立运营维护模型，指导实际运行、维护管理工作，要求BIM全地形建模。BIM模型成果文件需上传到广东省代建项目管理局BIM协同管理平台上，且BIM技术要求必须达到《广东省代建项目管理局BIM实施管理标准及实施导则》的要求，BIM完成情况纳入合同履约诚信考核</w:t>
      </w:r>
      <w:r>
        <w:rPr>
          <w:rFonts w:hint="eastAsia" w:ascii="宋体" w:hAnsi="宋体"/>
          <w:color w:val="auto"/>
          <w:sz w:val="24"/>
          <w:highlight w:val="none"/>
          <w:u w:val="single"/>
        </w:rPr>
        <w:t>。</w:t>
      </w:r>
    </w:p>
    <w:p>
      <w:pPr>
        <w:spacing w:line="360" w:lineRule="auto"/>
        <w:ind w:firstLine="470" w:firstLineChars="196"/>
        <w:rPr>
          <w:rFonts w:ascii="宋体" w:hAnsi="宋体"/>
          <w:color w:val="auto"/>
          <w:sz w:val="24"/>
          <w:highlight w:val="none"/>
          <w:u w:val="single"/>
        </w:rPr>
      </w:pPr>
      <w:r>
        <w:rPr>
          <w:rFonts w:hint="eastAsia" w:ascii="宋体" w:hAnsi="宋体"/>
          <w:color w:val="auto"/>
          <w:sz w:val="24"/>
          <w:highlight w:val="none"/>
          <w:u w:val="single"/>
        </w:rPr>
        <w:t>2.</w:t>
      </w:r>
      <w:r>
        <w:rPr>
          <w:rFonts w:hint="eastAsia" w:hAnsi="宋体"/>
          <w:color w:val="auto"/>
          <w:sz w:val="24"/>
          <w:highlight w:val="none"/>
          <w:u w:val="single"/>
        </w:rPr>
        <w:t>2</w:t>
      </w:r>
      <w:r>
        <w:rPr>
          <w:rFonts w:hint="eastAsia" w:ascii="宋体" w:hAnsi="宋体"/>
          <w:color w:val="auto"/>
          <w:sz w:val="24"/>
          <w:highlight w:val="none"/>
          <w:u w:val="single"/>
        </w:rPr>
        <w:t>.</w:t>
      </w:r>
      <w:r>
        <w:rPr>
          <w:rFonts w:hAnsi="宋体"/>
          <w:color w:val="auto"/>
          <w:sz w:val="24"/>
          <w:highlight w:val="none"/>
          <w:u w:val="single"/>
        </w:rPr>
        <w:t>6</w:t>
      </w:r>
      <w:r>
        <w:rPr>
          <w:rFonts w:hint="eastAsia" w:ascii="宋体" w:hAnsi="宋体"/>
          <w:color w:val="auto"/>
          <w:sz w:val="24"/>
          <w:highlight w:val="none"/>
          <w:u w:val="single"/>
        </w:rPr>
        <w:t>其他工作：</w:t>
      </w:r>
    </w:p>
    <w:p>
      <w:pPr>
        <w:spacing w:line="360" w:lineRule="auto"/>
        <w:ind w:firstLine="470" w:firstLineChars="196"/>
        <w:rPr>
          <w:rFonts w:ascii="宋体" w:hAnsi="宋体"/>
          <w:color w:val="auto"/>
          <w:sz w:val="24"/>
          <w:highlight w:val="none"/>
          <w:u w:val="single"/>
        </w:rPr>
      </w:pPr>
      <w:r>
        <w:rPr>
          <w:rFonts w:hint="eastAsia" w:ascii="宋体" w:hAnsi="宋体"/>
          <w:color w:val="auto"/>
          <w:sz w:val="24"/>
          <w:highlight w:val="none"/>
          <w:u w:val="single"/>
        </w:rPr>
        <w:t>1）造价文件编制工作：按照限额设计要求，完成本项目招标范围内工程投资方案设计估算、初步设计概算等造价文件的编制及相关配合报审工作，协助发包人取得发展改革部门的批复意见。还包括各阶段方案比选、技术选型比选的投资分析、协助施工阶段的设计变更造价变化分析、协助竣工图审核等。接受并配合发包人委托的第三方造价咨询单位对各阶段造价文件的审核。</w:t>
      </w:r>
    </w:p>
    <w:p>
      <w:pPr>
        <w:spacing w:line="360" w:lineRule="auto"/>
        <w:ind w:firstLine="470" w:firstLineChars="196"/>
        <w:rPr>
          <w:rFonts w:ascii="宋体" w:hAnsi="宋体" w:cs="宋体"/>
          <w:color w:val="auto"/>
          <w:sz w:val="24"/>
          <w:highlight w:val="none"/>
          <w:u w:val="single"/>
        </w:rPr>
      </w:pPr>
      <w:r>
        <w:rPr>
          <w:rFonts w:hint="eastAsia" w:ascii="宋体" w:hAnsi="宋体"/>
          <w:color w:val="auto"/>
          <w:sz w:val="24"/>
          <w:highlight w:val="none"/>
          <w:u w:val="single"/>
        </w:rPr>
        <w:t>2）技术配合工作：协助招标人办理用地规划、用地预审手续批复等工作，</w:t>
      </w:r>
      <w:r>
        <w:rPr>
          <w:rFonts w:hint="eastAsia" w:ascii="宋体" w:hAnsi="宋体" w:cs="仿宋"/>
          <w:color w:val="auto"/>
          <w:sz w:val="24"/>
          <w:highlight w:val="none"/>
          <w:u w:val="single"/>
        </w:rPr>
        <w:t>招标人后续各类招标工作配合、施工图设计配合、设计变更配合、施工配合、现场服务、竣工验收及概算清理、竣工图编制配合、专题研究等；配合设计审查（概念方案审查、设计方案审查、初步设计审查）及相关配套设计服务等设计服务</w:t>
      </w:r>
      <w:r>
        <w:rPr>
          <w:rFonts w:hint="eastAsia" w:ascii="宋体" w:hAnsi="宋体"/>
          <w:color w:val="auto"/>
          <w:sz w:val="24"/>
          <w:highlight w:val="none"/>
          <w:u w:val="single"/>
        </w:rPr>
        <w:t>；投资分解，以分部工程为单位，依据经批复的可研估算编制限额设计投资目标，作为方案设计和初步设计阶段限额设计的依据，负责配合编制基坑工程、基坑支护、场地土方平衡等部分的施工图预算，并确保上述施工图预算控制在经批准的初步设计概算范围内，协助甲方完成对项目其余施工图图纸预算审核工作。</w:t>
      </w:r>
    </w:p>
    <w:p>
      <w:pPr>
        <w:spacing w:line="360" w:lineRule="auto"/>
        <w:ind w:firstLine="470" w:firstLineChars="196"/>
        <w:rPr>
          <w:rFonts w:ascii="宋体" w:hAnsi="宋体"/>
          <w:color w:val="auto"/>
          <w:sz w:val="24"/>
          <w:highlight w:val="none"/>
          <w:u w:val="single"/>
        </w:rPr>
      </w:pPr>
      <w:r>
        <w:rPr>
          <w:rFonts w:hint="eastAsia" w:ascii="宋体" w:hAnsi="宋体" w:cs="宋体"/>
          <w:color w:val="auto"/>
          <w:sz w:val="24"/>
          <w:highlight w:val="none"/>
          <w:u w:val="single"/>
        </w:rPr>
        <w:t>3）报建配合工作：</w:t>
      </w:r>
      <w:r>
        <w:rPr>
          <w:rFonts w:hint="eastAsia" w:ascii="宋体" w:hAnsi="宋体"/>
          <w:color w:val="auto"/>
          <w:sz w:val="24"/>
          <w:highlight w:val="none"/>
          <w:u w:val="single"/>
        </w:rPr>
        <w:t>协助建设单位向规划部门办理《建设项目选址意见书》、《建设项目用地预审意见》、《建设用地规划许可证》、《建设用地批准书》、工程设计方案、管线综合规划、《建设工程规划许可证》等报建报批手续，负责上述规划报建手续所需的相关技术文件的编制，以及购买相关书面文件和电子文件、地形图、各类证照（含公示牌等）、各阶段测量及放线册、周边水域水文资料等的费用，承包单位应根据规划部门的意见对有关申报资料进行修改和补充，建设单位配合承包单位完善有关资料</w:t>
      </w:r>
      <w:r>
        <w:rPr>
          <w:rFonts w:hint="eastAsia" w:ascii="宋体" w:hAnsi="宋体" w:cs="宋体"/>
          <w:color w:val="auto"/>
          <w:sz w:val="24"/>
          <w:highlight w:val="none"/>
          <w:u w:val="single"/>
        </w:rPr>
        <w:t>。</w:t>
      </w:r>
    </w:p>
    <w:p>
      <w:pPr>
        <w:spacing w:line="360" w:lineRule="auto"/>
        <w:ind w:firstLine="470" w:firstLineChars="196"/>
        <w:rPr>
          <w:rFonts w:ascii="宋体" w:hAnsi="宋体" w:cs="宋体"/>
          <w:color w:val="auto"/>
          <w:sz w:val="24"/>
          <w:highlight w:val="none"/>
          <w:u w:val="single"/>
        </w:rPr>
      </w:pPr>
      <w:r>
        <w:rPr>
          <w:rFonts w:hint="eastAsia" w:ascii="宋体" w:hAnsi="宋体" w:cs="宋体"/>
          <w:color w:val="auto"/>
          <w:sz w:val="24"/>
          <w:highlight w:val="none"/>
          <w:u w:val="single"/>
        </w:rPr>
        <w:t>4）各专业报建报审工作：在编制各阶段设计成果文件过程中，根据项目属地规划、住建等建设行政主管部门对工程建设报批报建的有关规定和要求，以及按照使用单位对实际功能的需求和发包人的有关要求，在现行政策规定下完成各项报批报建成果文件的编制。工作范围包括并不限于规划设计、管线综合、消防、人防、景观立面、交通组织、环保节能、绿色建筑等（具体以项目属地建设行政主管部门和招标人要求为准）。</w:t>
      </w:r>
    </w:p>
    <w:p>
      <w:pPr>
        <w:spacing w:line="360" w:lineRule="auto"/>
        <w:ind w:firstLine="470" w:firstLineChars="196"/>
        <w:rPr>
          <w:rFonts w:ascii="宋体" w:hAnsi="宋体" w:cs="宋体"/>
          <w:color w:val="auto"/>
          <w:sz w:val="24"/>
          <w:highlight w:val="none"/>
          <w:u w:val="single"/>
        </w:rPr>
      </w:pPr>
      <w:r>
        <w:rPr>
          <w:rFonts w:ascii="宋体" w:hAnsi="宋体" w:cs="宋体"/>
          <w:color w:val="auto"/>
          <w:sz w:val="24"/>
          <w:highlight w:val="none"/>
          <w:u w:val="single"/>
        </w:rPr>
        <w:t>5</w:t>
      </w:r>
      <w:r>
        <w:rPr>
          <w:rFonts w:hint="eastAsia" w:ascii="宋体" w:hAnsi="宋体" w:cs="宋体"/>
          <w:color w:val="auto"/>
          <w:sz w:val="24"/>
          <w:highlight w:val="none"/>
          <w:u w:val="single"/>
        </w:rPr>
        <w:t>）设计文件修改、完善工作：中标人应根据政府相关行政主管部门、行业主管部门的审批意见无条件地修改、完善各阶段的设计成果文件，确保其满足相关的审批要求；中标人应根据施工图审查单位的审查、招标人的设计评审、招标人组织的专业人士的意见对设计成果文件进行修改、完善。</w:t>
      </w:r>
    </w:p>
    <w:p>
      <w:pPr>
        <w:spacing w:line="360" w:lineRule="auto"/>
        <w:ind w:firstLine="470" w:firstLineChars="196"/>
        <w:rPr>
          <w:rFonts w:ascii="宋体" w:hAnsi="宋体" w:cs="宋体"/>
          <w:color w:val="auto"/>
          <w:sz w:val="24"/>
          <w:highlight w:val="none"/>
          <w:u w:val="single"/>
        </w:rPr>
      </w:pPr>
      <w:r>
        <w:rPr>
          <w:rFonts w:ascii="宋体" w:hAnsi="宋体" w:cs="宋体"/>
          <w:color w:val="auto"/>
          <w:sz w:val="24"/>
          <w:highlight w:val="none"/>
          <w:u w:val="single"/>
        </w:rPr>
        <w:t>6</w:t>
      </w:r>
      <w:r>
        <w:rPr>
          <w:rFonts w:hint="eastAsia" w:ascii="宋体" w:hAnsi="宋体" w:cs="宋体"/>
          <w:color w:val="auto"/>
          <w:sz w:val="24"/>
          <w:highlight w:val="none"/>
          <w:u w:val="single"/>
        </w:rPr>
        <w:t>)设计配合工作包括临水（临时外水）、临电（临时外电）、施工总平面等设计工作。</w:t>
      </w:r>
    </w:p>
    <w:p>
      <w:pPr>
        <w:spacing w:line="360" w:lineRule="auto"/>
        <w:ind w:firstLine="470" w:firstLineChars="196"/>
        <w:rPr>
          <w:rFonts w:ascii="宋体" w:hAnsi="宋体" w:cs="宋体"/>
          <w:color w:val="auto"/>
          <w:sz w:val="24"/>
          <w:highlight w:val="none"/>
          <w:u w:val="single"/>
        </w:rPr>
      </w:pPr>
      <w:r>
        <w:rPr>
          <w:rFonts w:ascii="宋体" w:hAnsi="宋体" w:cs="宋体"/>
          <w:color w:val="auto"/>
          <w:sz w:val="24"/>
          <w:highlight w:val="none"/>
          <w:u w:val="single"/>
        </w:rPr>
        <w:t>7</w:t>
      </w:r>
      <w:r>
        <w:rPr>
          <w:rFonts w:hint="eastAsia" w:ascii="宋体" w:hAnsi="宋体" w:cs="宋体"/>
          <w:color w:val="auto"/>
          <w:sz w:val="24"/>
          <w:highlight w:val="none"/>
          <w:u w:val="single"/>
        </w:rPr>
        <w:t>)现场服务：现</w:t>
      </w:r>
      <w:bookmarkStart w:id="9" w:name="_GoBack"/>
      <w:bookmarkEnd w:id="9"/>
      <w:r>
        <w:rPr>
          <w:rFonts w:hint="eastAsia" w:ascii="宋体" w:hAnsi="宋体" w:cs="宋体"/>
          <w:color w:val="auto"/>
          <w:sz w:val="24"/>
          <w:highlight w:val="none"/>
          <w:u w:val="single"/>
        </w:rPr>
        <w:t>场指导与监督、施工配合（含派设计代表驻现场），及时处理现场设计问题。</w:t>
      </w:r>
    </w:p>
    <w:p>
      <w:pPr>
        <w:spacing w:line="360" w:lineRule="auto"/>
        <w:ind w:firstLine="470" w:firstLineChars="196"/>
        <w:rPr>
          <w:rFonts w:ascii="宋体" w:hAnsi="宋体" w:cs="宋体"/>
          <w:color w:val="auto"/>
          <w:sz w:val="24"/>
          <w:highlight w:val="none"/>
          <w:u w:val="single"/>
        </w:rPr>
      </w:pPr>
      <w:r>
        <w:rPr>
          <w:rFonts w:ascii="宋体" w:hAnsi="宋体" w:cs="宋体"/>
          <w:color w:val="auto"/>
          <w:sz w:val="24"/>
          <w:highlight w:val="none"/>
          <w:u w:val="single"/>
        </w:rPr>
        <w:t>8</w:t>
      </w:r>
      <w:r>
        <w:rPr>
          <w:rFonts w:hint="eastAsia" w:ascii="宋体" w:hAnsi="宋体" w:cs="宋体"/>
          <w:color w:val="auto"/>
          <w:sz w:val="24"/>
          <w:highlight w:val="none"/>
          <w:u w:val="single"/>
        </w:rPr>
        <w:t>)用于材料、设备、施工等招标内容的技术文件编制；</w:t>
      </w:r>
    </w:p>
    <w:p>
      <w:pPr>
        <w:spacing w:line="360" w:lineRule="auto"/>
        <w:ind w:firstLine="470" w:firstLineChars="196"/>
        <w:rPr>
          <w:rFonts w:ascii="宋体" w:hAnsi="宋体" w:cs="宋体"/>
          <w:color w:val="auto"/>
          <w:sz w:val="24"/>
          <w:highlight w:val="none"/>
          <w:u w:val="single"/>
        </w:rPr>
      </w:pPr>
      <w:r>
        <w:rPr>
          <w:rFonts w:ascii="宋体" w:hAnsi="宋体" w:cs="宋体"/>
          <w:color w:val="auto"/>
          <w:sz w:val="24"/>
          <w:highlight w:val="none"/>
          <w:u w:val="single"/>
        </w:rPr>
        <w:t>9</w:t>
      </w:r>
      <w:r>
        <w:rPr>
          <w:rFonts w:hint="eastAsia" w:ascii="宋体" w:hAnsi="宋体" w:cs="宋体"/>
          <w:color w:val="auto"/>
          <w:sz w:val="24"/>
          <w:highlight w:val="none"/>
          <w:u w:val="single"/>
        </w:rPr>
        <w:t>)协助提供工程实体质量监督抽测及监测等咨询工作的招标要求（包括技术要求及清单、预算）等。</w:t>
      </w:r>
    </w:p>
    <w:p>
      <w:pPr>
        <w:spacing w:line="360" w:lineRule="auto"/>
        <w:ind w:firstLine="480" w:firstLineChars="200"/>
        <w:rPr>
          <w:rFonts w:ascii="宋体" w:hAnsi="宋体"/>
          <w:color w:val="auto"/>
          <w:sz w:val="24"/>
          <w:highlight w:val="none"/>
          <w:u w:val="single"/>
        </w:rPr>
      </w:pPr>
      <w:r>
        <w:rPr>
          <w:rFonts w:hint="eastAsia" w:ascii="宋体" w:hAnsi="宋体"/>
          <w:color w:val="auto"/>
          <w:sz w:val="24"/>
          <w:highlight w:val="none"/>
          <w:u w:val="single"/>
        </w:rPr>
        <w:t>1</w:t>
      </w:r>
      <w:r>
        <w:rPr>
          <w:rFonts w:ascii="宋体" w:hAnsi="宋体"/>
          <w:color w:val="auto"/>
          <w:sz w:val="24"/>
          <w:highlight w:val="none"/>
          <w:u w:val="single"/>
        </w:rPr>
        <w:t>0</w:t>
      </w:r>
      <w:r>
        <w:rPr>
          <w:rFonts w:hint="eastAsia" w:ascii="宋体" w:hAnsi="宋体"/>
          <w:color w:val="auto"/>
          <w:sz w:val="24"/>
          <w:highlight w:val="none"/>
          <w:u w:val="single"/>
        </w:rPr>
        <w:t>）负责复核招标人提供的现状地形图等。</w:t>
      </w:r>
    </w:p>
    <w:p>
      <w:pPr>
        <w:spacing w:line="360" w:lineRule="auto"/>
        <w:ind w:firstLine="480" w:firstLineChars="200"/>
        <w:rPr>
          <w:rFonts w:ascii="宋体" w:hAnsi="宋体"/>
          <w:color w:val="auto"/>
          <w:sz w:val="24"/>
          <w:highlight w:val="none"/>
          <w:u w:val="single"/>
        </w:rPr>
      </w:pPr>
      <w:r>
        <w:rPr>
          <w:rFonts w:hint="eastAsia" w:ascii="宋体" w:hAnsi="宋体"/>
          <w:color w:val="auto"/>
          <w:sz w:val="24"/>
          <w:highlight w:val="none"/>
          <w:u w:val="single"/>
        </w:rPr>
        <w:t>1</w:t>
      </w:r>
      <w:r>
        <w:rPr>
          <w:rFonts w:ascii="宋体" w:hAnsi="宋体"/>
          <w:color w:val="auto"/>
          <w:sz w:val="24"/>
          <w:highlight w:val="none"/>
          <w:u w:val="single"/>
        </w:rPr>
        <w:t>1</w:t>
      </w:r>
      <w:r>
        <w:rPr>
          <w:rFonts w:hint="eastAsia" w:ascii="宋体" w:hAnsi="宋体"/>
          <w:color w:val="auto"/>
          <w:sz w:val="24"/>
          <w:highlight w:val="none"/>
          <w:u w:val="single"/>
        </w:rPr>
        <w:t>）负责把关复核施工图中外观及外立面部分、主材及相关用材部分、精装修等部分，以及招标人其他施工图复核要求。</w:t>
      </w:r>
    </w:p>
    <w:p>
      <w:pPr>
        <w:spacing w:line="360" w:lineRule="auto"/>
        <w:ind w:firstLine="470" w:firstLineChars="196"/>
        <w:rPr>
          <w:rFonts w:ascii="宋体" w:hAnsi="宋体"/>
          <w:color w:val="auto"/>
          <w:sz w:val="24"/>
          <w:highlight w:val="none"/>
          <w:u w:val="single"/>
        </w:rPr>
      </w:pPr>
      <w:r>
        <w:rPr>
          <w:rFonts w:hint="eastAsia" w:ascii="宋体" w:hAnsi="宋体"/>
          <w:color w:val="auto"/>
          <w:sz w:val="24"/>
          <w:highlight w:val="none"/>
          <w:u w:val="single"/>
        </w:rPr>
        <w:t>2.</w:t>
      </w:r>
      <w:r>
        <w:rPr>
          <w:rFonts w:hint="eastAsia" w:hAnsi="宋体"/>
          <w:color w:val="auto"/>
          <w:sz w:val="24"/>
          <w:highlight w:val="none"/>
          <w:u w:val="single"/>
        </w:rPr>
        <w:t>2</w:t>
      </w:r>
      <w:r>
        <w:rPr>
          <w:rFonts w:hint="eastAsia" w:ascii="宋体" w:hAnsi="宋体"/>
          <w:color w:val="auto"/>
          <w:sz w:val="24"/>
          <w:highlight w:val="none"/>
          <w:u w:val="single"/>
        </w:rPr>
        <w:t>.</w:t>
      </w:r>
      <w:r>
        <w:rPr>
          <w:rFonts w:hAnsi="宋体"/>
          <w:color w:val="auto"/>
          <w:sz w:val="24"/>
          <w:highlight w:val="none"/>
          <w:u w:val="single"/>
        </w:rPr>
        <w:t>7</w:t>
      </w:r>
      <w:r>
        <w:rPr>
          <w:rFonts w:hint="eastAsia" w:ascii="宋体" w:hAnsi="宋体"/>
          <w:color w:val="auto"/>
          <w:sz w:val="24"/>
          <w:highlight w:val="none"/>
          <w:u w:val="single"/>
        </w:rPr>
        <w:t>配合工作</w:t>
      </w:r>
    </w:p>
    <w:p>
      <w:pPr>
        <w:spacing w:line="360" w:lineRule="auto"/>
        <w:ind w:firstLine="480" w:firstLineChars="200"/>
        <w:rPr>
          <w:rFonts w:ascii="宋体" w:hAnsi="宋体"/>
          <w:color w:val="auto"/>
          <w:sz w:val="24"/>
          <w:highlight w:val="none"/>
          <w:u w:val="single"/>
        </w:rPr>
      </w:pPr>
      <w:r>
        <w:rPr>
          <w:rFonts w:hint="eastAsia" w:ascii="宋体" w:hAnsi="宋体"/>
          <w:color w:val="auto"/>
          <w:sz w:val="24"/>
          <w:highlight w:val="none"/>
          <w:u w:val="single"/>
        </w:rPr>
        <w:t>1）若设计过程中有需要前往外地考察同类项目并借鉴其经验，设计单位应予以协助和配合，考察费用按设计费的5%列支，如有结余则归设计单位所有。</w:t>
      </w:r>
    </w:p>
    <w:p>
      <w:pPr>
        <w:spacing w:line="360" w:lineRule="auto"/>
        <w:ind w:firstLine="480" w:firstLineChars="200"/>
        <w:rPr>
          <w:rFonts w:ascii="宋体" w:hAnsi="宋体"/>
          <w:color w:val="auto"/>
          <w:sz w:val="24"/>
          <w:highlight w:val="none"/>
          <w:u w:val="single"/>
        </w:rPr>
      </w:pPr>
      <w:r>
        <w:rPr>
          <w:rFonts w:hint="eastAsia" w:ascii="宋体" w:hAnsi="宋体"/>
          <w:color w:val="auto"/>
          <w:sz w:val="24"/>
          <w:highlight w:val="none"/>
          <w:u w:val="single"/>
        </w:rPr>
        <w:t>2）参加各类协调、论证、评审等会议，项目负责人及各专业负责人须到会，负责会议有关汇报文件、展示文件的制作和汇报。</w:t>
      </w:r>
    </w:p>
    <w:p>
      <w:pPr>
        <w:spacing w:line="360" w:lineRule="auto"/>
        <w:ind w:firstLine="480" w:firstLineChars="200"/>
        <w:rPr>
          <w:rFonts w:ascii="宋体" w:hAnsi="宋体"/>
          <w:color w:val="auto"/>
          <w:sz w:val="24"/>
          <w:highlight w:val="none"/>
          <w:u w:val="single"/>
        </w:rPr>
      </w:pPr>
      <w:r>
        <w:rPr>
          <w:rFonts w:hint="eastAsia" w:ascii="宋体" w:hAnsi="宋体"/>
          <w:color w:val="auto"/>
          <w:sz w:val="24"/>
          <w:highlight w:val="none"/>
          <w:u w:val="single"/>
        </w:rPr>
        <w:t>3）参加由建设单位组织的专家评审，评审专家劳务费用由承包单位负责。</w:t>
      </w:r>
    </w:p>
    <w:p>
      <w:pPr>
        <w:spacing w:line="360" w:lineRule="auto"/>
        <w:ind w:firstLine="480" w:firstLineChars="200"/>
        <w:rPr>
          <w:rFonts w:ascii="宋体" w:hAnsi="宋体"/>
          <w:color w:val="auto"/>
          <w:sz w:val="24"/>
          <w:highlight w:val="none"/>
          <w:u w:val="single"/>
        </w:rPr>
      </w:pPr>
      <w:r>
        <w:rPr>
          <w:rFonts w:hint="eastAsia" w:ascii="宋体" w:hAnsi="宋体"/>
          <w:color w:val="auto"/>
          <w:sz w:val="24"/>
          <w:highlight w:val="none"/>
          <w:u w:val="single"/>
        </w:rPr>
        <w:t>4）对材料、设备的选型提出合理化建议。</w:t>
      </w:r>
    </w:p>
    <w:p>
      <w:pPr>
        <w:spacing w:line="360" w:lineRule="auto"/>
        <w:ind w:firstLine="480" w:firstLineChars="200"/>
        <w:rPr>
          <w:rFonts w:ascii="宋体" w:hAnsi="宋体"/>
          <w:color w:val="auto"/>
          <w:sz w:val="24"/>
          <w:highlight w:val="none"/>
          <w:u w:val="single"/>
        </w:rPr>
      </w:pPr>
      <w:r>
        <w:rPr>
          <w:rFonts w:hint="eastAsia" w:ascii="宋体" w:hAnsi="宋体"/>
          <w:color w:val="auto"/>
          <w:sz w:val="24"/>
          <w:highlight w:val="none"/>
          <w:u w:val="single"/>
        </w:rPr>
        <w:t>5）对下一阶段EPC单位的招标工作提出合理化建议，配合施工图设计单位的工作开展，配合有关资料的收集、整理和归档。</w:t>
      </w:r>
    </w:p>
    <w:p>
      <w:pPr>
        <w:pStyle w:val="16"/>
        <w:spacing w:line="360" w:lineRule="auto"/>
        <w:ind w:left="0" w:leftChars="0" w:firstLine="0" w:firstLineChars="0"/>
        <w:rPr>
          <w:rFonts w:ascii="宋体" w:hAnsi="宋体"/>
          <w:color w:val="auto"/>
          <w:sz w:val="24"/>
          <w:highlight w:val="none"/>
          <w:u w:val="single"/>
        </w:rPr>
      </w:pPr>
      <w:r>
        <w:rPr>
          <w:rFonts w:hint="eastAsia" w:ascii="宋体" w:hAnsi="宋体"/>
          <w:color w:val="auto"/>
          <w:sz w:val="24"/>
          <w:highlight w:val="none"/>
        </w:rPr>
        <w:t xml:space="preserve">    </w:t>
      </w:r>
      <w:r>
        <w:rPr>
          <w:rFonts w:ascii="宋体" w:hAnsi="宋体"/>
          <w:color w:val="auto"/>
          <w:sz w:val="24"/>
          <w:highlight w:val="none"/>
          <w:u w:val="single"/>
        </w:rPr>
        <w:t>6</w:t>
      </w:r>
      <w:r>
        <w:rPr>
          <w:rFonts w:hint="eastAsia" w:ascii="宋体" w:hAnsi="宋体"/>
          <w:color w:val="auto"/>
          <w:sz w:val="24"/>
          <w:highlight w:val="none"/>
          <w:u w:val="single"/>
        </w:rPr>
        <w:t>）各阶段设计文件深度要求必须满足《建筑工程设计文件编制深度规定》的要求，各专业还应该满足各专业工程设计文件编制深度规范或规定的要求。</w:t>
      </w:r>
    </w:p>
    <w:p>
      <w:pPr>
        <w:spacing w:line="360" w:lineRule="auto"/>
        <w:ind w:firstLine="482" w:firstLineChars="200"/>
        <w:rPr>
          <w:rFonts w:ascii="宋体" w:hAnsi="宋体"/>
          <w:color w:val="auto"/>
          <w:sz w:val="24"/>
          <w:highlight w:val="none"/>
          <w:u w:val="single"/>
        </w:rPr>
      </w:pPr>
      <w:r>
        <w:rPr>
          <w:rFonts w:hint="eastAsia" w:ascii="宋体" w:hAnsi="宋体" w:cs="宋体"/>
          <w:b/>
          <w:bCs/>
          <w:color w:val="auto"/>
          <w:sz w:val="24"/>
          <w:highlight w:val="none"/>
        </w:rPr>
        <w:t>各阶段的设计工作的服务深度需满足现行国家、省、市有关规范规定以及有关职能审批部门的要求。具体工作内容及要求详见本项目项目建议书、可行性研究报告及合同条款的有关约定。</w:t>
      </w:r>
    </w:p>
    <w:p>
      <w:pPr>
        <w:pStyle w:val="4"/>
        <w:ind w:firstLine="647"/>
        <w:rPr>
          <w:rFonts w:ascii="宋体" w:hAnsi="宋体"/>
          <w:b/>
          <w:color w:val="auto"/>
          <w:spacing w:val="1"/>
          <w:sz w:val="32"/>
          <w:highlight w:val="none"/>
        </w:rPr>
      </w:pPr>
      <w:r>
        <w:rPr>
          <w:rFonts w:hint="eastAsia" w:ascii="宋体" w:hAnsi="宋体"/>
          <w:b/>
          <w:color w:val="auto"/>
          <w:spacing w:val="1"/>
          <w:sz w:val="32"/>
          <w:highlight w:val="none"/>
        </w:rPr>
        <w:t>3.设计服务期限、工作目标：</w:t>
      </w:r>
    </w:p>
    <w:p>
      <w:pPr>
        <w:spacing w:line="360" w:lineRule="auto"/>
        <w:ind w:firstLine="480" w:firstLineChars="200"/>
        <w:jc w:val="left"/>
        <w:rPr>
          <w:rFonts w:ascii="宋体" w:hAnsi="宋体" w:cs="宋体"/>
          <w:color w:val="auto"/>
          <w:sz w:val="24"/>
          <w:highlight w:val="none"/>
          <w:u w:val="single"/>
        </w:rPr>
      </w:pPr>
      <w:r>
        <w:rPr>
          <w:rFonts w:hint="eastAsia" w:ascii="宋体" w:hAnsi="宋体" w:cs="宋体"/>
          <w:color w:val="auto"/>
          <w:sz w:val="24"/>
          <w:highlight w:val="none"/>
          <w:u w:val="single"/>
        </w:rPr>
        <w:t>3.1 设计工期：中标人应在中标通知书发出后30日历天内配合招标人及使用单位确定设计方案；方案确定后60日历天内完成初步设计及概算编制工作；经初步设计专家评审后，按照专家评审意见15日历天内完成初步设计文件的修改完善及专家确认工作；配合</w:t>
      </w:r>
      <w:r>
        <w:rPr>
          <w:rFonts w:hint="eastAsia" w:ascii="宋体" w:hAnsi="宋体" w:cs="宋体"/>
          <w:strike/>
          <w:color w:val="auto"/>
          <w:sz w:val="24"/>
          <w:highlight w:val="none"/>
          <w:u w:val="single"/>
        </w:rPr>
        <w:t>全过程</w:t>
      </w:r>
      <w:r>
        <w:rPr>
          <w:rFonts w:hint="eastAsia" w:ascii="宋体" w:hAnsi="宋体" w:cs="宋体"/>
          <w:color w:val="auto"/>
          <w:sz w:val="24"/>
          <w:highlight w:val="none"/>
          <w:u w:val="single"/>
        </w:rPr>
        <w:t>造价咨询单位在45日历天内完成初步设计概算审核及定稿工作。如果延误工程，则按专用合同条款14.1.4条等条款承担违约责任。</w:t>
      </w:r>
    </w:p>
    <w:p>
      <w:pPr>
        <w:spacing w:line="360" w:lineRule="auto"/>
        <w:ind w:firstLine="480" w:firstLineChars="200"/>
        <w:jc w:val="left"/>
        <w:rPr>
          <w:rFonts w:ascii="宋体" w:hAnsi="宋体" w:cs="宋体"/>
          <w:color w:val="auto"/>
          <w:sz w:val="24"/>
          <w:highlight w:val="none"/>
          <w:u w:val="single"/>
        </w:rPr>
      </w:pPr>
      <w:r>
        <w:rPr>
          <w:rFonts w:hint="eastAsia" w:ascii="宋体" w:hAnsi="宋体" w:cs="宋体"/>
          <w:color w:val="auto"/>
          <w:sz w:val="24"/>
          <w:highlight w:val="none"/>
          <w:u w:val="single"/>
        </w:rPr>
        <w:t>3.2工作目标：</w:t>
      </w:r>
    </w:p>
    <w:p>
      <w:pPr>
        <w:spacing w:line="360" w:lineRule="auto"/>
        <w:ind w:firstLine="480" w:firstLineChars="200"/>
        <w:jc w:val="left"/>
        <w:rPr>
          <w:rFonts w:ascii="宋体" w:hAnsi="宋体" w:cs="宋体"/>
          <w:color w:val="auto"/>
          <w:sz w:val="24"/>
          <w:highlight w:val="none"/>
          <w:u w:val="single"/>
        </w:rPr>
      </w:pPr>
      <w:r>
        <w:rPr>
          <w:rFonts w:hint="eastAsia" w:ascii="宋体" w:hAnsi="宋体" w:cs="宋体"/>
          <w:color w:val="auto"/>
          <w:sz w:val="24"/>
          <w:highlight w:val="none"/>
          <w:u w:val="single"/>
        </w:rPr>
        <w:t>（1）投资控制目标：在保证设计质量的前提下，全过程实行限额设计,在包含完整批复初步设计概算全部建设内容的前提下，必须按照政府主管部门确定的投资额度和要求严格控制，实行投资控制，严格控制初步设计和施工图设计的变更，确保工程概、预算不突破投资目标。</w:t>
      </w:r>
    </w:p>
    <w:p>
      <w:pPr>
        <w:spacing w:line="360" w:lineRule="auto"/>
        <w:ind w:firstLine="480" w:firstLineChars="200"/>
        <w:jc w:val="left"/>
        <w:rPr>
          <w:rFonts w:ascii="宋体" w:hAnsi="宋体" w:cs="宋体"/>
          <w:color w:val="auto"/>
          <w:sz w:val="24"/>
          <w:highlight w:val="none"/>
          <w:u w:val="single"/>
        </w:rPr>
      </w:pPr>
      <w:r>
        <w:rPr>
          <w:rFonts w:hint="eastAsia" w:ascii="宋体" w:hAnsi="宋体" w:cs="宋体"/>
          <w:color w:val="auto"/>
          <w:sz w:val="24"/>
          <w:highlight w:val="none"/>
          <w:u w:val="single"/>
        </w:rPr>
        <w:t>（2）质量标准：符合《建设工程质量管理条例》《建设工程勘察设计管理条例》《建筑工程设计文件编制深度规定（2016年版）》等国家及地方有关工程设计管理法规和规章，达到行业相关规范技术标准等要求。</w:t>
      </w:r>
    </w:p>
    <w:p>
      <w:pPr>
        <w:spacing w:line="360" w:lineRule="auto"/>
        <w:ind w:firstLine="480"/>
        <w:rPr>
          <w:rFonts w:ascii="宋体" w:hAnsi="宋体" w:cs="宋体"/>
          <w:color w:val="auto"/>
          <w:sz w:val="24"/>
          <w:highlight w:val="none"/>
          <w:u w:val="single"/>
        </w:rPr>
      </w:pPr>
      <w:r>
        <w:rPr>
          <w:rFonts w:hint="eastAsia" w:ascii="宋体" w:hAnsi="宋体" w:cs="宋体"/>
          <w:color w:val="auto"/>
          <w:sz w:val="24"/>
          <w:highlight w:val="none"/>
          <w:u w:val="single"/>
        </w:rPr>
        <w:t>（3）绿色建筑目标：绿色建筑评价二星级标准。</w:t>
      </w:r>
    </w:p>
    <w:p>
      <w:pPr>
        <w:spacing w:line="360" w:lineRule="auto"/>
        <w:ind w:firstLine="480"/>
        <w:rPr>
          <w:rFonts w:ascii="宋体" w:hAnsi="宋体" w:cs="宋体"/>
          <w:color w:val="auto"/>
          <w:sz w:val="24"/>
          <w:highlight w:val="none"/>
          <w:u w:val="single"/>
        </w:rPr>
      </w:pPr>
      <w:r>
        <w:rPr>
          <w:rFonts w:hint="eastAsia" w:ascii="宋体" w:hAnsi="宋体" w:cs="宋体"/>
          <w:color w:val="auto"/>
          <w:sz w:val="24"/>
          <w:highlight w:val="none"/>
          <w:u w:val="single"/>
        </w:rPr>
        <w:t>中标人各阶段设计工作及所提交的设计成果应满足上述目标的申报条件，同时中标人应配合上述目标的申报，为申报工作提供相关基础资料。相关费用已包含在投标报价中，招标人不再另行支付费用。</w:t>
      </w:r>
    </w:p>
    <w:p>
      <w:pPr>
        <w:pStyle w:val="4"/>
        <w:ind w:firstLine="647"/>
        <w:rPr>
          <w:rFonts w:ascii="宋体" w:hAnsi="宋体"/>
          <w:b/>
          <w:color w:val="auto"/>
          <w:spacing w:val="1"/>
          <w:sz w:val="32"/>
          <w:highlight w:val="none"/>
        </w:rPr>
      </w:pPr>
      <w:r>
        <w:rPr>
          <w:rFonts w:hint="eastAsia" w:ascii="宋体" w:hAnsi="宋体"/>
          <w:b/>
          <w:color w:val="auto"/>
          <w:spacing w:val="1"/>
          <w:sz w:val="32"/>
          <w:highlight w:val="none"/>
        </w:rPr>
        <w:t>4. 投标限价</w:t>
      </w:r>
    </w:p>
    <w:p>
      <w:pPr>
        <w:snapToGrid w:val="0"/>
        <w:spacing w:line="360" w:lineRule="auto"/>
        <w:ind w:firstLine="480" w:firstLineChars="200"/>
        <w:rPr>
          <w:rFonts w:ascii="宋体" w:hAnsi="宋体" w:cs="宋体"/>
          <w:color w:val="auto"/>
          <w:sz w:val="24"/>
          <w:szCs w:val="22"/>
          <w:highlight w:val="none"/>
          <w:u w:val="single"/>
        </w:rPr>
      </w:pPr>
      <w:r>
        <w:rPr>
          <w:rFonts w:hint="eastAsia" w:ascii="宋体" w:hAnsi="宋体"/>
          <w:color w:val="auto"/>
          <w:sz w:val="24"/>
          <w:highlight w:val="none"/>
          <w:u w:val="single"/>
        </w:rPr>
        <w:t>4.1本项目工程设计费最高投标限价为461.64万元。</w:t>
      </w:r>
      <w:r>
        <w:rPr>
          <w:rFonts w:hint="eastAsia" w:ascii="宋体" w:hAnsi="宋体" w:cs="宋体"/>
          <w:color w:val="auto"/>
          <w:sz w:val="24"/>
          <w:szCs w:val="22"/>
          <w:highlight w:val="none"/>
          <w:u w:val="single"/>
        </w:rPr>
        <w:t>其中：方案设计及初步设计费最高限价435.23万元；BIM技术方案设计及初步设计费最高限价为26.41万元。</w:t>
      </w:r>
    </w:p>
    <w:p>
      <w:pPr>
        <w:snapToGrid w:val="0"/>
        <w:spacing w:line="360" w:lineRule="auto"/>
        <w:ind w:firstLine="480" w:firstLineChars="200"/>
        <w:rPr>
          <w:rFonts w:ascii="宋体" w:hAnsi="宋体"/>
          <w:color w:val="auto"/>
          <w:sz w:val="24"/>
          <w:highlight w:val="none"/>
          <w:u w:val="single"/>
        </w:rPr>
      </w:pPr>
      <w:r>
        <w:rPr>
          <w:rFonts w:hint="eastAsia" w:ascii="宋体" w:hAnsi="宋体"/>
          <w:color w:val="auto"/>
          <w:sz w:val="24"/>
          <w:highlight w:val="none"/>
          <w:u w:val="single"/>
        </w:rPr>
        <w:t>投标人的投标报价高于最高投标限价的均为无效标。项目应实行限额设计，建筑设计暂以《广东省发展改革委关于广东省计量科学研究院知识城检测基地项目立项的复函》中建安工程费（32465万元）作为设计限额。</w:t>
      </w:r>
    </w:p>
    <w:p>
      <w:pPr>
        <w:snapToGrid w:val="0"/>
        <w:spacing w:line="360" w:lineRule="auto"/>
        <w:ind w:firstLine="480" w:firstLineChars="200"/>
        <w:rPr>
          <w:rFonts w:ascii="宋体" w:hAnsi="宋体"/>
          <w:color w:val="auto"/>
          <w:sz w:val="24"/>
          <w:highlight w:val="none"/>
          <w:u w:val="single"/>
        </w:rPr>
      </w:pPr>
      <w:r>
        <w:rPr>
          <w:rFonts w:hint="eastAsia" w:ascii="宋体" w:hAnsi="宋体"/>
          <w:color w:val="auto"/>
          <w:sz w:val="24"/>
          <w:highlight w:val="none"/>
          <w:u w:val="single"/>
        </w:rPr>
        <w:t>4.2设计收费实行市场调节价，投标人自主报价，投标报价不得高于本项目的最高投标限价；在合同实施期间工程设计费总价包干，不因设计工作量调整及工程造价的变化而变化，最终结算根据省财政厅《关于规范省级项目主管部门对下属单位基本建设工程结（决）算审核工作的通知》（粤财建[2017]120号）等财政部门的相关规定办理。工程设计费已包含了后续项目变更的设计工作量，项目概算内产生的变更调整不再另行增加设计费。</w:t>
      </w:r>
    </w:p>
    <w:p>
      <w:pPr>
        <w:snapToGrid w:val="0"/>
        <w:spacing w:line="360" w:lineRule="auto"/>
        <w:ind w:firstLine="480" w:firstLineChars="200"/>
        <w:jc w:val="left"/>
        <w:rPr>
          <w:rFonts w:ascii="宋体" w:hAnsi="宋体"/>
          <w:color w:val="auto"/>
          <w:sz w:val="24"/>
          <w:highlight w:val="none"/>
          <w:u w:val="single"/>
        </w:rPr>
      </w:pPr>
      <w:r>
        <w:rPr>
          <w:rFonts w:ascii="宋体" w:hAnsi="宋体"/>
          <w:color w:val="auto"/>
          <w:sz w:val="24"/>
          <w:highlight w:val="none"/>
          <w:u w:val="single"/>
        </w:rPr>
        <w:t>4.3取得概算批复后，最终设计费按批复概算建安工程费</w:t>
      </w:r>
      <w:r>
        <w:rPr>
          <w:rFonts w:hint="eastAsia" w:ascii="宋体" w:hAnsi="宋体"/>
          <w:color w:val="auto"/>
          <w:sz w:val="24"/>
          <w:highlight w:val="none"/>
          <w:u w:val="single"/>
        </w:rPr>
        <w:t>与《广东省发展改革委关于广东省计量科学研究院知识城检测基地项目立项的复函》中建安工程费进行等比例换算，并签订设计费包干价的补充协议，以此作为工程设计费进度款支付及结算依据，同时，对设计费进度款支付情况进行复核，多退少补。设计费等比例换算方法为，根据投标人的工程设计费费率（中标工程设计费费率</w:t>
      </w:r>
      <w:r>
        <w:rPr>
          <w:rFonts w:ascii="宋体" w:hAnsi="宋体"/>
          <w:color w:val="auto"/>
          <w:sz w:val="24"/>
          <w:highlight w:val="none"/>
          <w:u w:val="single"/>
        </w:rPr>
        <w:t>=中标设计费金额/</w:t>
      </w:r>
      <w:r>
        <w:rPr>
          <w:rFonts w:hint="eastAsia" w:ascii="宋体" w:hAnsi="宋体"/>
          <w:color w:val="auto"/>
          <w:sz w:val="24"/>
          <w:highlight w:val="none"/>
          <w:u w:val="single"/>
        </w:rPr>
        <w:t>《广东省发展改革委关于广东省计量科学研究院知识城检测基地项目立项的复函》</w:t>
      </w:r>
      <w:r>
        <w:rPr>
          <w:rFonts w:ascii="宋体" w:hAnsi="宋体"/>
          <w:color w:val="auto"/>
          <w:sz w:val="24"/>
          <w:highlight w:val="none"/>
          <w:u w:val="single"/>
        </w:rPr>
        <w:t>中建安工程费</w:t>
      </w:r>
      <w:r>
        <w:rPr>
          <w:rFonts w:hint="eastAsia" w:ascii="宋体" w:hAnsi="宋体"/>
          <w:color w:val="auto"/>
          <w:sz w:val="24"/>
          <w:highlight w:val="none"/>
          <w:u w:val="single"/>
        </w:rPr>
        <w:t>），工程设计费包干结算金额</w:t>
      </w:r>
      <w:r>
        <w:rPr>
          <w:rFonts w:ascii="宋体" w:hAnsi="宋体"/>
          <w:color w:val="auto"/>
          <w:sz w:val="24"/>
          <w:highlight w:val="none"/>
          <w:u w:val="single"/>
        </w:rPr>
        <w:t>=批复概算建安工程费</w:t>
      </w:r>
      <w:r>
        <w:rPr>
          <w:rFonts w:hint="eastAsia" w:ascii="宋体" w:hAnsi="宋体"/>
          <w:color w:val="auto"/>
          <w:sz w:val="24"/>
          <w:highlight w:val="none"/>
          <w:u w:val="single"/>
        </w:rPr>
        <w:t>×中标工程设计费费率。</w:t>
      </w:r>
    </w:p>
    <w:p>
      <w:pPr>
        <w:pStyle w:val="4"/>
        <w:spacing w:line="360" w:lineRule="auto"/>
        <w:ind w:firstLine="647"/>
        <w:rPr>
          <w:rFonts w:ascii="宋体" w:hAnsi="宋体"/>
          <w:b/>
          <w:color w:val="auto"/>
          <w:spacing w:val="1"/>
          <w:sz w:val="32"/>
          <w:highlight w:val="none"/>
        </w:rPr>
      </w:pPr>
      <w:bookmarkStart w:id="2" w:name="_Toc25072050"/>
      <w:r>
        <w:rPr>
          <w:rFonts w:hint="eastAsia" w:ascii="宋体" w:hAnsi="宋体"/>
          <w:b/>
          <w:color w:val="auto"/>
          <w:spacing w:val="1"/>
          <w:sz w:val="32"/>
          <w:highlight w:val="none"/>
        </w:rPr>
        <w:t>5.投标人资格要求</w:t>
      </w:r>
      <w:bookmarkEnd w:id="2"/>
    </w:p>
    <w:p>
      <w:pPr>
        <w:autoSpaceDE w:val="0"/>
        <w:autoSpaceDN w:val="0"/>
        <w:adjustRightInd w:val="0"/>
        <w:spacing w:line="360" w:lineRule="auto"/>
        <w:ind w:firstLine="480" w:firstLineChars="200"/>
        <w:rPr>
          <w:rFonts w:ascii="宋体" w:hAnsi="宋体"/>
          <w:color w:val="auto"/>
          <w:kern w:val="0"/>
          <w:sz w:val="24"/>
          <w:highlight w:val="none"/>
          <w:u w:val="single"/>
        </w:rPr>
      </w:pPr>
      <w:r>
        <w:rPr>
          <w:rFonts w:hint="eastAsia" w:ascii="宋体" w:hAnsi="宋体"/>
          <w:color w:val="auto"/>
          <w:kern w:val="0"/>
          <w:sz w:val="24"/>
          <w:highlight w:val="none"/>
          <w:u w:val="single"/>
        </w:rPr>
        <w:t>5.1  投标人与招标人过去3年内无合同履约纠纷，没有不得参加投标的情形。</w:t>
      </w:r>
    </w:p>
    <w:p>
      <w:pPr>
        <w:autoSpaceDE w:val="0"/>
        <w:autoSpaceDN w:val="0"/>
        <w:adjustRightInd w:val="0"/>
        <w:spacing w:line="360" w:lineRule="auto"/>
        <w:ind w:firstLine="480" w:firstLineChars="200"/>
        <w:rPr>
          <w:rFonts w:ascii="宋体" w:hAnsi="宋体" w:cs="宋体"/>
          <w:color w:val="auto"/>
          <w:sz w:val="24"/>
          <w:highlight w:val="none"/>
        </w:rPr>
      </w:pPr>
      <w:r>
        <w:rPr>
          <w:rFonts w:hint="eastAsia" w:ascii="宋体" w:hAnsi="宋体"/>
          <w:color w:val="auto"/>
          <w:kern w:val="0"/>
          <w:sz w:val="24"/>
          <w:highlight w:val="none"/>
        </w:rPr>
        <w:t>[注释] 合同履约纠纷是指招标人过去3年内曾与投标人签订合同，并且对投标人不满意。不得参加投标的情形详见招标文件第二章投标人须知第1.4.3条。</w:t>
      </w:r>
    </w:p>
    <w:p>
      <w:pPr>
        <w:autoSpaceDE w:val="0"/>
        <w:autoSpaceDN w:val="0"/>
        <w:adjustRightInd w:val="0"/>
        <w:spacing w:line="360" w:lineRule="auto"/>
        <w:ind w:firstLine="480" w:firstLineChars="200"/>
        <w:rPr>
          <w:color w:val="auto"/>
          <w:highlight w:val="none"/>
        </w:rPr>
      </w:pPr>
      <w:r>
        <w:rPr>
          <w:rFonts w:hint="eastAsia" w:ascii="宋体" w:hAnsi="宋体"/>
          <w:color w:val="auto"/>
          <w:kern w:val="0"/>
          <w:sz w:val="24"/>
          <w:highlight w:val="none"/>
          <w:u w:val="single"/>
        </w:rPr>
        <w:t xml:space="preserve">5.2  </w:t>
      </w:r>
      <w:r>
        <w:rPr>
          <w:rFonts w:hint="eastAsia" w:ascii="宋体" w:hAnsi="宋体"/>
          <w:color w:val="auto"/>
          <w:spacing w:val="9"/>
          <w:kern w:val="0"/>
          <w:sz w:val="24"/>
          <w:highlight w:val="none"/>
          <w:u w:val="single"/>
        </w:rPr>
        <w:t>投标人须具备建设行政主管部门颁发的工程设计综合甲级资质，或工程设计（建筑行业）甲级，或建筑行业（建筑工程）专业设计甲级，或建筑设计事务所资质，或已备案的香港企业。</w:t>
      </w:r>
    </w:p>
    <w:p>
      <w:pPr>
        <w:spacing w:line="360" w:lineRule="auto"/>
        <w:ind w:firstLine="480" w:firstLineChars="200"/>
        <w:jc w:val="left"/>
        <w:rPr>
          <w:rFonts w:ascii="宋体" w:hAnsi="宋体" w:cs="宋体"/>
          <w:color w:val="auto"/>
          <w:kern w:val="0"/>
          <w:sz w:val="24"/>
          <w:highlight w:val="none"/>
          <w:u w:val="single"/>
        </w:rPr>
      </w:pPr>
      <w:r>
        <w:rPr>
          <w:rFonts w:hint="eastAsia" w:ascii="宋体" w:hAnsi="宋体" w:cs="宋体"/>
          <w:color w:val="auto"/>
          <w:kern w:val="0"/>
          <w:sz w:val="24"/>
          <w:highlight w:val="none"/>
          <w:u w:val="single"/>
        </w:rPr>
        <w:t>香港企业独立参加投标的，须在广东省住房和城乡建设主管部门备案且备案的业务范围满足本项目相应的设计资质要求。</w:t>
      </w:r>
    </w:p>
    <w:p>
      <w:pPr>
        <w:spacing w:line="360" w:lineRule="auto"/>
        <w:ind w:firstLine="480" w:firstLineChars="200"/>
        <w:jc w:val="left"/>
        <w:rPr>
          <w:rFonts w:ascii="宋体" w:hAnsi="宋体" w:cs="宋体"/>
          <w:color w:val="auto"/>
          <w:kern w:val="0"/>
          <w:sz w:val="24"/>
          <w:highlight w:val="none"/>
          <w:u w:val="single"/>
        </w:rPr>
      </w:pPr>
      <w:r>
        <w:rPr>
          <w:rFonts w:hint="eastAsia" w:ascii="宋体" w:hAnsi="宋体" w:cs="宋体"/>
          <w:color w:val="auto"/>
          <w:kern w:val="0"/>
          <w:sz w:val="24"/>
          <w:highlight w:val="none"/>
          <w:u w:val="single"/>
        </w:rPr>
        <w:t>注：（1）国内申请人具体资质要求按照《建设工程勘察设计资质管理规定》（建设部令第160号）、《工程勘察、工程设计资质分级标准补充规定》（建设[2001]178号）、《工程设计资质标准》（建市〔2007〕86号）、《建设工程勘察设计资质管理规定实施意见》（建市[2007]202号）、《住房城乡建设部关于促进建筑工程设计事务所发展有关事项的通知》（建市（2016）261号）填写。</w:t>
      </w:r>
    </w:p>
    <w:p>
      <w:pPr>
        <w:spacing w:line="360" w:lineRule="auto"/>
        <w:ind w:firstLine="480" w:firstLineChars="200"/>
        <w:jc w:val="left"/>
        <w:rPr>
          <w:rFonts w:ascii="宋体" w:hAnsi="宋体" w:cs="宋体"/>
          <w:color w:val="auto"/>
          <w:kern w:val="0"/>
          <w:sz w:val="24"/>
          <w:highlight w:val="none"/>
          <w:u w:val="single"/>
        </w:rPr>
      </w:pPr>
      <w:r>
        <w:rPr>
          <w:rFonts w:hint="eastAsia" w:ascii="宋体" w:hAnsi="宋体" w:cs="宋体"/>
          <w:color w:val="auto"/>
          <w:kern w:val="0"/>
          <w:sz w:val="24"/>
          <w:highlight w:val="none"/>
          <w:u w:val="single"/>
        </w:rPr>
        <w:t xml:space="preserve">（2）工程设计企业资质证书有效期按《住房和城乡建设部办公厅关于做好建筑业“证照分离”改革衔接有关工作的通知》（建办市〔2021〕30号）、《住房和城乡建设部办公厅关于建设工程企业资质有关事宜的通知》（建办市函〔2022〕361号）、《广东省住房和城乡建设厅关于建设工程企业资质有关事宜的通知》（粤建许函〔2022〕846号）执行、《住房城乡建设部建筑市场监管司关于建设工程企业资质延续有关事项的通知》（建司局函市〔2023〕116号）、《广东省住房和城乡建设厅关于建设工程企业资质延续有关事项的通知》（粤建许函〔2023〕820号）等相关规定。根据上述文件的要求，投标人需办理企业资质有效期延续的，应当按照相关规定及时办理。 </w:t>
      </w:r>
    </w:p>
    <w:p>
      <w:pPr>
        <w:autoSpaceDE w:val="0"/>
        <w:autoSpaceDN w:val="0"/>
        <w:adjustRightInd w:val="0"/>
        <w:spacing w:line="360" w:lineRule="auto"/>
        <w:ind w:firstLine="480" w:firstLineChars="200"/>
        <w:jc w:val="left"/>
        <w:rPr>
          <w:rFonts w:ascii="宋体" w:hAnsi="宋体"/>
          <w:color w:val="auto"/>
          <w:spacing w:val="7"/>
          <w:kern w:val="0"/>
          <w:sz w:val="24"/>
          <w:highlight w:val="none"/>
          <w:u w:val="single"/>
        </w:rPr>
      </w:pPr>
      <w:r>
        <w:rPr>
          <w:rFonts w:hint="eastAsia" w:ascii="宋体" w:hAnsi="宋体" w:cs="宋体"/>
          <w:color w:val="auto"/>
          <w:kern w:val="0"/>
          <w:sz w:val="24"/>
          <w:highlight w:val="none"/>
          <w:u w:val="single"/>
        </w:rPr>
        <w:t>（3）香港企业备案的业务范围依据《广东省住房和城乡建设厅关于印发香港工程建设咨询企业和专业人士在粤港澳大湾区内地城市开业执业试点管理暂行办法的通知》（粤建规范〔2020〕1号），详见链接：http://zfcxjst.gd.gov.cn/xxgk/wjtz/content/post_3137220.html）确定。香港企业须提供满足招标文件要求的相应资质证书及备案证明资料扫描件。</w:t>
      </w:r>
    </w:p>
    <w:p>
      <w:pPr>
        <w:autoSpaceDE w:val="0"/>
        <w:autoSpaceDN w:val="0"/>
        <w:adjustRightInd w:val="0"/>
        <w:spacing w:line="360" w:lineRule="auto"/>
        <w:ind w:firstLine="508" w:firstLineChars="200"/>
        <w:rPr>
          <w:rFonts w:ascii="宋体" w:hAnsi="宋体"/>
          <w:color w:val="auto"/>
          <w:spacing w:val="7"/>
          <w:kern w:val="0"/>
          <w:sz w:val="24"/>
          <w:highlight w:val="none"/>
          <w:u w:val="single"/>
        </w:rPr>
      </w:pPr>
      <w:r>
        <w:rPr>
          <w:rFonts w:hint="eastAsia" w:ascii="宋体" w:hAnsi="宋体"/>
          <w:color w:val="auto"/>
          <w:spacing w:val="7"/>
          <w:kern w:val="0"/>
          <w:sz w:val="24"/>
          <w:highlight w:val="none"/>
          <w:u w:val="single"/>
        </w:rPr>
        <w:t>5.3  外国或澳门、台湾的设计企业必须选择一家符合上述条件的企业进行合作设计。香港企业如不单独参加投标，也必须选择一家符合上述条件的企业进行合作设计。</w:t>
      </w:r>
    </w:p>
    <w:p>
      <w:pPr>
        <w:autoSpaceDE w:val="0"/>
        <w:autoSpaceDN w:val="0"/>
        <w:adjustRightInd w:val="0"/>
        <w:spacing w:line="360" w:lineRule="auto"/>
        <w:ind w:firstLine="508" w:firstLineChars="200"/>
        <w:jc w:val="left"/>
        <w:rPr>
          <w:rFonts w:ascii="宋体" w:hAnsi="宋体"/>
          <w:color w:val="auto"/>
          <w:spacing w:val="7"/>
          <w:kern w:val="0"/>
          <w:sz w:val="24"/>
          <w:highlight w:val="none"/>
          <w:u w:val="single"/>
        </w:rPr>
      </w:pPr>
      <w:r>
        <w:rPr>
          <w:rFonts w:hint="eastAsia" w:ascii="宋体" w:hAnsi="宋体"/>
          <w:color w:val="auto"/>
          <w:spacing w:val="7"/>
          <w:kern w:val="0"/>
          <w:sz w:val="24"/>
          <w:highlight w:val="none"/>
          <w:u w:val="single"/>
        </w:rPr>
        <w:t>5.4  投标人已在广州市住房和城乡建设局建立企业信用档案，拟委派的项目负责人须是本企业信用档案中的在册人员。（信用档案办理详见《广州市住建行业信用管理平台设计企业信息录入指引》</w:t>
      </w:r>
    </w:p>
    <w:p>
      <w:pPr>
        <w:autoSpaceDE w:val="0"/>
        <w:autoSpaceDN w:val="0"/>
        <w:adjustRightInd w:val="0"/>
        <w:spacing w:line="360" w:lineRule="auto"/>
        <w:ind w:firstLine="508" w:firstLineChars="200"/>
        <w:rPr>
          <w:rFonts w:ascii="宋体" w:hAnsi="宋体"/>
          <w:color w:val="auto"/>
          <w:spacing w:val="7"/>
          <w:kern w:val="0"/>
          <w:sz w:val="24"/>
          <w:highlight w:val="none"/>
          <w:u w:val="single"/>
        </w:rPr>
      </w:pPr>
      <w:r>
        <w:rPr>
          <w:rFonts w:hint="eastAsia" w:ascii="宋体" w:hAnsi="宋体"/>
          <w:color w:val="auto"/>
          <w:spacing w:val="7"/>
          <w:kern w:val="0"/>
          <w:sz w:val="24"/>
          <w:highlight w:val="none"/>
          <w:u w:val="single"/>
        </w:rPr>
        <w:t>5.5投标人委派的项目负责人须具备一级注册建筑师资格或备案的业务范围相当于一级注册建筑师的香港专业人士。</w:t>
      </w:r>
    </w:p>
    <w:p>
      <w:pPr>
        <w:autoSpaceDE w:val="0"/>
        <w:autoSpaceDN w:val="0"/>
        <w:adjustRightInd w:val="0"/>
        <w:spacing w:line="360" w:lineRule="auto"/>
        <w:ind w:firstLine="508" w:firstLineChars="200"/>
        <w:rPr>
          <w:rFonts w:ascii="宋体" w:hAnsi="宋体"/>
          <w:color w:val="auto"/>
          <w:spacing w:val="7"/>
          <w:kern w:val="0"/>
          <w:sz w:val="24"/>
          <w:highlight w:val="none"/>
          <w:u w:val="single"/>
        </w:rPr>
      </w:pPr>
      <w:r>
        <w:rPr>
          <w:rFonts w:hint="eastAsia" w:ascii="宋体" w:hAnsi="宋体"/>
          <w:color w:val="auto"/>
          <w:spacing w:val="7"/>
          <w:kern w:val="0"/>
          <w:sz w:val="24"/>
          <w:highlight w:val="none"/>
          <w:u w:val="single"/>
        </w:rPr>
        <w:t>注：根据《全国注册建筑师管理委员会关于开展使用一级注册建筑师电子注册证书工作的通知》（住建[2021]2号）要求，自2022年7月1日起，一级注册建筑师统一使用电子证书，纸质注册证书作废。各投标人须提供一级注册建筑师证书电子证书打印签名件，电子证书应当符合相关文件规定，若投标人提供的一级注册建筑师电子证书超过使用有效期、未在个人签名处手写签名或手写签名与签名图像笔迹存在差异的，资格审查时应通过“全国建筑市场监管公共服务平台”查询持证人注册建筑师注册信息，注册信息与投标文件所附电子证书一致的，上述情形不影响投标人通过资格审查。评标结束后，若该投标人为中标候选人的，投标人应在招标人规定的时限内提交符合要求的电子证书打印件和持证人出具的知情承诺。投标人未按时提交或提交资料不符合上述要求的，视为放弃中标资格。</w:t>
      </w:r>
    </w:p>
    <w:p>
      <w:pPr>
        <w:autoSpaceDE w:val="0"/>
        <w:autoSpaceDN w:val="0"/>
        <w:adjustRightInd w:val="0"/>
        <w:spacing w:line="360" w:lineRule="auto"/>
        <w:ind w:firstLine="508" w:firstLineChars="200"/>
        <w:rPr>
          <w:rFonts w:ascii="宋体" w:hAnsi="宋体"/>
          <w:color w:val="auto"/>
          <w:spacing w:val="7"/>
          <w:kern w:val="0"/>
          <w:sz w:val="24"/>
          <w:highlight w:val="none"/>
          <w:u w:val="single"/>
        </w:rPr>
      </w:pPr>
      <w:r>
        <w:rPr>
          <w:rFonts w:hint="eastAsia" w:ascii="宋体" w:hAnsi="宋体"/>
          <w:color w:val="auto"/>
          <w:spacing w:val="7"/>
          <w:kern w:val="0"/>
          <w:sz w:val="24"/>
          <w:highlight w:val="none"/>
          <w:u w:val="single"/>
        </w:rPr>
        <w:t>香港专业人士的备案业务范围依据《广东省住房和城乡建设厅关于印发香港工程建设咨询企业和专业人士在粤港澳大湾区内地城市开业执业试点管理暂行办法的通知》（粤建规范〔2020〕1号）确定）。香港专业人士须提供满足招标文件要求的相应执业证书及备案证明资料扫描件。</w:t>
      </w:r>
    </w:p>
    <w:p>
      <w:pPr>
        <w:spacing w:line="360" w:lineRule="auto"/>
        <w:ind w:firstLine="508"/>
        <w:rPr>
          <w:rFonts w:ascii="宋体" w:hAnsi="宋体" w:cs="宋体"/>
          <w:color w:val="auto"/>
          <w:sz w:val="24"/>
          <w:highlight w:val="none"/>
          <w:u w:val="single"/>
        </w:rPr>
      </w:pPr>
      <w:r>
        <w:rPr>
          <w:rFonts w:hint="eastAsia" w:ascii="宋体" w:hAnsi="宋体"/>
          <w:color w:val="auto"/>
          <w:spacing w:val="7"/>
          <w:kern w:val="0"/>
          <w:sz w:val="24"/>
          <w:highlight w:val="none"/>
          <w:u w:val="single"/>
        </w:rPr>
        <w:t>5.6</w:t>
      </w:r>
      <w:r>
        <w:rPr>
          <w:rFonts w:hint="eastAsia" w:ascii="宋体" w:hAnsi="宋体" w:cs="宋体"/>
          <w:color w:val="auto"/>
          <w:sz w:val="24"/>
          <w:highlight w:val="none"/>
          <w:u w:val="single"/>
        </w:rPr>
        <w:t>本次招标不接受联合体投标。</w:t>
      </w:r>
    </w:p>
    <w:p>
      <w:pPr>
        <w:autoSpaceDE w:val="0"/>
        <w:autoSpaceDN w:val="0"/>
        <w:adjustRightInd w:val="0"/>
        <w:spacing w:line="360" w:lineRule="auto"/>
        <w:ind w:firstLine="508" w:firstLineChars="200"/>
        <w:rPr>
          <w:rFonts w:ascii="宋体" w:hAnsi="宋体"/>
          <w:color w:val="auto"/>
          <w:spacing w:val="7"/>
          <w:kern w:val="0"/>
          <w:sz w:val="24"/>
          <w:highlight w:val="none"/>
          <w:u w:val="single"/>
        </w:rPr>
      </w:pPr>
      <w:r>
        <w:rPr>
          <w:rFonts w:hint="eastAsia" w:ascii="宋体" w:hAnsi="宋体"/>
          <w:color w:val="auto"/>
          <w:spacing w:val="7"/>
          <w:kern w:val="0"/>
          <w:sz w:val="24"/>
          <w:highlight w:val="none"/>
          <w:u w:val="single"/>
        </w:rPr>
        <w:t>5.7 信誉要求：</w:t>
      </w:r>
      <w:r>
        <w:rPr>
          <w:rFonts w:hint="eastAsia" w:ascii="宋体" w:hAnsi="宋体" w:cs="宋体"/>
          <w:color w:val="auto"/>
          <w:sz w:val="24"/>
          <w:highlight w:val="none"/>
          <w:u w:val="single"/>
        </w:rPr>
        <w:t>投标人未被列入拖欠农民工工资失信联合惩戒对象名单（本项投标人无需提供资料，按广州公共资源交易中心交易系统比对结果进行评审。</w:t>
      </w:r>
      <w:r>
        <w:rPr>
          <w:rFonts w:hint="eastAsia" w:ascii="宋体" w:hAnsi="宋体" w:cs="宋体"/>
          <w:color w:val="auto"/>
          <w:kern w:val="0"/>
          <w:sz w:val="24"/>
          <w:highlight w:val="none"/>
          <w:u w:val="single"/>
        </w:rPr>
        <w:t>）</w:t>
      </w:r>
    </w:p>
    <w:p>
      <w:pPr>
        <w:autoSpaceDE w:val="0"/>
        <w:autoSpaceDN w:val="0"/>
        <w:adjustRightInd w:val="0"/>
        <w:spacing w:line="360" w:lineRule="auto"/>
        <w:ind w:firstLine="508" w:firstLineChars="200"/>
        <w:rPr>
          <w:rFonts w:ascii="宋体" w:hAnsi="宋体"/>
          <w:color w:val="auto"/>
          <w:spacing w:val="7"/>
          <w:kern w:val="0"/>
          <w:sz w:val="24"/>
          <w:highlight w:val="none"/>
          <w:u w:val="single"/>
        </w:rPr>
      </w:pPr>
      <w:r>
        <w:rPr>
          <w:rFonts w:hint="eastAsia" w:ascii="宋体" w:hAnsi="宋体"/>
          <w:color w:val="auto"/>
          <w:spacing w:val="7"/>
          <w:kern w:val="0"/>
          <w:sz w:val="24"/>
          <w:highlight w:val="none"/>
          <w:u w:val="single"/>
        </w:rPr>
        <w:t>5.8  其他要求：</w:t>
      </w:r>
    </w:p>
    <w:p>
      <w:pPr>
        <w:autoSpaceDE w:val="0"/>
        <w:autoSpaceDN w:val="0"/>
        <w:adjustRightInd w:val="0"/>
        <w:spacing w:line="360" w:lineRule="auto"/>
        <w:ind w:firstLine="508" w:firstLineChars="200"/>
        <w:rPr>
          <w:rFonts w:ascii="宋体" w:hAnsi="宋体"/>
          <w:color w:val="auto"/>
          <w:spacing w:val="7"/>
          <w:kern w:val="0"/>
          <w:sz w:val="24"/>
          <w:highlight w:val="none"/>
          <w:u w:val="single"/>
        </w:rPr>
      </w:pPr>
      <w:r>
        <w:rPr>
          <w:rFonts w:ascii="宋体" w:hAnsi="宋体"/>
          <w:color w:val="auto"/>
          <w:spacing w:val="7"/>
          <w:kern w:val="0"/>
          <w:sz w:val="24"/>
          <w:highlight w:val="none"/>
          <w:u w:val="single"/>
        </w:rPr>
        <w:t>5.</w:t>
      </w:r>
      <w:r>
        <w:rPr>
          <w:rFonts w:hint="eastAsia" w:ascii="宋体" w:hAnsi="宋体"/>
          <w:color w:val="auto"/>
          <w:spacing w:val="7"/>
          <w:kern w:val="0"/>
          <w:sz w:val="24"/>
          <w:highlight w:val="none"/>
          <w:u w:val="single"/>
        </w:rPr>
        <w:t>8</w:t>
      </w:r>
      <w:r>
        <w:rPr>
          <w:rFonts w:ascii="宋体" w:hAnsi="宋体"/>
          <w:color w:val="auto"/>
          <w:spacing w:val="7"/>
          <w:kern w:val="0"/>
          <w:sz w:val="24"/>
          <w:highlight w:val="none"/>
          <w:u w:val="single"/>
        </w:rPr>
        <w:t xml:space="preserve">.1 </w:t>
      </w:r>
      <w:r>
        <w:rPr>
          <w:rFonts w:hint="eastAsia" w:ascii="宋体" w:hAnsi="宋体"/>
          <w:color w:val="auto"/>
          <w:spacing w:val="7"/>
          <w:kern w:val="0"/>
          <w:sz w:val="24"/>
          <w:highlight w:val="none"/>
          <w:u w:val="single"/>
        </w:rPr>
        <w:t>投标人不存在招标文件第二章“投标人须知”第1.4.3项规定的任何一种情形（根据《投标人声明》进行评审，投标人须按《投标人声明》规定的格式填写并加盖投标人公章）。</w:t>
      </w:r>
    </w:p>
    <w:p>
      <w:pPr>
        <w:autoSpaceDE w:val="0"/>
        <w:autoSpaceDN w:val="0"/>
        <w:adjustRightInd w:val="0"/>
        <w:spacing w:line="360" w:lineRule="auto"/>
        <w:ind w:firstLine="508" w:firstLineChars="200"/>
        <w:rPr>
          <w:rFonts w:ascii="宋体" w:hAnsi="宋体"/>
          <w:color w:val="auto"/>
          <w:spacing w:val="7"/>
          <w:kern w:val="0"/>
          <w:sz w:val="24"/>
          <w:highlight w:val="none"/>
          <w:u w:val="single"/>
        </w:rPr>
      </w:pPr>
      <w:r>
        <w:rPr>
          <w:rFonts w:hint="eastAsia" w:ascii="宋体" w:hAnsi="宋体"/>
          <w:color w:val="auto"/>
          <w:spacing w:val="7"/>
          <w:kern w:val="0"/>
          <w:sz w:val="24"/>
          <w:highlight w:val="none"/>
          <w:u w:val="single"/>
        </w:rPr>
        <w:t>5</w:t>
      </w:r>
      <w:r>
        <w:rPr>
          <w:rFonts w:ascii="宋体" w:hAnsi="宋体"/>
          <w:color w:val="auto"/>
          <w:spacing w:val="7"/>
          <w:kern w:val="0"/>
          <w:sz w:val="24"/>
          <w:highlight w:val="none"/>
          <w:u w:val="single"/>
        </w:rPr>
        <w:t>.</w:t>
      </w:r>
      <w:r>
        <w:rPr>
          <w:rFonts w:hint="eastAsia" w:ascii="宋体" w:hAnsi="宋体"/>
          <w:color w:val="auto"/>
          <w:spacing w:val="7"/>
          <w:kern w:val="0"/>
          <w:sz w:val="24"/>
          <w:highlight w:val="none"/>
          <w:u w:val="single"/>
        </w:rPr>
        <w:t>8</w:t>
      </w:r>
      <w:r>
        <w:rPr>
          <w:rFonts w:ascii="宋体" w:hAnsi="宋体"/>
          <w:color w:val="auto"/>
          <w:spacing w:val="7"/>
          <w:kern w:val="0"/>
          <w:sz w:val="24"/>
          <w:highlight w:val="none"/>
          <w:u w:val="single"/>
        </w:rPr>
        <w:t xml:space="preserve">.2 </w:t>
      </w:r>
      <w:r>
        <w:rPr>
          <w:rFonts w:hint="eastAsia" w:ascii="宋体" w:hAnsi="宋体"/>
          <w:color w:val="auto"/>
          <w:spacing w:val="7"/>
          <w:kern w:val="0"/>
          <w:sz w:val="24"/>
          <w:highlight w:val="none"/>
          <w:u w:val="single"/>
        </w:rPr>
        <w:t>投标人未出现以下情形：与本项目其它投标人的单位负责人为同一人或者存在控股、管理关系的。</w:t>
      </w:r>
    </w:p>
    <w:p>
      <w:pPr>
        <w:pStyle w:val="5"/>
        <w:rPr>
          <w:color w:val="auto"/>
          <w:highlight w:val="none"/>
        </w:rPr>
      </w:pPr>
      <w:r>
        <w:rPr>
          <w:rFonts w:hint="eastAsia"/>
          <w:color w:val="auto"/>
          <w:highlight w:val="none"/>
        </w:rPr>
        <w:t>5</w:t>
      </w:r>
      <w:r>
        <w:rPr>
          <w:color w:val="auto"/>
          <w:highlight w:val="none"/>
        </w:rPr>
        <w:t>.</w:t>
      </w:r>
      <w:r>
        <w:rPr>
          <w:rFonts w:hint="eastAsia"/>
          <w:color w:val="auto"/>
          <w:highlight w:val="none"/>
        </w:rPr>
        <w:t>8</w:t>
      </w:r>
      <w:r>
        <w:rPr>
          <w:color w:val="auto"/>
          <w:highlight w:val="none"/>
        </w:rPr>
        <w:t>.</w:t>
      </w:r>
      <w:r>
        <w:rPr>
          <w:rFonts w:hint="eastAsia"/>
          <w:color w:val="auto"/>
          <w:highlight w:val="none"/>
        </w:rPr>
        <w:t>3未在以往工程中因不诚信行为或不充分履约行为被本项目招标人书面拒绝投标的，或未被纳入联合惩戒范围的（详见附件一《被招标人拒绝投标的企业名单》）。</w:t>
      </w:r>
    </w:p>
    <w:p>
      <w:pPr>
        <w:pStyle w:val="4"/>
        <w:spacing w:line="360" w:lineRule="auto"/>
        <w:ind w:firstLine="647"/>
        <w:rPr>
          <w:rFonts w:ascii="宋体" w:hAnsi="宋体"/>
          <w:b/>
          <w:color w:val="auto"/>
          <w:spacing w:val="1"/>
          <w:sz w:val="32"/>
          <w:highlight w:val="none"/>
        </w:rPr>
      </w:pPr>
      <w:bookmarkStart w:id="3" w:name="_Toc25072051"/>
      <w:r>
        <w:rPr>
          <w:rFonts w:hint="eastAsia" w:ascii="宋体" w:hAnsi="宋体"/>
          <w:b/>
          <w:color w:val="auto"/>
          <w:spacing w:val="1"/>
          <w:sz w:val="32"/>
          <w:highlight w:val="none"/>
        </w:rPr>
        <w:t>6.未中标单位经济补偿及补偿金额：</w:t>
      </w:r>
    </w:p>
    <w:p>
      <w:pPr>
        <w:widowControl/>
        <w:tabs>
          <w:tab w:val="left" w:pos="105"/>
        </w:tabs>
        <w:snapToGrid w:val="0"/>
        <w:spacing w:line="360" w:lineRule="auto"/>
        <w:ind w:firstLine="480" w:firstLineChars="200"/>
        <w:jc w:val="left"/>
        <w:rPr>
          <w:rFonts w:ascii="宋体" w:hAnsi="宋体" w:cs="宋体"/>
          <w:color w:val="auto"/>
          <w:kern w:val="0"/>
          <w:sz w:val="24"/>
          <w:highlight w:val="none"/>
          <w:u w:val="single"/>
        </w:rPr>
      </w:pPr>
      <w:r>
        <w:rPr>
          <w:rFonts w:hint="eastAsia" w:ascii="宋体" w:hAnsi="宋体" w:cs="宋体"/>
          <w:color w:val="auto"/>
          <w:kern w:val="0"/>
          <w:sz w:val="24"/>
          <w:highlight w:val="none"/>
          <w:u w:val="single"/>
        </w:rPr>
        <w:t>6.1设计投标经济补偿按6.1.2方式执行</w:t>
      </w:r>
    </w:p>
    <w:p>
      <w:pPr>
        <w:widowControl/>
        <w:tabs>
          <w:tab w:val="left" w:pos="105"/>
        </w:tabs>
        <w:snapToGrid w:val="0"/>
        <w:spacing w:line="360" w:lineRule="auto"/>
        <w:ind w:firstLine="480" w:firstLineChars="200"/>
        <w:jc w:val="left"/>
        <w:rPr>
          <w:rFonts w:ascii="宋体" w:hAnsi="宋体" w:cs="宋体"/>
          <w:color w:val="auto"/>
          <w:kern w:val="0"/>
          <w:sz w:val="24"/>
          <w:highlight w:val="none"/>
          <w:u w:val="single"/>
        </w:rPr>
      </w:pPr>
      <w:r>
        <w:rPr>
          <w:rFonts w:hint="eastAsia" w:ascii="宋体" w:hAnsi="宋体" w:cs="宋体"/>
          <w:color w:val="auto"/>
          <w:kern w:val="0"/>
          <w:sz w:val="24"/>
          <w:highlight w:val="none"/>
          <w:u w:val="single"/>
        </w:rPr>
        <w:t>6.1.2设计投标经济补偿分配办法如下：</w:t>
      </w:r>
    </w:p>
    <w:tbl>
      <w:tblPr>
        <w:tblStyle w:val="17"/>
        <w:tblW w:w="499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86"/>
        <w:gridCol w:w="1052"/>
        <w:gridCol w:w="1235"/>
        <w:gridCol w:w="1235"/>
        <w:gridCol w:w="1161"/>
        <w:gridCol w:w="1090"/>
        <w:gridCol w:w="10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jc w:val="center"/>
        </w:trPr>
        <w:tc>
          <w:tcPr>
            <w:tcW w:w="1289" w:type="pct"/>
            <w:vAlign w:val="center"/>
          </w:tcPr>
          <w:p>
            <w:pPr>
              <w:spacing w:line="360" w:lineRule="auto"/>
              <w:jc w:val="center"/>
              <w:rPr>
                <w:rFonts w:ascii="宋体" w:hAnsi="宋体"/>
                <w:color w:val="auto"/>
                <w:sz w:val="24"/>
                <w:highlight w:val="none"/>
              </w:rPr>
            </w:pPr>
            <w:r>
              <w:rPr>
                <w:rFonts w:hint="eastAsia" w:ascii="宋体" w:hAnsi="宋体"/>
                <w:color w:val="auto"/>
                <w:sz w:val="24"/>
                <w:highlight w:val="none"/>
              </w:rPr>
              <w:t>方案评审排序</w:t>
            </w:r>
          </w:p>
        </w:tc>
        <w:tc>
          <w:tcPr>
            <w:tcW w:w="568" w:type="pct"/>
            <w:vAlign w:val="center"/>
          </w:tcPr>
          <w:p>
            <w:pPr>
              <w:spacing w:line="360" w:lineRule="auto"/>
              <w:jc w:val="center"/>
              <w:rPr>
                <w:rFonts w:ascii="宋体" w:hAnsi="宋体"/>
                <w:color w:val="auto"/>
                <w:sz w:val="24"/>
                <w:highlight w:val="none"/>
              </w:rPr>
            </w:pPr>
            <w:r>
              <w:rPr>
                <w:rFonts w:hint="eastAsia" w:ascii="宋体" w:hAnsi="宋体"/>
                <w:color w:val="auto"/>
                <w:sz w:val="24"/>
                <w:highlight w:val="none"/>
              </w:rPr>
              <w:t>第1名</w:t>
            </w:r>
          </w:p>
        </w:tc>
        <w:tc>
          <w:tcPr>
            <w:tcW w:w="667" w:type="pct"/>
            <w:vAlign w:val="center"/>
          </w:tcPr>
          <w:p>
            <w:pPr>
              <w:spacing w:line="360" w:lineRule="auto"/>
              <w:jc w:val="center"/>
              <w:rPr>
                <w:color w:val="auto"/>
                <w:sz w:val="24"/>
                <w:highlight w:val="none"/>
              </w:rPr>
            </w:pPr>
            <w:r>
              <w:rPr>
                <w:rFonts w:hint="eastAsia" w:ascii="宋体" w:hAnsi="宋体"/>
                <w:color w:val="auto"/>
                <w:sz w:val="24"/>
                <w:highlight w:val="none"/>
              </w:rPr>
              <w:t>第2名</w:t>
            </w:r>
          </w:p>
        </w:tc>
        <w:tc>
          <w:tcPr>
            <w:tcW w:w="667" w:type="pct"/>
            <w:vAlign w:val="center"/>
          </w:tcPr>
          <w:p>
            <w:pPr>
              <w:spacing w:line="360" w:lineRule="auto"/>
              <w:jc w:val="center"/>
              <w:rPr>
                <w:color w:val="auto"/>
                <w:sz w:val="24"/>
                <w:highlight w:val="none"/>
              </w:rPr>
            </w:pPr>
            <w:r>
              <w:rPr>
                <w:rFonts w:hint="eastAsia" w:ascii="宋体" w:hAnsi="宋体"/>
                <w:color w:val="auto"/>
                <w:sz w:val="24"/>
                <w:highlight w:val="none"/>
              </w:rPr>
              <w:t>第3名</w:t>
            </w:r>
          </w:p>
        </w:tc>
        <w:tc>
          <w:tcPr>
            <w:tcW w:w="627" w:type="pct"/>
            <w:vAlign w:val="center"/>
          </w:tcPr>
          <w:p>
            <w:pPr>
              <w:spacing w:line="360" w:lineRule="auto"/>
              <w:jc w:val="center"/>
              <w:rPr>
                <w:color w:val="auto"/>
                <w:sz w:val="24"/>
                <w:highlight w:val="none"/>
              </w:rPr>
            </w:pPr>
            <w:r>
              <w:rPr>
                <w:rFonts w:hint="eastAsia" w:ascii="宋体" w:hAnsi="宋体"/>
                <w:color w:val="auto"/>
                <w:sz w:val="24"/>
                <w:highlight w:val="none"/>
              </w:rPr>
              <w:t>第4名</w:t>
            </w:r>
          </w:p>
        </w:tc>
        <w:tc>
          <w:tcPr>
            <w:tcW w:w="589" w:type="pct"/>
            <w:vAlign w:val="center"/>
          </w:tcPr>
          <w:p>
            <w:pPr>
              <w:spacing w:line="360" w:lineRule="auto"/>
              <w:jc w:val="center"/>
              <w:rPr>
                <w:rFonts w:ascii="宋体" w:hAnsi="宋体"/>
                <w:color w:val="auto"/>
                <w:sz w:val="24"/>
                <w:highlight w:val="none"/>
              </w:rPr>
            </w:pPr>
            <w:r>
              <w:rPr>
                <w:rFonts w:hint="eastAsia" w:ascii="宋体" w:hAnsi="宋体"/>
                <w:color w:val="auto"/>
                <w:sz w:val="24"/>
                <w:highlight w:val="none"/>
              </w:rPr>
              <w:t>第5名</w:t>
            </w:r>
          </w:p>
        </w:tc>
        <w:tc>
          <w:tcPr>
            <w:tcW w:w="589" w:type="pct"/>
            <w:vAlign w:val="center"/>
          </w:tcPr>
          <w:p>
            <w:pPr>
              <w:spacing w:line="360" w:lineRule="auto"/>
              <w:jc w:val="center"/>
              <w:rPr>
                <w:rFonts w:ascii="宋体" w:hAnsi="宋体"/>
                <w:color w:val="auto"/>
                <w:sz w:val="24"/>
                <w:highlight w:val="none"/>
              </w:rPr>
            </w:pPr>
            <w:r>
              <w:rPr>
                <w:rFonts w:hint="eastAsia" w:ascii="宋体" w:hAnsi="宋体"/>
                <w:color w:val="auto"/>
                <w:sz w:val="24"/>
                <w:highlight w:val="none"/>
              </w:rPr>
              <w:t>第6名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jc w:val="center"/>
        </w:trPr>
        <w:tc>
          <w:tcPr>
            <w:tcW w:w="1289" w:type="pct"/>
            <w:vAlign w:val="center"/>
          </w:tcPr>
          <w:p>
            <w:pPr>
              <w:spacing w:line="360" w:lineRule="auto"/>
              <w:jc w:val="center"/>
              <w:rPr>
                <w:rFonts w:ascii="宋体" w:hAnsi="宋体"/>
                <w:color w:val="auto"/>
                <w:sz w:val="24"/>
                <w:highlight w:val="none"/>
              </w:rPr>
            </w:pPr>
            <w:r>
              <w:rPr>
                <w:rFonts w:hint="eastAsia" w:ascii="宋体" w:hAnsi="宋体"/>
                <w:color w:val="auto"/>
                <w:sz w:val="24"/>
                <w:highlight w:val="none"/>
              </w:rPr>
              <w:t>投标经济补偿金额</w:t>
            </w:r>
          </w:p>
          <w:p>
            <w:pPr>
              <w:spacing w:line="360" w:lineRule="auto"/>
              <w:jc w:val="center"/>
              <w:rPr>
                <w:rFonts w:ascii="宋体" w:hAnsi="宋体"/>
                <w:color w:val="auto"/>
                <w:sz w:val="24"/>
                <w:highlight w:val="none"/>
              </w:rPr>
            </w:pPr>
            <w:r>
              <w:rPr>
                <w:rFonts w:hint="eastAsia" w:ascii="宋体" w:hAnsi="宋体"/>
                <w:color w:val="auto"/>
                <w:sz w:val="24"/>
                <w:highlight w:val="none"/>
              </w:rPr>
              <w:t>（万元）</w:t>
            </w:r>
          </w:p>
        </w:tc>
        <w:tc>
          <w:tcPr>
            <w:tcW w:w="568" w:type="pct"/>
            <w:vAlign w:val="center"/>
          </w:tcPr>
          <w:p>
            <w:pPr>
              <w:spacing w:line="360" w:lineRule="auto"/>
              <w:jc w:val="center"/>
              <w:rPr>
                <w:rFonts w:hint="eastAsia" w:ascii="宋体" w:hAnsi="宋体" w:eastAsia="宋体"/>
                <w:color w:val="auto"/>
                <w:sz w:val="24"/>
                <w:highlight w:val="none"/>
                <w:lang w:eastAsia="zh-CN"/>
              </w:rPr>
            </w:pPr>
            <w:r>
              <w:rPr>
                <w:rFonts w:hint="eastAsia" w:ascii="宋体" w:hAnsi="宋体"/>
                <w:color w:val="auto"/>
                <w:sz w:val="24"/>
                <w:highlight w:val="none"/>
                <w:lang w:val="en-US" w:eastAsia="zh-CN"/>
              </w:rPr>
              <w:t>5</w:t>
            </w:r>
          </w:p>
        </w:tc>
        <w:tc>
          <w:tcPr>
            <w:tcW w:w="667" w:type="pct"/>
            <w:vAlign w:val="center"/>
          </w:tcPr>
          <w:p>
            <w:pPr>
              <w:spacing w:line="360" w:lineRule="auto"/>
              <w:jc w:val="center"/>
              <w:rPr>
                <w:rFonts w:ascii="宋体" w:hAnsi="宋体"/>
                <w:color w:val="auto"/>
                <w:sz w:val="24"/>
                <w:highlight w:val="none"/>
              </w:rPr>
            </w:pPr>
            <w:r>
              <w:rPr>
                <w:rFonts w:hint="eastAsia" w:ascii="宋体" w:hAnsi="宋体"/>
                <w:color w:val="auto"/>
                <w:sz w:val="24"/>
                <w:highlight w:val="none"/>
              </w:rPr>
              <w:t>5</w:t>
            </w:r>
          </w:p>
        </w:tc>
        <w:tc>
          <w:tcPr>
            <w:tcW w:w="667" w:type="pct"/>
            <w:vAlign w:val="center"/>
          </w:tcPr>
          <w:p>
            <w:pPr>
              <w:spacing w:line="360" w:lineRule="auto"/>
              <w:jc w:val="center"/>
              <w:rPr>
                <w:rFonts w:ascii="宋体" w:hAnsi="宋体"/>
                <w:color w:val="auto"/>
                <w:sz w:val="24"/>
                <w:highlight w:val="none"/>
              </w:rPr>
            </w:pPr>
            <w:r>
              <w:rPr>
                <w:rFonts w:hint="eastAsia" w:ascii="宋体" w:hAnsi="宋体"/>
                <w:color w:val="auto"/>
                <w:sz w:val="24"/>
                <w:highlight w:val="none"/>
              </w:rPr>
              <w:t>5</w:t>
            </w:r>
          </w:p>
        </w:tc>
        <w:tc>
          <w:tcPr>
            <w:tcW w:w="627" w:type="pct"/>
            <w:vAlign w:val="center"/>
          </w:tcPr>
          <w:p>
            <w:pPr>
              <w:spacing w:line="360" w:lineRule="auto"/>
              <w:jc w:val="center"/>
              <w:rPr>
                <w:rFonts w:hint="eastAsia" w:ascii="宋体" w:hAnsi="宋体" w:eastAsia="宋体"/>
                <w:color w:val="auto"/>
                <w:sz w:val="24"/>
                <w:highlight w:val="none"/>
                <w:lang w:eastAsia="zh-CN"/>
              </w:rPr>
            </w:pPr>
            <w:r>
              <w:rPr>
                <w:rFonts w:hint="eastAsia" w:ascii="宋体" w:hAnsi="宋体"/>
                <w:color w:val="auto"/>
                <w:sz w:val="24"/>
                <w:highlight w:val="none"/>
                <w:lang w:val="en-US" w:eastAsia="zh-CN"/>
              </w:rPr>
              <w:t>5</w:t>
            </w:r>
          </w:p>
        </w:tc>
        <w:tc>
          <w:tcPr>
            <w:tcW w:w="589" w:type="pct"/>
            <w:vAlign w:val="center"/>
          </w:tcPr>
          <w:p>
            <w:pPr>
              <w:spacing w:line="360" w:lineRule="auto"/>
              <w:jc w:val="center"/>
              <w:rPr>
                <w:rFonts w:hint="eastAsia" w:ascii="宋体" w:hAnsi="宋体" w:eastAsia="宋体"/>
                <w:color w:val="auto"/>
                <w:sz w:val="24"/>
                <w:highlight w:val="none"/>
                <w:lang w:eastAsia="zh-CN"/>
              </w:rPr>
            </w:pPr>
            <w:r>
              <w:rPr>
                <w:rFonts w:hint="eastAsia" w:ascii="宋体" w:hAnsi="宋体"/>
                <w:color w:val="auto"/>
                <w:sz w:val="24"/>
                <w:highlight w:val="none"/>
                <w:lang w:val="en-US" w:eastAsia="zh-CN"/>
              </w:rPr>
              <w:t>5</w:t>
            </w:r>
          </w:p>
        </w:tc>
        <w:tc>
          <w:tcPr>
            <w:tcW w:w="589" w:type="pct"/>
            <w:vAlign w:val="center"/>
          </w:tcPr>
          <w:p>
            <w:pPr>
              <w:spacing w:line="360" w:lineRule="auto"/>
              <w:jc w:val="center"/>
              <w:rPr>
                <w:rFonts w:hint="eastAsia" w:ascii="宋体" w:hAnsi="宋体" w:eastAsia="宋体"/>
                <w:color w:val="auto"/>
                <w:sz w:val="24"/>
                <w:highlight w:val="none"/>
                <w:lang w:val="en-US" w:eastAsia="zh-CN"/>
              </w:rPr>
            </w:pPr>
            <w:r>
              <w:rPr>
                <w:rFonts w:hint="eastAsia" w:ascii="宋体" w:hAnsi="宋体"/>
                <w:color w:val="auto"/>
                <w:sz w:val="24"/>
                <w:highlight w:val="none"/>
                <w:lang w:val="en-US" w:eastAsia="zh-CN"/>
              </w:rPr>
              <w:t>5</w:t>
            </w:r>
          </w:p>
        </w:tc>
      </w:tr>
    </w:tbl>
    <w:p>
      <w:pPr>
        <w:widowControl/>
        <w:tabs>
          <w:tab w:val="left" w:pos="105"/>
        </w:tabs>
        <w:snapToGrid w:val="0"/>
        <w:spacing w:beforeLines="50" w:line="360" w:lineRule="auto"/>
        <w:ind w:firstLine="480" w:firstLineChars="200"/>
        <w:jc w:val="left"/>
        <w:rPr>
          <w:rFonts w:ascii="宋体" w:hAnsi="宋体" w:cs="宋体"/>
          <w:color w:val="auto"/>
          <w:kern w:val="0"/>
          <w:sz w:val="24"/>
          <w:highlight w:val="none"/>
          <w:u w:val="single"/>
        </w:rPr>
      </w:pPr>
      <w:r>
        <w:rPr>
          <w:rFonts w:hint="eastAsia" w:ascii="宋体" w:hAnsi="宋体" w:cs="宋体"/>
          <w:color w:val="auto"/>
          <w:kern w:val="0"/>
          <w:sz w:val="24"/>
          <w:highlight w:val="none"/>
          <w:u w:val="single"/>
        </w:rPr>
        <w:t>（1</w:t>
      </w:r>
      <w:r>
        <w:rPr>
          <w:rFonts w:ascii="宋体" w:hAnsi="宋体" w:cs="宋体"/>
          <w:color w:val="auto"/>
          <w:kern w:val="0"/>
          <w:sz w:val="24"/>
          <w:highlight w:val="none"/>
          <w:u w:val="single"/>
        </w:rPr>
        <w:t>）</w:t>
      </w:r>
      <w:r>
        <w:rPr>
          <w:rFonts w:hint="eastAsia" w:ascii="宋体" w:hAnsi="宋体" w:cs="宋体"/>
          <w:color w:val="auto"/>
          <w:kern w:val="0"/>
          <w:sz w:val="24"/>
          <w:highlight w:val="none"/>
          <w:u w:val="single"/>
        </w:rPr>
        <w:t>其余投标人费用自理。</w:t>
      </w:r>
    </w:p>
    <w:p>
      <w:pPr>
        <w:tabs>
          <w:tab w:val="left" w:pos="105"/>
        </w:tabs>
        <w:spacing w:line="360" w:lineRule="auto"/>
        <w:ind w:firstLine="480" w:firstLineChars="200"/>
        <w:rPr>
          <w:rFonts w:ascii="宋体" w:hAnsi="宋体"/>
          <w:color w:val="auto"/>
          <w:sz w:val="24"/>
          <w:highlight w:val="none"/>
          <w:u w:val="single"/>
        </w:rPr>
      </w:pPr>
      <w:r>
        <w:rPr>
          <w:rFonts w:hint="eastAsia" w:ascii="宋体" w:hAnsi="宋体" w:cs="宋体"/>
          <w:color w:val="auto"/>
          <w:kern w:val="0"/>
          <w:sz w:val="24"/>
          <w:highlight w:val="none"/>
          <w:u w:val="single"/>
        </w:rPr>
        <w:t>（</w:t>
      </w:r>
      <w:r>
        <w:rPr>
          <w:rFonts w:ascii="宋体" w:hAnsi="宋体" w:cs="宋体"/>
          <w:color w:val="auto"/>
          <w:kern w:val="0"/>
          <w:sz w:val="24"/>
          <w:highlight w:val="none"/>
          <w:u w:val="single"/>
        </w:rPr>
        <w:t>2）</w:t>
      </w:r>
      <w:r>
        <w:rPr>
          <w:rFonts w:hint="eastAsia" w:ascii="宋体" w:hAnsi="宋体"/>
          <w:color w:val="auto"/>
          <w:sz w:val="24"/>
          <w:highlight w:val="none"/>
          <w:u w:val="single"/>
        </w:rPr>
        <w:t>并列排名的原则：如出现并列名次的按一个名次计，后续名次空缺，例：如果第2名出现两个投标人并列，则下一名次的投标人排名第4名，如果第2名出现三个投标人并列，则下一名次的投标人排名第5，依次类推。</w:t>
      </w:r>
    </w:p>
    <w:p>
      <w:pPr>
        <w:pStyle w:val="31"/>
        <w:ind w:firstLine="540"/>
        <w:rPr>
          <w:rFonts w:ascii="宋体" w:hAnsi="宋体" w:eastAsia="宋体" w:cs="宋体"/>
          <w:color w:val="auto"/>
          <w:sz w:val="24"/>
          <w:highlight w:val="none"/>
          <w:u w:val="single"/>
        </w:rPr>
      </w:pPr>
      <w:r>
        <w:rPr>
          <w:rFonts w:hint="eastAsia" w:ascii="宋体" w:hAnsi="宋体" w:eastAsia="宋体" w:cs="宋体"/>
          <w:color w:val="auto"/>
          <w:sz w:val="24"/>
          <w:szCs w:val="21"/>
          <w:highlight w:val="none"/>
          <w:u w:val="single"/>
        </w:rPr>
        <w:t>（3）并列排名的补偿原则：如出现并列名次的，该排名补偿费总额=出现排名并列名次的补偿金额+空缺名次的补偿金额，则n个并列排名投标人的各个补偿金额=该排名补偿费总额/n。例：第2名出现两个投标人并列，则第2名的补偿费总额为50000+50000=100000元，两个投标人的各个补偿金额为100000/2=50000元。</w:t>
      </w:r>
    </w:p>
    <w:p>
      <w:pPr>
        <w:pStyle w:val="31"/>
        <w:ind w:firstLine="540"/>
        <w:rPr>
          <w:rFonts w:ascii="宋体" w:hAnsi="宋体" w:eastAsia="宋体" w:cs="宋体"/>
          <w:color w:val="auto"/>
          <w:sz w:val="24"/>
          <w:szCs w:val="24"/>
          <w:highlight w:val="none"/>
          <w:u w:val="single"/>
        </w:rPr>
      </w:pPr>
      <w:r>
        <w:rPr>
          <w:rFonts w:hint="eastAsia" w:ascii="宋体" w:hAnsi="宋体" w:eastAsia="宋体" w:cs="宋体"/>
          <w:color w:val="auto"/>
          <w:sz w:val="24"/>
          <w:highlight w:val="none"/>
          <w:u w:val="single"/>
        </w:rPr>
        <w:t>6.1.</w:t>
      </w:r>
      <w:r>
        <w:rPr>
          <w:rFonts w:ascii="宋体" w:hAnsi="宋体" w:eastAsia="宋体" w:cs="宋体"/>
          <w:color w:val="auto"/>
          <w:sz w:val="24"/>
          <w:highlight w:val="none"/>
          <w:u w:val="single"/>
        </w:rPr>
        <w:t>3</w:t>
      </w:r>
      <w:r>
        <w:rPr>
          <w:rFonts w:hint="eastAsia" w:ascii="宋体" w:hAnsi="宋体" w:eastAsia="宋体" w:cs="宋体"/>
          <w:color w:val="auto"/>
          <w:sz w:val="24"/>
          <w:szCs w:val="24"/>
          <w:highlight w:val="none"/>
          <w:u w:val="single"/>
        </w:rPr>
        <w:t>投标经济补偿费包括在投标人中标价中，中标人根据评标委员会对投标人的评审排序，在签订合同后向招标人申请投标补偿费，</w:t>
      </w:r>
      <w:r>
        <w:rPr>
          <w:rFonts w:hint="eastAsia" w:ascii="宋体" w:hAnsi="宋体" w:eastAsia="宋体" w:cs="宋体"/>
          <w:b/>
          <w:bCs/>
          <w:color w:val="auto"/>
          <w:sz w:val="24"/>
          <w:szCs w:val="24"/>
          <w:highlight w:val="none"/>
          <w:u w:val="single"/>
        </w:rPr>
        <w:t>并对技术文件（设计方案部分）得分排名</w:t>
      </w:r>
      <w:r>
        <w:rPr>
          <w:rFonts w:hint="eastAsia" w:ascii="宋体" w:hAnsi="宋体" w:eastAsia="宋体" w:cs="宋体"/>
          <w:b/>
          <w:bCs/>
          <w:color w:val="auto"/>
          <w:sz w:val="24"/>
          <w:szCs w:val="24"/>
          <w:highlight w:val="none"/>
          <w:u w:val="single"/>
        </w:rPr>
        <w:t>1-6</w:t>
      </w:r>
      <w:r>
        <w:rPr>
          <w:rFonts w:hint="eastAsia" w:ascii="宋体" w:hAnsi="宋体" w:eastAsia="宋体" w:cs="宋体"/>
          <w:b/>
          <w:bCs/>
          <w:color w:val="auto"/>
          <w:sz w:val="24"/>
          <w:szCs w:val="24"/>
          <w:highlight w:val="none"/>
          <w:u w:val="single"/>
        </w:rPr>
        <w:t>名的投标人给予补偿</w:t>
      </w:r>
      <w:r>
        <w:rPr>
          <w:rFonts w:hint="eastAsia" w:ascii="宋体" w:hAnsi="宋体" w:eastAsia="宋体" w:cs="宋体"/>
          <w:color w:val="auto"/>
          <w:sz w:val="24"/>
          <w:szCs w:val="24"/>
          <w:highlight w:val="none"/>
          <w:u w:val="single"/>
        </w:rPr>
        <w:t xml:space="preserve">。如果招标失败，则当次不作投标经济补偿。 </w:t>
      </w:r>
    </w:p>
    <w:p>
      <w:pPr>
        <w:pStyle w:val="31"/>
        <w:ind w:firstLine="540"/>
        <w:rPr>
          <w:rFonts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u w:val="single"/>
        </w:rPr>
        <w:t>对出现无效标情形的投标人，将不作投标经济补偿，该部分投标经济补偿费支付给中标人。</w:t>
      </w:r>
    </w:p>
    <w:p>
      <w:pPr>
        <w:pStyle w:val="10"/>
        <w:spacing w:line="360" w:lineRule="auto"/>
        <w:ind w:firstLine="480"/>
        <w:rPr>
          <w:color w:val="auto"/>
          <w:highlight w:val="none"/>
          <w:u w:val="single"/>
        </w:rPr>
      </w:pPr>
      <w:r>
        <w:rPr>
          <w:rFonts w:hint="eastAsia" w:hAnsi="宋体" w:cs="宋体"/>
          <w:color w:val="auto"/>
          <w:sz w:val="24"/>
          <w:szCs w:val="24"/>
          <w:highlight w:val="none"/>
          <w:u w:val="single"/>
        </w:rPr>
        <w:t>招标人和中标人有权在实施方案中参考使用获得经济补偿的所有投标方案成果内容。</w:t>
      </w:r>
    </w:p>
    <w:bookmarkEnd w:id="3"/>
    <w:p>
      <w:pPr>
        <w:pStyle w:val="4"/>
        <w:spacing w:line="360" w:lineRule="auto"/>
        <w:ind w:firstLine="647"/>
        <w:rPr>
          <w:rFonts w:ascii="宋体" w:hAnsi="宋体"/>
          <w:b/>
          <w:color w:val="auto"/>
          <w:spacing w:val="1"/>
          <w:sz w:val="32"/>
          <w:highlight w:val="none"/>
        </w:rPr>
      </w:pPr>
      <w:bookmarkStart w:id="4" w:name="_Toc25072052"/>
      <w:r>
        <w:rPr>
          <w:rFonts w:hint="eastAsia" w:ascii="宋体" w:hAnsi="宋体"/>
          <w:b/>
          <w:color w:val="auto"/>
          <w:spacing w:val="1"/>
          <w:sz w:val="32"/>
          <w:highlight w:val="none"/>
        </w:rPr>
        <w:t>7.</w:t>
      </w:r>
      <w:r>
        <w:rPr>
          <w:rFonts w:ascii="宋体" w:hAnsi="宋体"/>
          <w:b/>
          <w:color w:val="auto"/>
          <w:spacing w:val="1"/>
          <w:sz w:val="32"/>
          <w:highlight w:val="none"/>
        </w:rPr>
        <w:t>发布招标公告、招标文件获取</w:t>
      </w:r>
      <w:r>
        <w:rPr>
          <w:rFonts w:hint="eastAsia" w:ascii="宋体" w:hAnsi="宋体"/>
          <w:b/>
          <w:color w:val="auto"/>
          <w:spacing w:val="1"/>
          <w:sz w:val="32"/>
          <w:highlight w:val="none"/>
        </w:rPr>
        <w:t>：</w:t>
      </w:r>
      <w:bookmarkEnd w:id="4"/>
    </w:p>
    <w:p>
      <w:pPr>
        <w:spacing w:line="360" w:lineRule="auto"/>
        <w:ind w:firstLine="480" w:firstLineChars="200"/>
        <w:jc w:val="left"/>
        <w:rPr>
          <w:rFonts w:ascii="宋体" w:hAnsi="宋体"/>
          <w:color w:val="auto"/>
          <w:kern w:val="0"/>
          <w:sz w:val="24"/>
          <w:highlight w:val="none"/>
        </w:rPr>
      </w:pPr>
      <w:r>
        <w:rPr>
          <w:rFonts w:hint="eastAsia" w:ascii="宋体" w:hAnsi="宋体"/>
          <w:color w:val="auto"/>
          <w:kern w:val="0"/>
          <w:sz w:val="24"/>
          <w:highlight w:val="none"/>
        </w:rPr>
        <w:t>7.1  发布招标公告时间（含本日）：</w:t>
      </w:r>
      <w:r>
        <w:rPr>
          <w:rFonts w:hint="eastAsia" w:ascii="宋体" w:hAnsi="宋体"/>
          <w:color w:val="auto"/>
          <w:kern w:val="0"/>
          <w:sz w:val="24"/>
          <w:highlight w:val="none"/>
          <w:u w:val="single"/>
        </w:rPr>
        <w:t>2024年月   日时分至2024年   月   日   时   分</w:t>
      </w:r>
      <w:r>
        <w:rPr>
          <w:rFonts w:hint="eastAsia" w:ascii="宋体" w:hAnsi="宋体"/>
          <w:color w:val="auto"/>
          <w:kern w:val="0"/>
          <w:sz w:val="24"/>
          <w:highlight w:val="none"/>
        </w:rPr>
        <w:t>。（北京时间，下同）</w:t>
      </w:r>
    </w:p>
    <w:p>
      <w:pPr>
        <w:spacing w:line="360" w:lineRule="auto"/>
        <w:ind w:firstLine="480" w:firstLineChars="200"/>
        <w:jc w:val="left"/>
        <w:rPr>
          <w:rFonts w:ascii="宋体" w:hAnsi="宋体"/>
          <w:color w:val="auto"/>
          <w:kern w:val="0"/>
          <w:sz w:val="24"/>
          <w:highlight w:val="none"/>
        </w:rPr>
      </w:pPr>
      <w:r>
        <w:rPr>
          <w:rFonts w:hint="eastAsia" w:ascii="宋体" w:hAnsi="宋体"/>
          <w:color w:val="auto"/>
          <w:kern w:val="0"/>
          <w:sz w:val="24"/>
          <w:highlight w:val="none"/>
        </w:rPr>
        <w:t>注：发布招标公告的时间为招标公告发出之日起至递交投标文件截止时间止。</w:t>
      </w:r>
    </w:p>
    <w:p>
      <w:pPr>
        <w:spacing w:line="360" w:lineRule="auto"/>
        <w:ind w:firstLine="480" w:firstLineChars="200"/>
        <w:jc w:val="left"/>
        <w:rPr>
          <w:rFonts w:ascii="宋体" w:hAnsi="宋体"/>
          <w:color w:val="auto"/>
          <w:kern w:val="0"/>
          <w:sz w:val="24"/>
          <w:highlight w:val="none"/>
        </w:rPr>
      </w:pPr>
      <w:r>
        <w:rPr>
          <w:rFonts w:hint="eastAsia" w:ascii="宋体" w:hAnsi="宋体"/>
          <w:color w:val="auto"/>
          <w:kern w:val="0"/>
          <w:sz w:val="24"/>
          <w:highlight w:val="none"/>
        </w:rPr>
        <w:t>凡有意参加投标者，请于</w:t>
      </w:r>
      <w:r>
        <w:rPr>
          <w:rFonts w:hint="eastAsia" w:ascii="宋体" w:hAnsi="宋体"/>
          <w:color w:val="auto"/>
          <w:kern w:val="0"/>
          <w:sz w:val="24"/>
          <w:highlight w:val="none"/>
          <w:u w:val="single"/>
        </w:rPr>
        <w:t>2024年   月   日00时00分至2024年  月   日    时   分</w:t>
      </w:r>
      <w:r>
        <w:rPr>
          <w:rFonts w:hint="eastAsia" w:ascii="宋体" w:hAnsi="宋体"/>
          <w:color w:val="auto"/>
          <w:kern w:val="0"/>
          <w:sz w:val="24"/>
          <w:highlight w:val="none"/>
        </w:rPr>
        <w:t>。(北京时间，下同)，登录广州公共资源交易中心网站（http//www.gzggzy.cn）下载电子招标文件。</w:t>
      </w:r>
    </w:p>
    <w:p>
      <w:pPr>
        <w:spacing w:line="360" w:lineRule="auto"/>
        <w:ind w:firstLine="480" w:firstLineChars="200"/>
        <w:jc w:val="left"/>
        <w:rPr>
          <w:rFonts w:ascii="宋体" w:hAnsi="宋体"/>
          <w:color w:val="auto"/>
          <w:kern w:val="0"/>
          <w:sz w:val="24"/>
          <w:highlight w:val="none"/>
        </w:rPr>
      </w:pPr>
      <w:r>
        <w:rPr>
          <w:rFonts w:hint="eastAsia" w:ascii="宋体" w:hAnsi="宋体"/>
          <w:color w:val="auto"/>
          <w:kern w:val="0"/>
          <w:sz w:val="24"/>
          <w:highlight w:val="none"/>
        </w:rPr>
        <w:t>7.2  本项目招标文件随招标公告一并在广州公共资源交易中心网站发布。招标文件一经在广州公共资源交易中心发布，视为送达给投标人，招标文件由投标人自行在广州公共资源交易中心网站下载。</w:t>
      </w:r>
    </w:p>
    <w:p>
      <w:pPr>
        <w:spacing w:line="360" w:lineRule="auto"/>
        <w:ind w:firstLine="480" w:firstLineChars="200"/>
        <w:jc w:val="left"/>
        <w:rPr>
          <w:rFonts w:ascii="宋体" w:hAnsi="宋体"/>
          <w:color w:val="auto"/>
          <w:kern w:val="0"/>
          <w:sz w:val="24"/>
          <w:highlight w:val="none"/>
        </w:rPr>
      </w:pPr>
      <w:r>
        <w:rPr>
          <w:rFonts w:hint="eastAsia" w:ascii="宋体" w:hAnsi="宋体"/>
          <w:color w:val="auto"/>
          <w:kern w:val="0"/>
          <w:sz w:val="24"/>
          <w:highlight w:val="none"/>
        </w:rPr>
        <w:t>7.3  本项目采用资格后审方式，由评标委员会负责资格审查。</w:t>
      </w:r>
    </w:p>
    <w:p>
      <w:pPr>
        <w:pStyle w:val="4"/>
        <w:spacing w:line="360" w:lineRule="auto"/>
        <w:ind w:firstLine="647"/>
        <w:rPr>
          <w:rFonts w:ascii="宋体" w:hAnsi="宋体"/>
          <w:b/>
          <w:color w:val="auto"/>
          <w:spacing w:val="1"/>
          <w:sz w:val="32"/>
          <w:highlight w:val="none"/>
        </w:rPr>
      </w:pPr>
      <w:bookmarkStart w:id="5" w:name="_Toc25072053"/>
      <w:r>
        <w:rPr>
          <w:rFonts w:hint="eastAsia" w:ascii="宋体" w:hAnsi="宋体"/>
          <w:b/>
          <w:color w:val="auto"/>
          <w:spacing w:val="1"/>
          <w:sz w:val="32"/>
          <w:highlight w:val="none"/>
        </w:rPr>
        <w:t>8.</w:t>
      </w:r>
      <w:r>
        <w:rPr>
          <w:rFonts w:ascii="宋体" w:hAnsi="宋体"/>
          <w:b/>
          <w:color w:val="auto"/>
          <w:spacing w:val="1"/>
          <w:sz w:val="32"/>
          <w:highlight w:val="none"/>
        </w:rPr>
        <w:t>递交投标文件时间、开标时间及办理投标登记</w:t>
      </w:r>
      <w:r>
        <w:rPr>
          <w:rFonts w:hint="eastAsia" w:ascii="宋体" w:hAnsi="宋体"/>
          <w:b/>
          <w:color w:val="auto"/>
          <w:spacing w:val="1"/>
          <w:sz w:val="32"/>
          <w:highlight w:val="none"/>
        </w:rPr>
        <w:t>手续：</w:t>
      </w:r>
      <w:bookmarkEnd w:id="5"/>
    </w:p>
    <w:p>
      <w:pPr>
        <w:spacing w:line="360" w:lineRule="auto"/>
        <w:ind w:firstLine="480" w:firstLineChars="200"/>
        <w:jc w:val="left"/>
        <w:rPr>
          <w:rFonts w:ascii="宋体" w:hAnsi="宋体"/>
          <w:color w:val="auto"/>
          <w:spacing w:val="-2"/>
          <w:kern w:val="0"/>
          <w:sz w:val="24"/>
          <w:highlight w:val="none"/>
        </w:rPr>
      </w:pPr>
      <w:r>
        <w:rPr>
          <w:rFonts w:hint="eastAsia" w:ascii="宋体" w:hAnsi="宋体"/>
          <w:color w:val="auto"/>
          <w:kern w:val="0"/>
          <w:sz w:val="24"/>
          <w:highlight w:val="none"/>
        </w:rPr>
        <w:t xml:space="preserve">8.1  </w:t>
      </w:r>
      <w:r>
        <w:rPr>
          <w:rFonts w:hint="eastAsia" w:ascii="宋体" w:hAnsi="宋体"/>
          <w:color w:val="auto"/>
          <w:spacing w:val="-2"/>
          <w:kern w:val="0"/>
          <w:sz w:val="24"/>
          <w:highlight w:val="none"/>
        </w:rPr>
        <w:t>投标截止时间为</w:t>
      </w:r>
      <w:r>
        <w:rPr>
          <w:rFonts w:hint="eastAsia" w:ascii="宋体" w:hAnsi="宋体"/>
          <w:color w:val="auto"/>
          <w:spacing w:val="-2"/>
          <w:kern w:val="0"/>
          <w:sz w:val="24"/>
          <w:highlight w:val="none"/>
          <w:u w:val="single"/>
        </w:rPr>
        <w:t>2024年</w:t>
      </w:r>
      <w:r>
        <w:rPr>
          <w:rFonts w:hint="eastAsia" w:ascii="宋体" w:hAnsi="宋体"/>
          <w:color w:val="auto"/>
          <w:kern w:val="0"/>
          <w:sz w:val="24"/>
          <w:highlight w:val="none"/>
          <w:u w:val="single"/>
        </w:rPr>
        <w:t xml:space="preserve">月 日     时  </w:t>
      </w:r>
      <w:r>
        <w:rPr>
          <w:rFonts w:hint="eastAsia" w:ascii="宋体" w:hAnsi="宋体"/>
          <w:color w:val="auto"/>
          <w:spacing w:val="-2"/>
          <w:kern w:val="0"/>
          <w:sz w:val="24"/>
          <w:highlight w:val="none"/>
          <w:u w:val="single"/>
        </w:rPr>
        <w:t xml:space="preserve"> 分</w:t>
      </w:r>
      <w:r>
        <w:rPr>
          <w:rFonts w:hint="eastAsia" w:ascii="宋体" w:hAnsi="宋体"/>
          <w:color w:val="auto"/>
          <w:spacing w:val="-2"/>
          <w:kern w:val="0"/>
          <w:sz w:val="24"/>
          <w:highlight w:val="none"/>
        </w:rPr>
        <w:t>，投标人应在截止时间前通过</w:t>
      </w:r>
      <w:r>
        <w:rPr>
          <w:rFonts w:hint="eastAsia" w:ascii="宋体" w:hAnsi="宋体"/>
          <w:color w:val="auto"/>
          <w:spacing w:val="-2"/>
          <w:kern w:val="0"/>
          <w:sz w:val="24"/>
          <w:highlight w:val="none"/>
          <w:u w:val="single"/>
        </w:rPr>
        <w:t>广州公共资源交易中心</w:t>
      </w:r>
      <w:r>
        <w:rPr>
          <w:rFonts w:hint="eastAsia" w:ascii="宋体" w:hAnsi="宋体"/>
          <w:color w:val="auto"/>
          <w:spacing w:val="-2"/>
          <w:kern w:val="0"/>
          <w:sz w:val="24"/>
          <w:highlight w:val="none"/>
        </w:rPr>
        <w:t>交易平台</w:t>
      </w:r>
      <w:r>
        <w:rPr>
          <w:rFonts w:hint="eastAsia" w:ascii="宋体" w:hAnsi="宋体"/>
          <w:color w:val="auto"/>
          <w:spacing w:val="-2"/>
          <w:kern w:val="0"/>
          <w:sz w:val="24"/>
          <w:highlight w:val="none"/>
          <w:u w:val="single"/>
        </w:rPr>
        <w:t>（以下简称“交易平台”）</w:t>
      </w:r>
      <w:r>
        <w:rPr>
          <w:rFonts w:hint="eastAsia" w:ascii="宋体" w:hAnsi="宋体"/>
          <w:color w:val="auto"/>
          <w:spacing w:val="-2"/>
          <w:kern w:val="0"/>
          <w:sz w:val="24"/>
          <w:highlight w:val="none"/>
        </w:rPr>
        <w:t>网站递交电子投标文件。投标人完成电子投标上传后，交易平台即时向投标人发出递交回执通知。递交时间以递交回执通知载明的传输时间为准。</w:t>
      </w:r>
    </w:p>
    <w:p>
      <w:pPr>
        <w:spacing w:line="360" w:lineRule="auto"/>
        <w:ind w:firstLine="472" w:firstLineChars="200"/>
        <w:jc w:val="left"/>
        <w:rPr>
          <w:rFonts w:ascii="宋体" w:hAnsi="宋体"/>
          <w:color w:val="auto"/>
          <w:spacing w:val="-2"/>
          <w:kern w:val="0"/>
          <w:sz w:val="24"/>
          <w:highlight w:val="none"/>
        </w:rPr>
      </w:pPr>
      <w:r>
        <w:rPr>
          <w:rFonts w:hint="eastAsia" w:ascii="宋体" w:hAnsi="宋体"/>
          <w:color w:val="auto"/>
          <w:spacing w:val="-2"/>
          <w:kern w:val="0"/>
          <w:sz w:val="24"/>
          <w:highlight w:val="none"/>
        </w:rPr>
        <w:t>8.2  投标人应在递交投标文件截止时间前，登录交易平台网站办理网上投标登记手续。按照交易平台关于全流程电子化项目的相关指南进行操作。</w:t>
      </w:r>
    </w:p>
    <w:p>
      <w:pPr>
        <w:spacing w:line="360" w:lineRule="auto"/>
        <w:ind w:firstLine="472" w:firstLineChars="200"/>
        <w:jc w:val="left"/>
        <w:rPr>
          <w:rFonts w:ascii="宋体" w:hAnsi="宋体"/>
          <w:color w:val="auto"/>
          <w:spacing w:val="-2"/>
          <w:kern w:val="0"/>
          <w:sz w:val="24"/>
          <w:highlight w:val="none"/>
        </w:rPr>
      </w:pPr>
      <w:r>
        <w:rPr>
          <w:rFonts w:hint="eastAsia" w:ascii="宋体" w:hAnsi="宋体"/>
          <w:color w:val="auto"/>
          <w:spacing w:val="-2"/>
          <w:kern w:val="0"/>
          <w:sz w:val="24"/>
          <w:highlight w:val="none"/>
        </w:rPr>
        <w:t>8.3  提交投标文件光盘备用（及保密信封）</w:t>
      </w:r>
    </w:p>
    <w:p>
      <w:pPr>
        <w:spacing w:line="360" w:lineRule="auto"/>
        <w:ind w:firstLine="472" w:firstLineChars="200"/>
        <w:jc w:val="left"/>
        <w:rPr>
          <w:rFonts w:ascii="宋体" w:hAnsi="宋体"/>
          <w:color w:val="auto"/>
          <w:spacing w:val="-2"/>
          <w:kern w:val="0"/>
          <w:sz w:val="24"/>
          <w:highlight w:val="none"/>
        </w:rPr>
      </w:pPr>
      <w:r>
        <w:rPr>
          <w:rFonts w:hint="eastAsia" w:ascii="宋体" w:hAnsi="宋体"/>
          <w:color w:val="auto"/>
          <w:spacing w:val="-2"/>
          <w:kern w:val="0"/>
          <w:sz w:val="24"/>
          <w:highlight w:val="none"/>
        </w:rPr>
        <w:t>投标文件光盘（备用）（及保密信封）递交时间：</w:t>
      </w:r>
      <w:r>
        <w:rPr>
          <w:rFonts w:hint="eastAsia" w:ascii="宋体" w:hAnsi="宋体"/>
          <w:color w:val="auto"/>
          <w:spacing w:val="-2"/>
          <w:kern w:val="0"/>
          <w:sz w:val="24"/>
          <w:highlight w:val="none"/>
          <w:u w:val="single"/>
        </w:rPr>
        <w:t>2024年</w:t>
      </w:r>
      <w:r>
        <w:rPr>
          <w:rFonts w:hint="eastAsia" w:ascii="宋体" w:hAnsi="宋体"/>
          <w:color w:val="auto"/>
          <w:kern w:val="0"/>
          <w:sz w:val="24"/>
          <w:highlight w:val="none"/>
          <w:u w:val="single"/>
        </w:rPr>
        <w:t xml:space="preserve">月  日   时  </w:t>
      </w:r>
      <w:r>
        <w:rPr>
          <w:rFonts w:hint="eastAsia" w:ascii="宋体" w:hAnsi="宋体"/>
          <w:color w:val="auto"/>
          <w:spacing w:val="-2"/>
          <w:kern w:val="0"/>
          <w:sz w:val="24"/>
          <w:highlight w:val="none"/>
          <w:u w:val="single"/>
        </w:rPr>
        <w:t xml:space="preserve"> 分至2024年</w:t>
      </w:r>
      <w:r>
        <w:rPr>
          <w:rFonts w:hint="eastAsia" w:ascii="宋体" w:hAnsi="宋体"/>
          <w:color w:val="auto"/>
          <w:kern w:val="0"/>
          <w:sz w:val="24"/>
          <w:highlight w:val="none"/>
          <w:u w:val="single"/>
        </w:rPr>
        <w:t xml:space="preserve">月  日    时   </w:t>
      </w:r>
      <w:r>
        <w:rPr>
          <w:rFonts w:hint="eastAsia" w:ascii="宋体" w:hAnsi="宋体"/>
          <w:color w:val="auto"/>
          <w:spacing w:val="-2"/>
          <w:kern w:val="0"/>
          <w:sz w:val="24"/>
          <w:highlight w:val="none"/>
          <w:u w:val="single"/>
        </w:rPr>
        <w:t xml:space="preserve"> 分</w:t>
      </w:r>
      <w:r>
        <w:rPr>
          <w:rFonts w:hint="eastAsia" w:ascii="宋体" w:hAnsi="宋体"/>
          <w:color w:val="auto"/>
          <w:spacing w:val="-2"/>
          <w:kern w:val="0"/>
          <w:sz w:val="24"/>
          <w:highlight w:val="none"/>
        </w:rPr>
        <w:t>；地点：</w:t>
      </w:r>
      <w:r>
        <w:rPr>
          <w:rFonts w:hint="eastAsia" w:ascii="宋体" w:hAnsi="宋体"/>
          <w:color w:val="auto"/>
          <w:spacing w:val="-2"/>
          <w:kern w:val="0"/>
          <w:sz w:val="24"/>
          <w:highlight w:val="none"/>
          <w:u w:val="single"/>
        </w:rPr>
        <w:t>广州公共资源交易中心（广州市天河区天润路333号）第 开标室。</w:t>
      </w:r>
    </w:p>
    <w:p>
      <w:pPr>
        <w:spacing w:line="360" w:lineRule="auto"/>
        <w:ind w:firstLine="474" w:firstLineChars="200"/>
        <w:jc w:val="left"/>
        <w:rPr>
          <w:rFonts w:ascii="宋体" w:hAnsi="宋体"/>
          <w:b/>
          <w:color w:val="auto"/>
          <w:spacing w:val="-2"/>
          <w:kern w:val="0"/>
          <w:sz w:val="24"/>
          <w:highlight w:val="none"/>
          <w:u w:val="single"/>
        </w:rPr>
      </w:pPr>
      <w:r>
        <w:rPr>
          <w:rFonts w:hint="eastAsia" w:ascii="宋体" w:hAnsi="宋体"/>
          <w:b/>
          <w:color w:val="auto"/>
          <w:spacing w:val="-2"/>
          <w:kern w:val="0"/>
          <w:sz w:val="24"/>
          <w:highlight w:val="none"/>
          <w:u w:val="single"/>
        </w:rPr>
        <w:t>投标文件光盘（备用）应包含商务文件光盘、技术文件光盘各1个。递交投标文件光盘（备用）时应同时递交保密信封（备用）1份，递交时间、地点同投标文件光盘（备用）递交时间、地点。（电子光盘及保密信封需按规定封装。投标人将数据刻录到光盘之后，投标前自行检查文件是否可以读取。）</w:t>
      </w:r>
    </w:p>
    <w:p>
      <w:pPr>
        <w:spacing w:line="360" w:lineRule="auto"/>
        <w:ind w:firstLine="472" w:firstLineChars="200"/>
        <w:jc w:val="left"/>
        <w:rPr>
          <w:rFonts w:ascii="宋体" w:hAnsi="宋体"/>
          <w:color w:val="auto"/>
          <w:spacing w:val="-2"/>
          <w:kern w:val="0"/>
          <w:sz w:val="24"/>
          <w:highlight w:val="none"/>
        </w:rPr>
      </w:pPr>
      <w:r>
        <w:rPr>
          <w:rFonts w:hint="eastAsia" w:ascii="宋体" w:hAnsi="宋体"/>
          <w:color w:val="auto"/>
          <w:spacing w:val="-2"/>
          <w:kern w:val="0"/>
          <w:sz w:val="24"/>
          <w:highlight w:val="none"/>
        </w:rPr>
        <w:t>投标文件解密时间为</w:t>
      </w:r>
      <w:r>
        <w:rPr>
          <w:rFonts w:hint="eastAsia" w:ascii="宋体" w:hAnsi="宋体"/>
          <w:color w:val="auto"/>
          <w:spacing w:val="-2"/>
          <w:kern w:val="0"/>
          <w:sz w:val="24"/>
          <w:highlight w:val="none"/>
          <w:u w:val="single"/>
        </w:rPr>
        <w:t>2024年</w:t>
      </w:r>
      <w:r>
        <w:rPr>
          <w:rFonts w:hint="eastAsia" w:ascii="宋体" w:hAnsi="宋体"/>
          <w:color w:val="auto"/>
          <w:kern w:val="0"/>
          <w:sz w:val="24"/>
          <w:highlight w:val="none"/>
          <w:u w:val="single"/>
        </w:rPr>
        <w:t xml:space="preserve">月  日   时  </w:t>
      </w:r>
      <w:r>
        <w:rPr>
          <w:rFonts w:hint="eastAsia" w:ascii="宋体" w:hAnsi="宋体"/>
          <w:color w:val="auto"/>
          <w:spacing w:val="-2"/>
          <w:kern w:val="0"/>
          <w:sz w:val="24"/>
          <w:highlight w:val="none"/>
          <w:u w:val="single"/>
        </w:rPr>
        <w:t xml:space="preserve"> 分至2024年</w:t>
      </w:r>
      <w:r>
        <w:rPr>
          <w:rFonts w:hint="eastAsia" w:ascii="宋体" w:hAnsi="宋体"/>
          <w:color w:val="auto"/>
          <w:kern w:val="0"/>
          <w:sz w:val="24"/>
          <w:highlight w:val="none"/>
          <w:u w:val="single"/>
        </w:rPr>
        <w:t xml:space="preserve">  月   日   时   </w:t>
      </w:r>
      <w:r>
        <w:rPr>
          <w:rFonts w:hint="eastAsia" w:ascii="宋体" w:hAnsi="宋体"/>
          <w:color w:val="auto"/>
          <w:spacing w:val="-2"/>
          <w:kern w:val="0"/>
          <w:sz w:val="24"/>
          <w:highlight w:val="none"/>
          <w:u w:val="single"/>
        </w:rPr>
        <w:t xml:space="preserve">  分</w:t>
      </w:r>
      <w:r>
        <w:rPr>
          <w:rFonts w:hint="eastAsia" w:ascii="宋体" w:hAnsi="宋体"/>
          <w:color w:val="auto"/>
          <w:spacing w:val="-2"/>
          <w:kern w:val="0"/>
          <w:sz w:val="24"/>
          <w:highlight w:val="none"/>
        </w:rPr>
        <w:t>，投标人应在截止时间前按照交易平台关于全流程电子化项目的相关指南进行操作。</w:t>
      </w:r>
    </w:p>
    <w:p>
      <w:pPr>
        <w:spacing w:line="360" w:lineRule="auto"/>
        <w:ind w:firstLine="472" w:firstLineChars="200"/>
        <w:jc w:val="left"/>
        <w:rPr>
          <w:rFonts w:ascii="宋体" w:hAnsi="宋体"/>
          <w:color w:val="auto"/>
          <w:spacing w:val="-2"/>
          <w:kern w:val="0"/>
          <w:sz w:val="24"/>
          <w:highlight w:val="none"/>
        </w:rPr>
      </w:pPr>
      <w:r>
        <w:rPr>
          <w:rFonts w:hint="eastAsia" w:ascii="宋体" w:hAnsi="宋体"/>
          <w:color w:val="auto"/>
          <w:spacing w:val="-2"/>
          <w:kern w:val="0"/>
          <w:sz w:val="24"/>
          <w:highlight w:val="none"/>
        </w:rPr>
        <w:t>8.4  逾期送达的投标文件，交易平台将予以拒收。</w:t>
      </w:r>
    </w:p>
    <w:p>
      <w:pPr>
        <w:spacing w:line="360" w:lineRule="auto"/>
        <w:ind w:firstLine="472" w:firstLineChars="200"/>
        <w:jc w:val="left"/>
        <w:rPr>
          <w:rFonts w:ascii="宋体" w:hAnsi="宋体"/>
          <w:color w:val="auto"/>
          <w:spacing w:val="-2"/>
          <w:kern w:val="0"/>
          <w:sz w:val="24"/>
          <w:highlight w:val="none"/>
        </w:rPr>
      </w:pPr>
      <w:r>
        <w:rPr>
          <w:rFonts w:hint="eastAsia" w:ascii="宋体" w:hAnsi="宋体"/>
          <w:color w:val="auto"/>
          <w:spacing w:val="-2"/>
          <w:kern w:val="0"/>
          <w:sz w:val="24"/>
          <w:highlight w:val="none"/>
        </w:rPr>
        <w:t>8.5  本招标项目采用电子开标，在交易平台上公开进行。开标开始时间：</w:t>
      </w:r>
      <w:r>
        <w:rPr>
          <w:rFonts w:hint="eastAsia" w:ascii="宋体" w:hAnsi="宋体"/>
          <w:color w:val="auto"/>
          <w:spacing w:val="-2"/>
          <w:kern w:val="0"/>
          <w:sz w:val="24"/>
          <w:highlight w:val="none"/>
          <w:u w:val="single"/>
        </w:rPr>
        <w:t>2024年</w:t>
      </w:r>
      <w:r>
        <w:rPr>
          <w:rFonts w:hint="eastAsia" w:ascii="宋体" w:hAnsi="宋体"/>
          <w:color w:val="auto"/>
          <w:kern w:val="0"/>
          <w:sz w:val="24"/>
          <w:highlight w:val="none"/>
          <w:u w:val="single"/>
        </w:rPr>
        <w:t xml:space="preserve">月  日   时   </w:t>
      </w:r>
      <w:r>
        <w:rPr>
          <w:rFonts w:hint="eastAsia" w:ascii="宋体" w:hAnsi="宋体"/>
          <w:color w:val="auto"/>
          <w:spacing w:val="-2"/>
          <w:kern w:val="0"/>
          <w:sz w:val="24"/>
          <w:highlight w:val="none"/>
          <w:u w:val="single"/>
        </w:rPr>
        <w:t xml:space="preserve"> 分</w:t>
      </w:r>
      <w:r>
        <w:rPr>
          <w:rFonts w:hint="eastAsia" w:ascii="宋体" w:hAnsi="宋体"/>
          <w:color w:val="auto"/>
          <w:spacing w:val="-2"/>
          <w:kern w:val="0"/>
          <w:sz w:val="24"/>
          <w:highlight w:val="none"/>
        </w:rPr>
        <w:t>（与投标截止时间为同一时间）。邀请所有投标人准时在线参加开标。</w:t>
      </w:r>
      <w:r>
        <w:rPr>
          <w:rFonts w:ascii="宋体" w:hAnsi="宋体"/>
          <w:color w:val="auto"/>
          <w:spacing w:val="-2"/>
          <w:kern w:val="0"/>
          <w:sz w:val="24"/>
          <w:highlight w:val="none"/>
        </w:rPr>
        <w:t>投标人</w:t>
      </w:r>
      <w:r>
        <w:rPr>
          <w:rFonts w:hint="eastAsia" w:ascii="宋体" w:hAnsi="宋体"/>
          <w:color w:val="auto"/>
          <w:spacing w:val="-2"/>
          <w:kern w:val="0"/>
          <w:sz w:val="24"/>
          <w:highlight w:val="none"/>
        </w:rPr>
        <w:t>参与电子</w:t>
      </w:r>
      <w:r>
        <w:rPr>
          <w:rFonts w:ascii="宋体" w:hAnsi="宋体"/>
          <w:color w:val="auto"/>
          <w:spacing w:val="-2"/>
          <w:kern w:val="0"/>
          <w:sz w:val="24"/>
          <w:highlight w:val="none"/>
        </w:rPr>
        <w:t>开标</w:t>
      </w:r>
      <w:r>
        <w:rPr>
          <w:rFonts w:hint="eastAsia" w:ascii="宋体" w:hAnsi="宋体"/>
          <w:color w:val="auto"/>
          <w:spacing w:val="-2"/>
          <w:kern w:val="0"/>
          <w:sz w:val="24"/>
          <w:highlight w:val="none"/>
        </w:rPr>
        <w:t>的</w:t>
      </w:r>
      <w:r>
        <w:rPr>
          <w:rFonts w:ascii="宋体" w:hAnsi="宋体"/>
          <w:color w:val="auto"/>
          <w:spacing w:val="-2"/>
          <w:kern w:val="0"/>
          <w:sz w:val="24"/>
          <w:highlight w:val="none"/>
        </w:rPr>
        <w:t>具体操作详见交易平台</w:t>
      </w:r>
      <w:r>
        <w:rPr>
          <w:rFonts w:hint="eastAsia" w:ascii="宋体" w:hAnsi="宋体"/>
          <w:color w:val="auto"/>
          <w:spacing w:val="-2"/>
          <w:kern w:val="0"/>
          <w:sz w:val="24"/>
          <w:highlight w:val="none"/>
        </w:rPr>
        <w:t>发布</w:t>
      </w:r>
      <w:r>
        <w:rPr>
          <w:rFonts w:ascii="宋体" w:hAnsi="宋体"/>
          <w:color w:val="auto"/>
          <w:spacing w:val="-2"/>
          <w:kern w:val="0"/>
          <w:sz w:val="24"/>
          <w:highlight w:val="none"/>
        </w:rPr>
        <w:t>的相关操作指引</w:t>
      </w:r>
      <w:r>
        <w:rPr>
          <w:rFonts w:hint="eastAsia" w:ascii="宋体" w:hAnsi="宋体"/>
          <w:color w:val="auto"/>
          <w:spacing w:val="-2"/>
          <w:kern w:val="0"/>
          <w:sz w:val="24"/>
          <w:highlight w:val="none"/>
        </w:rPr>
        <w:t>。</w:t>
      </w:r>
    </w:p>
    <w:p>
      <w:pPr>
        <w:spacing w:line="360" w:lineRule="auto"/>
        <w:ind w:firstLine="472" w:firstLineChars="200"/>
        <w:jc w:val="left"/>
        <w:rPr>
          <w:rFonts w:ascii="宋体" w:hAnsi="宋体"/>
          <w:color w:val="auto"/>
          <w:spacing w:val="-2"/>
          <w:kern w:val="0"/>
          <w:sz w:val="24"/>
          <w:highlight w:val="none"/>
          <w:u w:val="single"/>
        </w:rPr>
      </w:pPr>
      <w:r>
        <w:rPr>
          <w:rFonts w:hint="eastAsia" w:ascii="宋体" w:hAnsi="宋体"/>
          <w:color w:val="auto"/>
          <w:spacing w:val="-2"/>
          <w:kern w:val="0"/>
          <w:sz w:val="24"/>
          <w:highlight w:val="none"/>
        </w:rPr>
        <w:t xml:space="preserve">8.6  </w:t>
      </w:r>
      <w:r>
        <w:rPr>
          <w:rFonts w:hint="eastAsia" w:ascii="宋体" w:hAnsi="宋体"/>
          <w:color w:val="auto"/>
          <w:spacing w:val="-2"/>
          <w:kern w:val="0"/>
          <w:sz w:val="24"/>
          <w:highlight w:val="none"/>
          <w:u w:val="single"/>
        </w:rPr>
        <w:t>在规定的投标截止时间，投标登记的申请单位不足3名时，招标人有权：</w:t>
      </w:r>
    </w:p>
    <w:p>
      <w:pPr>
        <w:spacing w:line="360" w:lineRule="auto"/>
        <w:ind w:firstLine="472" w:firstLineChars="200"/>
        <w:jc w:val="left"/>
        <w:rPr>
          <w:rFonts w:ascii="宋体" w:hAnsi="宋体"/>
          <w:color w:val="auto"/>
          <w:spacing w:val="-2"/>
          <w:kern w:val="0"/>
          <w:sz w:val="24"/>
          <w:highlight w:val="none"/>
          <w:u w:val="single"/>
        </w:rPr>
      </w:pPr>
      <w:r>
        <w:rPr>
          <w:rFonts w:hint="eastAsia" w:ascii="宋体" w:hAnsi="宋体"/>
          <w:color w:val="auto"/>
          <w:spacing w:val="-2"/>
          <w:kern w:val="0"/>
          <w:sz w:val="24"/>
          <w:highlight w:val="none"/>
          <w:u w:val="single"/>
        </w:rPr>
        <w:t>（1）发布公告延长接受投标登记时间。在延期投标登记时间内，已投标登记申请单位的资料仍有效并可自行补充资料，未投标登记的申请单位可根据公告的约定参与投标登记。</w:t>
      </w:r>
    </w:p>
    <w:p>
      <w:pPr>
        <w:spacing w:line="360" w:lineRule="auto"/>
        <w:ind w:firstLine="472" w:firstLineChars="200"/>
        <w:jc w:val="left"/>
        <w:rPr>
          <w:rFonts w:ascii="宋体" w:hAnsi="宋体"/>
          <w:color w:val="auto"/>
          <w:spacing w:val="-2"/>
          <w:kern w:val="0"/>
          <w:sz w:val="24"/>
          <w:highlight w:val="none"/>
          <w:u w:val="single"/>
        </w:rPr>
      </w:pPr>
      <w:r>
        <w:rPr>
          <w:rFonts w:hint="eastAsia" w:ascii="宋体" w:hAnsi="宋体"/>
          <w:color w:val="auto"/>
          <w:spacing w:val="-2"/>
          <w:kern w:val="0"/>
          <w:sz w:val="24"/>
          <w:highlight w:val="none"/>
          <w:u w:val="single"/>
        </w:rPr>
        <w:t>（2）依法重新招标。</w:t>
      </w:r>
    </w:p>
    <w:p>
      <w:pPr>
        <w:spacing w:line="360" w:lineRule="auto"/>
        <w:ind w:firstLine="472" w:firstLineChars="200"/>
        <w:jc w:val="left"/>
        <w:rPr>
          <w:color w:val="auto"/>
          <w:highlight w:val="none"/>
        </w:rPr>
      </w:pPr>
      <w:r>
        <w:rPr>
          <w:rFonts w:hint="eastAsia" w:ascii="宋体" w:hAnsi="宋体"/>
          <w:color w:val="auto"/>
          <w:spacing w:val="-2"/>
          <w:kern w:val="0"/>
          <w:sz w:val="24"/>
          <w:highlight w:val="none"/>
          <w:u w:val="single"/>
        </w:rPr>
        <w:t>8.7本项目各项投标活动具体可通过广州公共资源交易中心网站查询具体的时间和场地安排。投标人可登录广州公共资源交易中心网站首页，点击“交易业务-建设工程”专栏中的“项目查询（日程安排、答疑纪要）”，输入项目编号或项目名称查询最新信息。本项目各项投标活动的时间和场地安排是否有变化，请密切留意补充公告和招标答疑纪要的相关信息。</w:t>
      </w:r>
    </w:p>
    <w:p>
      <w:pPr>
        <w:pStyle w:val="4"/>
        <w:spacing w:line="360" w:lineRule="auto"/>
        <w:ind w:firstLine="647"/>
        <w:rPr>
          <w:rFonts w:ascii="宋体" w:hAnsi="宋体"/>
          <w:b/>
          <w:color w:val="auto"/>
          <w:spacing w:val="1"/>
          <w:sz w:val="32"/>
          <w:highlight w:val="none"/>
        </w:rPr>
      </w:pPr>
      <w:bookmarkStart w:id="6" w:name="_Toc25072054"/>
      <w:r>
        <w:rPr>
          <w:rFonts w:hint="eastAsia" w:ascii="宋体" w:hAnsi="宋体"/>
          <w:b/>
          <w:color w:val="auto"/>
          <w:spacing w:val="1"/>
          <w:sz w:val="32"/>
          <w:highlight w:val="none"/>
        </w:rPr>
        <w:t>9.发布公告的媒介</w:t>
      </w:r>
      <w:bookmarkEnd w:id="6"/>
    </w:p>
    <w:p>
      <w:pPr>
        <w:autoSpaceDE w:val="0"/>
        <w:autoSpaceDN w:val="0"/>
        <w:adjustRightInd w:val="0"/>
        <w:spacing w:line="360" w:lineRule="auto"/>
        <w:ind w:firstLine="480" w:firstLineChars="200"/>
        <w:rPr>
          <w:rFonts w:ascii="宋体" w:hAnsi="宋体"/>
          <w:color w:val="auto"/>
          <w:kern w:val="0"/>
          <w:sz w:val="24"/>
          <w:highlight w:val="none"/>
          <w:u w:val="single"/>
        </w:rPr>
      </w:pPr>
      <w:r>
        <w:rPr>
          <w:rFonts w:hint="eastAsia" w:ascii="宋体" w:hAnsi="宋体"/>
          <w:color w:val="auto"/>
          <w:kern w:val="0"/>
          <w:position w:val="-4"/>
          <w:sz w:val="24"/>
          <w:highlight w:val="none"/>
        </w:rPr>
        <w:t>本次</w:t>
      </w:r>
      <w:r>
        <w:rPr>
          <w:rFonts w:hint="eastAsia" w:ascii="宋体" w:hAnsi="宋体"/>
          <w:color w:val="auto"/>
          <w:spacing w:val="-2"/>
          <w:kern w:val="0"/>
          <w:position w:val="-4"/>
          <w:sz w:val="24"/>
          <w:highlight w:val="none"/>
          <w:u w:val="single"/>
        </w:rPr>
        <w:t>招标公告同时在：广州公共资源交易中心网站（网址：http://www.gzggzy.cn）、广东省招标投标监管网（网址：http://zbtb.gd.gov.cn）和中国招标投标公共服务平台（网址：http://www.cebpubservice.com/）发布，本公告的修改、补充，在广州公共资源交易网发布。</w:t>
      </w:r>
    </w:p>
    <w:p>
      <w:pPr>
        <w:pStyle w:val="4"/>
        <w:spacing w:line="360" w:lineRule="auto"/>
        <w:ind w:firstLine="647"/>
        <w:rPr>
          <w:rFonts w:ascii="宋体" w:hAnsi="宋体"/>
          <w:b/>
          <w:color w:val="auto"/>
          <w:spacing w:val="1"/>
          <w:sz w:val="32"/>
          <w:highlight w:val="none"/>
        </w:rPr>
      </w:pPr>
      <w:bookmarkStart w:id="7" w:name="_Toc25072055"/>
      <w:r>
        <w:rPr>
          <w:rFonts w:hint="eastAsia" w:ascii="宋体" w:hAnsi="宋体"/>
          <w:b/>
          <w:color w:val="auto"/>
          <w:spacing w:val="1"/>
          <w:sz w:val="32"/>
          <w:highlight w:val="none"/>
        </w:rPr>
        <w:t>10.其它事项</w:t>
      </w:r>
      <w:bookmarkEnd w:id="7"/>
    </w:p>
    <w:p>
      <w:pPr>
        <w:spacing w:line="360" w:lineRule="auto"/>
        <w:ind w:firstLine="480" w:firstLineChars="200"/>
        <w:jc w:val="left"/>
        <w:rPr>
          <w:rFonts w:ascii="宋体" w:hAnsi="宋体"/>
          <w:b/>
          <w:color w:val="auto"/>
          <w:sz w:val="24"/>
          <w:highlight w:val="none"/>
          <w:u w:val="single"/>
        </w:rPr>
      </w:pPr>
      <w:r>
        <w:rPr>
          <w:rFonts w:hint="eastAsia" w:ascii="宋体" w:hAnsi="宋体"/>
          <w:color w:val="auto"/>
          <w:sz w:val="24"/>
          <w:highlight w:val="none"/>
        </w:rPr>
        <w:t>10.1  投标时是否需要提交设计模型：</w:t>
      </w:r>
      <w:r>
        <w:rPr>
          <w:rFonts w:hint="eastAsia" w:ascii="宋体" w:hAnsi="宋体"/>
          <w:b/>
          <w:color w:val="auto"/>
          <w:sz w:val="24"/>
          <w:highlight w:val="none"/>
          <w:u w:val="single"/>
        </w:rPr>
        <w:t>否。</w:t>
      </w:r>
    </w:p>
    <w:p>
      <w:pPr>
        <w:spacing w:line="360" w:lineRule="auto"/>
        <w:ind w:firstLine="480" w:firstLineChars="200"/>
        <w:jc w:val="left"/>
        <w:rPr>
          <w:rFonts w:ascii="宋体" w:hAnsi="宋体"/>
          <w:color w:val="auto"/>
          <w:sz w:val="24"/>
          <w:highlight w:val="none"/>
        </w:rPr>
      </w:pPr>
      <w:r>
        <w:rPr>
          <w:rFonts w:hint="eastAsia" w:ascii="宋体" w:hAnsi="宋体"/>
          <w:color w:val="auto"/>
          <w:sz w:val="24"/>
          <w:highlight w:val="none"/>
        </w:rPr>
        <w:t>10.2  招标项目的电子地形图由投标人自行收集。</w:t>
      </w:r>
    </w:p>
    <w:p>
      <w:pPr>
        <w:spacing w:line="360" w:lineRule="auto"/>
        <w:ind w:firstLine="480" w:firstLineChars="200"/>
        <w:jc w:val="left"/>
        <w:rPr>
          <w:rFonts w:ascii="宋体" w:hAnsi="宋体"/>
          <w:color w:val="auto"/>
          <w:sz w:val="24"/>
          <w:highlight w:val="none"/>
        </w:rPr>
      </w:pPr>
      <w:r>
        <w:rPr>
          <w:rFonts w:hint="eastAsia" w:ascii="宋体" w:hAnsi="宋体"/>
          <w:color w:val="auto"/>
          <w:sz w:val="24"/>
          <w:highlight w:val="none"/>
        </w:rPr>
        <w:t>10.3  项目的其他情况在可行性研究报告中详细介绍。本公告为招标文件的组成部分，更详细的信息以招标文件为准。</w:t>
      </w:r>
    </w:p>
    <w:p>
      <w:pPr>
        <w:spacing w:line="360" w:lineRule="auto"/>
        <w:ind w:firstLine="480" w:firstLineChars="200"/>
        <w:jc w:val="left"/>
        <w:rPr>
          <w:rFonts w:ascii="宋体" w:hAnsi="宋体"/>
          <w:color w:val="auto"/>
          <w:sz w:val="24"/>
          <w:highlight w:val="none"/>
        </w:rPr>
      </w:pPr>
      <w:r>
        <w:rPr>
          <w:rFonts w:hint="eastAsia" w:ascii="宋体" w:hAnsi="宋体"/>
          <w:color w:val="auto"/>
          <w:sz w:val="24"/>
          <w:highlight w:val="none"/>
        </w:rPr>
        <w:t>10.4  电子招投标操作流程详见广州公共资源交易中心交易平台发布的相关操作指引。</w:t>
      </w:r>
    </w:p>
    <w:p>
      <w:pPr>
        <w:shd w:val="clear" w:color="auto" w:fill="FFFFFF"/>
        <w:adjustRightInd w:val="0"/>
        <w:spacing w:line="360" w:lineRule="auto"/>
        <w:ind w:firstLine="480" w:firstLineChars="200"/>
        <w:rPr>
          <w:rFonts w:ascii="宋体" w:hAnsi="宋体"/>
          <w:color w:val="auto"/>
          <w:sz w:val="24"/>
          <w:highlight w:val="none"/>
        </w:rPr>
      </w:pPr>
      <w:r>
        <w:rPr>
          <w:rFonts w:hint="eastAsia" w:ascii="宋体" w:hAnsi="宋体"/>
          <w:color w:val="auto"/>
          <w:sz w:val="24"/>
          <w:highlight w:val="none"/>
        </w:rPr>
        <w:t>10.5  潜在投标人或利害关系人对本招标公告及招标文件有异议的，应当在投标截止时间10日前向招标人书面提出。</w:t>
      </w:r>
    </w:p>
    <w:p>
      <w:pPr>
        <w:snapToGrid w:val="0"/>
        <w:spacing w:line="360" w:lineRule="auto"/>
        <w:ind w:firstLine="480" w:firstLineChars="200"/>
        <w:rPr>
          <w:rFonts w:ascii="宋体" w:hAnsi="宋体"/>
          <w:color w:val="auto"/>
          <w:sz w:val="24"/>
          <w:highlight w:val="none"/>
        </w:rPr>
      </w:pPr>
      <w:r>
        <w:rPr>
          <w:rFonts w:ascii="宋体" w:hAnsi="宋体"/>
          <w:color w:val="auto"/>
          <w:sz w:val="24"/>
          <w:highlight w:val="none"/>
        </w:rPr>
        <w:t>异议受理部门：</w:t>
      </w:r>
      <w:r>
        <w:rPr>
          <w:rFonts w:hint="eastAsia" w:ascii="宋体" w:hAnsi="宋体"/>
          <w:color w:val="auto"/>
          <w:sz w:val="24"/>
          <w:highlight w:val="none"/>
          <w:u w:val="single"/>
        </w:rPr>
        <w:t>广东省代建项目管理局</w:t>
      </w:r>
    </w:p>
    <w:p>
      <w:pPr>
        <w:snapToGrid w:val="0"/>
        <w:spacing w:line="360" w:lineRule="auto"/>
        <w:ind w:firstLine="480" w:firstLineChars="200"/>
        <w:rPr>
          <w:rFonts w:ascii="宋体" w:hAnsi="宋体"/>
          <w:color w:val="auto"/>
          <w:sz w:val="24"/>
          <w:highlight w:val="none"/>
        </w:rPr>
      </w:pPr>
      <w:r>
        <w:rPr>
          <w:rFonts w:ascii="宋体" w:hAnsi="宋体"/>
          <w:color w:val="auto"/>
          <w:sz w:val="24"/>
          <w:highlight w:val="none"/>
        </w:rPr>
        <w:t>联系人：</w:t>
      </w:r>
      <w:r>
        <w:rPr>
          <w:rFonts w:hint="eastAsia" w:ascii="宋体" w:hAnsi="宋体"/>
          <w:color w:val="auto"/>
          <w:sz w:val="24"/>
          <w:highlight w:val="none"/>
          <w:u w:val="single"/>
        </w:rPr>
        <w:t>黄</w:t>
      </w:r>
      <w:r>
        <w:rPr>
          <w:rFonts w:hint="eastAsia" w:ascii="宋体" w:hAnsi="宋体" w:cs="宋体"/>
          <w:color w:val="auto"/>
          <w:sz w:val="24"/>
          <w:highlight w:val="none"/>
          <w:u w:val="single"/>
        </w:rPr>
        <w:t>工</w:t>
      </w:r>
    </w:p>
    <w:p>
      <w:pPr>
        <w:snapToGrid w:val="0"/>
        <w:spacing w:line="360" w:lineRule="auto"/>
        <w:ind w:firstLine="480" w:firstLineChars="200"/>
        <w:rPr>
          <w:rFonts w:ascii="宋体" w:hAnsi="宋体"/>
          <w:color w:val="auto"/>
          <w:sz w:val="24"/>
          <w:highlight w:val="none"/>
        </w:rPr>
      </w:pPr>
      <w:r>
        <w:rPr>
          <w:rFonts w:ascii="宋体" w:hAnsi="宋体"/>
          <w:color w:val="auto"/>
          <w:sz w:val="24"/>
          <w:highlight w:val="none"/>
        </w:rPr>
        <w:t>电话：</w:t>
      </w:r>
      <w:r>
        <w:rPr>
          <w:rFonts w:hint="eastAsia" w:ascii="宋体" w:hAnsi="宋体" w:cs="宋体"/>
          <w:color w:val="auto"/>
          <w:sz w:val="24"/>
          <w:highlight w:val="none"/>
          <w:u w:val="single"/>
        </w:rPr>
        <w:t xml:space="preserve"> 020-83620804 </w:t>
      </w:r>
    </w:p>
    <w:p>
      <w:pPr>
        <w:snapToGrid w:val="0"/>
        <w:spacing w:line="360" w:lineRule="auto"/>
        <w:ind w:firstLine="480" w:firstLineChars="200"/>
        <w:rPr>
          <w:rFonts w:ascii="宋体" w:hAnsi="宋体" w:cs="宋体"/>
          <w:color w:val="auto"/>
          <w:sz w:val="24"/>
          <w:highlight w:val="none"/>
          <w:u w:val="single"/>
        </w:rPr>
      </w:pPr>
      <w:r>
        <w:rPr>
          <w:rFonts w:ascii="宋体" w:hAnsi="宋体"/>
          <w:color w:val="auto"/>
          <w:sz w:val="24"/>
          <w:highlight w:val="none"/>
        </w:rPr>
        <w:t>地址：</w:t>
      </w:r>
      <w:r>
        <w:rPr>
          <w:rFonts w:hint="eastAsia" w:ascii="宋体" w:hAnsi="宋体" w:cs="宋体"/>
          <w:color w:val="auto"/>
          <w:sz w:val="24"/>
          <w:highlight w:val="none"/>
          <w:u w:val="single"/>
        </w:rPr>
        <w:t>广州市天河区黄埔大道西108号奥园大厦12楼</w:t>
      </w:r>
    </w:p>
    <w:p>
      <w:pPr>
        <w:snapToGrid w:val="0"/>
        <w:spacing w:line="360" w:lineRule="auto"/>
        <w:ind w:firstLine="480" w:firstLineChars="200"/>
        <w:rPr>
          <w:rFonts w:ascii="宋体" w:hAnsi="宋体" w:cs="宋体"/>
          <w:color w:val="auto"/>
          <w:sz w:val="24"/>
          <w:szCs w:val="22"/>
          <w:highlight w:val="none"/>
          <w:u w:val="single"/>
        </w:rPr>
      </w:pPr>
      <w:r>
        <w:rPr>
          <w:rFonts w:hint="eastAsia" w:ascii="宋体" w:hAnsi="宋体" w:cs="宋体"/>
          <w:color w:val="auto"/>
          <w:sz w:val="24"/>
          <w:szCs w:val="22"/>
          <w:highlight w:val="none"/>
          <w:u w:val="single"/>
        </w:rPr>
        <w:t>注：潜在投标人或利害关系人可以通过线下或线上的形式提出异议。线上提出异议的，应通过交易平台提交，招标人也应通过交易平台答复线上提出的异议。具体按照交易平台相关指南进行操作。详见：广州公共资源交易中心网站-&gt;服务指南-&gt;系统帮助-&gt;操作手册-&gt;《发起及受理异议操作指引》（http://www.gzggzy.cn/fwznxtbzczsc/928325.jhtml）。作出答复前，应当暂停招标投标活动。</w:t>
      </w:r>
    </w:p>
    <w:p>
      <w:pPr>
        <w:spacing w:line="360" w:lineRule="auto"/>
        <w:ind w:firstLine="480" w:firstLineChars="200"/>
        <w:jc w:val="left"/>
        <w:rPr>
          <w:rFonts w:ascii="宋体" w:hAnsi="宋体"/>
          <w:color w:val="auto"/>
          <w:sz w:val="24"/>
          <w:highlight w:val="none"/>
        </w:rPr>
      </w:pPr>
      <w:r>
        <w:rPr>
          <w:rFonts w:hint="eastAsia" w:ascii="宋体" w:hAnsi="宋体"/>
          <w:color w:val="auto"/>
          <w:sz w:val="24"/>
          <w:highlight w:val="none"/>
        </w:rPr>
        <w:t>10.6  招标人不集中组织现场考察，由投标人自行考察。</w:t>
      </w:r>
    </w:p>
    <w:p>
      <w:pPr>
        <w:spacing w:line="360" w:lineRule="auto"/>
        <w:ind w:firstLine="480" w:firstLineChars="200"/>
        <w:jc w:val="left"/>
        <w:rPr>
          <w:rFonts w:ascii="宋体" w:hAnsi="宋体"/>
          <w:color w:val="auto"/>
          <w:sz w:val="24"/>
          <w:highlight w:val="none"/>
        </w:rPr>
      </w:pPr>
      <w:r>
        <w:rPr>
          <w:rFonts w:hint="eastAsia" w:ascii="宋体" w:hAnsi="宋体"/>
          <w:color w:val="auto"/>
          <w:sz w:val="24"/>
          <w:highlight w:val="none"/>
        </w:rPr>
        <w:t>10.</w:t>
      </w:r>
      <w:r>
        <w:rPr>
          <w:rFonts w:ascii="宋体" w:hAnsi="宋体"/>
          <w:color w:val="auto"/>
          <w:sz w:val="24"/>
          <w:highlight w:val="none"/>
        </w:rPr>
        <w:t>7</w:t>
      </w:r>
      <w:r>
        <w:rPr>
          <w:rFonts w:hint="eastAsia" w:ascii="宋体" w:hAnsi="宋体"/>
          <w:color w:val="auto"/>
          <w:sz w:val="24"/>
          <w:highlight w:val="none"/>
        </w:rPr>
        <w:t xml:space="preserve">  特别提示：投标人在本项目招标人的工程项目中存在下列行为的，将被拒绝1年内参与我单位后续工程投标。（注：拒绝投标时限由招标人视严重程度确定，最低三个月起，自招标人发出通知之日起计）：</w:t>
      </w:r>
    </w:p>
    <w:p>
      <w:pPr>
        <w:spacing w:line="360" w:lineRule="auto"/>
        <w:ind w:firstLine="480" w:firstLineChars="200"/>
        <w:jc w:val="left"/>
        <w:rPr>
          <w:rFonts w:ascii="宋体" w:hAnsi="宋体"/>
          <w:color w:val="auto"/>
          <w:sz w:val="24"/>
          <w:highlight w:val="none"/>
        </w:rPr>
      </w:pPr>
      <w:r>
        <w:rPr>
          <w:rFonts w:hint="eastAsia" w:ascii="宋体" w:hAnsi="宋体"/>
          <w:color w:val="auto"/>
          <w:sz w:val="24"/>
          <w:highlight w:val="none"/>
        </w:rPr>
        <w:t>（1）将中标工程转包或者违法分包的；</w:t>
      </w:r>
    </w:p>
    <w:p>
      <w:pPr>
        <w:spacing w:line="360" w:lineRule="auto"/>
        <w:ind w:firstLine="480" w:firstLineChars="200"/>
        <w:jc w:val="left"/>
        <w:rPr>
          <w:rFonts w:ascii="宋体" w:hAnsi="宋体"/>
          <w:color w:val="auto"/>
          <w:sz w:val="24"/>
          <w:highlight w:val="none"/>
        </w:rPr>
      </w:pPr>
      <w:r>
        <w:rPr>
          <w:rFonts w:hint="eastAsia" w:ascii="宋体" w:hAnsi="宋体"/>
          <w:color w:val="auto"/>
          <w:sz w:val="24"/>
          <w:highlight w:val="none"/>
        </w:rPr>
        <w:t>（2）在中标工程中不执行质量、安全生产相关规定的，造成质量或安全事故的；</w:t>
      </w:r>
    </w:p>
    <w:p>
      <w:pPr>
        <w:spacing w:line="360" w:lineRule="auto"/>
        <w:ind w:firstLine="480" w:firstLineChars="200"/>
        <w:jc w:val="left"/>
        <w:rPr>
          <w:rFonts w:ascii="宋体" w:hAnsi="宋体"/>
          <w:color w:val="auto"/>
          <w:sz w:val="24"/>
          <w:highlight w:val="none"/>
        </w:rPr>
      </w:pPr>
      <w:r>
        <w:rPr>
          <w:rFonts w:hint="eastAsia" w:ascii="宋体" w:hAnsi="宋体"/>
          <w:color w:val="auto"/>
          <w:sz w:val="24"/>
          <w:highlight w:val="none"/>
        </w:rPr>
        <w:t>（3）存在围标或串标情形的；</w:t>
      </w:r>
    </w:p>
    <w:p>
      <w:pPr>
        <w:spacing w:line="360" w:lineRule="auto"/>
        <w:ind w:firstLine="480" w:firstLineChars="200"/>
        <w:jc w:val="left"/>
        <w:rPr>
          <w:rFonts w:ascii="宋体" w:hAnsi="宋体"/>
          <w:color w:val="auto"/>
          <w:sz w:val="24"/>
          <w:highlight w:val="none"/>
        </w:rPr>
      </w:pPr>
      <w:r>
        <w:rPr>
          <w:rFonts w:hint="eastAsia" w:ascii="宋体" w:hAnsi="宋体"/>
          <w:color w:val="auto"/>
          <w:sz w:val="24"/>
          <w:highlight w:val="none"/>
        </w:rPr>
        <w:t>（4）存在弄虚作假骗取中标、行贿情形的。</w:t>
      </w:r>
    </w:p>
    <w:p>
      <w:pPr>
        <w:autoSpaceDE w:val="0"/>
        <w:autoSpaceDN w:val="0"/>
        <w:adjustRightInd w:val="0"/>
        <w:spacing w:line="360" w:lineRule="auto"/>
        <w:ind w:firstLine="480" w:firstLineChars="200"/>
        <w:jc w:val="left"/>
        <w:rPr>
          <w:rFonts w:ascii="宋体" w:hAnsi="宋体"/>
          <w:color w:val="auto"/>
          <w:sz w:val="24"/>
          <w:highlight w:val="none"/>
        </w:rPr>
      </w:pPr>
      <w:r>
        <w:rPr>
          <w:rFonts w:hint="eastAsia" w:ascii="宋体" w:hAnsi="宋体"/>
          <w:color w:val="auto"/>
          <w:sz w:val="24"/>
          <w:highlight w:val="none"/>
        </w:rPr>
        <w:t>10.</w:t>
      </w:r>
      <w:r>
        <w:rPr>
          <w:rFonts w:ascii="宋体" w:hAnsi="宋体"/>
          <w:color w:val="auto"/>
          <w:sz w:val="24"/>
          <w:highlight w:val="none"/>
        </w:rPr>
        <w:t>8</w:t>
      </w:r>
      <w:r>
        <w:rPr>
          <w:rFonts w:hint="eastAsia" w:ascii="宋体" w:hAnsi="宋体"/>
          <w:color w:val="auto"/>
          <w:sz w:val="24"/>
          <w:highlight w:val="none"/>
        </w:rPr>
        <w:t xml:space="preserve">  前期服务机构名称：</w:t>
      </w:r>
      <w:r>
        <w:rPr>
          <w:rFonts w:hint="eastAsia" w:ascii="宋体" w:hAnsi="宋体"/>
          <w:color w:val="auto"/>
          <w:sz w:val="24"/>
          <w:highlight w:val="none"/>
          <w:u w:val="single"/>
        </w:rPr>
        <w:t>国信国际工程咨询集团股份有限公司（工程可行性研究报告编制单位、项目建议书编制单位）、广东省冶金建筑设计研究院有限公司（岩土工程初步勘察报告编制单位）、广东省轻纺建筑设计院有限公司（概念方案编制单位）。</w:t>
      </w:r>
    </w:p>
    <w:p>
      <w:pPr>
        <w:autoSpaceDE w:val="0"/>
        <w:autoSpaceDN w:val="0"/>
        <w:adjustRightInd w:val="0"/>
        <w:spacing w:line="440" w:lineRule="exact"/>
        <w:ind w:firstLine="480" w:firstLineChars="200"/>
        <w:jc w:val="left"/>
        <w:rPr>
          <w:rFonts w:ascii="宋体" w:hAnsi="宋体"/>
          <w:b/>
          <w:color w:val="auto"/>
          <w:sz w:val="24"/>
          <w:highlight w:val="none"/>
          <w:u w:val="single"/>
        </w:rPr>
      </w:pPr>
      <w:r>
        <w:rPr>
          <w:rFonts w:hint="eastAsia" w:ascii="宋体" w:hAnsi="宋体"/>
          <w:color w:val="auto"/>
          <w:sz w:val="24"/>
          <w:highlight w:val="none"/>
        </w:rPr>
        <w:t>注：如果有前期服务机构，应公开披露其名称。如果前期服务机构参加本次投标，应将本公告发布前最终完成的工作成果（含电子文件）在投标人购买（或下载）招标文件的同时提供给所有投标人参考，否则前期参与的服务机构中标无效。</w:t>
      </w:r>
    </w:p>
    <w:p>
      <w:pPr>
        <w:autoSpaceDE w:val="0"/>
        <w:autoSpaceDN w:val="0"/>
        <w:adjustRightInd w:val="0"/>
        <w:spacing w:line="440" w:lineRule="exact"/>
        <w:ind w:firstLine="643"/>
        <w:jc w:val="left"/>
        <w:rPr>
          <w:rFonts w:ascii="宋体" w:hAnsi="宋体"/>
          <w:color w:val="auto"/>
          <w:sz w:val="24"/>
          <w:highlight w:val="none"/>
        </w:rPr>
      </w:pPr>
      <w:bookmarkStart w:id="8" w:name="_Toc25072056"/>
      <w:r>
        <w:rPr>
          <w:rFonts w:hint="eastAsia" w:ascii="宋体" w:hAnsi="宋体"/>
          <w:b/>
          <w:bCs/>
          <w:color w:val="auto"/>
          <w:sz w:val="32"/>
          <w:szCs w:val="32"/>
          <w:highlight w:val="none"/>
        </w:rPr>
        <w:t>11.联系方式</w:t>
      </w:r>
      <w:bookmarkEnd w:id="8"/>
    </w:p>
    <w:p>
      <w:pPr>
        <w:autoSpaceDE w:val="0"/>
        <w:autoSpaceDN w:val="0"/>
        <w:adjustRightInd w:val="0"/>
        <w:spacing w:line="440" w:lineRule="exact"/>
        <w:ind w:firstLine="480" w:firstLineChars="200"/>
        <w:jc w:val="left"/>
        <w:rPr>
          <w:rFonts w:ascii="宋体" w:hAnsi="宋体"/>
          <w:color w:val="auto"/>
          <w:sz w:val="24"/>
          <w:highlight w:val="none"/>
        </w:rPr>
      </w:pPr>
      <w:r>
        <w:rPr>
          <w:rFonts w:hint="eastAsia" w:ascii="宋体" w:hAnsi="宋体"/>
          <w:color w:val="auto"/>
          <w:sz w:val="24"/>
          <w:highlight w:val="none"/>
        </w:rPr>
        <w:t>招标人名称：</w:t>
      </w:r>
      <w:r>
        <w:rPr>
          <w:rFonts w:hint="eastAsia" w:ascii="宋体" w:hAnsi="宋体"/>
          <w:color w:val="auto"/>
          <w:sz w:val="24"/>
          <w:highlight w:val="none"/>
          <w:u w:val="single"/>
        </w:rPr>
        <w:t>广东省代建项目管理局</w:t>
      </w:r>
    </w:p>
    <w:p>
      <w:pPr>
        <w:spacing w:line="440" w:lineRule="exact"/>
        <w:ind w:firstLine="480" w:firstLineChars="200"/>
        <w:rPr>
          <w:rFonts w:ascii="宋体" w:hAnsi="宋体"/>
          <w:color w:val="auto"/>
          <w:sz w:val="24"/>
          <w:highlight w:val="none"/>
        </w:rPr>
      </w:pPr>
      <w:r>
        <w:rPr>
          <w:rFonts w:hint="eastAsia" w:ascii="宋体" w:hAnsi="宋体"/>
          <w:color w:val="auto"/>
          <w:sz w:val="24"/>
          <w:highlight w:val="none"/>
        </w:rPr>
        <w:t>邮政编码、地址：</w:t>
      </w:r>
      <w:r>
        <w:rPr>
          <w:rFonts w:ascii="宋体" w:hAnsi="宋体"/>
          <w:color w:val="auto"/>
          <w:sz w:val="24"/>
          <w:highlight w:val="none"/>
          <w:u w:val="single"/>
        </w:rPr>
        <w:t>510000</w:t>
      </w:r>
      <w:r>
        <w:rPr>
          <w:rFonts w:hint="eastAsia" w:ascii="宋体" w:hAnsi="宋体"/>
          <w:color w:val="auto"/>
          <w:sz w:val="24"/>
          <w:highlight w:val="none"/>
          <w:u w:val="single"/>
        </w:rPr>
        <w:t>、广州市天河区黄埔大道西108号奥园大厦12楼</w:t>
      </w:r>
    </w:p>
    <w:p>
      <w:pPr>
        <w:spacing w:line="440" w:lineRule="exact"/>
        <w:ind w:firstLine="480" w:firstLineChars="200"/>
        <w:jc w:val="left"/>
        <w:rPr>
          <w:rFonts w:ascii="宋体" w:hAnsi="宋体"/>
          <w:color w:val="auto"/>
          <w:sz w:val="24"/>
          <w:highlight w:val="none"/>
        </w:rPr>
      </w:pPr>
      <w:r>
        <w:rPr>
          <w:rFonts w:hint="eastAsia" w:ascii="宋体" w:hAnsi="宋体"/>
          <w:color w:val="auto"/>
          <w:sz w:val="24"/>
          <w:highlight w:val="none"/>
        </w:rPr>
        <w:t>联系人：</w:t>
      </w:r>
      <w:r>
        <w:rPr>
          <w:rFonts w:hint="eastAsia" w:ascii="宋体" w:hAnsi="宋体"/>
          <w:color w:val="auto"/>
          <w:sz w:val="24"/>
          <w:highlight w:val="none"/>
          <w:u w:val="single"/>
        </w:rPr>
        <w:t>黄工</w:t>
      </w:r>
    </w:p>
    <w:p>
      <w:pPr>
        <w:spacing w:line="440" w:lineRule="exact"/>
        <w:ind w:firstLine="480" w:firstLineChars="200"/>
        <w:jc w:val="left"/>
        <w:rPr>
          <w:rFonts w:ascii="宋体" w:hAnsi="宋体"/>
          <w:color w:val="auto"/>
          <w:sz w:val="24"/>
          <w:highlight w:val="none"/>
          <w:u w:val="single"/>
        </w:rPr>
      </w:pPr>
      <w:r>
        <w:rPr>
          <w:rFonts w:hint="eastAsia" w:ascii="宋体" w:hAnsi="宋体"/>
          <w:color w:val="auto"/>
          <w:sz w:val="24"/>
          <w:highlight w:val="none"/>
        </w:rPr>
        <w:t>电话（手机）号码：</w:t>
      </w:r>
      <w:r>
        <w:rPr>
          <w:rFonts w:hint="eastAsia" w:ascii="宋体" w:hAnsi="宋体" w:cs="宋体"/>
          <w:color w:val="auto"/>
          <w:sz w:val="24"/>
          <w:highlight w:val="none"/>
          <w:u w:val="single"/>
        </w:rPr>
        <w:t xml:space="preserve">020-83620804 </w:t>
      </w:r>
    </w:p>
    <w:p>
      <w:pPr>
        <w:spacing w:line="440" w:lineRule="exact"/>
        <w:ind w:firstLine="480" w:firstLineChars="200"/>
        <w:jc w:val="left"/>
        <w:rPr>
          <w:rFonts w:ascii="宋体" w:hAnsi="宋体"/>
          <w:color w:val="auto"/>
          <w:sz w:val="24"/>
          <w:highlight w:val="none"/>
        </w:rPr>
      </w:pPr>
      <w:r>
        <w:rPr>
          <w:rFonts w:hint="eastAsia" w:ascii="宋体" w:hAnsi="宋体"/>
          <w:color w:val="auto"/>
          <w:sz w:val="24"/>
          <w:highlight w:val="none"/>
        </w:rPr>
        <w:t>传真号码：</w:t>
      </w:r>
      <w:r>
        <w:rPr>
          <w:rFonts w:hint="eastAsia" w:ascii="宋体" w:hAnsi="宋体"/>
          <w:color w:val="auto"/>
          <w:sz w:val="24"/>
          <w:highlight w:val="none"/>
          <w:u w:val="single"/>
        </w:rPr>
        <w:t xml:space="preserve">  /  </w:t>
      </w:r>
    </w:p>
    <w:p>
      <w:pPr>
        <w:spacing w:line="440" w:lineRule="exact"/>
        <w:ind w:firstLine="480" w:firstLineChars="200"/>
        <w:rPr>
          <w:rFonts w:ascii="宋体" w:hAnsi="宋体"/>
          <w:color w:val="auto"/>
          <w:sz w:val="24"/>
          <w:highlight w:val="none"/>
          <w:u w:val="single"/>
        </w:rPr>
      </w:pPr>
      <w:r>
        <w:rPr>
          <w:rFonts w:hint="eastAsia" w:ascii="宋体" w:hAnsi="宋体"/>
          <w:color w:val="auto"/>
          <w:sz w:val="24"/>
          <w:highlight w:val="none"/>
        </w:rPr>
        <w:t>电子邮箱：</w:t>
      </w:r>
      <w:r>
        <w:rPr>
          <w:rFonts w:hint="eastAsia" w:ascii="宋体" w:hAnsi="宋体"/>
          <w:color w:val="auto"/>
          <w:sz w:val="24"/>
          <w:highlight w:val="none"/>
          <w:u w:val="single"/>
        </w:rPr>
        <w:t xml:space="preserve">  /  </w:t>
      </w:r>
    </w:p>
    <w:p>
      <w:pPr>
        <w:pStyle w:val="16"/>
        <w:spacing w:line="440" w:lineRule="exact"/>
        <w:ind w:left="420" w:firstLine="420"/>
        <w:rPr>
          <w:color w:val="auto"/>
          <w:highlight w:val="none"/>
        </w:rPr>
      </w:pPr>
    </w:p>
    <w:p>
      <w:pPr>
        <w:spacing w:line="440" w:lineRule="exact"/>
        <w:ind w:firstLine="480" w:firstLineChars="200"/>
        <w:rPr>
          <w:rFonts w:ascii="宋体" w:hAnsi="宋体"/>
          <w:color w:val="auto"/>
          <w:sz w:val="24"/>
          <w:highlight w:val="none"/>
        </w:rPr>
      </w:pPr>
      <w:r>
        <w:rPr>
          <w:rFonts w:hint="eastAsia" w:ascii="宋体" w:hAnsi="宋体"/>
          <w:color w:val="auto"/>
          <w:sz w:val="24"/>
          <w:highlight w:val="none"/>
        </w:rPr>
        <w:t>招标代理名称：</w:t>
      </w:r>
      <w:r>
        <w:rPr>
          <w:rFonts w:hint="eastAsia" w:ascii="宋体" w:hAnsi="宋体" w:cs="宋体"/>
          <w:color w:val="auto"/>
          <w:sz w:val="24"/>
          <w:highlight w:val="none"/>
          <w:u w:val="single"/>
        </w:rPr>
        <w:t>广州市市政工程监理有限公司</w:t>
      </w:r>
    </w:p>
    <w:p>
      <w:pPr>
        <w:spacing w:line="440" w:lineRule="exact"/>
        <w:ind w:firstLine="480" w:firstLineChars="200"/>
        <w:jc w:val="left"/>
        <w:rPr>
          <w:rFonts w:ascii="宋体" w:hAnsi="宋体"/>
          <w:color w:val="auto"/>
          <w:sz w:val="24"/>
          <w:highlight w:val="none"/>
        </w:rPr>
      </w:pPr>
      <w:r>
        <w:rPr>
          <w:rFonts w:hint="eastAsia" w:ascii="宋体" w:hAnsi="宋体"/>
          <w:color w:val="auto"/>
          <w:sz w:val="24"/>
          <w:highlight w:val="none"/>
        </w:rPr>
        <w:t>邮政编码、地址：</w:t>
      </w:r>
      <w:r>
        <w:rPr>
          <w:rFonts w:hint="eastAsia" w:ascii="宋体" w:hAnsi="宋体"/>
          <w:color w:val="auto"/>
          <w:sz w:val="24"/>
          <w:highlight w:val="none"/>
          <w:u w:val="single"/>
        </w:rPr>
        <w:t>510030、广州市越秀区东风中路437号越秀城市广场南塔38楼</w:t>
      </w:r>
    </w:p>
    <w:p>
      <w:pPr>
        <w:spacing w:line="440" w:lineRule="exact"/>
        <w:ind w:firstLine="480" w:firstLineChars="200"/>
        <w:jc w:val="left"/>
        <w:rPr>
          <w:rFonts w:ascii="宋体" w:hAnsi="宋体"/>
          <w:color w:val="auto"/>
          <w:sz w:val="24"/>
          <w:highlight w:val="none"/>
          <w:u w:val="single"/>
        </w:rPr>
      </w:pPr>
      <w:r>
        <w:rPr>
          <w:rFonts w:hint="eastAsia" w:ascii="宋体" w:hAnsi="宋体"/>
          <w:color w:val="auto"/>
          <w:sz w:val="24"/>
          <w:highlight w:val="none"/>
        </w:rPr>
        <w:t>联系人：</w:t>
      </w:r>
      <w:r>
        <w:rPr>
          <w:rFonts w:hint="eastAsia" w:ascii="宋体" w:hAnsi="宋体"/>
          <w:color w:val="auto"/>
          <w:sz w:val="24"/>
          <w:highlight w:val="none"/>
          <w:u w:val="single"/>
        </w:rPr>
        <w:t>卢工、彭工</w:t>
      </w:r>
    </w:p>
    <w:p>
      <w:pPr>
        <w:spacing w:line="440" w:lineRule="exact"/>
        <w:ind w:firstLine="480" w:firstLineChars="200"/>
        <w:jc w:val="left"/>
        <w:rPr>
          <w:rFonts w:ascii="宋体" w:hAnsi="宋体"/>
          <w:color w:val="auto"/>
          <w:sz w:val="24"/>
          <w:highlight w:val="none"/>
        </w:rPr>
      </w:pPr>
      <w:r>
        <w:rPr>
          <w:rFonts w:hint="eastAsia" w:ascii="宋体" w:hAnsi="宋体"/>
          <w:color w:val="auto"/>
          <w:sz w:val="24"/>
          <w:highlight w:val="none"/>
        </w:rPr>
        <w:t>电话（手机）号码：</w:t>
      </w:r>
      <w:r>
        <w:rPr>
          <w:rFonts w:hint="eastAsia" w:ascii="宋体" w:hAnsi="宋体" w:cs="宋体"/>
          <w:color w:val="auto"/>
          <w:sz w:val="24"/>
          <w:highlight w:val="none"/>
          <w:u w:val="single"/>
        </w:rPr>
        <w:t>020-83313605</w:t>
      </w:r>
    </w:p>
    <w:p>
      <w:pPr>
        <w:spacing w:line="440" w:lineRule="exact"/>
        <w:ind w:firstLine="480" w:firstLineChars="200"/>
        <w:jc w:val="left"/>
        <w:rPr>
          <w:rFonts w:ascii="宋体" w:hAnsi="宋体"/>
          <w:color w:val="auto"/>
          <w:sz w:val="24"/>
          <w:highlight w:val="none"/>
        </w:rPr>
      </w:pPr>
      <w:r>
        <w:rPr>
          <w:rFonts w:hint="eastAsia" w:ascii="宋体" w:hAnsi="宋体"/>
          <w:color w:val="auto"/>
          <w:sz w:val="24"/>
          <w:highlight w:val="none"/>
        </w:rPr>
        <w:t>传真号码：</w:t>
      </w:r>
      <w:r>
        <w:rPr>
          <w:rFonts w:hint="eastAsia" w:ascii="宋体" w:hAnsi="宋体"/>
          <w:color w:val="auto"/>
          <w:sz w:val="24"/>
          <w:highlight w:val="none"/>
          <w:u w:val="single"/>
        </w:rPr>
        <w:t>020-83312934</w:t>
      </w:r>
    </w:p>
    <w:p>
      <w:pPr>
        <w:spacing w:line="440" w:lineRule="exact"/>
        <w:ind w:firstLine="480" w:firstLineChars="200"/>
        <w:rPr>
          <w:rFonts w:ascii="宋体" w:hAnsi="宋体"/>
          <w:color w:val="auto"/>
          <w:sz w:val="24"/>
          <w:highlight w:val="none"/>
          <w:u w:val="single"/>
        </w:rPr>
      </w:pPr>
      <w:r>
        <w:rPr>
          <w:rFonts w:hint="eastAsia" w:ascii="宋体" w:hAnsi="宋体" w:cs="宋体"/>
          <w:color w:val="auto"/>
          <w:sz w:val="24"/>
          <w:highlight w:val="none"/>
        </w:rPr>
        <w:t>电子</w:t>
      </w:r>
      <w:r>
        <w:rPr>
          <w:rFonts w:hint="eastAsia" w:ascii="宋体" w:hAnsi="宋体"/>
          <w:color w:val="auto"/>
          <w:sz w:val="24"/>
          <w:highlight w:val="none"/>
        </w:rPr>
        <w:t>邮</w:t>
      </w:r>
      <w:r>
        <w:rPr>
          <w:rFonts w:hint="eastAsia" w:ascii="宋体" w:hAnsi="宋体" w:cs="宋体"/>
          <w:color w:val="auto"/>
          <w:sz w:val="24"/>
          <w:highlight w:val="none"/>
        </w:rPr>
        <w:t>箱</w:t>
      </w:r>
      <w:r>
        <w:rPr>
          <w:rFonts w:hint="eastAsia" w:ascii="宋体" w:hAnsi="宋体"/>
          <w:color w:val="auto"/>
          <w:sz w:val="24"/>
          <w:highlight w:val="none"/>
        </w:rPr>
        <w:t>：</w:t>
      </w:r>
      <w:r>
        <w:rPr>
          <w:rFonts w:hint="eastAsia" w:ascii="宋体" w:hAnsi="宋体"/>
          <w:color w:val="auto"/>
          <w:sz w:val="24"/>
          <w:highlight w:val="none"/>
          <w:u w:val="single"/>
        </w:rPr>
        <w:t>gzszzb02@126.com</w:t>
      </w:r>
    </w:p>
    <w:p>
      <w:pPr>
        <w:pStyle w:val="16"/>
        <w:spacing w:line="440" w:lineRule="exact"/>
        <w:ind w:left="420" w:firstLine="420"/>
        <w:rPr>
          <w:color w:val="auto"/>
          <w:highlight w:val="none"/>
        </w:rPr>
      </w:pPr>
    </w:p>
    <w:p>
      <w:pPr>
        <w:spacing w:line="440" w:lineRule="exact"/>
        <w:ind w:firstLine="480" w:firstLineChars="200"/>
        <w:rPr>
          <w:rFonts w:ascii="宋体" w:hAnsi="宋体"/>
          <w:color w:val="auto"/>
          <w:sz w:val="24"/>
          <w:highlight w:val="none"/>
        </w:rPr>
      </w:pPr>
      <w:r>
        <w:rPr>
          <w:rFonts w:hint="eastAsia" w:ascii="宋体" w:hAnsi="宋体"/>
          <w:color w:val="auto"/>
          <w:sz w:val="24"/>
          <w:highlight w:val="none"/>
        </w:rPr>
        <w:t>交易服务机构名称：</w:t>
      </w:r>
      <w:r>
        <w:rPr>
          <w:rFonts w:hint="eastAsia" w:ascii="宋体" w:hAnsi="宋体"/>
          <w:color w:val="auto"/>
          <w:sz w:val="24"/>
          <w:highlight w:val="none"/>
          <w:u w:val="single"/>
        </w:rPr>
        <w:t>广州公共资源交易中心</w:t>
      </w:r>
    </w:p>
    <w:p>
      <w:pPr>
        <w:spacing w:line="440" w:lineRule="exact"/>
        <w:ind w:firstLine="480" w:firstLineChars="200"/>
        <w:rPr>
          <w:rFonts w:ascii="宋体" w:hAnsi="宋体"/>
          <w:color w:val="auto"/>
          <w:sz w:val="24"/>
          <w:highlight w:val="none"/>
        </w:rPr>
      </w:pPr>
      <w:r>
        <w:rPr>
          <w:rFonts w:hint="eastAsia" w:ascii="宋体" w:hAnsi="宋体"/>
          <w:color w:val="auto"/>
          <w:sz w:val="24"/>
          <w:highlight w:val="none"/>
        </w:rPr>
        <w:t>邮政编码、地址：</w:t>
      </w:r>
      <w:r>
        <w:rPr>
          <w:rFonts w:hint="eastAsia" w:ascii="宋体" w:hAnsi="宋体"/>
          <w:color w:val="auto"/>
          <w:sz w:val="24"/>
          <w:highlight w:val="none"/>
          <w:u w:val="single"/>
        </w:rPr>
        <w:t>510635、广州市天河区天润路333号4楼</w:t>
      </w:r>
    </w:p>
    <w:p>
      <w:pPr>
        <w:spacing w:line="440" w:lineRule="exact"/>
        <w:ind w:firstLine="480" w:firstLineChars="200"/>
        <w:jc w:val="left"/>
        <w:rPr>
          <w:rFonts w:ascii="宋体" w:hAnsi="宋体"/>
          <w:color w:val="auto"/>
          <w:sz w:val="24"/>
          <w:highlight w:val="none"/>
        </w:rPr>
      </w:pPr>
      <w:r>
        <w:rPr>
          <w:rFonts w:hint="eastAsia" w:ascii="宋体" w:hAnsi="宋体"/>
          <w:color w:val="auto"/>
          <w:sz w:val="24"/>
          <w:highlight w:val="none"/>
        </w:rPr>
        <w:t>电话（手机）号码：</w:t>
      </w:r>
      <w:r>
        <w:rPr>
          <w:rFonts w:hint="eastAsia" w:ascii="宋体" w:hAnsi="宋体"/>
          <w:color w:val="auto"/>
          <w:sz w:val="24"/>
          <w:highlight w:val="none"/>
          <w:u w:val="single"/>
        </w:rPr>
        <w:t>020-</w:t>
      </w:r>
      <w:r>
        <w:rPr>
          <w:rFonts w:hint="eastAsia" w:ascii="宋体" w:hAnsi="宋体"/>
          <w:bCs/>
          <w:color w:val="auto"/>
          <w:sz w:val="24"/>
          <w:highlight w:val="none"/>
          <w:u w:val="single"/>
        </w:rPr>
        <w:t>288660</w:t>
      </w:r>
      <w:r>
        <w:rPr>
          <w:rFonts w:ascii="宋体" w:hAnsi="宋体"/>
          <w:bCs/>
          <w:color w:val="auto"/>
          <w:sz w:val="24"/>
          <w:highlight w:val="none"/>
          <w:u w:val="single"/>
        </w:rPr>
        <w:t>00</w:t>
      </w:r>
    </w:p>
    <w:p>
      <w:pPr>
        <w:spacing w:line="440" w:lineRule="exact"/>
        <w:ind w:firstLine="480" w:firstLineChars="200"/>
        <w:jc w:val="left"/>
        <w:rPr>
          <w:rFonts w:ascii="宋体" w:hAnsi="宋体"/>
          <w:color w:val="auto"/>
          <w:sz w:val="24"/>
          <w:highlight w:val="none"/>
        </w:rPr>
      </w:pPr>
      <w:r>
        <w:rPr>
          <w:rFonts w:hint="eastAsia" w:ascii="宋体" w:hAnsi="宋体"/>
          <w:color w:val="auto"/>
          <w:sz w:val="24"/>
          <w:highlight w:val="none"/>
        </w:rPr>
        <w:t>传真号码：</w:t>
      </w:r>
      <w:r>
        <w:rPr>
          <w:rFonts w:hint="eastAsia" w:ascii="宋体" w:hAnsi="宋体"/>
          <w:color w:val="auto"/>
          <w:sz w:val="24"/>
          <w:highlight w:val="none"/>
          <w:u w:val="single"/>
        </w:rPr>
        <w:t>020-28866</w:t>
      </w:r>
      <w:r>
        <w:rPr>
          <w:rFonts w:ascii="宋体" w:hAnsi="宋体"/>
          <w:color w:val="auto"/>
          <w:sz w:val="24"/>
          <w:highlight w:val="none"/>
          <w:u w:val="single"/>
        </w:rPr>
        <w:t>095</w:t>
      </w:r>
    </w:p>
    <w:p>
      <w:pPr>
        <w:spacing w:line="440" w:lineRule="exact"/>
        <w:ind w:firstLine="480" w:firstLineChars="200"/>
        <w:rPr>
          <w:rFonts w:ascii="宋体" w:hAnsi="宋体"/>
          <w:color w:val="auto"/>
          <w:sz w:val="24"/>
          <w:highlight w:val="none"/>
          <w:u w:val="single"/>
        </w:rPr>
      </w:pPr>
      <w:r>
        <w:rPr>
          <w:rFonts w:hint="eastAsia" w:ascii="宋体" w:hAnsi="宋体"/>
          <w:color w:val="auto"/>
          <w:sz w:val="24"/>
          <w:highlight w:val="none"/>
        </w:rPr>
        <w:t>网址：</w:t>
      </w:r>
      <w:r>
        <w:rPr>
          <w:rFonts w:ascii="宋体" w:hAnsi="宋体"/>
          <w:color w:val="auto"/>
          <w:sz w:val="24"/>
          <w:highlight w:val="none"/>
          <w:u w:val="single"/>
        </w:rPr>
        <w:t>http://www.gzggzy.cn</w:t>
      </w:r>
    </w:p>
    <w:p>
      <w:pPr>
        <w:pStyle w:val="16"/>
        <w:spacing w:line="440" w:lineRule="exact"/>
        <w:ind w:left="420" w:firstLine="420"/>
        <w:rPr>
          <w:color w:val="auto"/>
          <w:highlight w:val="none"/>
        </w:rPr>
      </w:pPr>
    </w:p>
    <w:p>
      <w:pPr>
        <w:spacing w:line="440" w:lineRule="exact"/>
        <w:ind w:firstLine="480" w:firstLineChars="200"/>
        <w:jc w:val="left"/>
        <w:rPr>
          <w:rFonts w:ascii="宋体" w:hAnsi="宋体"/>
          <w:color w:val="auto"/>
          <w:sz w:val="24"/>
          <w:highlight w:val="none"/>
          <w:u w:val="single"/>
        </w:rPr>
      </w:pPr>
      <w:r>
        <w:rPr>
          <w:rFonts w:hint="eastAsia" w:ascii="宋体" w:hAnsi="宋体"/>
          <w:color w:val="auto"/>
          <w:sz w:val="24"/>
          <w:highlight w:val="none"/>
        </w:rPr>
        <w:t>招标管理机构名称：</w:t>
      </w:r>
      <w:r>
        <w:rPr>
          <w:rFonts w:hint="eastAsia" w:ascii="宋体" w:hAnsi="宋体"/>
          <w:color w:val="auto"/>
          <w:sz w:val="24"/>
          <w:highlight w:val="none"/>
          <w:u w:val="single"/>
        </w:rPr>
        <w:t>广州市建设工程招标管理办公室</w:t>
      </w:r>
    </w:p>
    <w:p>
      <w:pPr>
        <w:spacing w:line="440" w:lineRule="exact"/>
        <w:ind w:firstLine="480" w:firstLineChars="200"/>
        <w:jc w:val="left"/>
        <w:rPr>
          <w:rFonts w:ascii="宋体" w:hAnsi="宋体"/>
          <w:color w:val="auto"/>
          <w:sz w:val="24"/>
          <w:highlight w:val="none"/>
          <w:u w:val="single"/>
        </w:rPr>
      </w:pPr>
      <w:r>
        <w:rPr>
          <w:rFonts w:hint="eastAsia" w:ascii="宋体" w:hAnsi="宋体"/>
          <w:color w:val="auto"/>
          <w:sz w:val="24"/>
          <w:highlight w:val="none"/>
        </w:rPr>
        <w:t>邮政编码、地址：</w:t>
      </w:r>
      <w:r>
        <w:rPr>
          <w:rFonts w:ascii="宋体" w:hAnsi="宋体"/>
          <w:color w:val="auto"/>
          <w:sz w:val="24"/>
          <w:highlight w:val="none"/>
          <w:u w:val="single"/>
        </w:rPr>
        <w:t>510635</w:t>
      </w:r>
      <w:r>
        <w:rPr>
          <w:rFonts w:hint="eastAsia" w:ascii="宋体" w:hAnsi="宋体"/>
          <w:color w:val="auto"/>
          <w:sz w:val="24"/>
          <w:highlight w:val="none"/>
          <w:u w:val="single"/>
        </w:rPr>
        <w:t>、广州市天河区天润路333号3楼</w:t>
      </w:r>
    </w:p>
    <w:p>
      <w:pPr>
        <w:spacing w:line="440" w:lineRule="exact"/>
        <w:ind w:firstLine="480" w:firstLineChars="200"/>
        <w:jc w:val="left"/>
        <w:rPr>
          <w:rFonts w:ascii="宋体" w:hAnsi="宋体"/>
          <w:color w:val="auto"/>
          <w:sz w:val="24"/>
          <w:highlight w:val="none"/>
          <w:u w:val="single"/>
        </w:rPr>
      </w:pPr>
      <w:r>
        <w:rPr>
          <w:rFonts w:hint="eastAsia" w:ascii="宋体" w:hAnsi="宋体"/>
          <w:color w:val="auto"/>
          <w:sz w:val="24"/>
          <w:highlight w:val="none"/>
        </w:rPr>
        <w:t>电话号码：</w:t>
      </w:r>
      <w:r>
        <w:rPr>
          <w:rFonts w:ascii="宋体" w:hAnsi="宋体"/>
          <w:color w:val="auto"/>
          <w:sz w:val="24"/>
          <w:highlight w:val="none"/>
          <w:u w:val="single"/>
        </w:rPr>
        <w:t>020-28866214</w:t>
      </w:r>
    </w:p>
    <w:p>
      <w:pPr>
        <w:spacing w:line="440" w:lineRule="exact"/>
        <w:ind w:firstLine="480" w:firstLineChars="200"/>
        <w:jc w:val="left"/>
        <w:rPr>
          <w:rFonts w:ascii="宋体" w:hAnsi="宋体"/>
          <w:color w:val="auto"/>
          <w:sz w:val="24"/>
          <w:highlight w:val="none"/>
        </w:rPr>
      </w:pPr>
      <w:r>
        <w:rPr>
          <w:rFonts w:hint="eastAsia" w:ascii="宋体" w:hAnsi="宋体"/>
          <w:color w:val="auto"/>
          <w:sz w:val="24"/>
          <w:highlight w:val="none"/>
        </w:rPr>
        <w:t>传真号码：</w:t>
      </w:r>
      <w:r>
        <w:rPr>
          <w:rFonts w:hint="eastAsia" w:ascii="宋体" w:hAnsi="宋体"/>
          <w:color w:val="auto"/>
          <w:sz w:val="24"/>
          <w:highlight w:val="none"/>
          <w:u w:val="single"/>
        </w:rPr>
        <w:t xml:space="preserve">  /  </w:t>
      </w:r>
    </w:p>
    <w:p>
      <w:pPr>
        <w:spacing w:line="440" w:lineRule="exact"/>
        <w:ind w:firstLine="480" w:firstLineChars="200"/>
        <w:rPr>
          <w:rFonts w:ascii="宋体" w:hAnsi="宋体"/>
          <w:color w:val="auto"/>
          <w:sz w:val="28"/>
          <w:szCs w:val="28"/>
          <w:highlight w:val="none"/>
        </w:rPr>
      </w:pPr>
      <w:r>
        <w:rPr>
          <w:rFonts w:hint="eastAsia" w:ascii="宋体" w:hAnsi="宋体"/>
          <w:color w:val="auto"/>
          <w:sz w:val="24"/>
          <w:highlight w:val="none"/>
        </w:rPr>
        <w:t>网址：</w:t>
      </w:r>
      <w:r>
        <w:rPr>
          <w:rFonts w:hint="eastAsia" w:ascii="宋体" w:hAnsi="宋体"/>
          <w:color w:val="auto"/>
          <w:sz w:val="24"/>
          <w:highlight w:val="none"/>
          <w:u w:val="single"/>
        </w:rPr>
        <w:t xml:space="preserve">  /  </w:t>
      </w:r>
    </w:p>
    <w:p>
      <w:pPr>
        <w:spacing w:line="440" w:lineRule="exact"/>
        <w:jc w:val="right"/>
        <w:rPr>
          <w:rFonts w:ascii="宋体" w:hAnsi="宋体"/>
          <w:color w:val="auto"/>
          <w:sz w:val="24"/>
          <w:highlight w:val="none"/>
        </w:rPr>
      </w:pPr>
      <w:r>
        <w:rPr>
          <w:rFonts w:hint="eastAsia" w:ascii="宋体" w:hAnsi="宋体" w:cs="宋体"/>
          <w:color w:val="auto"/>
          <w:sz w:val="24"/>
          <w:highlight w:val="none"/>
        </w:rPr>
        <w:t>2024年</w:t>
      </w:r>
      <w:r>
        <w:rPr>
          <w:rFonts w:hint="eastAsia" w:ascii="宋体" w:hAnsi="宋体" w:cs="宋体"/>
          <w:color w:val="auto"/>
          <w:sz w:val="24"/>
          <w:highlight w:val="none"/>
          <w:lang w:val="en-US" w:eastAsia="zh-CN"/>
        </w:rPr>
        <w:t xml:space="preserve">  </w:t>
      </w:r>
      <w:r>
        <w:rPr>
          <w:rFonts w:hint="eastAsia" w:ascii="宋体" w:hAnsi="宋体"/>
          <w:color w:val="auto"/>
          <w:sz w:val="24"/>
          <w:highlight w:val="none"/>
        </w:rPr>
        <w:t>月  日</w:t>
      </w:r>
    </w:p>
    <w:p>
      <w:pPr>
        <w:pStyle w:val="5"/>
        <w:rPr>
          <w:color w:val="auto"/>
          <w:highlight w:val="none"/>
        </w:rPr>
      </w:pPr>
    </w:p>
    <w:p>
      <w:pPr>
        <w:ind w:firstLine="480"/>
        <w:rPr>
          <w:color w:val="auto"/>
          <w:highlight w:val="none"/>
        </w:rPr>
      </w:pPr>
    </w:p>
    <w:p>
      <w:pPr>
        <w:pStyle w:val="5"/>
        <w:rPr>
          <w:color w:val="auto"/>
          <w:highlight w:val="none"/>
        </w:rPr>
      </w:pPr>
    </w:p>
    <w:p>
      <w:pPr>
        <w:ind w:firstLine="480"/>
        <w:rPr>
          <w:color w:val="auto"/>
          <w:highlight w:val="none"/>
        </w:rPr>
      </w:pPr>
    </w:p>
    <w:p>
      <w:pPr>
        <w:spacing w:line="360" w:lineRule="auto"/>
        <w:rPr>
          <w:rFonts w:ascii="宋体" w:hAnsi="宋体"/>
          <w:b/>
          <w:color w:val="auto"/>
          <w:sz w:val="24"/>
          <w:highlight w:val="none"/>
        </w:rPr>
      </w:pPr>
      <w:r>
        <w:rPr>
          <w:rFonts w:hint="eastAsia" w:ascii="宋体" w:hAnsi="宋体"/>
          <w:color w:val="auto"/>
          <w:sz w:val="24"/>
          <w:highlight w:val="none"/>
        </w:rPr>
        <w:t>附件一：</w:t>
      </w:r>
    </w:p>
    <w:p>
      <w:pPr>
        <w:spacing w:line="360" w:lineRule="auto"/>
        <w:ind w:firstLine="883"/>
        <w:rPr>
          <w:b/>
          <w:color w:val="auto"/>
          <w:sz w:val="44"/>
          <w:highlight w:val="none"/>
        </w:rPr>
      </w:pPr>
    </w:p>
    <w:p>
      <w:pPr>
        <w:shd w:val="clear" w:color="auto" w:fill="FFFFFF"/>
        <w:snapToGrid w:val="0"/>
        <w:spacing w:line="360" w:lineRule="auto"/>
        <w:ind w:firstLine="482"/>
        <w:jc w:val="center"/>
        <w:rPr>
          <w:rFonts w:ascii="宋体" w:hAnsi="宋体" w:cs="宋体"/>
          <w:b/>
          <w:color w:val="auto"/>
          <w:sz w:val="24"/>
          <w:highlight w:val="none"/>
        </w:rPr>
      </w:pPr>
      <w:r>
        <w:rPr>
          <w:rFonts w:hint="eastAsia" w:ascii="宋体" w:hAnsi="宋体" w:cs="宋体"/>
          <w:b/>
          <w:color w:val="auto"/>
          <w:sz w:val="24"/>
          <w:highlight w:val="none"/>
        </w:rPr>
        <w:t>被招标人拒绝投标的企业名单</w:t>
      </w:r>
    </w:p>
    <w:p>
      <w:pPr>
        <w:shd w:val="clear" w:color="auto" w:fill="FFFFFF"/>
        <w:snapToGrid w:val="0"/>
        <w:spacing w:line="360" w:lineRule="auto"/>
        <w:ind w:firstLine="482"/>
        <w:jc w:val="center"/>
        <w:rPr>
          <w:rFonts w:ascii="宋体" w:hAnsi="宋体" w:cs="宋体"/>
          <w:b/>
          <w:color w:val="auto"/>
          <w:sz w:val="24"/>
          <w:highlight w:val="none"/>
        </w:rPr>
      </w:pPr>
      <w:r>
        <w:rPr>
          <w:rFonts w:hint="eastAsia" w:ascii="宋体" w:hAnsi="宋体" w:cs="宋体"/>
          <w:b/>
          <w:color w:val="auto"/>
          <w:sz w:val="24"/>
          <w:highlight w:val="none"/>
        </w:rPr>
        <w:t>（暂停企业参加省属代建项目招投标活动三年，自</w:t>
      </w:r>
      <w:r>
        <w:rPr>
          <w:rFonts w:ascii="宋体" w:hAnsi="宋体" w:cs="宋体"/>
          <w:b/>
          <w:color w:val="auto"/>
          <w:sz w:val="24"/>
          <w:highlight w:val="none"/>
        </w:rPr>
        <w:t>202</w:t>
      </w:r>
      <w:r>
        <w:rPr>
          <w:rFonts w:hint="eastAsia" w:ascii="宋体" w:hAnsi="宋体" w:cs="宋体"/>
          <w:b/>
          <w:color w:val="auto"/>
          <w:sz w:val="24"/>
          <w:highlight w:val="none"/>
        </w:rPr>
        <w:t>3</w:t>
      </w:r>
      <w:r>
        <w:rPr>
          <w:rFonts w:ascii="宋体" w:hAnsi="宋体" w:cs="宋体"/>
          <w:b/>
          <w:color w:val="auto"/>
          <w:sz w:val="24"/>
          <w:highlight w:val="none"/>
        </w:rPr>
        <w:t>年</w:t>
      </w:r>
      <w:r>
        <w:rPr>
          <w:rFonts w:hint="eastAsia" w:ascii="宋体" w:hAnsi="宋体" w:cs="宋体"/>
          <w:b/>
          <w:color w:val="auto"/>
          <w:sz w:val="24"/>
          <w:highlight w:val="none"/>
        </w:rPr>
        <w:t>7</w:t>
      </w:r>
      <w:r>
        <w:rPr>
          <w:rFonts w:ascii="宋体" w:hAnsi="宋体" w:cs="宋体"/>
          <w:b/>
          <w:color w:val="auto"/>
          <w:sz w:val="24"/>
          <w:highlight w:val="none"/>
        </w:rPr>
        <w:t>月</w:t>
      </w:r>
      <w:r>
        <w:rPr>
          <w:rFonts w:hint="eastAsia" w:ascii="宋体" w:hAnsi="宋体" w:cs="宋体"/>
          <w:b/>
          <w:color w:val="auto"/>
          <w:sz w:val="24"/>
          <w:highlight w:val="none"/>
        </w:rPr>
        <w:t>14</w:t>
      </w:r>
      <w:r>
        <w:rPr>
          <w:rFonts w:ascii="宋体" w:hAnsi="宋体" w:cs="宋体"/>
          <w:b/>
          <w:color w:val="auto"/>
          <w:sz w:val="24"/>
          <w:highlight w:val="none"/>
        </w:rPr>
        <w:t>日起计。）</w:t>
      </w:r>
    </w:p>
    <w:p>
      <w:pPr>
        <w:shd w:val="clear" w:color="auto" w:fill="FFFFFF"/>
        <w:snapToGrid w:val="0"/>
        <w:ind w:firstLine="482"/>
        <w:rPr>
          <w:rFonts w:ascii="宋体" w:hAnsi="宋体" w:cs="宋体"/>
          <w:b/>
          <w:color w:val="auto"/>
          <w:sz w:val="24"/>
          <w:highlight w:val="none"/>
        </w:rPr>
      </w:pPr>
    </w:p>
    <w:tbl>
      <w:tblPr>
        <w:tblStyle w:val="1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49"/>
        <w:gridCol w:w="58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jc w:val="center"/>
        </w:trPr>
        <w:tc>
          <w:tcPr>
            <w:tcW w:w="1149"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b/>
                <w:color w:val="auto"/>
                <w:sz w:val="24"/>
                <w:highlight w:val="none"/>
              </w:rPr>
            </w:pPr>
            <w:r>
              <w:rPr>
                <w:rFonts w:hint="eastAsia" w:ascii="宋体" w:hAnsi="宋体" w:cs="宋体"/>
                <w:b/>
                <w:color w:val="auto"/>
                <w:sz w:val="24"/>
                <w:highlight w:val="none"/>
              </w:rPr>
              <w:t>序号</w:t>
            </w:r>
          </w:p>
        </w:tc>
        <w:tc>
          <w:tcPr>
            <w:tcW w:w="5816" w:type="dxa"/>
            <w:tcBorders>
              <w:top w:val="single" w:color="auto" w:sz="4" w:space="0"/>
              <w:left w:val="single" w:color="auto" w:sz="4" w:space="0"/>
              <w:bottom w:val="single" w:color="auto" w:sz="4" w:space="0"/>
              <w:right w:val="single" w:color="auto" w:sz="4" w:space="0"/>
            </w:tcBorders>
            <w:noWrap/>
            <w:vAlign w:val="center"/>
          </w:tcPr>
          <w:p>
            <w:pPr>
              <w:tabs>
                <w:tab w:val="left" w:pos="2292"/>
              </w:tabs>
              <w:ind w:firstLine="482"/>
              <w:jc w:val="center"/>
              <w:rPr>
                <w:rFonts w:ascii="宋体" w:hAnsi="宋体" w:cs="宋体"/>
                <w:b/>
                <w:color w:val="auto"/>
                <w:sz w:val="24"/>
                <w:highlight w:val="none"/>
              </w:rPr>
            </w:pPr>
            <w:r>
              <w:rPr>
                <w:rFonts w:hint="eastAsia" w:ascii="宋体" w:hAnsi="宋体" w:cs="宋体"/>
                <w:b/>
                <w:color w:val="auto"/>
                <w:sz w:val="24"/>
                <w:highlight w:val="none"/>
              </w:rPr>
              <w:t>企业名称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jc w:val="center"/>
        </w:trPr>
        <w:tc>
          <w:tcPr>
            <w:tcW w:w="1149" w:type="dxa"/>
            <w:tcBorders>
              <w:top w:val="single" w:color="auto" w:sz="4" w:space="0"/>
              <w:left w:val="single" w:color="auto" w:sz="4" w:space="0"/>
              <w:bottom w:val="single" w:color="auto" w:sz="4" w:space="0"/>
              <w:right w:val="single" w:color="auto" w:sz="4" w:space="0"/>
            </w:tcBorders>
            <w:noWrap/>
            <w:vAlign w:val="center"/>
          </w:tcPr>
          <w:p>
            <w:pPr>
              <w:ind w:firstLine="482"/>
              <w:jc w:val="both"/>
              <w:rPr>
                <w:rFonts w:ascii="宋体" w:hAnsi="宋体" w:cs="宋体"/>
                <w:b/>
                <w:color w:val="auto"/>
                <w:sz w:val="24"/>
                <w:highlight w:val="none"/>
              </w:rPr>
            </w:pPr>
            <w:r>
              <w:rPr>
                <w:rFonts w:hint="eastAsia" w:ascii="宋体" w:hAnsi="宋体" w:cs="宋体"/>
                <w:b/>
                <w:color w:val="auto"/>
                <w:sz w:val="24"/>
                <w:highlight w:val="none"/>
              </w:rPr>
              <w:t>1</w:t>
            </w:r>
          </w:p>
        </w:tc>
        <w:tc>
          <w:tcPr>
            <w:tcW w:w="5816" w:type="dxa"/>
            <w:tcBorders>
              <w:top w:val="single" w:color="auto" w:sz="4" w:space="0"/>
              <w:left w:val="single" w:color="auto" w:sz="4" w:space="0"/>
              <w:bottom w:val="single" w:color="auto" w:sz="4" w:space="0"/>
              <w:right w:val="single" w:color="auto" w:sz="4" w:space="0"/>
            </w:tcBorders>
            <w:noWrap/>
            <w:vAlign w:val="center"/>
          </w:tcPr>
          <w:p>
            <w:pPr>
              <w:tabs>
                <w:tab w:val="left" w:pos="2211"/>
              </w:tabs>
              <w:ind w:firstLine="482"/>
              <w:jc w:val="center"/>
              <w:rPr>
                <w:rFonts w:ascii="宋体" w:hAnsi="宋体" w:cs="宋体"/>
                <w:b/>
                <w:color w:val="auto"/>
                <w:sz w:val="24"/>
                <w:highlight w:val="none"/>
              </w:rPr>
            </w:pPr>
            <w:r>
              <w:rPr>
                <w:rFonts w:hint="eastAsia" w:ascii="宋体" w:hAnsi="宋体" w:cs="宋体"/>
                <w:b/>
                <w:color w:val="auto"/>
                <w:sz w:val="24"/>
                <w:highlight w:val="none"/>
              </w:rPr>
              <w:t>广东广信建筑工程监理有限公司</w:t>
            </w:r>
          </w:p>
        </w:tc>
      </w:tr>
    </w:tbl>
    <w:p>
      <w:pPr>
        <w:widowControl/>
        <w:snapToGrid w:val="0"/>
        <w:spacing w:line="360" w:lineRule="auto"/>
        <w:ind w:right="102"/>
        <w:jc w:val="left"/>
        <w:rPr>
          <w:rFonts w:ascii="宋体" w:hAnsi="宋体" w:cs="宋体"/>
          <w:color w:val="auto"/>
          <w:sz w:val="24"/>
          <w:highlight w:val="none"/>
        </w:rPr>
      </w:pPr>
    </w:p>
    <w:p>
      <w:pPr>
        <w:pStyle w:val="5"/>
        <w:rPr>
          <w:color w:val="auto"/>
          <w:highlight w:val="none"/>
        </w:rPr>
      </w:pPr>
    </w:p>
    <w:p>
      <w:pPr>
        <w:ind w:firstLine="480"/>
        <w:rPr>
          <w:color w:val="auto"/>
          <w:highlight w:val="none"/>
        </w:rPr>
      </w:pPr>
    </w:p>
    <w:sectPr>
      <w:footerReference r:id="rId3" w:type="default"/>
      <w:pgSz w:w="11906" w:h="16838"/>
      <w:pgMar w:top="1417" w:right="1279" w:bottom="1417" w:left="1587" w:header="851" w:footer="850" w:gutter="0"/>
      <w:pgNumType w:start="0"/>
      <w:cols w:space="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仿宋_GB2312">
    <w:altName w:val="仿宋"/>
    <w:panose1 w:val="02010609030101010101"/>
    <w:charset w:val="86"/>
    <w:family w:val="modern"/>
    <w:pitch w:val="default"/>
    <w:sig w:usb0="00000000" w:usb1="00000000" w:usb2="00000010" w:usb3="00000000" w:csb0="00040000" w:csb1="00000000"/>
  </w:font>
  <w:font w:name="Calisto MT">
    <w:panose1 w:val="02040603050505030304"/>
    <w:charset w:val="00"/>
    <w:family w:val="roman"/>
    <w:pitch w:val="default"/>
    <w:sig w:usb0="00000003" w:usb1="00000000" w:usb2="00000000" w:usb3="00000000" w:csb0="20000001" w:csb1="00000000"/>
  </w:font>
  <w:font w:name="仿宋">
    <w:panose1 w:val="02010609060101010101"/>
    <w:charset w:val="86"/>
    <w:family w:val="modern"/>
    <w:pitch w:val="default"/>
    <w:sig w:usb0="800002BF" w:usb1="38CF7CFA" w:usb2="00000016" w:usb3="00000000" w:csb0="00040001" w:csb1="00000000"/>
  </w:font>
  <w:font w:name="Cambria Math">
    <w:panose1 w:val="02040503050406030204"/>
    <w:charset w:val="00"/>
    <w:family w:val="roman"/>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360"/>
      <w:jc w:val="center"/>
    </w:pPr>
    <w:r>
      <w:fldChar w:fldCharType="begin"/>
    </w:r>
    <w:r>
      <w:instrText xml:space="preserve"> PAGE   \* MERGEFORMAT </w:instrText>
    </w:r>
    <w:r>
      <w:fldChar w:fldCharType="separate"/>
    </w:r>
    <w:r>
      <w:rPr>
        <w:lang w:val="zh-CN"/>
      </w:rPr>
      <w:t>3</w:t>
    </w:r>
    <w:r>
      <w:fldChar w:fldCharType="end"/>
    </w:r>
  </w:p>
  <w:p>
    <w:pPr>
      <w:pStyle w:val="12"/>
      <w:ind w:firstLine="360"/>
    </w:pPr>
  </w:p>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NDIwYTRkY2QyNDRiZjM0NDhkMWIyMzVlNGRmY2ZmNjUifQ=="/>
  </w:docVars>
  <w:rsids>
    <w:rsidRoot w:val="008D7E6C"/>
    <w:rsid w:val="00017D10"/>
    <w:rsid w:val="00020013"/>
    <w:rsid w:val="00025226"/>
    <w:rsid w:val="00031031"/>
    <w:rsid w:val="00032175"/>
    <w:rsid w:val="00044B36"/>
    <w:rsid w:val="00045F90"/>
    <w:rsid w:val="0004689E"/>
    <w:rsid w:val="000469B4"/>
    <w:rsid w:val="00050E32"/>
    <w:rsid w:val="00052BBD"/>
    <w:rsid w:val="0005374F"/>
    <w:rsid w:val="00054A87"/>
    <w:rsid w:val="00061F4B"/>
    <w:rsid w:val="000639B4"/>
    <w:rsid w:val="00063BAD"/>
    <w:rsid w:val="00064494"/>
    <w:rsid w:val="00065DAE"/>
    <w:rsid w:val="000677EA"/>
    <w:rsid w:val="00072354"/>
    <w:rsid w:val="0008193D"/>
    <w:rsid w:val="0008250F"/>
    <w:rsid w:val="000841DC"/>
    <w:rsid w:val="000855F9"/>
    <w:rsid w:val="000879E5"/>
    <w:rsid w:val="000958F3"/>
    <w:rsid w:val="000A009B"/>
    <w:rsid w:val="000A1557"/>
    <w:rsid w:val="000A23DC"/>
    <w:rsid w:val="000A2D7D"/>
    <w:rsid w:val="000A4B94"/>
    <w:rsid w:val="000A68BD"/>
    <w:rsid w:val="000A71D0"/>
    <w:rsid w:val="000B171C"/>
    <w:rsid w:val="000B2635"/>
    <w:rsid w:val="000B4D7E"/>
    <w:rsid w:val="000C1778"/>
    <w:rsid w:val="000C2B20"/>
    <w:rsid w:val="000C3E28"/>
    <w:rsid w:val="000C6207"/>
    <w:rsid w:val="000D1FB5"/>
    <w:rsid w:val="000E0E6B"/>
    <w:rsid w:val="000E62EC"/>
    <w:rsid w:val="000F1129"/>
    <w:rsid w:val="000F1549"/>
    <w:rsid w:val="000F5DFF"/>
    <w:rsid w:val="000F63CE"/>
    <w:rsid w:val="000F65D0"/>
    <w:rsid w:val="00104C72"/>
    <w:rsid w:val="00107D67"/>
    <w:rsid w:val="0011275B"/>
    <w:rsid w:val="001128CC"/>
    <w:rsid w:val="00116060"/>
    <w:rsid w:val="00120DB3"/>
    <w:rsid w:val="00122753"/>
    <w:rsid w:val="00130575"/>
    <w:rsid w:val="001328E9"/>
    <w:rsid w:val="001347AD"/>
    <w:rsid w:val="00135352"/>
    <w:rsid w:val="00136A9B"/>
    <w:rsid w:val="00136E68"/>
    <w:rsid w:val="00136F96"/>
    <w:rsid w:val="001372C6"/>
    <w:rsid w:val="00140A3C"/>
    <w:rsid w:val="00142E43"/>
    <w:rsid w:val="0014369D"/>
    <w:rsid w:val="00145B65"/>
    <w:rsid w:val="00152CB2"/>
    <w:rsid w:val="0015341B"/>
    <w:rsid w:val="00153917"/>
    <w:rsid w:val="0015550F"/>
    <w:rsid w:val="001569BD"/>
    <w:rsid w:val="001570EC"/>
    <w:rsid w:val="00157F7E"/>
    <w:rsid w:val="001613B6"/>
    <w:rsid w:val="00171991"/>
    <w:rsid w:val="00174653"/>
    <w:rsid w:val="00184564"/>
    <w:rsid w:val="00185E6A"/>
    <w:rsid w:val="00194A44"/>
    <w:rsid w:val="001956F8"/>
    <w:rsid w:val="001A28B8"/>
    <w:rsid w:val="001A5041"/>
    <w:rsid w:val="001B4D3B"/>
    <w:rsid w:val="001B4F49"/>
    <w:rsid w:val="001B51B0"/>
    <w:rsid w:val="001B6054"/>
    <w:rsid w:val="001B637A"/>
    <w:rsid w:val="001C110D"/>
    <w:rsid w:val="001C2E78"/>
    <w:rsid w:val="001D6579"/>
    <w:rsid w:val="001E18B0"/>
    <w:rsid w:val="001E535D"/>
    <w:rsid w:val="001E61EA"/>
    <w:rsid w:val="001F32B3"/>
    <w:rsid w:val="001F7FDB"/>
    <w:rsid w:val="0020165E"/>
    <w:rsid w:val="0020227E"/>
    <w:rsid w:val="00204E2D"/>
    <w:rsid w:val="00205C57"/>
    <w:rsid w:val="00222635"/>
    <w:rsid w:val="0022272A"/>
    <w:rsid w:val="00226629"/>
    <w:rsid w:val="002343BB"/>
    <w:rsid w:val="00234831"/>
    <w:rsid w:val="002441F4"/>
    <w:rsid w:val="0025028C"/>
    <w:rsid w:val="002512EF"/>
    <w:rsid w:val="00256A80"/>
    <w:rsid w:val="0025720F"/>
    <w:rsid w:val="002572D1"/>
    <w:rsid w:val="00265992"/>
    <w:rsid w:val="002664D3"/>
    <w:rsid w:val="00266A4F"/>
    <w:rsid w:val="00271615"/>
    <w:rsid w:val="0027205F"/>
    <w:rsid w:val="002748A2"/>
    <w:rsid w:val="00280488"/>
    <w:rsid w:val="00281634"/>
    <w:rsid w:val="002818D2"/>
    <w:rsid w:val="0029012D"/>
    <w:rsid w:val="0029139D"/>
    <w:rsid w:val="00297BDC"/>
    <w:rsid w:val="002A1324"/>
    <w:rsid w:val="002A2300"/>
    <w:rsid w:val="002A2932"/>
    <w:rsid w:val="002A7769"/>
    <w:rsid w:val="002A785F"/>
    <w:rsid w:val="002B1BE8"/>
    <w:rsid w:val="002B1C97"/>
    <w:rsid w:val="002B4DBF"/>
    <w:rsid w:val="002B5FD1"/>
    <w:rsid w:val="002C13FE"/>
    <w:rsid w:val="002C1610"/>
    <w:rsid w:val="002C1E37"/>
    <w:rsid w:val="002C4466"/>
    <w:rsid w:val="002C4B24"/>
    <w:rsid w:val="002D6127"/>
    <w:rsid w:val="002E2231"/>
    <w:rsid w:val="002E3D2C"/>
    <w:rsid w:val="002E56AF"/>
    <w:rsid w:val="002E5815"/>
    <w:rsid w:val="002E713F"/>
    <w:rsid w:val="002E7919"/>
    <w:rsid w:val="002F02BA"/>
    <w:rsid w:val="002F2807"/>
    <w:rsid w:val="002F38D3"/>
    <w:rsid w:val="002F6598"/>
    <w:rsid w:val="0030060E"/>
    <w:rsid w:val="00301C70"/>
    <w:rsid w:val="003020DE"/>
    <w:rsid w:val="0030662A"/>
    <w:rsid w:val="003067F1"/>
    <w:rsid w:val="0031270D"/>
    <w:rsid w:val="003127E8"/>
    <w:rsid w:val="00313E7D"/>
    <w:rsid w:val="003165EE"/>
    <w:rsid w:val="003209C0"/>
    <w:rsid w:val="0032183D"/>
    <w:rsid w:val="0032440D"/>
    <w:rsid w:val="003246A8"/>
    <w:rsid w:val="00331EE8"/>
    <w:rsid w:val="003322CD"/>
    <w:rsid w:val="00334CB5"/>
    <w:rsid w:val="003366EA"/>
    <w:rsid w:val="00342C9D"/>
    <w:rsid w:val="0034495C"/>
    <w:rsid w:val="003452B9"/>
    <w:rsid w:val="00346EA7"/>
    <w:rsid w:val="003479FE"/>
    <w:rsid w:val="003554BE"/>
    <w:rsid w:val="00355D52"/>
    <w:rsid w:val="003640F8"/>
    <w:rsid w:val="00371617"/>
    <w:rsid w:val="0037737D"/>
    <w:rsid w:val="00386247"/>
    <w:rsid w:val="00391962"/>
    <w:rsid w:val="003A067A"/>
    <w:rsid w:val="003A14DA"/>
    <w:rsid w:val="003A7604"/>
    <w:rsid w:val="003B1B62"/>
    <w:rsid w:val="003B6C5E"/>
    <w:rsid w:val="003B7F20"/>
    <w:rsid w:val="003C1F5C"/>
    <w:rsid w:val="003C4E10"/>
    <w:rsid w:val="003C5434"/>
    <w:rsid w:val="003C76D3"/>
    <w:rsid w:val="003D0004"/>
    <w:rsid w:val="003D16CB"/>
    <w:rsid w:val="003E1038"/>
    <w:rsid w:val="003E1FAF"/>
    <w:rsid w:val="003E2106"/>
    <w:rsid w:val="003E225C"/>
    <w:rsid w:val="003F0E7E"/>
    <w:rsid w:val="003F7D90"/>
    <w:rsid w:val="004021CC"/>
    <w:rsid w:val="00402EA9"/>
    <w:rsid w:val="00403B3E"/>
    <w:rsid w:val="00403B4D"/>
    <w:rsid w:val="004048B7"/>
    <w:rsid w:val="00405FC1"/>
    <w:rsid w:val="00406CE0"/>
    <w:rsid w:val="0040773A"/>
    <w:rsid w:val="004100BD"/>
    <w:rsid w:val="004102D4"/>
    <w:rsid w:val="00410807"/>
    <w:rsid w:val="00412EC0"/>
    <w:rsid w:val="004136B2"/>
    <w:rsid w:val="0041507E"/>
    <w:rsid w:val="004157CC"/>
    <w:rsid w:val="004168CE"/>
    <w:rsid w:val="004175D1"/>
    <w:rsid w:val="00420127"/>
    <w:rsid w:val="004211E5"/>
    <w:rsid w:val="00422874"/>
    <w:rsid w:val="004264BA"/>
    <w:rsid w:val="00426679"/>
    <w:rsid w:val="0043030B"/>
    <w:rsid w:val="004303F7"/>
    <w:rsid w:val="0043067B"/>
    <w:rsid w:val="004311FC"/>
    <w:rsid w:val="00442531"/>
    <w:rsid w:val="00443D70"/>
    <w:rsid w:val="00444F92"/>
    <w:rsid w:val="004502C8"/>
    <w:rsid w:val="00452701"/>
    <w:rsid w:val="00452ADF"/>
    <w:rsid w:val="004552C0"/>
    <w:rsid w:val="004604FF"/>
    <w:rsid w:val="00460608"/>
    <w:rsid w:val="0046112B"/>
    <w:rsid w:val="0046135A"/>
    <w:rsid w:val="00470265"/>
    <w:rsid w:val="00475FB1"/>
    <w:rsid w:val="00480125"/>
    <w:rsid w:val="00480CB3"/>
    <w:rsid w:val="004817B9"/>
    <w:rsid w:val="00482E2E"/>
    <w:rsid w:val="00483ABA"/>
    <w:rsid w:val="0048587C"/>
    <w:rsid w:val="00486F1F"/>
    <w:rsid w:val="00495B88"/>
    <w:rsid w:val="00496495"/>
    <w:rsid w:val="004A3D9D"/>
    <w:rsid w:val="004A476F"/>
    <w:rsid w:val="004A6F1F"/>
    <w:rsid w:val="004B29E9"/>
    <w:rsid w:val="004B3A21"/>
    <w:rsid w:val="004B3C62"/>
    <w:rsid w:val="004C4D2C"/>
    <w:rsid w:val="004D3161"/>
    <w:rsid w:val="004D51EA"/>
    <w:rsid w:val="004E1029"/>
    <w:rsid w:val="004E10D9"/>
    <w:rsid w:val="004E16B1"/>
    <w:rsid w:val="004E20A1"/>
    <w:rsid w:val="004E486E"/>
    <w:rsid w:val="004E4B09"/>
    <w:rsid w:val="004E4B72"/>
    <w:rsid w:val="004E5C60"/>
    <w:rsid w:val="004E6095"/>
    <w:rsid w:val="004F51DA"/>
    <w:rsid w:val="004F54E9"/>
    <w:rsid w:val="004F6588"/>
    <w:rsid w:val="00502507"/>
    <w:rsid w:val="00503EC6"/>
    <w:rsid w:val="00505735"/>
    <w:rsid w:val="005062CA"/>
    <w:rsid w:val="0051079E"/>
    <w:rsid w:val="0051149B"/>
    <w:rsid w:val="00514EDE"/>
    <w:rsid w:val="005224CF"/>
    <w:rsid w:val="0052425E"/>
    <w:rsid w:val="00531B62"/>
    <w:rsid w:val="00533845"/>
    <w:rsid w:val="005338E9"/>
    <w:rsid w:val="0054289F"/>
    <w:rsid w:val="00542BD0"/>
    <w:rsid w:val="0054368E"/>
    <w:rsid w:val="00543783"/>
    <w:rsid w:val="00543E48"/>
    <w:rsid w:val="00555908"/>
    <w:rsid w:val="00556408"/>
    <w:rsid w:val="00557A87"/>
    <w:rsid w:val="00561485"/>
    <w:rsid w:val="005636F8"/>
    <w:rsid w:val="00563F5D"/>
    <w:rsid w:val="005653BB"/>
    <w:rsid w:val="005705D8"/>
    <w:rsid w:val="00572049"/>
    <w:rsid w:val="005727D4"/>
    <w:rsid w:val="005729B3"/>
    <w:rsid w:val="0057428F"/>
    <w:rsid w:val="00576C29"/>
    <w:rsid w:val="00577C94"/>
    <w:rsid w:val="0058052E"/>
    <w:rsid w:val="005825F4"/>
    <w:rsid w:val="005903AB"/>
    <w:rsid w:val="00590A28"/>
    <w:rsid w:val="0059452C"/>
    <w:rsid w:val="005A0BE0"/>
    <w:rsid w:val="005A1F09"/>
    <w:rsid w:val="005A3045"/>
    <w:rsid w:val="005A4082"/>
    <w:rsid w:val="005B043B"/>
    <w:rsid w:val="005B56E3"/>
    <w:rsid w:val="005B788F"/>
    <w:rsid w:val="005C04DF"/>
    <w:rsid w:val="005C26E8"/>
    <w:rsid w:val="005C5E78"/>
    <w:rsid w:val="005C5F8F"/>
    <w:rsid w:val="005C64A5"/>
    <w:rsid w:val="005D336D"/>
    <w:rsid w:val="005D6630"/>
    <w:rsid w:val="005D781C"/>
    <w:rsid w:val="005E070D"/>
    <w:rsid w:val="005E0A19"/>
    <w:rsid w:val="005E360A"/>
    <w:rsid w:val="005E46C7"/>
    <w:rsid w:val="005E6534"/>
    <w:rsid w:val="005E6BA1"/>
    <w:rsid w:val="005F1299"/>
    <w:rsid w:val="005F14D7"/>
    <w:rsid w:val="005F2A8B"/>
    <w:rsid w:val="005F3FD3"/>
    <w:rsid w:val="005F4344"/>
    <w:rsid w:val="005F4F90"/>
    <w:rsid w:val="005F5AA6"/>
    <w:rsid w:val="006033C3"/>
    <w:rsid w:val="00604187"/>
    <w:rsid w:val="006049A0"/>
    <w:rsid w:val="0060529B"/>
    <w:rsid w:val="00605D81"/>
    <w:rsid w:val="00607CF0"/>
    <w:rsid w:val="006119AF"/>
    <w:rsid w:val="00612D4C"/>
    <w:rsid w:val="00620EE9"/>
    <w:rsid w:val="006236EE"/>
    <w:rsid w:val="00623F6C"/>
    <w:rsid w:val="006344FB"/>
    <w:rsid w:val="0064091A"/>
    <w:rsid w:val="0064415C"/>
    <w:rsid w:val="00647500"/>
    <w:rsid w:val="00650498"/>
    <w:rsid w:val="0065500F"/>
    <w:rsid w:val="0066426E"/>
    <w:rsid w:val="006643A6"/>
    <w:rsid w:val="0066727B"/>
    <w:rsid w:val="00673C89"/>
    <w:rsid w:val="00674112"/>
    <w:rsid w:val="006779A8"/>
    <w:rsid w:val="00677D82"/>
    <w:rsid w:val="00680C73"/>
    <w:rsid w:val="00682615"/>
    <w:rsid w:val="006836DE"/>
    <w:rsid w:val="006845E6"/>
    <w:rsid w:val="00687AC7"/>
    <w:rsid w:val="00694C8E"/>
    <w:rsid w:val="0069619C"/>
    <w:rsid w:val="006A06A7"/>
    <w:rsid w:val="006A0DB5"/>
    <w:rsid w:val="006A3DFA"/>
    <w:rsid w:val="006B0B4F"/>
    <w:rsid w:val="006B2032"/>
    <w:rsid w:val="006B4E6A"/>
    <w:rsid w:val="006B51A2"/>
    <w:rsid w:val="006B5D66"/>
    <w:rsid w:val="006C1519"/>
    <w:rsid w:val="006C1E61"/>
    <w:rsid w:val="006D6929"/>
    <w:rsid w:val="006E15C7"/>
    <w:rsid w:val="006E199D"/>
    <w:rsid w:val="006E4106"/>
    <w:rsid w:val="006E5A80"/>
    <w:rsid w:val="006E671E"/>
    <w:rsid w:val="006E7409"/>
    <w:rsid w:val="006E78ED"/>
    <w:rsid w:val="006F513C"/>
    <w:rsid w:val="006F5BFF"/>
    <w:rsid w:val="006F5EE7"/>
    <w:rsid w:val="00700352"/>
    <w:rsid w:val="00701533"/>
    <w:rsid w:val="00702F0F"/>
    <w:rsid w:val="00703684"/>
    <w:rsid w:val="00706C1C"/>
    <w:rsid w:val="00711278"/>
    <w:rsid w:val="00712CEA"/>
    <w:rsid w:val="007204F2"/>
    <w:rsid w:val="00721ABE"/>
    <w:rsid w:val="00724147"/>
    <w:rsid w:val="00726851"/>
    <w:rsid w:val="007268CE"/>
    <w:rsid w:val="007271FA"/>
    <w:rsid w:val="007274A6"/>
    <w:rsid w:val="00731B47"/>
    <w:rsid w:val="00733F5D"/>
    <w:rsid w:val="00736FD2"/>
    <w:rsid w:val="00740E41"/>
    <w:rsid w:val="00751646"/>
    <w:rsid w:val="00753886"/>
    <w:rsid w:val="00753C12"/>
    <w:rsid w:val="0075690B"/>
    <w:rsid w:val="00757178"/>
    <w:rsid w:val="00757A59"/>
    <w:rsid w:val="007644BF"/>
    <w:rsid w:val="007668EA"/>
    <w:rsid w:val="00767523"/>
    <w:rsid w:val="00771CBC"/>
    <w:rsid w:val="00773080"/>
    <w:rsid w:val="00774E90"/>
    <w:rsid w:val="00776EE1"/>
    <w:rsid w:val="007778C3"/>
    <w:rsid w:val="00780BD4"/>
    <w:rsid w:val="007820C8"/>
    <w:rsid w:val="0078337E"/>
    <w:rsid w:val="00783586"/>
    <w:rsid w:val="00787F5B"/>
    <w:rsid w:val="00790A8A"/>
    <w:rsid w:val="00791BF4"/>
    <w:rsid w:val="00796311"/>
    <w:rsid w:val="007A2592"/>
    <w:rsid w:val="007A5F40"/>
    <w:rsid w:val="007A772B"/>
    <w:rsid w:val="007B0CEE"/>
    <w:rsid w:val="007C3539"/>
    <w:rsid w:val="007C4F0E"/>
    <w:rsid w:val="007C580F"/>
    <w:rsid w:val="007D016A"/>
    <w:rsid w:val="007D0FE0"/>
    <w:rsid w:val="007D3694"/>
    <w:rsid w:val="007D3A31"/>
    <w:rsid w:val="007D3AE9"/>
    <w:rsid w:val="007D79B5"/>
    <w:rsid w:val="007E0BBC"/>
    <w:rsid w:val="007E2B0A"/>
    <w:rsid w:val="007F322B"/>
    <w:rsid w:val="007F4153"/>
    <w:rsid w:val="00804572"/>
    <w:rsid w:val="0081017A"/>
    <w:rsid w:val="008108EE"/>
    <w:rsid w:val="00811CA4"/>
    <w:rsid w:val="00811E21"/>
    <w:rsid w:val="00815AF9"/>
    <w:rsid w:val="00817C48"/>
    <w:rsid w:val="0083060B"/>
    <w:rsid w:val="00830A0F"/>
    <w:rsid w:val="00836AA5"/>
    <w:rsid w:val="00836CAD"/>
    <w:rsid w:val="00855E75"/>
    <w:rsid w:val="00857A7F"/>
    <w:rsid w:val="0086441C"/>
    <w:rsid w:val="00865AD4"/>
    <w:rsid w:val="008700E3"/>
    <w:rsid w:val="008717B6"/>
    <w:rsid w:val="008727F3"/>
    <w:rsid w:val="008750C9"/>
    <w:rsid w:val="0087577F"/>
    <w:rsid w:val="00875B38"/>
    <w:rsid w:val="00876AD2"/>
    <w:rsid w:val="008800A0"/>
    <w:rsid w:val="0088019A"/>
    <w:rsid w:val="00881F87"/>
    <w:rsid w:val="00883E2D"/>
    <w:rsid w:val="00897539"/>
    <w:rsid w:val="008A06DD"/>
    <w:rsid w:val="008A23F0"/>
    <w:rsid w:val="008A40CB"/>
    <w:rsid w:val="008A511A"/>
    <w:rsid w:val="008B2D77"/>
    <w:rsid w:val="008B2EC7"/>
    <w:rsid w:val="008B45FA"/>
    <w:rsid w:val="008B7067"/>
    <w:rsid w:val="008C1E5E"/>
    <w:rsid w:val="008C2435"/>
    <w:rsid w:val="008C36F7"/>
    <w:rsid w:val="008C3D0A"/>
    <w:rsid w:val="008C6B34"/>
    <w:rsid w:val="008D4A4F"/>
    <w:rsid w:val="008D5A5B"/>
    <w:rsid w:val="008D6536"/>
    <w:rsid w:val="008D7E6C"/>
    <w:rsid w:val="008E124C"/>
    <w:rsid w:val="008E1367"/>
    <w:rsid w:val="008E57E0"/>
    <w:rsid w:val="008E714D"/>
    <w:rsid w:val="008F0330"/>
    <w:rsid w:val="008F0497"/>
    <w:rsid w:val="008F273A"/>
    <w:rsid w:val="008F2DA8"/>
    <w:rsid w:val="008F39E0"/>
    <w:rsid w:val="008F5D90"/>
    <w:rsid w:val="00912225"/>
    <w:rsid w:val="00915C13"/>
    <w:rsid w:val="00915DCD"/>
    <w:rsid w:val="009170C7"/>
    <w:rsid w:val="00921060"/>
    <w:rsid w:val="00927B62"/>
    <w:rsid w:val="009307F3"/>
    <w:rsid w:val="0093303F"/>
    <w:rsid w:val="00936A3D"/>
    <w:rsid w:val="00942D0D"/>
    <w:rsid w:val="00944687"/>
    <w:rsid w:val="00956C43"/>
    <w:rsid w:val="009571D5"/>
    <w:rsid w:val="0096066E"/>
    <w:rsid w:val="00960E40"/>
    <w:rsid w:val="0096423E"/>
    <w:rsid w:val="0096526B"/>
    <w:rsid w:val="00972994"/>
    <w:rsid w:val="00974FB6"/>
    <w:rsid w:val="0097636C"/>
    <w:rsid w:val="00980982"/>
    <w:rsid w:val="0098128F"/>
    <w:rsid w:val="00983C79"/>
    <w:rsid w:val="00993466"/>
    <w:rsid w:val="009A4A9E"/>
    <w:rsid w:val="009A4EA7"/>
    <w:rsid w:val="009A5021"/>
    <w:rsid w:val="009A6AFB"/>
    <w:rsid w:val="009B024F"/>
    <w:rsid w:val="009B7FAA"/>
    <w:rsid w:val="009C061A"/>
    <w:rsid w:val="009C17BF"/>
    <w:rsid w:val="009C199D"/>
    <w:rsid w:val="009C3A4D"/>
    <w:rsid w:val="009C572A"/>
    <w:rsid w:val="009C5E34"/>
    <w:rsid w:val="009D0883"/>
    <w:rsid w:val="009D0A17"/>
    <w:rsid w:val="009D7797"/>
    <w:rsid w:val="009E0951"/>
    <w:rsid w:val="009E2DBB"/>
    <w:rsid w:val="009E3797"/>
    <w:rsid w:val="009E38EB"/>
    <w:rsid w:val="009F1F6D"/>
    <w:rsid w:val="009F350C"/>
    <w:rsid w:val="009F51CD"/>
    <w:rsid w:val="009F66CA"/>
    <w:rsid w:val="009F6D23"/>
    <w:rsid w:val="00A009BC"/>
    <w:rsid w:val="00A023FE"/>
    <w:rsid w:val="00A03E1C"/>
    <w:rsid w:val="00A06A05"/>
    <w:rsid w:val="00A13611"/>
    <w:rsid w:val="00A17F64"/>
    <w:rsid w:val="00A2050F"/>
    <w:rsid w:val="00A24304"/>
    <w:rsid w:val="00A24D73"/>
    <w:rsid w:val="00A25148"/>
    <w:rsid w:val="00A30449"/>
    <w:rsid w:val="00A30734"/>
    <w:rsid w:val="00A346AB"/>
    <w:rsid w:val="00A4648B"/>
    <w:rsid w:val="00A50B12"/>
    <w:rsid w:val="00A51B0E"/>
    <w:rsid w:val="00A533B3"/>
    <w:rsid w:val="00A63D9F"/>
    <w:rsid w:val="00A640FA"/>
    <w:rsid w:val="00A7102D"/>
    <w:rsid w:val="00A733E4"/>
    <w:rsid w:val="00A739B6"/>
    <w:rsid w:val="00A77397"/>
    <w:rsid w:val="00A822A7"/>
    <w:rsid w:val="00A83446"/>
    <w:rsid w:val="00A85C15"/>
    <w:rsid w:val="00A86B31"/>
    <w:rsid w:val="00A8711A"/>
    <w:rsid w:val="00A90100"/>
    <w:rsid w:val="00A90656"/>
    <w:rsid w:val="00A9444D"/>
    <w:rsid w:val="00A9567C"/>
    <w:rsid w:val="00A96446"/>
    <w:rsid w:val="00AA1F85"/>
    <w:rsid w:val="00AC2805"/>
    <w:rsid w:val="00AC4A58"/>
    <w:rsid w:val="00AC5617"/>
    <w:rsid w:val="00AC615A"/>
    <w:rsid w:val="00AD2295"/>
    <w:rsid w:val="00AD2B4E"/>
    <w:rsid w:val="00AD5B68"/>
    <w:rsid w:val="00AE0513"/>
    <w:rsid w:val="00AE0841"/>
    <w:rsid w:val="00AE0C44"/>
    <w:rsid w:val="00AF1583"/>
    <w:rsid w:val="00AF5AF4"/>
    <w:rsid w:val="00B0501D"/>
    <w:rsid w:val="00B05104"/>
    <w:rsid w:val="00B102D2"/>
    <w:rsid w:val="00B20083"/>
    <w:rsid w:val="00B2140D"/>
    <w:rsid w:val="00B21FFB"/>
    <w:rsid w:val="00B2316A"/>
    <w:rsid w:val="00B24F75"/>
    <w:rsid w:val="00B27BD5"/>
    <w:rsid w:val="00B31ACD"/>
    <w:rsid w:val="00B31F7E"/>
    <w:rsid w:val="00B35C56"/>
    <w:rsid w:val="00B4298E"/>
    <w:rsid w:val="00B51856"/>
    <w:rsid w:val="00B52BFE"/>
    <w:rsid w:val="00B52E02"/>
    <w:rsid w:val="00B53ED3"/>
    <w:rsid w:val="00B62E5E"/>
    <w:rsid w:val="00B67F83"/>
    <w:rsid w:val="00B72C5D"/>
    <w:rsid w:val="00B736F8"/>
    <w:rsid w:val="00B80E5C"/>
    <w:rsid w:val="00B84DAD"/>
    <w:rsid w:val="00B90C60"/>
    <w:rsid w:val="00B91A9C"/>
    <w:rsid w:val="00B9702A"/>
    <w:rsid w:val="00B97E42"/>
    <w:rsid w:val="00BA10DF"/>
    <w:rsid w:val="00BA2E28"/>
    <w:rsid w:val="00BA3727"/>
    <w:rsid w:val="00BB030D"/>
    <w:rsid w:val="00BB39DE"/>
    <w:rsid w:val="00BC1BF5"/>
    <w:rsid w:val="00BC3655"/>
    <w:rsid w:val="00BD02FB"/>
    <w:rsid w:val="00BD47A8"/>
    <w:rsid w:val="00BD71F3"/>
    <w:rsid w:val="00BE20DF"/>
    <w:rsid w:val="00BE295D"/>
    <w:rsid w:val="00BE69B5"/>
    <w:rsid w:val="00BF1BE4"/>
    <w:rsid w:val="00BF5486"/>
    <w:rsid w:val="00BF7658"/>
    <w:rsid w:val="00C01F9B"/>
    <w:rsid w:val="00C038AF"/>
    <w:rsid w:val="00C04FCC"/>
    <w:rsid w:val="00C05472"/>
    <w:rsid w:val="00C14BDA"/>
    <w:rsid w:val="00C154AF"/>
    <w:rsid w:val="00C17B85"/>
    <w:rsid w:val="00C2455E"/>
    <w:rsid w:val="00C279F5"/>
    <w:rsid w:val="00C32A14"/>
    <w:rsid w:val="00C3306C"/>
    <w:rsid w:val="00C34D60"/>
    <w:rsid w:val="00C35D79"/>
    <w:rsid w:val="00C3719C"/>
    <w:rsid w:val="00C371CF"/>
    <w:rsid w:val="00C372FF"/>
    <w:rsid w:val="00C430F2"/>
    <w:rsid w:val="00C4310F"/>
    <w:rsid w:val="00C444A7"/>
    <w:rsid w:val="00C56112"/>
    <w:rsid w:val="00C63E43"/>
    <w:rsid w:val="00C659B3"/>
    <w:rsid w:val="00C70BB9"/>
    <w:rsid w:val="00C716FC"/>
    <w:rsid w:val="00C84965"/>
    <w:rsid w:val="00C865A2"/>
    <w:rsid w:val="00C91896"/>
    <w:rsid w:val="00C945D1"/>
    <w:rsid w:val="00C95B94"/>
    <w:rsid w:val="00C95C97"/>
    <w:rsid w:val="00CA4CE5"/>
    <w:rsid w:val="00CB17F1"/>
    <w:rsid w:val="00CB2B22"/>
    <w:rsid w:val="00CB32D8"/>
    <w:rsid w:val="00CB5D01"/>
    <w:rsid w:val="00CB6BB5"/>
    <w:rsid w:val="00CC2F92"/>
    <w:rsid w:val="00CC4B6B"/>
    <w:rsid w:val="00CC7995"/>
    <w:rsid w:val="00CD2CF8"/>
    <w:rsid w:val="00CD4652"/>
    <w:rsid w:val="00CE5BE8"/>
    <w:rsid w:val="00CE73C2"/>
    <w:rsid w:val="00CF0E46"/>
    <w:rsid w:val="00CF1952"/>
    <w:rsid w:val="00CF5144"/>
    <w:rsid w:val="00D02198"/>
    <w:rsid w:val="00D023B6"/>
    <w:rsid w:val="00D02AD4"/>
    <w:rsid w:val="00D049FD"/>
    <w:rsid w:val="00D06360"/>
    <w:rsid w:val="00D10B1E"/>
    <w:rsid w:val="00D12BAA"/>
    <w:rsid w:val="00D346C1"/>
    <w:rsid w:val="00D3569D"/>
    <w:rsid w:val="00D40319"/>
    <w:rsid w:val="00D417AA"/>
    <w:rsid w:val="00D4246F"/>
    <w:rsid w:val="00D4444C"/>
    <w:rsid w:val="00D453FF"/>
    <w:rsid w:val="00D469D7"/>
    <w:rsid w:val="00D471D6"/>
    <w:rsid w:val="00D54EA5"/>
    <w:rsid w:val="00D577B4"/>
    <w:rsid w:val="00D60E05"/>
    <w:rsid w:val="00D6227B"/>
    <w:rsid w:val="00D63FCE"/>
    <w:rsid w:val="00D70E45"/>
    <w:rsid w:val="00D71EE1"/>
    <w:rsid w:val="00D74B63"/>
    <w:rsid w:val="00D74C17"/>
    <w:rsid w:val="00D752A4"/>
    <w:rsid w:val="00D77370"/>
    <w:rsid w:val="00D841C6"/>
    <w:rsid w:val="00D84E64"/>
    <w:rsid w:val="00D94569"/>
    <w:rsid w:val="00DA6911"/>
    <w:rsid w:val="00DB18AD"/>
    <w:rsid w:val="00DB4481"/>
    <w:rsid w:val="00DB49BF"/>
    <w:rsid w:val="00DC5F3D"/>
    <w:rsid w:val="00DD26D3"/>
    <w:rsid w:val="00DD3B66"/>
    <w:rsid w:val="00DE3CBF"/>
    <w:rsid w:val="00DE4468"/>
    <w:rsid w:val="00DE46C6"/>
    <w:rsid w:val="00DE4BF2"/>
    <w:rsid w:val="00DF1B9B"/>
    <w:rsid w:val="00E00085"/>
    <w:rsid w:val="00E02633"/>
    <w:rsid w:val="00E055DF"/>
    <w:rsid w:val="00E06F5B"/>
    <w:rsid w:val="00E07E5C"/>
    <w:rsid w:val="00E118A7"/>
    <w:rsid w:val="00E12881"/>
    <w:rsid w:val="00E13815"/>
    <w:rsid w:val="00E155CF"/>
    <w:rsid w:val="00E158A1"/>
    <w:rsid w:val="00E21594"/>
    <w:rsid w:val="00E2722D"/>
    <w:rsid w:val="00E27AB5"/>
    <w:rsid w:val="00E36293"/>
    <w:rsid w:val="00E37589"/>
    <w:rsid w:val="00E40C00"/>
    <w:rsid w:val="00E42215"/>
    <w:rsid w:val="00E519CB"/>
    <w:rsid w:val="00E532F4"/>
    <w:rsid w:val="00E5371B"/>
    <w:rsid w:val="00E538C4"/>
    <w:rsid w:val="00E561BF"/>
    <w:rsid w:val="00E56AAA"/>
    <w:rsid w:val="00E5729A"/>
    <w:rsid w:val="00E57BE8"/>
    <w:rsid w:val="00E637BF"/>
    <w:rsid w:val="00E667F1"/>
    <w:rsid w:val="00E66E5A"/>
    <w:rsid w:val="00E6781D"/>
    <w:rsid w:val="00E67C22"/>
    <w:rsid w:val="00E67EDF"/>
    <w:rsid w:val="00E71433"/>
    <w:rsid w:val="00E71800"/>
    <w:rsid w:val="00E753E2"/>
    <w:rsid w:val="00E7609F"/>
    <w:rsid w:val="00E807D6"/>
    <w:rsid w:val="00E80C23"/>
    <w:rsid w:val="00E87D2B"/>
    <w:rsid w:val="00E91B42"/>
    <w:rsid w:val="00E949F0"/>
    <w:rsid w:val="00EA1BD6"/>
    <w:rsid w:val="00EA2959"/>
    <w:rsid w:val="00EA2DEE"/>
    <w:rsid w:val="00EA3AD0"/>
    <w:rsid w:val="00EA5786"/>
    <w:rsid w:val="00EA70A6"/>
    <w:rsid w:val="00EA7F8E"/>
    <w:rsid w:val="00EB187E"/>
    <w:rsid w:val="00EB35C9"/>
    <w:rsid w:val="00EB421C"/>
    <w:rsid w:val="00EB6E35"/>
    <w:rsid w:val="00EC0494"/>
    <w:rsid w:val="00EC089B"/>
    <w:rsid w:val="00EC1395"/>
    <w:rsid w:val="00EC560D"/>
    <w:rsid w:val="00EC73B6"/>
    <w:rsid w:val="00EC7892"/>
    <w:rsid w:val="00ED07E5"/>
    <w:rsid w:val="00ED1946"/>
    <w:rsid w:val="00ED502A"/>
    <w:rsid w:val="00ED51DE"/>
    <w:rsid w:val="00ED564F"/>
    <w:rsid w:val="00EE1478"/>
    <w:rsid w:val="00EE409B"/>
    <w:rsid w:val="00EF035D"/>
    <w:rsid w:val="00EF0615"/>
    <w:rsid w:val="00EF0C10"/>
    <w:rsid w:val="00EF197F"/>
    <w:rsid w:val="00EF22FF"/>
    <w:rsid w:val="00EF32DC"/>
    <w:rsid w:val="00EF33A3"/>
    <w:rsid w:val="00EF50B9"/>
    <w:rsid w:val="00EF5337"/>
    <w:rsid w:val="00F006E1"/>
    <w:rsid w:val="00F018FF"/>
    <w:rsid w:val="00F10FAB"/>
    <w:rsid w:val="00F1187B"/>
    <w:rsid w:val="00F12EFB"/>
    <w:rsid w:val="00F13896"/>
    <w:rsid w:val="00F13A82"/>
    <w:rsid w:val="00F2188C"/>
    <w:rsid w:val="00F223F3"/>
    <w:rsid w:val="00F24889"/>
    <w:rsid w:val="00F25C41"/>
    <w:rsid w:val="00F27A36"/>
    <w:rsid w:val="00F301B6"/>
    <w:rsid w:val="00F31620"/>
    <w:rsid w:val="00F37451"/>
    <w:rsid w:val="00F4115B"/>
    <w:rsid w:val="00F44539"/>
    <w:rsid w:val="00F4531B"/>
    <w:rsid w:val="00F47F8D"/>
    <w:rsid w:val="00F519F0"/>
    <w:rsid w:val="00F54283"/>
    <w:rsid w:val="00F55A5E"/>
    <w:rsid w:val="00F628A3"/>
    <w:rsid w:val="00F63E95"/>
    <w:rsid w:val="00F65853"/>
    <w:rsid w:val="00F66D5C"/>
    <w:rsid w:val="00F80192"/>
    <w:rsid w:val="00F80F7B"/>
    <w:rsid w:val="00F80FDF"/>
    <w:rsid w:val="00F83019"/>
    <w:rsid w:val="00F83847"/>
    <w:rsid w:val="00F857FD"/>
    <w:rsid w:val="00F86D71"/>
    <w:rsid w:val="00F9386F"/>
    <w:rsid w:val="00F93D83"/>
    <w:rsid w:val="00F94085"/>
    <w:rsid w:val="00F97603"/>
    <w:rsid w:val="00FA00B5"/>
    <w:rsid w:val="00FA4050"/>
    <w:rsid w:val="00FA4A2D"/>
    <w:rsid w:val="00FA4A6E"/>
    <w:rsid w:val="00FA4E6F"/>
    <w:rsid w:val="00FA56D5"/>
    <w:rsid w:val="00FA6794"/>
    <w:rsid w:val="00FB20CA"/>
    <w:rsid w:val="00FB2D9C"/>
    <w:rsid w:val="00FB7174"/>
    <w:rsid w:val="00FC0082"/>
    <w:rsid w:val="00FC07E7"/>
    <w:rsid w:val="00FC32B4"/>
    <w:rsid w:val="00FC33C2"/>
    <w:rsid w:val="00FC53DC"/>
    <w:rsid w:val="00FC54C3"/>
    <w:rsid w:val="00FC7A18"/>
    <w:rsid w:val="00FD1210"/>
    <w:rsid w:val="00FD48AD"/>
    <w:rsid w:val="00FD59CA"/>
    <w:rsid w:val="00FD72D1"/>
    <w:rsid w:val="00FD7D9E"/>
    <w:rsid w:val="00FE44EC"/>
    <w:rsid w:val="00FE6244"/>
    <w:rsid w:val="00FF0145"/>
    <w:rsid w:val="00FF0330"/>
    <w:rsid w:val="00FF1FD3"/>
    <w:rsid w:val="00FF4FB9"/>
    <w:rsid w:val="0115125E"/>
    <w:rsid w:val="01417B7F"/>
    <w:rsid w:val="0194055C"/>
    <w:rsid w:val="01AF4A37"/>
    <w:rsid w:val="0235122D"/>
    <w:rsid w:val="02420F69"/>
    <w:rsid w:val="03332B05"/>
    <w:rsid w:val="03576450"/>
    <w:rsid w:val="03B76507"/>
    <w:rsid w:val="04FB6822"/>
    <w:rsid w:val="062C448D"/>
    <w:rsid w:val="07024528"/>
    <w:rsid w:val="0757624F"/>
    <w:rsid w:val="0791707F"/>
    <w:rsid w:val="079923C4"/>
    <w:rsid w:val="07AE7DDB"/>
    <w:rsid w:val="07DF4802"/>
    <w:rsid w:val="0801789B"/>
    <w:rsid w:val="082150BE"/>
    <w:rsid w:val="082779D0"/>
    <w:rsid w:val="0A27603E"/>
    <w:rsid w:val="0A851326"/>
    <w:rsid w:val="0AC24F48"/>
    <w:rsid w:val="0AE0651F"/>
    <w:rsid w:val="0B03497B"/>
    <w:rsid w:val="0B626897"/>
    <w:rsid w:val="0B777737"/>
    <w:rsid w:val="0B7F344E"/>
    <w:rsid w:val="0B9419B6"/>
    <w:rsid w:val="0C0701CD"/>
    <w:rsid w:val="0CA20E8E"/>
    <w:rsid w:val="0CAE380F"/>
    <w:rsid w:val="0CC23915"/>
    <w:rsid w:val="0DB00467"/>
    <w:rsid w:val="0E8D5998"/>
    <w:rsid w:val="0ECE2968"/>
    <w:rsid w:val="0EED36A3"/>
    <w:rsid w:val="0FD454AF"/>
    <w:rsid w:val="0FE66E7E"/>
    <w:rsid w:val="10E25CD1"/>
    <w:rsid w:val="1107235F"/>
    <w:rsid w:val="116E7244"/>
    <w:rsid w:val="11CC23A2"/>
    <w:rsid w:val="13923193"/>
    <w:rsid w:val="139F5206"/>
    <w:rsid w:val="14B53DB9"/>
    <w:rsid w:val="15400765"/>
    <w:rsid w:val="15690523"/>
    <w:rsid w:val="15947F5C"/>
    <w:rsid w:val="159A6830"/>
    <w:rsid w:val="170C2D16"/>
    <w:rsid w:val="17D2722C"/>
    <w:rsid w:val="17EA6DEA"/>
    <w:rsid w:val="186036F6"/>
    <w:rsid w:val="18A65AAD"/>
    <w:rsid w:val="19067BCB"/>
    <w:rsid w:val="19B076E9"/>
    <w:rsid w:val="19E37505"/>
    <w:rsid w:val="19F65087"/>
    <w:rsid w:val="1A77138C"/>
    <w:rsid w:val="1AAE5D1E"/>
    <w:rsid w:val="1B4F313C"/>
    <w:rsid w:val="1B650D9C"/>
    <w:rsid w:val="1BB70034"/>
    <w:rsid w:val="1CC72184"/>
    <w:rsid w:val="1D3775A1"/>
    <w:rsid w:val="1D475F6C"/>
    <w:rsid w:val="1D773929"/>
    <w:rsid w:val="1DC3408F"/>
    <w:rsid w:val="1E976272"/>
    <w:rsid w:val="1F244798"/>
    <w:rsid w:val="1F9874FF"/>
    <w:rsid w:val="1FB31510"/>
    <w:rsid w:val="205F7089"/>
    <w:rsid w:val="20EC135F"/>
    <w:rsid w:val="22405DEE"/>
    <w:rsid w:val="22FD25EF"/>
    <w:rsid w:val="232E3959"/>
    <w:rsid w:val="23B8052B"/>
    <w:rsid w:val="23F91AD2"/>
    <w:rsid w:val="24E35931"/>
    <w:rsid w:val="251065C1"/>
    <w:rsid w:val="25113163"/>
    <w:rsid w:val="25675BBE"/>
    <w:rsid w:val="25CF60A4"/>
    <w:rsid w:val="264A55A0"/>
    <w:rsid w:val="267C4C7F"/>
    <w:rsid w:val="27077D94"/>
    <w:rsid w:val="27313A2A"/>
    <w:rsid w:val="283A32F8"/>
    <w:rsid w:val="28DA3860"/>
    <w:rsid w:val="293E0BC6"/>
    <w:rsid w:val="29766231"/>
    <w:rsid w:val="29B83E3A"/>
    <w:rsid w:val="2A4367D8"/>
    <w:rsid w:val="2BD7069D"/>
    <w:rsid w:val="2BD943E0"/>
    <w:rsid w:val="2BFF63EA"/>
    <w:rsid w:val="2CB370AC"/>
    <w:rsid w:val="2CD662BD"/>
    <w:rsid w:val="2D033C80"/>
    <w:rsid w:val="2D0848F4"/>
    <w:rsid w:val="2DAE35E7"/>
    <w:rsid w:val="2DC6525D"/>
    <w:rsid w:val="2DF32352"/>
    <w:rsid w:val="2E0F5CF9"/>
    <w:rsid w:val="2E3E5E8A"/>
    <w:rsid w:val="2E653566"/>
    <w:rsid w:val="2E9542C9"/>
    <w:rsid w:val="2F5A6DAA"/>
    <w:rsid w:val="2FCF07C9"/>
    <w:rsid w:val="30110FE8"/>
    <w:rsid w:val="3013573C"/>
    <w:rsid w:val="30C50F0E"/>
    <w:rsid w:val="310F2A34"/>
    <w:rsid w:val="3164652A"/>
    <w:rsid w:val="31A55C86"/>
    <w:rsid w:val="32BF23CB"/>
    <w:rsid w:val="32CA2B82"/>
    <w:rsid w:val="32F9568D"/>
    <w:rsid w:val="33B5365F"/>
    <w:rsid w:val="34053F1A"/>
    <w:rsid w:val="34095838"/>
    <w:rsid w:val="347D590F"/>
    <w:rsid w:val="34A27474"/>
    <w:rsid w:val="351F6BA1"/>
    <w:rsid w:val="3571240C"/>
    <w:rsid w:val="357B4D9C"/>
    <w:rsid w:val="35831E3A"/>
    <w:rsid w:val="358C19C5"/>
    <w:rsid w:val="36E3772B"/>
    <w:rsid w:val="371814DD"/>
    <w:rsid w:val="3744384B"/>
    <w:rsid w:val="378858C8"/>
    <w:rsid w:val="37B04B31"/>
    <w:rsid w:val="37F93D23"/>
    <w:rsid w:val="387B1880"/>
    <w:rsid w:val="39400042"/>
    <w:rsid w:val="395768EF"/>
    <w:rsid w:val="399A48D8"/>
    <w:rsid w:val="39E96DBE"/>
    <w:rsid w:val="3A914950"/>
    <w:rsid w:val="3B155DE1"/>
    <w:rsid w:val="3B1E3A34"/>
    <w:rsid w:val="3B1F5495"/>
    <w:rsid w:val="3B597386"/>
    <w:rsid w:val="3BC410E5"/>
    <w:rsid w:val="3CA1644A"/>
    <w:rsid w:val="3CB573F5"/>
    <w:rsid w:val="3CC26DB4"/>
    <w:rsid w:val="3CE40772"/>
    <w:rsid w:val="3D3C5F97"/>
    <w:rsid w:val="3D9E6D23"/>
    <w:rsid w:val="3E901EED"/>
    <w:rsid w:val="3E99447C"/>
    <w:rsid w:val="3EF13F8A"/>
    <w:rsid w:val="3EFB396C"/>
    <w:rsid w:val="3F147FA7"/>
    <w:rsid w:val="3FB672B0"/>
    <w:rsid w:val="3FD148EA"/>
    <w:rsid w:val="404A44BE"/>
    <w:rsid w:val="40C07F2B"/>
    <w:rsid w:val="412D5350"/>
    <w:rsid w:val="41B460ED"/>
    <w:rsid w:val="424D639A"/>
    <w:rsid w:val="42FA74B4"/>
    <w:rsid w:val="430346EA"/>
    <w:rsid w:val="4321192F"/>
    <w:rsid w:val="433D406E"/>
    <w:rsid w:val="44711C62"/>
    <w:rsid w:val="44862C6F"/>
    <w:rsid w:val="44C1361A"/>
    <w:rsid w:val="44FD30EC"/>
    <w:rsid w:val="454D2C0D"/>
    <w:rsid w:val="455B6133"/>
    <w:rsid w:val="45D36A02"/>
    <w:rsid w:val="46054AED"/>
    <w:rsid w:val="468D6613"/>
    <w:rsid w:val="47532256"/>
    <w:rsid w:val="47BC72FB"/>
    <w:rsid w:val="4803505C"/>
    <w:rsid w:val="483D056E"/>
    <w:rsid w:val="49C36A7A"/>
    <w:rsid w:val="4A8A19D3"/>
    <w:rsid w:val="4AA01014"/>
    <w:rsid w:val="4BD30E09"/>
    <w:rsid w:val="4CE9176C"/>
    <w:rsid w:val="4D796175"/>
    <w:rsid w:val="4D9932C4"/>
    <w:rsid w:val="4DB718AB"/>
    <w:rsid w:val="4E0A6C2F"/>
    <w:rsid w:val="4E777472"/>
    <w:rsid w:val="4E807FB7"/>
    <w:rsid w:val="4F187A44"/>
    <w:rsid w:val="4F222B9D"/>
    <w:rsid w:val="4FB37368"/>
    <w:rsid w:val="4FE601FB"/>
    <w:rsid w:val="4FED6DF9"/>
    <w:rsid w:val="51B353FD"/>
    <w:rsid w:val="522D5F9F"/>
    <w:rsid w:val="53142AA2"/>
    <w:rsid w:val="53CD0265"/>
    <w:rsid w:val="541A68A8"/>
    <w:rsid w:val="542A2E8B"/>
    <w:rsid w:val="547072A8"/>
    <w:rsid w:val="55052FC6"/>
    <w:rsid w:val="552705DC"/>
    <w:rsid w:val="555B56F2"/>
    <w:rsid w:val="556041C7"/>
    <w:rsid w:val="55C65186"/>
    <w:rsid w:val="55CF2799"/>
    <w:rsid w:val="560E012E"/>
    <w:rsid w:val="566D7BF8"/>
    <w:rsid w:val="56A318C0"/>
    <w:rsid w:val="56BB57C2"/>
    <w:rsid w:val="56FB4180"/>
    <w:rsid w:val="570D5ED5"/>
    <w:rsid w:val="574D6943"/>
    <w:rsid w:val="57680A38"/>
    <w:rsid w:val="57DB4848"/>
    <w:rsid w:val="582A1732"/>
    <w:rsid w:val="582E1C82"/>
    <w:rsid w:val="5A943FA5"/>
    <w:rsid w:val="5AD312FA"/>
    <w:rsid w:val="5B320386"/>
    <w:rsid w:val="5B557525"/>
    <w:rsid w:val="5C79219C"/>
    <w:rsid w:val="5C7B3922"/>
    <w:rsid w:val="5C8E27C6"/>
    <w:rsid w:val="5CB70498"/>
    <w:rsid w:val="5D4A36BA"/>
    <w:rsid w:val="5E516176"/>
    <w:rsid w:val="5F002AEE"/>
    <w:rsid w:val="5F294C72"/>
    <w:rsid w:val="60AE666A"/>
    <w:rsid w:val="61FA71CD"/>
    <w:rsid w:val="62794D5A"/>
    <w:rsid w:val="64A932E2"/>
    <w:rsid w:val="64AD03D2"/>
    <w:rsid w:val="65091AAC"/>
    <w:rsid w:val="655045D5"/>
    <w:rsid w:val="65505F97"/>
    <w:rsid w:val="659E3545"/>
    <w:rsid w:val="65A01F56"/>
    <w:rsid w:val="65EE4C68"/>
    <w:rsid w:val="6623094C"/>
    <w:rsid w:val="67127473"/>
    <w:rsid w:val="67892A30"/>
    <w:rsid w:val="67AA167A"/>
    <w:rsid w:val="67AA2C4B"/>
    <w:rsid w:val="67EF420A"/>
    <w:rsid w:val="68BC0887"/>
    <w:rsid w:val="69EF4456"/>
    <w:rsid w:val="6A91127D"/>
    <w:rsid w:val="6BA950C0"/>
    <w:rsid w:val="6C250955"/>
    <w:rsid w:val="6C3715C7"/>
    <w:rsid w:val="6C9D4D3E"/>
    <w:rsid w:val="6CCB17B2"/>
    <w:rsid w:val="6D1F1CE2"/>
    <w:rsid w:val="6D82495B"/>
    <w:rsid w:val="6E0E0133"/>
    <w:rsid w:val="6E930639"/>
    <w:rsid w:val="6ED2201B"/>
    <w:rsid w:val="70513374"/>
    <w:rsid w:val="705648B2"/>
    <w:rsid w:val="70D54F38"/>
    <w:rsid w:val="71157494"/>
    <w:rsid w:val="714637B5"/>
    <w:rsid w:val="718D067E"/>
    <w:rsid w:val="71A60E62"/>
    <w:rsid w:val="71F61E2F"/>
    <w:rsid w:val="72820E37"/>
    <w:rsid w:val="72AF5315"/>
    <w:rsid w:val="73994ACC"/>
    <w:rsid w:val="73AA2652"/>
    <w:rsid w:val="74626AE3"/>
    <w:rsid w:val="75B20B64"/>
    <w:rsid w:val="7696786E"/>
    <w:rsid w:val="772A1C1B"/>
    <w:rsid w:val="772C62FD"/>
    <w:rsid w:val="778B00FF"/>
    <w:rsid w:val="779E6CE3"/>
    <w:rsid w:val="77E83812"/>
    <w:rsid w:val="794501AA"/>
    <w:rsid w:val="797E6B5F"/>
    <w:rsid w:val="7A3441D5"/>
    <w:rsid w:val="7A543EE8"/>
    <w:rsid w:val="7A571513"/>
    <w:rsid w:val="7A7764C5"/>
    <w:rsid w:val="7A7C4BC0"/>
    <w:rsid w:val="7B2670F4"/>
    <w:rsid w:val="7C1F350C"/>
    <w:rsid w:val="7C3E7E36"/>
    <w:rsid w:val="7CC32D29"/>
    <w:rsid w:val="7CF63FFC"/>
    <w:rsid w:val="7E3949AA"/>
    <w:rsid w:val="7EFF9D7C"/>
    <w:rsid w:val="7F4D590E"/>
    <w:rsid w:val="CFFBFE22"/>
    <w:rsid w:val="F7FF12F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9" w:semiHidden="0" w:name="heading 2"/>
    <w:lsdException w:qFormat="1" w:unhideWhenUsed="0" w:uiPriority="9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qFormat="1" w:unhideWhenUsed="0" w:uiPriority="0" w:semiHidden="0"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1"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iPriority="0" w:semiHidden="0"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1"/>
    <w:autoRedefine/>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2"/>
    <w:autoRedefine/>
    <w:qFormat/>
    <w:uiPriority w:val="99"/>
    <w:pPr>
      <w:keepNext/>
      <w:keepLines/>
      <w:spacing w:before="260" w:after="260" w:line="416" w:lineRule="auto"/>
      <w:jc w:val="center"/>
      <w:outlineLvl w:val="1"/>
    </w:pPr>
    <w:rPr>
      <w:rFonts w:ascii="Cambria" w:hAnsi="Cambria"/>
      <w:b/>
      <w:bCs/>
      <w:kern w:val="0"/>
      <w:sz w:val="30"/>
      <w:szCs w:val="30"/>
    </w:rPr>
  </w:style>
  <w:style w:type="paragraph" w:styleId="4">
    <w:name w:val="heading 3"/>
    <w:basedOn w:val="1"/>
    <w:next w:val="1"/>
    <w:link w:val="23"/>
    <w:autoRedefine/>
    <w:qFormat/>
    <w:uiPriority w:val="99"/>
    <w:pPr>
      <w:keepNext/>
      <w:keepLines/>
      <w:spacing w:before="260" w:after="260" w:line="416" w:lineRule="auto"/>
      <w:outlineLvl w:val="2"/>
    </w:pPr>
    <w:rPr>
      <w:bCs/>
      <w:kern w:val="0"/>
      <w:sz w:val="20"/>
      <w:szCs w:val="32"/>
    </w:rPr>
  </w:style>
  <w:style w:type="character" w:default="1" w:styleId="18">
    <w:name w:val="Default Paragraph Font"/>
    <w:semiHidden/>
    <w:unhideWhenUsed/>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5">
    <w:name w:val="Normal Indent"/>
    <w:basedOn w:val="1"/>
    <w:next w:val="1"/>
    <w:autoRedefine/>
    <w:qFormat/>
    <w:uiPriority w:val="0"/>
    <w:pPr>
      <w:spacing w:line="360" w:lineRule="auto"/>
      <w:ind w:firstLine="508" w:firstLineChars="200"/>
      <w:jc w:val="left"/>
    </w:pPr>
    <w:rPr>
      <w:rFonts w:ascii="宋体" w:hAnsi="宋体" w:eastAsia="Calibri"/>
      <w:spacing w:val="7"/>
      <w:kern w:val="0"/>
      <w:sz w:val="24"/>
      <w:szCs w:val="22"/>
      <w:u w:val="single"/>
    </w:rPr>
  </w:style>
  <w:style w:type="paragraph" w:styleId="6">
    <w:name w:val="annotation text"/>
    <w:basedOn w:val="1"/>
    <w:link w:val="24"/>
    <w:autoRedefine/>
    <w:unhideWhenUsed/>
    <w:qFormat/>
    <w:uiPriority w:val="99"/>
    <w:pPr>
      <w:jc w:val="left"/>
    </w:pPr>
  </w:style>
  <w:style w:type="paragraph" w:styleId="7">
    <w:name w:val="Body Text"/>
    <w:basedOn w:val="1"/>
    <w:next w:val="1"/>
    <w:autoRedefine/>
    <w:unhideWhenUsed/>
    <w:qFormat/>
    <w:uiPriority w:val="1"/>
    <w:pPr>
      <w:spacing w:after="120"/>
    </w:pPr>
  </w:style>
  <w:style w:type="paragraph" w:styleId="8">
    <w:name w:val="Body Text Indent"/>
    <w:basedOn w:val="1"/>
    <w:next w:val="9"/>
    <w:autoRedefine/>
    <w:qFormat/>
    <w:uiPriority w:val="99"/>
    <w:pPr>
      <w:ind w:firstLine="570"/>
    </w:pPr>
    <w:rPr>
      <w:kern w:val="0"/>
      <w:sz w:val="28"/>
      <w:szCs w:val="20"/>
    </w:rPr>
  </w:style>
  <w:style w:type="paragraph" w:styleId="9">
    <w:name w:val="envelope return"/>
    <w:basedOn w:val="1"/>
    <w:autoRedefine/>
    <w:qFormat/>
    <w:uiPriority w:val="0"/>
    <w:pPr>
      <w:snapToGrid w:val="0"/>
    </w:pPr>
    <w:rPr>
      <w:rFonts w:ascii="Arial" w:hAnsi="Arial"/>
    </w:rPr>
  </w:style>
  <w:style w:type="paragraph" w:styleId="10">
    <w:name w:val="Plain Text"/>
    <w:basedOn w:val="1"/>
    <w:next w:val="1"/>
    <w:autoRedefine/>
    <w:unhideWhenUsed/>
    <w:qFormat/>
    <w:uiPriority w:val="0"/>
    <w:rPr>
      <w:rFonts w:ascii="宋体" w:hAnsi="Courier New"/>
      <w:kern w:val="0"/>
      <w:sz w:val="20"/>
      <w:szCs w:val="21"/>
    </w:rPr>
  </w:style>
  <w:style w:type="paragraph" w:styleId="11">
    <w:name w:val="Balloon Text"/>
    <w:basedOn w:val="1"/>
    <w:link w:val="25"/>
    <w:autoRedefine/>
    <w:unhideWhenUsed/>
    <w:qFormat/>
    <w:uiPriority w:val="99"/>
    <w:rPr>
      <w:kern w:val="0"/>
      <w:sz w:val="18"/>
      <w:szCs w:val="18"/>
    </w:rPr>
  </w:style>
  <w:style w:type="paragraph" w:styleId="12">
    <w:name w:val="footer"/>
    <w:basedOn w:val="1"/>
    <w:link w:val="26"/>
    <w:autoRedefine/>
    <w:unhideWhenUsed/>
    <w:qFormat/>
    <w:uiPriority w:val="99"/>
    <w:pPr>
      <w:tabs>
        <w:tab w:val="center" w:pos="4153"/>
        <w:tab w:val="right" w:pos="8306"/>
      </w:tabs>
      <w:snapToGrid w:val="0"/>
      <w:jc w:val="left"/>
    </w:pPr>
    <w:rPr>
      <w:kern w:val="0"/>
      <w:sz w:val="18"/>
      <w:szCs w:val="18"/>
    </w:rPr>
  </w:style>
  <w:style w:type="paragraph" w:styleId="13">
    <w:name w:val="header"/>
    <w:basedOn w:val="1"/>
    <w:link w:val="27"/>
    <w:autoRedefine/>
    <w:unhideWhenUsed/>
    <w:qFormat/>
    <w:uiPriority w:val="99"/>
    <w:pPr>
      <w:pBdr>
        <w:bottom w:val="single" w:color="auto" w:sz="6" w:space="1"/>
      </w:pBdr>
      <w:tabs>
        <w:tab w:val="center" w:pos="4153"/>
        <w:tab w:val="right" w:pos="8306"/>
      </w:tabs>
      <w:snapToGrid w:val="0"/>
      <w:jc w:val="center"/>
    </w:pPr>
    <w:rPr>
      <w:kern w:val="0"/>
      <w:sz w:val="18"/>
      <w:szCs w:val="18"/>
    </w:rPr>
  </w:style>
  <w:style w:type="paragraph" w:styleId="14">
    <w:name w:val="annotation subject"/>
    <w:basedOn w:val="6"/>
    <w:next w:val="6"/>
    <w:link w:val="28"/>
    <w:autoRedefine/>
    <w:unhideWhenUsed/>
    <w:qFormat/>
    <w:uiPriority w:val="99"/>
    <w:rPr>
      <w:b/>
      <w:bCs/>
    </w:rPr>
  </w:style>
  <w:style w:type="paragraph" w:styleId="15">
    <w:name w:val="Body Text First Indent"/>
    <w:basedOn w:val="7"/>
    <w:autoRedefine/>
    <w:unhideWhenUsed/>
    <w:qFormat/>
    <w:uiPriority w:val="0"/>
    <w:pPr>
      <w:widowControl/>
      <w:ind w:firstLine="420" w:firstLineChars="100"/>
      <w:jc w:val="left"/>
    </w:pPr>
    <w:rPr>
      <w:kern w:val="0"/>
      <w:sz w:val="20"/>
      <w:szCs w:val="20"/>
    </w:rPr>
  </w:style>
  <w:style w:type="paragraph" w:styleId="16">
    <w:name w:val="Body Text First Indent 2"/>
    <w:basedOn w:val="8"/>
    <w:autoRedefine/>
    <w:qFormat/>
    <w:uiPriority w:val="0"/>
    <w:pPr>
      <w:spacing w:after="120"/>
      <w:ind w:left="200" w:leftChars="200" w:firstLine="200" w:firstLineChars="200"/>
    </w:pPr>
    <w:rPr>
      <w:rFonts w:ascii="Calibri" w:hAnsi="Calibri"/>
      <w:kern w:val="2"/>
      <w:sz w:val="21"/>
      <w:szCs w:val="24"/>
    </w:rPr>
  </w:style>
  <w:style w:type="character" w:styleId="19">
    <w:name w:val="Hyperlink"/>
    <w:autoRedefine/>
    <w:qFormat/>
    <w:uiPriority w:val="0"/>
    <w:rPr>
      <w:color w:val="000000"/>
      <w:u w:val="none"/>
    </w:rPr>
  </w:style>
  <w:style w:type="character" w:styleId="20">
    <w:name w:val="annotation reference"/>
    <w:autoRedefine/>
    <w:unhideWhenUsed/>
    <w:qFormat/>
    <w:uiPriority w:val="99"/>
    <w:rPr>
      <w:sz w:val="21"/>
      <w:szCs w:val="21"/>
    </w:rPr>
  </w:style>
  <w:style w:type="character" w:customStyle="1" w:styleId="21">
    <w:name w:val="标题 1 Char"/>
    <w:link w:val="2"/>
    <w:autoRedefine/>
    <w:qFormat/>
    <w:uiPriority w:val="1"/>
    <w:rPr>
      <w:b/>
      <w:bCs/>
      <w:kern w:val="44"/>
      <w:sz w:val="44"/>
      <w:szCs w:val="44"/>
    </w:rPr>
  </w:style>
  <w:style w:type="character" w:customStyle="1" w:styleId="22">
    <w:name w:val="标题 2 Char"/>
    <w:link w:val="3"/>
    <w:autoRedefine/>
    <w:qFormat/>
    <w:uiPriority w:val="99"/>
    <w:rPr>
      <w:rFonts w:ascii="Cambria" w:hAnsi="Cambria" w:eastAsia="宋体" w:cs="Times New Roman"/>
      <w:b/>
      <w:bCs/>
      <w:kern w:val="0"/>
      <w:sz w:val="30"/>
      <w:szCs w:val="30"/>
    </w:rPr>
  </w:style>
  <w:style w:type="character" w:customStyle="1" w:styleId="23">
    <w:name w:val="标题 3 Char"/>
    <w:link w:val="4"/>
    <w:autoRedefine/>
    <w:qFormat/>
    <w:uiPriority w:val="99"/>
    <w:rPr>
      <w:rFonts w:ascii="Times New Roman" w:hAnsi="Times New Roman" w:eastAsia="宋体" w:cs="Times New Roman"/>
      <w:bCs/>
      <w:szCs w:val="32"/>
    </w:rPr>
  </w:style>
  <w:style w:type="character" w:customStyle="1" w:styleId="24">
    <w:name w:val="批注文字 Char"/>
    <w:link w:val="6"/>
    <w:autoRedefine/>
    <w:semiHidden/>
    <w:qFormat/>
    <w:uiPriority w:val="99"/>
    <w:rPr>
      <w:kern w:val="2"/>
      <w:sz w:val="21"/>
      <w:szCs w:val="24"/>
    </w:rPr>
  </w:style>
  <w:style w:type="character" w:customStyle="1" w:styleId="25">
    <w:name w:val="批注框文本 Char"/>
    <w:link w:val="11"/>
    <w:autoRedefine/>
    <w:semiHidden/>
    <w:qFormat/>
    <w:uiPriority w:val="99"/>
    <w:rPr>
      <w:sz w:val="18"/>
      <w:szCs w:val="18"/>
    </w:rPr>
  </w:style>
  <w:style w:type="character" w:customStyle="1" w:styleId="26">
    <w:name w:val="页脚 Char"/>
    <w:link w:val="12"/>
    <w:autoRedefine/>
    <w:qFormat/>
    <w:uiPriority w:val="99"/>
    <w:rPr>
      <w:sz w:val="18"/>
      <w:szCs w:val="18"/>
    </w:rPr>
  </w:style>
  <w:style w:type="character" w:customStyle="1" w:styleId="27">
    <w:name w:val="页眉 Char"/>
    <w:link w:val="13"/>
    <w:autoRedefine/>
    <w:semiHidden/>
    <w:qFormat/>
    <w:uiPriority w:val="99"/>
    <w:rPr>
      <w:sz w:val="18"/>
      <w:szCs w:val="18"/>
    </w:rPr>
  </w:style>
  <w:style w:type="character" w:customStyle="1" w:styleId="28">
    <w:name w:val="批注主题 Char"/>
    <w:link w:val="14"/>
    <w:autoRedefine/>
    <w:semiHidden/>
    <w:qFormat/>
    <w:uiPriority w:val="99"/>
    <w:rPr>
      <w:b/>
      <w:bCs/>
      <w:kern w:val="2"/>
      <w:sz w:val="21"/>
      <w:szCs w:val="24"/>
    </w:rPr>
  </w:style>
  <w:style w:type="character" w:customStyle="1" w:styleId="29">
    <w:name w:val="16"/>
    <w:autoRedefine/>
    <w:qFormat/>
    <w:uiPriority w:val="0"/>
    <w:rPr>
      <w:rFonts w:hint="default" w:ascii="Calibri" w:hAnsi="Calibri" w:cs="Calibri"/>
      <w:color w:val="0000FF"/>
      <w:u w:val="single"/>
    </w:rPr>
  </w:style>
  <w:style w:type="paragraph" w:customStyle="1" w:styleId="30">
    <w:name w:val="_Style 15"/>
    <w:autoRedefine/>
    <w:unhideWhenUsed/>
    <w:qFormat/>
    <w:uiPriority w:val="99"/>
    <w:rPr>
      <w:rFonts w:ascii="Times New Roman" w:hAnsi="Times New Roman" w:eastAsia="宋体" w:cs="Times New Roman"/>
      <w:kern w:val="2"/>
      <w:sz w:val="21"/>
      <w:szCs w:val="24"/>
      <w:lang w:val="en-US" w:eastAsia="zh-CN" w:bidi="ar-SA"/>
    </w:rPr>
  </w:style>
  <w:style w:type="paragraph" w:customStyle="1" w:styleId="31">
    <w:name w:val="公文正文"/>
    <w:autoRedefine/>
    <w:qFormat/>
    <w:uiPriority w:val="0"/>
    <w:pPr>
      <w:widowControl w:val="0"/>
      <w:spacing w:line="360" w:lineRule="auto"/>
      <w:ind w:firstLine="629"/>
      <w:jc w:val="both"/>
    </w:pPr>
    <w:rPr>
      <w:rFonts w:ascii="仿宋_GB2312" w:hAnsi="Calisto MT" w:eastAsia="仿宋_GB2312" w:cs="Calibri"/>
      <w:color w:val="000000"/>
      <w:sz w:val="32"/>
      <w:lang w:val="en-US" w:eastAsia="zh-CN" w:bidi="ar-SA"/>
    </w:rPr>
  </w:style>
  <w:style w:type="paragraph" w:customStyle="1" w:styleId="32">
    <w:name w:val="_Style 31"/>
    <w:autoRedefine/>
    <w:unhideWhenUsed/>
    <w:qFormat/>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Windows 10</Company>
  <Pages>15</Pages>
  <Words>1645</Words>
  <Characters>9377</Characters>
  <Lines>78</Lines>
  <Paragraphs>21</Paragraphs>
  <TotalTime>31</TotalTime>
  <ScaleCrop>false</ScaleCrop>
  <LinksUpToDate>false</LinksUpToDate>
  <CharactersWithSpaces>11001</CharactersWithSpaces>
  <Application>WPS Office_12.1.0.16412_F1E327BC-269C-435d-A152-05C5408002CA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2024-03-04T07:58:00Z</dcterms:created>
  <dc:creator>NTKO</dc:creator>
  <cp:lastModifiedBy>mandy</cp:lastModifiedBy>
  <cp:lastPrinted>2024-03-05T02:19:00Z</cp:lastPrinted>
  <dcterms:modified xsi:type="dcterms:W3CDTF">2024-03-19T07:15:32Z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2052-12.1.0.16412</vt:lpwstr>
  </property>
  <property fmtid="{D5CDD505-2E9C-101B-9397-08002B2CF9AE}" pid="3" name="ICV">
    <vt:lpwstr>54DF0A3593C448FEA859211E0D870372_13</vt:lpwstr>
  </property>
</Properties>
</file>