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line="276" w:lineRule="auto"/>
        <w:jc w:val="center"/>
        <w:rPr>
          <w:rFonts w:ascii="宋体" w:hAnsi="宋体" w:eastAsia="宋体"/>
          <w:b/>
          <w:color w:val="auto"/>
          <w:kern w:val="2"/>
          <w:sz w:val="40"/>
          <w:szCs w:val="60"/>
          <w:highlight w:val="none"/>
          <w:lang w:eastAsia="zh-CN"/>
        </w:rPr>
      </w:pPr>
      <w:bookmarkStart w:id="122" w:name="_GoBack"/>
    </w:p>
    <w:p>
      <w:pPr>
        <w:spacing w:before="2" w:line="276" w:lineRule="auto"/>
        <w:jc w:val="center"/>
        <w:rPr>
          <w:rFonts w:ascii="宋体" w:hAnsi="宋体" w:eastAsia="宋体"/>
          <w:b/>
          <w:color w:val="auto"/>
          <w:kern w:val="2"/>
          <w:sz w:val="40"/>
          <w:szCs w:val="60"/>
          <w:highlight w:val="none"/>
          <w:lang w:eastAsia="zh-CN"/>
        </w:rPr>
      </w:pPr>
    </w:p>
    <w:p>
      <w:pPr>
        <w:spacing w:before="2" w:line="276" w:lineRule="auto"/>
        <w:jc w:val="center"/>
        <w:rPr>
          <w:rFonts w:ascii="宋体" w:hAnsi="宋体" w:eastAsia="宋体"/>
          <w:b/>
          <w:color w:val="auto"/>
          <w:kern w:val="2"/>
          <w:sz w:val="40"/>
          <w:szCs w:val="60"/>
          <w:highlight w:val="none"/>
          <w:lang w:eastAsia="zh-CN"/>
        </w:rPr>
      </w:pPr>
      <w:r>
        <w:rPr>
          <w:rFonts w:hint="eastAsia" w:ascii="宋体" w:hAnsi="宋体" w:eastAsia="宋体"/>
          <w:b/>
          <w:color w:val="auto"/>
          <w:kern w:val="2"/>
          <w:sz w:val="40"/>
          <w:szCs w:val="60"/>
          <w:highlight w:val="none"/>
          <w:lang w:eastAsia="zh-CN"/>
        </w:rPr>
        <w:t>广东省计量科学研究院知识城检测基地项目方案设计、初步设计</w:t>
      </w:r>
    </w:p>
    <w:p>
      <w:pPr>
        <w:rPr>
          <w:rFonts w:ascii="宋体" w:hAnsi="宋体" w:eastAsia="宋体" w:cs="宋体"/>
          <w:b/>
          <w:bCs/>
          <w:color w:val="auto"/>
          <w:sz w:val="20"/>
          <w:szCs w:val="20"/>
          <w:highlight w:val="none"/>
          <w:lang w:eastAsia="zh-CN"/>
        </w:rPr>
      </w:pPr>
    </w:p>
    <w:p>
      <w:pPr>
        <w:rPr>
          <w:rFonts w:ascii="宋体" w:hAnsi="宋体" w:eastAsia="宋体" w:cs="宋体"/>
          <w:b/>
          <w:bCs/>
          <w:color w:val="auto"/>
          <w:sz w:val="20"/>
          <w:szCs w:val="20"/>
          <w:highlight w:val="none"/>
          <w:lang w:eastAsia="zh-CN"/>
        </w:rPr>
      </w:pPr>
    </w:p>
    <w:p>
      <w:pPr>
        <w:rPr>
          <w:rFonts w:ascii="宋体" w:hAnsi="宋体" w:eastAsia="宋体" w:cs="宋体"/>
          <w:b/>
          <w:bCs/>
          <w:color w:val="auto"/>
          <w:sz w:val="20"/>
          <w:szCs w:val="20"/>
          <w:highlight w:val="none"/>
          <w:lang w:eastAsia="zh-CN"/>
        </w:rPr>
      </w:pPr>
    </w:p>
    <w:p>
      <w:pPr>
        <w:rPr>
          <w:rFonts w:ascii="宋体" w:hAnsi="宋体" w:eastAsia="宋体" w:cs="宋体"/>
          <w:b/>
          <w:bCs/>
          <w:color w:val="auto"/>
          <w:sz w:val="20"/>
          <w:szCs w:val="20"/>
          <w:highlight w:val="none"/>
          <w:lang w:eastAsia="zh-CN"/>
        </w:rPr>
      </w:pPr>
    </w:p>
    <w:p>
      <w:pPr>
        <w:rPr>
          <w:rFonts w:ascii="宋体" w:hAnsi="宋体" w:eastAsia="宋体" w:cs="宋体"/>
          <w:b/>
          <w:bCs/>
          <w:color w:val="auto"/>
          <w:sz w:val="20"/>
          <w:szCs w:val="20"/>
          <w:highlight w:val="none"/>
          <w:lang w:eastAsia="zh-CN"/>
        </w:rPr>
      </w:pPr>
    </w:p>
    <w:p>
      <w:pPr>
        <w:jc w:val="center"/>
        <w:rPr>
          <w:rFonts w:ascii="宋体" w:hAnsi="宋体" w:eastAsia="宋体"/>
          <w:b/>
          <w:color w:val="auto"/>
          <w:kern w:val="2"/>
          <w:sz w:val="96"/>
          <w:szCs w:val="84"/>
          <w:highlight w:val="none"/>
          <w:lang w:eastAsia="zh-CN"/>
        </w:rPr>
      </w:pPr>
    </w:p>
    <w:p>
      <w:pPr>
        <w:jc w:val="center"/>
        <w:rPr>
          <w:rFonts w:ascii="宋体" w:hAnsi="宋体" w:eastAsia="宋体"/>
          <w:b/>
          <w:color w:val="auto"/>
          <w:kern w:val="2"/>
          <w:sz w:val="96"/>
          <w:szCs w:val="84"/>
          <w:highlight w:val="none"/>
          <w:lang w:eastAsia="zh-CN"/>
        </w:rPr>
      </w:pPr>
      <w:r>
        <w:rPr>
          <w:rFonts w:ascii="宋体" w:hAnsi="宋体" w:eastAsia="宋体"/>
          <w:b/>
          <w:color w:val="auto"/>
          <w:kern w:val="2"/>
          <w:sz w:val="96"/>
          <w:szCs w:val="84"/>
          <w:highlight w:val="none"/>
          <w:lang w:eastAsia="zh-CN"/>
        </w:rPr>
        <w:t>招标文件</w:t>
      </w:r>
    </w:p>
    <w:p>
      <w:pPr>
        <w:rPr>
          <w:rFonts w:ascii="宋体" w:hAnsi="宋体" w:eastAsia="宋体" w:cs="宋体"/>
          <w:color w:val="auto"/>
          <w:sz w:val="44"/>
          <w:szCs w:val="44"/>
          <w:highlight w:val="none"/>
          <w:lang w:eastAsia="zh-CN"/>
        </w:rPr>
      </w:pPr>
    </w:p>
    <w:p>
      <w:pPr>
        <w:rPr>
          <w:rFonts w:ascii="宋体" w:hAnsi="宋体" w:eastAsia="宋体" w:cs="宋体"/>
          <w:color w:val="auto"/>
          <w:sz w:val="44"/>
          <w:szCs w:val="44"/>
          <w:highlight w:val="none"/>
          <w:lang w:eastAsia="zh-CN"/>
        </w:rPr>
      </w:pPr>
    </w:p>
    <w:p>
      <w:pPr>
        <w:rPr>
          <w:rFonts w:ascii="宋体" w:hAnsi="宋体" w:eastAsia="宋体" w:cs="宋体"/>
          <w:color w:val="auto"/>
          <w:sz w:val="44"/>
          <w:szCs w:val="44"/>
          <w:highlight w:val="none"/>
          <w:lang w:eastAsia="zh-CN"/>
        </w:rPr>
      </w:pPr>
    </w:p>
    <w:p>
      <w:pPr>
        <w:rPr>
          <w:rFonts w:ascii="宋体" w:hAnsi="宋体" w:eastAsia="宋体" w:cs="宋体"/>
          <w:color w:val="auto"/>
          <w:sz w:val="44"/>
          <w:szCs w:val="44"/>
          <w:highlight w:val="none"/>
          <w:lang w:eastAsia="zh-CN"/>
        </w:rPr>
      </w:pPr>
    </w:p>
    <w:p>
      <w:pPr>
        <w:rPr>
          <w:rFonts w:ascii="宋体" w:hAnsi="宋体" w:eastAsia="宋体" w:cs="宋体"/>
          <w:color w:val="auto"/>
          <w:sz w:val="44"/>
          <w:szCs w:val="44"/>
          <w:highlight w:val="none"/>
          <w:lang w:eastAsia="zh-CN"/>
        </w:rPr>
      </w:pPr>
    </w:p>
    <w:p>
      <w:pPr>
        <w:spacing w:before="8"/>
        <w:rPr>
          <w:rFonts w:ascii="宋体" w:hAnsi="宋体" w:eastAsia="宋体" w:cs="宋体"/>
          <w:color w:val="auto"/>
          <w:sz w:val="33"/>
          <w:szCs w:val="33"/>
          <w:highlight w:val="none"/>
          <w:lang w:eastAsia="zh-CN"/>
        </w:rPr>
      </w:pPr>
    </w:p>
    <w:p>
      <w:pPr>
        <w:spacing w:before="8"/>
        <w:rPr>
          <w:rFonts w:ascii="宋体" w:hAnsi="宋体" w:eastAsia="宋体" w:cs="宋体"/>
          <w:color w:val="auto"/>
          <w:sz w:val="33"/>
          <w:szCs w:val="33"/>
          <w:highlight w:val="none"/>
          <w:lang w:eastAsia="zh-CN"/>
        </w:rPr>
      </w:pPr>
    </w:p>
    <w:p>
      <w:pPr>
        <w:spacing w:line="360" w:lineRule="auto"/>
        <w:ind w:firstLine="964" w:firstLineChars="300"/>
        <w:rPr>
          <w:rFonts w:ascii="宋体" w:hAnsi="宋体" w:eastAsia="宋体"/>
          <w:b/>
          <w:color w:val="auto"/>
          <w:sz w:val="32"/>
          <w:szCs w:val="32"/>
          <w:highlight w:val="none"/>
          <w:lang w:eastAsia="zh-CN"/>
        </w:rPr>
      </w:pPr>
      <w:r>
        <w:rPr>
          <w:rFonts w:hint="eastAsia" w:ascii="宋体" w:hAnsi="宋体" w:eastAsia="宋体"/>
          <w:b/>
          <w:color w:val="auto"/>
          <w:sz w:val="32"/>
          <w:szCs w:val="32"/>
          <w:highlight w:val="none"/>
          <w:lang w:eastAsia="zh-CN"/>
        </w:rPr>
        <w:t>招   标   人：广东省代建项目管理局</w:t>
      </w:r>
    </w:p>
    <w:p>
      <w:pPr>
        <w:spacing w:line="360" w:lineRule="auto"/>
        <w:ind w:firstLine="964" w:firstLineChars="300"/>
        <w:rPr>
          <w:rFonts w:ascii="宋体" w:hAnsi="宋体" w:eastAsia="宋体"/>
          <w:b/>
          <w:color w:val="auto"/>
          <w:sz w:val="32"/>
          <w:szCs w:val="32"/>
          <w:highlight w:val="none"/>
          <w:lang w:eastAsia="zh-CN"/>
        </w:rPr>
      </w:pPr>
      <w:r>
        <w:rPr>
          <w:rFonts w:hint="eastAsia" w:ascii="宋体" w:hAnsi="宋体" w:eastAsia="宋体"/>
          <w:b/>
          <w:color w:val="auto"/>
          <w:sz w:val="32"/>
          <w:szCs w:val="32"/>
          <w:highlight w:val="none"/>
          <w:lang w:eastAsia="zh-CN"/>
        </w:rPr>
        <w:t>招标代理机构：广州市市政工程监理有限公司</w:t>
      </w:r>
    </w:p>
    <w:p>
      <w:pPr>
        <w:tabs>
          <w:tab w:val="left" w:pos="561"/>
        </w:tabs>
        <w:spacing w:line="360" w:lineRule="auto"/>
        <w:ind w:firstLine="964" w:firstLineChars="300"/>
        <w:rPr>
          <w:rFonts w:ascii="宋体" w:hAnsi="宋体" w:eastAsia="宋体"/>
          <w:b/>
          <w:color w:val="auto"/>
          <w:sz w:val="32"/>
          <w:szCs w:val="32"/>
          <w:highlight w:val="none"/>
          <w:lang w:eastAsia="zh-CN"/>
        </w:rPr>
      </w:pPr>
      <w:r>
        <w:rPr>
          <w:rFonts w:hint="eastAsia" w:ascii="宋体" w:hAnsi="宋体" w:eastAsia="宋体"/>
          <w:b/>
          <w:color w:val="auto"/>
          <w:sz w:val="32"/>
          <w:szCs w:val="32"/>
          <w:highlight w:val="none"/>
          <w:lang w:eastAsia="zh-CN"/>
        </w:rPr>
        <w:t>日        期：2024年3月</w:t>
      </w:r>
    </w:p>
    <w:p>
      <w:pPr>
        <w:tabs>
          <w:tab w:val="left" w:pos="561"/>
          <w:tab w:val="center" w:pos="4513"/>
          <w:tab w:val="left" w:pos="5723"/>
        </w:tabs>
        <w:spacing w:line="360" w:lineRule="auto"/>
        <w:jc w:val="center"/>
        <w:rPr>
          <w:rFonts w:ascii="宋体" w:hAnsi="宋体" w:eastAsia="宋体" w:cs="宋体"/>
          <w:color w:val="auto"/>
          <w:sz w:val="24"/>
          <w:szCs w:val="24"/>
          <w:highlight w:val="none"/>
          <w:lang w:eastAsia="zh-CN"/>
        </w:rPr>
      </w:pPr>
      <w:r>
        <w:rPr>
          <w:rFonts w:ascii="宋体" w:hAnsi="宋体" w:eastAsia="宋体"/>
          <w:b/>
          <w:color w:val="auto"/>
          <w:sz w:val="32"/>
          <w:szCs w:val="32"/>
          <w:highlight w:val="none"/>
          <w:lang w:eastAsia="zh-CN"/>
        </w:rPr>
        <w:br w:type="page"/>
      </w:r>
      <w:r>
        <w:rPr>
          <w:rFonts w:ascii="宋体" w:hAnsi="宋体" w:eastAsia="宋体" w:cs="宋体"/>
          <w:b/>
          <w:bCs/>
          <w:color w:val="auto"/>
          <w:sz w:val="28"/>
          <w:szCs w:val="28"/>
          <w:highlight w:val="none"/>
          <w:lang w:eastAsia="zh-CN"/>
        </w:rPr>
        <w:t>目</w:t>
      </w:r>
      <w:r>
        <w:rPr>
          <w:rFonts w:ascii="宋体" w:hAnsi="宋体" w:eastAsia="宋体" w:cs="宋体"/>
          <w:b/>
          <w:bCs/>
          <w:color w:val="auto"/>
          <w:sz w:val="28"/>
          <w:szCs w:val="28"/>
          <w:highlight w:val="none"/>
          <w:lang w:eastAsia="zh-CN"/>
        </w:rPr>
        <w:tab/>
      </w:r>
      <w:r>
        <w:rPr>
          <w:rFonts w:ascii="宋体" w:hAnsi="宋体" w:eastAsia="宋体" w:cs="宋体"/>
          <w:b/>
          <w:bCs/>
          <w:color w:val="auto"/>
          <w:sz w:val="28"/>
          <w:szCs w:val="28"/>
          <w:highlight w:val="none"/>
          <w:lang w:eastAsia="zh-CN"/>
        </w:rPr>
        <w:t>录</w:t>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rFonts w:ascii="宋体" w:hAnsi="宋体" w:eastAsia="宋体" w:cs="宋体"/>
          <w:color w:val="auto"/>
          <w:sz w:val="24"/>
          <w:szCs w:val="24"/>
          <w:highlight w:val="none"/>
          <w:lang w:eastAsia="zh-CN"/>
        </w:rPr>
        <w:fldChar w:fldCharType="begin"/>
      </w:r>
      <w:r>
        <w:rPr>
          <w:rFonts w:ascii="宋体" w:hAnsi="宋体" w:eastAsia="宋体" w:cs="宋体"/>
          <w:color w:val="auto"/>
          <w:sz w:val="24"/>
          <w:szCs w:val="24"/>
          <w:highlight w:val="none"/>
          <w:lang w:eastAsia="zh-CN"/>
        </w:rPr>
        <w:instrText xml:space="preserve"> TOC \o "1-3" \h \z \u </w:instrText>
      </w:r>
      <w:r>
        <w:rPr>
          <w:rFonts w:ascii="宋体" w:hAnsi="宋体" w:eastAsia="宋体" w:cs="宋体"/>
          <w:color w:val="auto"/>
          <w:sz w:val="24"/>
          <w:szCs w:val="24"/>
          <w:highlight w:val="none"/>
          <w:lang w:eastAsia="zh-CN"/>
        </w:rPr>
        <w:fldChar w:fldCharType="separate"/>
      </w:r>
      <w:r>
        <w:rPr>
          <w:color w:val="auto"/>
          <w:highlight w:val="none"/>
        </w:rPr>
        <w:fldChar w:fldCharType="begin"/>
      </w:r>
      <w:r>
        <w:rPr>
          <w:color w:val="auto"/>
          <w:highlight w:val="none"/>
        </w:rPr>
        <w:instrText xml:space="preserve"> HYPERLINK \l "_Toc143424734" </w:instrText>
      </w:r>
      <w:r>
        <w:rPr>
          <w:color w:val="auto"/>
          <w:highlight w:val="none"/>
        </w:rPr>
        <w:fldChar w:fldCharType="separate"/>
      </w:r>
      <w:r>
        <w:rPr>
          <w:rStyle w:val="29"/>
          <w:rFonts w:ascii="宋体" w:hAnsi="宋体" w:eastAsia="宋体"/>
          <w:color w:val="auto"/>
          <w:highlight w:val="none"/>
          <w:lang w:eastAsia="zh-CN"/>
        </w:rPr>
        <w:t>第一卷</w:t>
      </w:r>
      <w:r>
        <w:rPr>
          <w:color w:val="auto"/>
          <w:highlight w:val="none"/>
        </w:rPr>
        <w:tab/>
      </w:r>
      <w:r>
        <w:rPr>
          <w:color w:val="auto"/>
          <w:highlight w:val="none"/>
        </w:rPr>
        <w:fldChar w:fldCharType="begin"/>
      </w:r>
      <w:r>
        <w:rPr>
          <w:color w:val="auto"/>
          <w:highlight w:val="none"/>
        </w:rPr>
        <w:instrText xml:space="preserve"> PAGEREF _Toc143424734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"_Toc143424735" </w:instrText>
      </w:r>
      <w:r>
        <w:rPr>
          <w:color w:val="auto"/>
          <w:highlight w:val="none"/>
        </w:rPr>
        <w:fldChar w:fldCharType="separate"/>
      </w:r>
      <w:r>
        <w:rPr>
          <w:rStyle w:val="29"/>
          <w:rFonts w:ascii="宋体" w:hAnsi="宋体" w:eastAsia="宋体"/>
          <w:color w:val="auto"/>
          <w:highlight w:val="none"/>
          <w:lang w:eastAsia="zh-CN"/>
        </w:rPr>
        <w:t>第一章  招标公告</w:t>
      </w:r>
      <w:r>
        <w:rPr>
          <w:color w:val="auto"/>
          <w:highlight w:val="none"/>
        </w:rPr>
        <w:tab/>
      </w:r>
      <w:r>
        <w:rPr>
          <w:color w:val="auto"/>
          <w:highlight w:val="none"/>
        </w:rPr>
        <w:fldChar w:fldCharType="begin"/>
      </w:r>
      <w:r>
        <w:rPr>
          <w:color w:val="auto"/>
          <w:highlight w:val="none"/>
        </w:rPr>
        <w:instrText xml:space="preserve"> PAGEREF _Toc143424735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"_Toc143424736" </w:instrText>
      </w:r>
      <w:r>
        <w:rPr>
          <w:color w:val="auto"/>
          <w:highlight w:val="none"/>
        </w:rPr>
        <w:fldChar w:fldCharType="separate"/>
      </w:r>
      <w:r>
        <w:rPr>
          <w:rStyle w:val="29"/>
          <w:rFonts w:ascii="宋体" w:hAnsi="宋体" w:eastAsia="宋体"/>
          <w:color w:val="auto"/>
          <w:highlight w:val="none"/>
          <w:lang w:eastAsia="zh-CN"/>
        </w:rPr>
        <w:t>第二章  投标人须知</w:t>
      </w:r>
      <w:r>
        <w:rPr>
          <w:color w:val="auto"/>
          <w:highlight w:val="none"/>
        </w:rPr>
        <w:tab/>
      </w:r>
      <w:r>
        <w:rPr>
          <w:color w:val="auto"/>
          <w:highlight w:val="none"/>
        </w:rPr>
        <w:fldChar w:fldCharType="begin"/>
      </w:r>
      <w:r>
        <w:rPr>
          <w:color w:val="auto"/>
          <w:highlight w:val="none"/>
        </w:rPr>
        <w:instrText xml:space="preserve"> PAGEREF _Toc143424736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"_Toc143424737" </w:instrText>
      </w:r>
      <w:r>
        <w:rPr>
          <w:color w:val="auto"/>
          <w:highlight w:val="none"/>
        </w:rPr>
        <w:fldChar w:fldCharType="separate"/>
      </w:r>
      <w:r>
        <w:rPr>
          <w:rStyle w:val="29"/>
          <w:rFonts w:ascii="宋体" w:hAnsi="宋体" w:eastAsia="宋体"/>
          <w:i w:val="0"/>
          <w:iCs w:val="0"/>
          <w:color w:val="auto"/>
          <w:highlight w:val="none"/>
          <w:lang w:eastAsia="zh-CN"/>
        </w:rPr>
        <w:t>投标人须知前附表</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_Toc143424737 \h </w:instrText>
      </w:r>
      <w:r>
        <w:rPr>
          <w:i w:val="0"/>
          <w:iCs w:val="0"/>
          <w:color w:val="auto"/>
          <w:highlight w:val="none"/>
        </w:rPr>
        <w:fldChar w:fldCharType="separate"/>
      </w:r>
      <w:r>
        <w:rPr>
          <w:i w:val="0"/>
          <w:iCs w:val="0"/>
          <w:color w:val="auto"/>
          <w:highlight w:val="none"/>
        </w:rPr>
        <w:t>5</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"_Toc143424738" </w:instrText>
      </w:r>
      <w:r>
        <w:rPr>
          <w:color w:val="auto"/>
          <w:highlight w:val="none"/>
        </w:rPr>
        <w:fldChar w:fldCharType="separate"/>
      </w:r>
      <w:r>
        <w:rPr>
          <w:rStyle w:val="29"/>
          <w:rFonts w:ascii="宋体" w:hAnsi="宋体" w:eastAsia="宋体"/>
          <w:i w:val="0"/>
          <w:iCs w:val="0"/>
          <w:color w:val="auto"/>
          <w:highlight w:val="none"/>
          <w:lang w:eastAsia="zh-CN"/>
        </w:rPr>
        <w:t>1. 总则</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_Toc143424738 \h </w:instrText>
      </w:r>
      <w:r>
        <w:rPr>
          <w:i w:val="0"/>
          <w:iCs w:val="0"/>
          <w:color w:val="auto"/>
          <w:highlight w:val="none"/>
        </w:rPr>
        <w:fldChar w:fldCharType="separate"/>
      </w:r>
      <w:r>
        <w:rPr>
          <w:i w:val="0"/>
          <w:iCs w:val="0"/>
          <w:color w:val="auto"/>
          <w:highlight w:val="none"/>
        </w:rPr>
        <w:t>15</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"_Toc143424739" </w:instrText>
      </w:r>
      <w:r>
        <w:rPr>
          <w:color w:val="auto"/>
          <w:highlight w:val="none"/>
        </w:rPr>
        <w:fldChar w:fldCharType="separate"/>
      </w:r>
      <w:r>
        <w:rPr>
          <w:rStyle w:val="29"/>
          <w:rFonts w:ascii="宋体" w:hAnsi="宋体" w:eastAsia="宋体"/>
          <w:i w:val="0"/>
          <w:iCs w:val="0"/>
          <w:color w:val="auto"/>
          <w:highlight w:val="none"/>
          <w:lang w:eastAsia="zh-CN"/>
        </w:rPr>
        <w:t>2. 招标文件</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_Toc143424739 \h </w:instrText>
      </w:r>
      <w:r>
        <w:rPr>
          <w:i w:val="0"/>
          <w:iCs w:val="0"/>
          <w:color w:val="auto"/>
          <w:highlight w:val="none"/>
        </w:rPr>
        <w:fldChar w:fldCharType="separate"/>
      </w:r>
      <w:r>
        <w:rPr>
          <w:i w:val="0"/>
          <w:iCs w:val="0"/>
          <w:color w:val="auto"/>
          <w:highlight w:val="none"/>
        </w:rPr>
        <w:t>18</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"_Toc143424740" </w:instrText>
      </w:r>
      <w:r>
        <w:rPr>
          <w:color w:val="auto"/>
          <w:highlight w:val="none"/>
        </w:rPr>
        <w:fldChar w:fldCharType="separate"/>
      </w:r>
      <w:r>
        <w:rPr>
          <w:rStyle w:val="29"/>
          <w:rFonts w:ascii="宋体" w:hAnsi="宋体" w:eastAsia="宋体"/>
          <w:i w:val="0"/>
          <w:iCs w:val="0"/>
          <w:color w:val="auto"/>
          <w:highlight w:val="none"/>
          <w:lang w:eastAsia="zh-CN"/>
        </w:rPr>
        <w:t>3. 投标文件</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_Toc143424740 \h </w:instrText>
      </w:r>
      <w:r>
        <w:rPr>
          <w:i w:val="0"/>
          <w:iCs w:val="0"/>
          <w:color w:val="auto"/>
          <w:highlight w:val="none"/>
        </w:rPr>
        <w:fldChar w:fldCharType="separate"/>
      </w:r>
      <w:r>
        <w:rPr>
          <w:i w:val="0"/>
          <w:iCs w:val="0"/>
          <w:color w:val="auto"/>
          <w:highlight w:val="none"/>
        </w:rPr>
        <w:t>19</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"_Toc143424741" </w:instrText>
      </w:r>
      <w:r>
        <w:rPr>
          <w:color w:val="auto"/>
          <w:highlight w:val="none"/>
        </w:rPr>
        <w:fldChar w:fldCharType="separate"/>
      </w:r>
      <w:r>
        <w:rPr>
          <w:rStyle w:val="29"/>
          <w:rFonts w:ascii="宋体" w:hAnsi="宋体" w:eastAsia="宋体"/>
          <w:i w:val="0"/>
          <w:iCs w:val="0"/>
          <w:color w:val="auto"/>
          <w:highlight w:val="none"/>
          <w:lang w:eastAsia="zh-CN"/>
        </w:rPr>
        <w:t>4. 投标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_Toc143424741 \h </w:instrText>
      </w:r>
      <w:r>
        <w:rPr>
          <w:i w:val="0"/>
          <w:iCs w:val="0"/>
          <w:color w:val="auto"/>
          <w:highlight w:val="none"/>
        </w:rPr>
        <w:fldChar w:fldCharType="separate"/>
      </w:r>
      <w:r>
        <w:rPr>
          <w:i w:val="0"/>
          <w:iCs w:val="0"/>
          <w:color w:val="auto"/>
          <w:highlight w:val="none"/>
        </w:rPr>
        <w:t>23</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"_Toc143424742" </w:instrText>
      </w:r>
      <w:r>
        <w:rPr>
          <w:color w:val="auto"/>
          <w:highlight w:val="none"/>
        </w:rPr>
        <w:fldChar w:fldCharType="separate"/>
      </w:r>
      <w:r>
        <w:rPr>
          <w:rStyle w:val="29"/>
          <w:rFonts w:ascii="宋体" w:hAnsi="宋体" w:eastAsia="宋体"/>
          <w:i w:val="0"/>
          <w:iCs w:val="0"/>
          <w:color w:val="auto"/>
          <w:highlight w:val="none"/>
          <w:lang w:eastAsia="zh-CN"/>
        </w:rPr>
        <w:t>5. 开标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_Toc143424742 \h </w:instrText>
      </w:r>
      <w:r>
        <w:rPr>
          <w:i w:val="0"/>
          <w:iCs w:val="0"/>
          <w:color w:val="auto"/>
          <w:highlight w:val="none"/>
        </w:rPr>
        <w:fldChar w:fldCharType="separate"/>
      </w:r>
      <w:r>
        <w:rPr>
          <w:i w:val="0"/>
          <w:iCs w:val="0"/>
          <w:color w:val="auto"/>
          <w:highlight w:val="none"/>
        </w:rPr>
        <w:t>24</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"_Toc143424743" </w:instrText>
      </w:r>
      <w:r>
        <w:rPr>
          <w:color w:val="auto"/>
          <w:highlight w:val="none"/>
        </w:rPr>
        <w:fldChar w:fldCharType="separate"/>
      </w:r>
      <w:r>
        <w:rPr>
          <w:rStyle w:val="29"/>
          <w:rFonts w:ascii="宋体" w:hAnsi="宋体" w:eastAsia="宋体"/>
          <w:i w:val="0"/>
          <w:iCs w:val="0"/>
          <w:color w:val="auto"/>
          <w:highlight w:val="none"/>
          <w:lang w:eastAsia="zh-CN"/>
        </w:rPr>
        <w:t>6. 评标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_Toc143424743 \h </w:instrText>
      </w:r>
      <w:r>
        <w:rPr>
          <w:i w:val="0"/>
          <w:iCs w:val="0"/>
          <w:color w:val="auto"/>
          <w:highlight w:val="none"/>
        </w:rPr>
        <w:fldChar w:fldCharType="separate"/>
      </w:r>
      <w:r>
        <w:rPr>
          <w:i w:val="0"/>
          <w:iCs w:val="0"/>
          <w:color w:val="auto"/>
          <w:highlight w:val="none"/>
        </w:rPr>
        <w:t>26</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"_Toc143424744" </w:instrText>
      </w:r>
      <w:r>
        <w:rPr>
          <w:color w:val="auto"/>
          <w:highlight w:val="none"/>
        </w:rPr>
        <w:fldChar w:fldCharType="separate"/>
      </w:r>
      <w:r>
        <w:rPr>
          <w:rStyle w:val="29"/>
          <w:rFonts w:ascii="宋体" w:hAnsi="宋体" w:eastAsia="宋体"/>
          <w:i w:val="0"/>
          <w:iCs w:val="0"/>
          <w:color w:val="auto"/>
          <w:highlight w:val="none"/>
          <w:lang w:eastAsia="zh-CN"/>
        </w:rPr>
        <w:t>7. 合同授予</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_Toc143424744 \h </w:instrText>
      </w:r>
      <w:r>
        <w:rPr>
          <w:i w:val="0"/>
          <w:iCs w:val="0"/>
          <w:color w:val="auto"/>
          <w:highlight w:val="none"/>
        </w:rPr>
        <w:fldChar w:fldCharType="separate"/>
      </w:r>
      <w:r>
        <w:rPr>
          <w:i w:val="0"/>
          <w:iCs w:val="0"/>
          <w:color w:val="auto"/>
          <w:highlight w:val="none"/>
        </w:rPr>
        <w:t>27</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"_Toc143424745" </w:instrText>
      </w:r>
      <w:r>
        <w:rPr>
          <w:color w:val="auto"/>
          <w:highlight w:val="none"/>
        </w:rPr>
        <w:fldChar w:fldCharType="separate"/>
      </w:r>
      <w:r>
        <w:rPr>
          <w:rStyle w:val="29"/>
          <w:rFonts w:ascii="宋体" w:hAnsi="宋体" w:eastAsia="宋体"/>
          <w:i w:val="0"/>
          <w:iCs w:val="0"/>
          <w:color w:val="auto"/>
          <w:highlight w:val="none"/>
          <w:lang w:eastAsia="zh-CN"/>
        </w:rPr>
        <w:t>8. 纪律和监督</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_Toc143424745 \h </w:instrText>
      </w:r>
      <w:r>
        <w:rPr>
          <w:i w:val="0"/>
          <w:iCs w:val="0"/>
          <w:color w:val="auto"/>
          <w:highlight w:val="none"/>
        </w:rPr>
        <w:fldChar w:fldCharType="separate"/>
      </w:r>
      <w:r>
        <w:rPr>
          <w:i w:val="0"/>
          <w:iCs w:val="0"/>
          <w:color w:val="auto"/>
          <w:highlight w:val="none"/>
        </w:rPr>
        <w:t>29</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"_Toc143424746" </w:instrText>
      </w:r>
      <w:r>
        <w:rPr>
          <w:color w:val="auto"/>
          <w:highlight w:val="none"/>
        </w:rPr>
        <w:fldChar w:fldCharType="separate"/>
      </w:r>
      <w:r>
        <w:rPr>
          <w:rStyle w:val="29"/>
          <w:rFonts w:ascii="宋体" w:hAnsi="宋体" w:eastAsia="宋体"/>
          <w:i w:val="0"/>
          <w:iCs w:val="0"/>
          <w:color w:val="auto"/>
          <w:highlight w:val="none"/>
          <w:lang w:eastAsia="zh-CN"/>
        </w:rPr>
        <w:t>9. 是否采用电子招标投标</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_Toc143424746 \h </w:instrText>
      </w:r>
      <w:r>
        <w:rPr>
          <w:i w:val="0"/>
          <w:iCs w:val="0"/>
          <w:color w:val="auto"/>
          <w:highlight w:val="none"/>
        </w:rPr>
        <w:fldChar w:fldCharType="separate"/>
      </w:r>
      <w:r>
        <w:rPr>
          <w:i w:val="0"/>
          <w:iCs w:val="0"/>
          <w:color w:val="auto"/>
          <w:highlight w:val="none"/>
        </w:rPr>
        <w:t>29</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"_Toc143424747" </w:instrText>
      </w:r>
      <w:r>
        <w:rPr>
          <w:color w:val="auto"/>
          <w:highlight w:val="none"/>
        </w:rPr>
        <w:fldChar w:fldCharType="separate"/>
      </w:r>
      <w:r>
        <w:rPr>
          <w:rStyle w:val="29"/>
          <w:rFonts w:ascii="宋体" w:hAnsi="宋体" w:eastAsia="宋体"/>
          <w:i w:val="0"/>
          <w:iCs w:val="0"/>
          <w:color w:val="auto"/>
          <w:highlight w:val="none"/>
          <w:lang w:eastAsia="zh-CN"/>
        </w:rPr>
        <w:t>10. 需要补充的其他内容</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_Toc143424747 \h </w:instrText>
      </w:r>
      <w:r>
        <w:rPr>
          <w:i w:val="0"/>
          <w:iCs w:val="0"/>
          <w:color w:val="auto"/>
          <w:highlight w:val="none"/>
        </w:rPr>
        <w:fldChar w:fldCharType="separate"/>
      </w:r>
      <w:r>
        <w:rPr>
          <w:i w:val="0"/>
          <w:iCs w:val="0"/>
          <w:color w:val="auto"/>
          <w:highlight w:val="none"/>
        </w:rPr>
        <w:t>30</w:t>
      </w:r>
      <w:r>
        <w:rPr>
          <w:i w:val="0"/>
          <w:iCs w:val="0"/>
          <w:color w:val="auto"/>
          <w:highlight w:val="none"/>
        </w:rPr>
        <w:fldChar w:fldCharType="end"/>
      </w:r>
      <w:r>
        <w:rPr>
          <w:i w:val="0"/>
          <w:iCs w:val="0"/>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"_Toc143424748" </w:instrText>
      </w:r>
      <w:r>
        <w:rPr>
          <w:color w:val="auto"/>
          <w:highlight w:val="none"/>
        </w:rPr>
        <w:fldChar w:fldCharType="separate"/>
      </w:r>
      <w:r>
        <w:rPr>
          <w:rStyle w:val="29"/>
          <w:rFonts w:ascii="宋体" w:hAnsi="宋体" w:eastAsia="宋体"/>
          <w:color w:val="auto"/>
          <w:highlight w:val="none"/>
          <w:lang w:eastAsia="zh-CN"/>
        </w:rPr>
        <w:t>第三章  评标办法（评定分离评标办法）</w:t>
      </w:r>
      <w:r>
        <w:rPr>
          <w:color w:val="auto"/>
          <w:highlight w:val="none"/>
        </w:rPr>
        <w:tab/>
      </w:r>
      <w:r>
        <w:rPr>
          <w:color w:val="auto"/>
          <w:highlight w:val="none"/>
        </w:rPr>
        <w:fldChar w:fldCharType="begin"/>
      </w:r>
      <w:r>
        <w:rPr>
          <w:color w:val="auto"/>
          <w:highlight w:val="none"/>
        </w:rPr>
        <w:instrText xml:space="preserve"> PAGEREF _Toc143424748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"_Toc143424749" </w:instrText>
      </w:r>
      <w:r>
        <w:rPr>
          <w:color w:val="auto"/>
          <w:highlight w:val="none"/>
        </w:rPr>
        <w:fldChar w:fldCharType="separate"/>
      </w:r>
      <w:r>
        <w:rPr>
          <w:rStyle w:val="29"/>
          <w:rFonts w:ascii="宋体" w:hAnsi="宋体" w:eastAsia="宋体"/>
          <w:i w:val="0"/>
          <w:iCs w:val="0"/>
          <w:color w:val="auto"/>
          <w:highlight w:val="none"/>
        </w:rPr>
        <w:t>评标办法前附表</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_Toc143424749 \h </w:instrText>
      </w:r>
      <w:r>
        <w:rPr>
          <w:i w:val="0"/>
          <w:iCs w:val="0"/>
          <w:color w:val="auto"/>
          <w:highlight w:val="none"/>
        </w:rPr>
        <w:fldChar w:fldCharType="separate"/>
      </w:r>
      <w:r>
        <w:rPr>
          <w:i w:val="0"/>
          <w:iCs w:val="0"/>
          <w:color w:val="auto"/>
          <w:highlight w:val="none"/>
        </w:rPr>
        <w:t>35</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"_Toc143424750" </w:instrText>
      </w:r>
      <w:r>
        <w:rPr>
          <w:color w:val="auto"/>
          <w:highlight w:val="none"/>
        </w:rPr>
        <w:fldChar w:fldCharType="separate"/>
      </w:r>
      <w:r>
        <w:rPr>
          <w:rStyle w:val="29"/>
          <w:rFonts w:ascii="宋体" w:hAnsi="宋体" w:eastAsia="宋体"/>
          <w:i w:val="0"/>
          <w:iCs w:val="0"/>
          <w:color w:val="auto"/>
          <w:highlight w:val="none"/>
          <w:lang w:eastAsia="zh-CN"/>
        </w:rPr>
        <w:t>1. 评标方法</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_Toc143424750 \h </w:instrText>
      </w:r>
      <w:r>
        <w:rPr>
          <w:i w:val="0"/>
          <w:iCs w:val="0"/>
          <w:color w:val="auto"/>
          <w:highlight w:val="none"/>
        </w:rPr>
        <w:fldChar w:fldCharType="separate"/>
      </w:r>
      <w:r>
        <w:rPr>
          <w:i w:val="0"/>
          <w:iCs w:val="0"/>
          <w:color w:val="auto"/>
          <w:highlight w:val="none"/>
        </w:rPr>
        <w:t>42</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"_Toc143424751" </w:instrText>
      </w:r>
      <w:r>
        <w:rPr>
          <w:color w:val="auto"/>
          <w:highlight w:val="none"/>
        </w:rPr>
        <w:fldChar w:fldCharType="separate"/>
      </w:r>
      <w:r>
        <w:rPr>
          <w:rStyle w:val="29"/>
          <w:rFonts w:ascii="宋体" w:hAnsi="宋体" w:eastAsia="宋体"/>
          <w:i w:val="0"/>
          <w:iCs w:val="0"/>
          <w:color w:val="auto"/>
          <w:highlight w:val="none"/>
          <w:lang w:eastAsia="zh-CN"/>
        </w:rPr>
        <w:t>2. 评审标准</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_Toc143424751 \h </w:instrText>
      </w:r>
      <w:r>
        <w:rPr>
          <w:i w:val="0"/>
          <w:iCs w:val="0"/>
          <w:color w:val="auto"/>
          <w:highlight w:val="none"/>
        </w:rPr>
        <w:fldChar w:fldCharType="separate"/>
      </w:r>
      <w:r>
        <w:rPr>
          <w:i w:val="0"/>
          <w:iCs w:val="0"/>
          <w:color w:val="auto"/>
          <w:highlight w:val="none"/>
        </w:rPr>
        <w:t>45</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"_Toc143424752" </w:instrText>
      </w:r>
      <w:r>
        <w:rPr>
          <w:color w:val="auto"/>
          <w:highlight w:val="none"/>
        </w:rPr>
        <w:fldChar w:fldCharType="separate"/>
      </w:r>
      <w:r>
        <w:rPr>
          <w:rStyle w:val="29"/>
          <w:rFonts w:ascii="宋体" w:hAnsi="宋体" w:eastAsia="宋体"/>
          <w:i w:val="0"/>
          <w:iCs w:val="0"/>
          <w:color w:val="auto"/>
          <w:highlight w:val="none"/>
          <w:lang w:eastAsia="zh-CN"/>
        </w:rPr>
        <w:t>3. 评标、定标程序</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_Toc143424752 \h </w:instrText>
      </w:r>
      <w:r>
        <w:rPr>
          <w:i w:val="0"/>
          <w:iCs w:val="0"/>
          <w:color w:val="auto"/>
          <w:highlight w:val="none"/>
        </w:rPr>
        <w:fldChar w:fldCharType="separate"/>
      </w:r>
      <w:r>
        <w:rPr>
          <w:i w:val="0"/>
          <w:iCs w:val="0"/>
          <w:color w:val="auto"/>
          <w:highlight w:val="none"/>
        </w:rPr>
        <w:t>46</w:t>
      </w:r>
      <w:r>
        <w:rPr>
          <w:i w:val="0"/>
          <w:iCs w:val="0"/>
          <w:color w:val="auto"/>
          <w:highlight w:val="none"/>
        </w:rPr>
        <w:fldChar w:fldCharType="end"/>
      </w:r>
      <w:r>
        <w:rPr>
          <w:i w:val="0"/>
          <w:iCs w:val="0"/>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"_Toc143424753" </w:instrText>
      </w:r>
      <w:r>
        <w:rPr>
          <w:color w:val="auto"/>
          <w:highlight w:val="none"/>
        </w:rPr>
        <w:fldChar w:fldCharType="separate"/>
      </w:r>
      <w:r>
        <w:rPr>
          <w:rStyle w:val="29"/>
          <w:rFonts w:ascii="宋体" w:hAnsi="宋体" w:eastAsia="宋体"/>
          <w:color w:val="auto"/>
          <w:highlight w:val="none"/>
          <w:lang w:eastAsia="zh-CN"/>
        </w:rPr>
        <w:t>第四章  合同条款及格式</w:t>
      </w:r>
      <w:r>
        <w:rPr>
          <w:color w:val="auto"/>
          <w:highlight w:val="none"/>
        </w:rPr>
        <w:tab/>
      </w:r>
      <w:r>
        <w:rPr>
          <w:color w:val="auto"/>
          <w:highlight w:val="none"/>
        </w:rPr>
        <w:fldChar w:fldCharType="begin"/>
      </w:r>
      <w:r>
        <w:rPr>
          <w:color w:val="auto"/>
          <w:highlight w:val="none"/>
        </w:rPr>
        <w:instrText xml:space="preserve"> PAGEREF _Toc143424753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"_Toc143424754" </w:instrText>
      </w:r>
      <w:r>
        <w:rPr>
          <w:color w:val="auto"/>
          <w:highlight w:val="none"/>
        </w:rPr>
        <w:fldChar w:fldCharType="separate"/>
      </w:r>
      <w:r>
        <w:rPr>
          <w:rStyle w:val="29"/>
          <w:rFonts w:ascii="宋体" w:hAnsi="宋体" w:eastAsia="宋体"/>
          <w:color w:val="auto"/>
          <w:highlight w:val="none"/>
          <w:lang w:eastAsia="zh-CN"/>
        </w:rPr>
        <w:t>第二卷</w:t>
      </w:r>
      <w:r>
        <w:rPr>
          <w:color w:val="auto"/>
          <w:highlight w:val="none"/>
        </w:rPr>
        <w:tab/>
      </w:r>
      <w:r>
        <w:rPr>
          <w:color w:val="auto"/>
          <w:highlight w:val="none"/>
        </w:rPr>
        <w:fldChar w:fldCharType="begin"/>
      </w:r>
      <w:r>
        <w:rPr>
          <w:color w:val="auto"/>
          <w:highlight w:val="none"/>
        </w:rPr>
        <w:instrText xml:space="preserve"> PAGEREF _Toc143424754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"_Toc143424755" </w:instrText>
      </w:r>
      <w:r>
        <w:rPr>
          <w:color w:val="auto"/>
          <w:highlight w:val="none"/>
        </w:rPr>
        <w:fldChar w:fldCharType="separate"/>
      </w:r>
      <w:r>
        <w:rPr>
          <w:rStyle w:val="29"/>
          <w:rFonts w:ascii="宋体" w:hAnsi="宋体" w:eastAsia="宋体"/>
          <w:color w:val="auto"/>
          <w:highlight w:val="none"/>
          <w:lang w:eastAsia="zh-CN"/>
        </w:rPr>
        <w:t>第五章 发包人要求</w:t>
      </w:r>
      <w:r>
        <w:rPr>
          <w:color w:val="auto"/>
          <w:highlight w:val="none"/>
        </w:rPr>
        <w:tab/>
      </w:r>
      <w:r>
        <w:rPr>
          <w:color w:val="auto"/>
          <w:highlight w:val="none"/>
        </w:rPr>
        <w:fldChar w:fldCharType="begin"/>
      </w:r>
      <w:r>
        <w:rPr>
          <w:color w:val="auto"/>
          <w:highlight w:val="none"/>
        </w:rPr>
        <w:instrText xml:space="preserve"> PAGEREF _Toc143424755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"_Toc143424756" </w:instrText>
      </w:r>
      <w:r>
        <w:rPr>
          <w:color w:val="auto"/>
          <w:highlight w:val="none"/>
        </w:rPr>
        <w:fldChar w:fldCharType="separate"/>
      </w:r>
      <w:r>
        <w:rPr>
          <w:rStyle w:val="29"/>
          <w:rFonts w:ascii="宋体" w:hAnsi="宋体" w:eastAsia="宋体"/>
          <w:color w:val="auto"/>
          <w:highlight w:val="none"/>
          <w:lang w:eastAsia="zh-CN"/>
        </w:rPr>
        <w:t>第三卷</w:t>
      </w:r>
      <w:r>
        <w:rPr>
          <w:color w:val="auto"/>
          <w:highlight w:val="none"/>
        </w:rPr>
        <w:tab/>
      </w:r>
      <w:r>
        <w:rPr>
          <w:color w:val="auto"/>
          <w:highlight w:val="none"/>
        </w:rPr>
        <w:fldChar w:fldCharType="begin"/>
      </w:r>
      <w:r>
        <w:rPr>
          <w:color w:val="auto"/>
          <w:highlight w:val="none"/>
        </w:rPr>
        <w:instrText xml:space="preserve"> PAGEREF _Toc143424756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"_Toc143424757" </w:instrText>
      </w:r>
      <w:r>
        <w:rPr>
          <w:color w:val="auto"/>
          <w:highlight w:val="none"/>
        </w:rPr>
        <w:fldChar w:fldCharType="separate"/>
      </w:r>
      <w:r>
        <w:rPr>
          <w:rStyle w:val="29"/>
          <w:rFonts w:ascii="宋体" w:hAnsi="宋体" w:eastAsia="宋体"/>
          <w:color w:val="auto"/>
          <w:highlight w:val="none"/>
          <w:lang w:eastAsia="zh-CN"/>
        </w:rPr>
        <w:t>第六章  投标文件格式</w:t>
      </w:r>
      <w:r>
        <w:rPr>
          <w:color w:val="auto"/>
          <w:highlight w:val="none"/>
        </w:rPr>
        <w:tab/>
      </w:r>
      <w:r>
        <w:rPr>
          <w:color w:val="auto"/>
          <w:highlight w:val="none"/>
        </w:rPr>
        <w:fldChar w:fldCharType="begin"/>
      </w:r>
      <w:r>
        <w:rPr>
          <w:color w:val="auto"/>
          <w:highlight w:val="none"/>
        </w:rPr>
        <w:instrText xml:space="preserve"> PAGEREF _Toc143424757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"_Toc143424763" </w:instrText>
      </w:r>
      <w:r>
        <w:rPr>
          <w:color w:val="auto"/>
          <w:highlight w:val="none"/>
        </w:rPr>
        <w:fldChar w:fldCharType="separate"/>
      </w:r>
      <w:r>
        <w:rPr>
          <w:rStyle w:val="29"/>
          <w:rFonts w:ascii="宋体" w:hAnsi="宋体" w:eastAsia="宋体"/>
          <w:i w:val="0"/>
          <w:iCs w:val="0"/>
          <w:color w:val="auto"/>
          <w:highlight w:val="none"/>
          <w:lang w:eastAsia="zh-CN"/>
        </w:rPr>
        <w:t xml:space="preserve">格式一  </w:t>
      </w:r>
      <w:r>
        <w:rPr>
          <w:rStyle w:val="29"/>
          <w:rFonts w:ascii="宋体" w:hAnsi="宋体" w:eastAsia="宋体" w:cs="宋体"/>
          <w:i w:val="0"/>
          <w:iCs w:val="0"/>
          <w:color w:val="auto"/>
          <w:highlight w:val="none"/>
          <w:lang w:eastAsia="zh-CN"/>
        </w:rPr>
        <w:t>投标书</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_Toc143424763 \h </w:instrText>
      </w:r>
      <w:r>
        <w:rPr>
          <w:i w:val="0"/>
          <w:iCs w:val="0"/>
          <w:color w:val="auto"/>
          <w:highlight w:val="none"/>
        </w:rPr>
        <w:fldChar w:fldCharType="separate"/>
      </w:r>
      <w:r>
        <w:rPr>
          <w:i w:val="0"/>
          <w:iCs w:val="0"/>
          <w:color w:val="auto"/>
          <w:highlight w:val="none"/>
        </w:rPr>
        <w:t>64</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"_Toc143424764" </w:instrText>
      </w:r>
      <w:r>
        <w:rPr>
          <w:color w:val="auto"/>
          <w:highlight w:val="none"/>
        </w:rPr>
        <w:fldChar w:fldCharType="separate"/>
      </w:r>
      <w:r>
        <w:rPr>
          <w:rStyle w:val="29"/>
          <w:rFonts w:ascii="宋体" w:hAnsi="宋体" w:eastAsia="宋体"/>
          <w:i w:val="0"/>
          <w:iCs w:val="0"/>
          <w:color w:val="auto"/>
          <w:highlight w:val="none"/>
          <w:lang w:eastAsia="zh-CN"/>
        </w:rPr>
        <w:t>格式二  法定代表人身份证明、授权委托书</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_Toc143424764 \h </w:instrText>
      </w:r>
      <w:r>
        <w:rPr>
          <w:i w:val="0"/>
          <w:iCs w:val="0"/>
          <w:color w:val="auto"/>
          <w:highlight w:val="none"/>
        </w:rPr>
        <w:fldChar w:fldCharType="separate"/>
      </w:r>
      <w:r>
        <w:rPr>
          <w:i w:val="0"/>
          <w:iCs w:val="0"/>
          <w:color w:val="auto"/>
          <w:highlight w:val="none"/>
        </w:rPr>
        <w:t>67</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"_Toc143424765" </w:instrText>
      </w:r>
      <w:r>
        <w:rPr>
          <w:color w:val="auto"/>
          <w:highlight w:val="none"/>
        </w:rPr>
        <w:fldChar w:fldCharType="separate"/>
      </w:r>
      <w:r>
        <w:rPr>
          <w:rStyle w:val="29"/>
          <w:rFonts w:ascii="宋体" w:hAnsi="宋体" w:eastAsia="宋体"/>
          <w:i w:val="0"/>
          <w:iCs w:val="0"/>
          <w:color w:val="auto"/>
          <w:spacing w:val="2"/>
          <w:position w:val="-1"/>
          <w:highlight w:val="none"/>
          <w:lang w:eastAsia="zh-CN"/>
        </w:rPr>
        <w:t>格式三：合作设计协议书参考格式（格式仅供参考，适用于合作设计，否则可不提供）</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_Toc143424765 \h </w:instrText>
      </w:r>
      <w:r>
        <w:rPr>
          <w:i w:val="0"/>
          <w:iCs w:val="0"/>
          <w:color w:val="auto"/>
          <w:highlight w:val="none"/>
        </w:rPr>
        <w:fldChar w:fldCharType="separate"/>
      </w:r>
      <w:r>
        <w:rPr>
          <w:i w:val="0"/>
          <w:iCs w:val="0"/>
          <w:color w:val="auto"/>
          <w:highlight w:val="none"/>
        </w:rPr>
        <w:t>69</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"_Toc143424766" </w:instrText>
      </w:r>
      <w:r>
        <w:rPr>
          <w:color w:val="auto"/>
          <w:highlight w:val="none"/>
        </w:rPr>
        <w:fldChar w:fldCharType="separate"/>
      </w:r>
      <w:r>
        <w:rPr>
          <w:rStyle w:val="29"/>
          <w:rFonts w:ascii="宋体" w:hAnsi="宋体" w:eastAsia="宋体"/>
          <w:i w:val="0"/>
          <w:iCs w:val="0"/>
          <w:color w:val="auto"/>
          <w:spacing w:val="2"/>
          <w:position w:val="-1"/>
          <w:highlight w:val="none"/>
          <w:lang w:eastAsia="zh-CN"/>
        </w:rPr>
        <w:t xml:space="preserve">格式四  </w:t>
      </w:r>
      <w:r>
        <w:rPr>
          <w:rStyle w:val="29"/>
          <w:rFonts w:ascii="宋体" w:hAnsi="宋体" w:eastAsia="宋体"/>
          <w:i w:val="0"/>
          <w:iCs w:val="0"/>
          <w:color w:val="auto"/>
          <w:highlight w:val="none"/>
          <w:lang w:eastAsia="zh-CN"/>
        </w:rPr>
        <w:t>投标人声明</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_Toc143424766 \h </w:instrText>
      </w:r>
      <w:r>
        <w:rPr>
          <w:i w:val="0"/>
          <w:iCs w:val="0"/>
          <w:color w:val="auto"/>
          <w:highlight w:val="none"/>
        </w:rPr>
        <w:fldChar w:fldCharType="separate"/>
      </w:r>
      <w:r>
        <w:rPr>
          <w:i w:val="0"/>
          <w:iCs w:val="0"/>
          <w:color w:val="auto"/>
          <w:highlight w:val="none"/>
        </w:rPr>
        <w:t>70</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"_Toc143424767" </w:instrText>
      </w:r>
      <w:r>
        <w:rPr>
          <w:color w:val="auto"/>
          <w:highlight w:val="none"/>
        </w:rPr>
        <w:fldChar w:fldCharType="separate"/>
      </w:r>
      <w:r>
        <w:rPr>
          <w:rStyle w:val="29"/>
          <w:rFonts w:ascii="宋体" w:hAnsi="宋体" w:eastAsia="宋体"/>
          <w:i w:val="0"/>
          <w:iCs w:val="0"/>
          <w:color w:val="auto"/>
          <w:highlight w:val="none"/>
          <w:lang w:eastAsia="zh-CN"/>
        </w:rPr>
        <w:t>格式五  设计费报价汇总表</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_Toc143424767 \h </w:instrText>
      </w:r>
      <w:r>
        <w:rPr>
          <w:i w:val="0"/>
          <w:iCs w:val="0"/>
          <w:color w:val="auto"/>
          <w:highlight w:val="none"/>
        </w:rPr>
        <w:fldChar w:fldCharType="separate"/>
      </w:r>
      <w:r>
        <w:rPr>
          <w:i w:val="0"/>
          <w:iCs w:val="0"/>
          <w:color w:val="auto"/>
          <w:highlight w:val="none"/>
        </w:rPr>
        <w:t>72</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"_Toc143424768" </w:instrText>
      </w:r>
      <w:r>
        <w:rPr>
          <w:color w:val="auto"/>
          <w:highlight w:val="none"/>
        </w:rPr>
        <w:fldChar w:fldCharType="separate"/>
      </w:r>
      <w:r>
        <w:rPr>
          <w:rStyle w:val="29"/>
          <w:rFonts w:ascii="宋体" w:hAnsi="宋体" w:eastAsia="宋体"/>
          <w:i w:val="0"/>
          <w:iCs w:val="0"/>
          <w:color w:val="auto"/>
          <w:highlight w:val="none"/>
          <w:lang w:eastAsia="zh-CN"/>
        </w:rPr>
        <w:t>格式六  本项目拟投入的人员基本情况表</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_Toc143424768 \h </w:instrText>
      </w:r>
      <w:r>
        <w:rPr>
          <w:i w:val="0"/>
          <w:iCs w:val="0"/>
          <w:color w:val="auto"/>
          <w:highlight w:val="none"/>
        </w:rPr>
        <w:fldChar w:fldCharType="separate"/>
      </w:r>
      <w:r>
        <w:rPr>
          <w:i w:val="0"/>
          <w:iCs w:val="0"/>
          <w:color w:val="auto"/>
          <w:highlight w:val="none"/>
        </w:rPr>
        <w:t>74</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"_Toc143424769" </w:instrText>
      </w:r>
      <w:r>
        <w:rPr>
          <w:color w:val="auto"/>
          <w:highlight w:val="none"/>
        </w:rPr>
        <w:fldChar w:fldCharType="separate"/>
      </w:r>
      <w:r>
        <w:rPr>
          <w:rStyle w:val="29"/>
          <w:rFonts w:ascii="宋体" w:hAnsi="宋体" w:eastAsia="宋体"/>
          <w:i w:val="0"/>
          <w:iCs w:val="0"/>
          <w:color w:val="auto"/>
          <w:highlight w:val="none"/>
          <w:lang w:eastAsia="zh-CN"/>
        </w:rPr>
        <w:t>格式七  企业类似业绩情况</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_Toc143424769 \h </w:instrText>
      </w:r>
      <w:r>
        <w:rPr>
          <w:i w:val="0"/>
          <w:iCs w:val="0"/>
          <w:color w:val="auto"/>
          <w:highlight w:val="none"/>
        </w:rPr>
        <w:fldChar w:fldCharType="separate"/>
      </w:r>
      <w:r>
        <w:rPr>
          <w:i w:val="0"/>
          <w:iCs w:val="0"/>
          <w:color w:val="auto"/>
          <w:highlight w:val="none"/>
        </w:rPr>
        <w:t>77</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"_Toc143424770" </w:instrText>
      </w:r>
      <w:r>
        <w:rPr>
          <w:color w:val="auto"/>
          <w:highlight w:val="none"/>
        </w:rPr>
        <w:fldChar w:fldCharType="separate"/>
      </w:r>
      <w:r>
        <w:rPr>
          <w:rStyle w:val="29"/>
          <w:rFonts w:ascii="宋体" w:hAnsi="宋体" w:eastAsia="宋体"/>
          <w:i w:val="0"/>
          <w:iCs w:val="0"/>
          <w:color w:val="auto"/>
          <w:highlight w:val="none"/>
          <w:lang w:eastAsia="zh-CN"/>
        </w:rPr>
        <w:t>格式八  企业获奖情况</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_Toc143424770 \h </w:instrText>
      </w:r>
      <w:r>
        <w:rPr>
          <w:i w:val="0"/>
          <w:iCs w:val="0"/>
          <w:color w:val="auto"/>
          <w:highlight w:val="none"/>
        </w:rPr>
        <w:fldChar w:fldCharType="separate"/>
      </w:r>
      <w:r>
        <w:rPr>
          <w:i w:val="0"/>
          <w:iCs w:val="0"/>
          <w:color w:val="auto"/>
          <w:highlight w:val="none"/>
        </w:rPr>
        <w:t>78</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"_Toc143424771" </w:instrText>
      </w:r>
      <w:r>
        <w:rPr>
          <w:color w:val="auto"/>
          <w:highlight w:val="none"/>
        </w:rPr>
        <w:fldChar w:fldCharType="separate"/>
      </w:r>
      <w:r>
        <w:rPr>
          <w:rStyle w:val="29"/>
          <w:rFonts w:ascii="宋体" w:hAnsi="宋体" w:eastAsia="宋体"/>
          <w:i w:val="0"/>
          <w:iCs w:val="0"/>
          <w:color w:val="auto"/>
          <w:highlight w:val="none"/>
          <w:lang w:eastAsia="zh-CN"/>
        </w:rPr>
        <w:t>格式九  其他资料</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_Toc143424771 \h </w:instrText>
      </w:r>
      <w:r>
        <w:rPr>
          <w:i w:val="0"/>
          <w:iCs w:val="0"/>
          <w:color w:val="auto"/>
          <w:highlight w:val="none"/>
        </w:rPr>
        <w:fldChar w:fldCharType="separate"/>
      </w:r>
      <w:r>
        <w:rPr>
          <w:i w:val="0"/>
          <w:iCs w:val="0"/>
          <w:color w:val="auto"/>
          <w:highlight w:val="none"/>
        </w:rPr>
        <w:t>79</w:t>
      </w:r>
      <w:r>
        <w:rPr>
          <w:i w:val="0"/>
          <w:iCs w:val="0"/>
          <w:color w:val="auto"/>
          <w:highlight w:val="none"/>
        </w:rPr>
        <w:fldChar w:fldCharType="end"/>
      </w:r>
      <w:r>
        <w:rPr>
          <w:i w:val="0"/>
          <w:iCs w:val="0"/>
          <w:color w:val="auto"/>
          <w:highlight w:val="none"/>
        </w:rPr>
        <w:fldChar w:fldCharType="end"/>
      </w:r>
    </w:p>
    <w:p>
      <w:pPr>
        <w:pStyle w:val="18"/>
        <w:tabs>
          <w:tab w:val="right" w:leader="dot" w:pos="9017"/>
        </w:tabs>
        <w:rPr>
          <w:rFonts w:hAnsiTheme="minorHAnsi" w:eastAsiaTheme="minorEastAsia" w:cstheme="minorBidi"/>
          <w:b w:val="0"/>
          <w:bCs w:val="0"/>
          <w:cap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"_Toc143424772" </w:instrText>
      </w:r>
      <w:r>
        <w:rPr>
          <w:color w:val="auto"/>
          <w:highlight w:val="none"/>
        </w:rPr>
        <w:fldChar w:fldCharType="separate"/>
      </w:r>
      <w:r>
        <w:rPr>
          <w:rStyle w:val="29"/>
          <w:rFonts w:ascii="宋体" w:hAnsi="宋体" w:eastAsia="宋体"/>
          <w:color w:val="auto"/>
          <w:highlight w:val="none"/>
          <w:lang w:eastAsia="zh-CN"/>
        </w:rPr>
        <w:t>第七章  定标文件格式</w:t>
      </w:r>
      <w:r>
        <w:rPr>
          <w:color w:val="auto"/>
          <w:highlight w:val="none"/>
        </w:rPr>
        <w:tab/>
      </w:r>
      <w:r>
        <w:rPr>
          <w:color w:val="auto"/>
          <w:highlight w:val="none"/>
        </w:rPr>
        <w:fldChar w:fldCharType="begin"/>
      </w:r>
      <w:r>
        <w:rPr>
          <w:color w:val="auto"/>
          <w:highlight w:val="none"/>
        </w:rPr>
        <w:instrText xml:space="preserve"> PAGEREF _Toc143424772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"_Toc143424776" </w:instrText>
      </w:r>
      <w:r>
        <w:rPr>
          <w:color w:val="auto"/>
          <w:highlight w:val="none"/>
        </w:rPr>
        <w:fldChar w:fldCharType="separate"/>
      </w:r>
      <w:r>
        <w:rPr>
          <w:rStyle w:val="29"/>
          <w:rFonts w:ascii="宋体" w:hAnsi="宋体" w:eastAsia="宋体"/>
          <w:i w:val="0"/>
          <w:iCs w:val="0"/>
          <w:color w:val="auto"/>
          <w:highlight w:val="none"/>
          <w:lang w:eastAsia="zh-CN"/>
        </w:rPr>
        <w:t>格式一 技术文件（含设计方案部分）</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_Toc143424776 \h </w:instrText>
      </w:r>
      <w:r>
        <w:rPr>
          <w:i w:val="0"/>
          <w:iCs w:val="0"/>
          <w:color w:val="auto"/>
          <w:highlight w:val="none"/>
        </w:rPr>
        <w:fldChar w:fldCharType="separate"/>
      </w:r>
      <w:r>
        <w:rPr>
          <w:i w:val="0"/>
          <w:iCs w:val="0"/>
          <w:color w:val="auto"/>
          <w:highlight w:val="none"/>
        </w:rPr>
        <w:t>84</w:t>
      </w:r>
      <w:r>
        <w:rPr>
          <w:i w:val="0"/>
          <w:iCs w:val="0"/>
          <w:color w:val="auto"/>
          <w:highlight w:val="none"/>
        </w:rPr>
        <w:fldChar w:fldCharType="end"/>
      </w:r>
      <w:r>
        <w:rPr>
          <w:i w:val="0"/>
          <w:iCs w:val="0"/>
          <w:color w:val="auto"/>
          <w:highlight w:val="none"/>
        </w:rPr>
        <w:fldChar w:fldCharType="end"/>
      </w:r>
    </w:p>
    <w:p>
      <w:pPr>
        <w:pStyle w:val="12"/>
        <w:tabs>
          <w:tab w:val="right" w:leader="dot" w:pos="9017"/>
        </w:tabs>
        <w:rPr>
          <w:rFonts w:hAnsiTheme="minorHAnsi" w:eastAsiaTheme="minorEastAsia" w:cstheme="minorBidi"/>
          <w:i w:val="0"/>
          <w:iCs w:val="0"/>
          <w:color w:val="auto"/>
          <w:kern w:val="2"/>
          <w:sz w:val="21"/>
          <w:szCs w:val="24"/>
          <w:highlight w:val="none"/>
          <w:lang w:eastAsia="zh-CN"/>
        </w:rPr>
      </w:pPr>
      <w:r>
        <w:rPr>
          <w:color w:val="auto"/>
          <w:highlight w:val="none"/>
        </w:rPr>
        <w:fldChar w:fldCharType="begin"/>
      </w:r>
      <w:r>
        <w:rPr>
          <w:color w:val="auto"/>
          <w:highlight w:val="none"/>
        </w:rPr>
        <w:instrText xml:space="preserve"> HYPERLINK \l "_Toc143424777" </w:instrText>
      </w:r>
      <w:r>
        <w:rPr>
          <w:color w:val="auto"/>
          <w:highlight w:val="none"/>
        </w:rPr>
        <w:fldChar w:fldCharType="separate"/>
      </w:r>
      <w:r>
        <w:rPr>
          <w:rStyle w:val="29"/>
          <w:rFonts w:ascii="宋体" w:hAnsi="宋体" w:eastAsia="宋体"/>
          <w:i w:val="0"/>
          <w:iCs w:val="0"/>
          <w:color w:val="auto"/>
          <w:highlight w:val="none"/>
          <w:lang w:eastAsia="zh-CN"/>
        </w:rPr>
        <w:t>格式二 投标人认为还需要提供的其他资料</w:t>
      </w:r>
      <w:r>
        <w:rPr>
          <w:i w:val="0"/>
          <w:iCs w:val="0"/>
          <w:color w:val="auto"/>
          <w:highlight w:val="none"/>
        </w:rPr>
        <w:tab/>
      </w:r>
      <w:r>
        <w:rPr>
          <w:i w:val="0"/>
          <w:iCs w:val="0"/>
          <w:color w:val="auto"/>
          <w:highlight w:val="none"/>
        </w:rPr>
        <w:fldChar w:fldCharType="begin"/>
      </w:r>
      <w:r>
        <w:rPr>
          <w:i w:val="0"/>
          <w:iCs w:val="0"/>
          <w:color w:val="auto"/>
          <w:highlight w:val="none"/>
        </w:rPr>
        <w:instrText xml:space="preserve"> PAGEREF _Toc143424777 \h </w:instrText>
      </w:r>
      <w:r>
        <w:rPr>
          <w:i w:val="0"/>
          <w:iCs w:val="0"/>
          <w:color w:val="auto"/>
          <w:highlight w:val="none"/>
        </w:rPr>
        <w:fldChar w:fldCharType="separate"/>
      </w:r>
      <w:r>
        <w:rPr>
          <w:i w:val="0"/>
          <w:iCs w:val="0"/>
          <w:color w:val="auto"/>
          <w:highlight w:val="none"/>
        </w:rPr>
        <w:t>85</w:t>
      </w:r>
      <w:r>
        <w:rPr>
          <w:i w:val="0"/>
          <w:iCs w:val="0"/>
          <w:color w:val="auto"/>
          <w:highlight w:val="none"/>
        </w:rPr>
        <w:fldChar w:fldCharType="end"/>
      </w:r>
      <w:r>
        <w:rPr>
          <w:i w:val="0"/>
          <w:iCs w:val="0"/>
          <w:color w:val="auto"/>
          <w:highlight w:val="none"/>
        </w:rPr>
        <w:fldChar w:fldCharType="end"/>
      </w:r>
    </w:p>
    <w:p>
      <w:pPr>
        <w:tabs>
          <w:tab w:val="left" w:pos="561"/>
          <w:tab w:val="center" w:pos="4513"/>
          <w:tab w:val="left" w:pos="5723"/>
        </w:tabs>
        <w:spacing w:line="276" w:lineRule="auto"/>
        <w:rPr>
          <w:rFonts w:ascii="宋体" w:hAnsi="宋体" w:eastAsia="宋体" w:cs="宋体"/>
          <w:color w:val="auto"/>
          <w:sz w:val="24"/>
          <w:szCs w:val="24"/>
          <w:highlight w:val="none"/>
          <w:lang w:eastAsia="zh-CN"/>
        </w:rPr>
      </w:pPr>
      <w:r>
        <w:rPr>
          <w:rFonts w:ascii="宋体" w:hAnsi="宋体" w:eastAsia="宋体" w:cs="宋体"/>
          <w:color w:val="auto"/>
          <w:sz w:val="24"/>
          <w:szCs w:val="24"/>
          <w:highlight w:val="none"/>
          <w:lang w:eastAsia="zh-CN"/>
        </w:rPr>
        <w:fldChar w:fldCharType="end"/>
      </w:r>
    </w:p>
    <w:p>
      <w:pPr>
        <w:rPr>
          <w:rFonts w:ascii="宋体" w:hAnsi="宋体" w:eastAsia="宋体" w:cs="宋体"/>
          <w:color w:val="auto"/>
          <w:sz w:val="20"/>
          <w:szCs w:val="20"/>
          <w:highlight w:val="none"/>
          <w:lang w:eastAsia="zh-CN"/>
        </w:rPr>
      </w:pPr>
      <w:bookmarkStart w:id="0" w:name="_Toc25137978"/>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color w:val="auto"/>
          <w:highlight w:val="none"/>
        </w:rPr>
      </w:pPr>
    </w:p>
    <w:p>
      <w:pPr>
        <w:pStyle w:val="51"/>
        <w:rPr>
          <w:color w:val="auto"/>
          <w:highlight w:val="none"/>
        </w:rPr>
      </w:pPr>
    </w:p>
    <w:p>
      <w:pPr>
        <w:widowControl/>
        <w:rPr>
          <w:rFonts w:ascii="黑体" w:eastAsia="黑体" w:cs="黑体"/>
          <w:color w:val="auto"/>
          <w:sz w:val="24"/>
          <w:szCs w:val="24"/>
          <w:highlight w:val="none"/>
          <w:lang w:eastAsia="zh-CN"/>
        </w:rPr>
      </w:pPr>
    </w:p>
    <w:p>
      <w:pPr>
        <w:pStyle w:val="51"/>
        <w:rPr>
          <w:color w:val="auto"/>
          <w:highlight w:val="none"/>
        </w:rPr>
      </w:pPr>
    </w:p>
    <w:p>
      <w:pPr>
        <w:pStyle w:val="2"/>
        <w:spacing w:line="738" w:lineRule="exact"/>
        <w:ind w:right="3"/>
        <w:jc w:val="center"/>
        <w:rPr>
          <w:rFonts w:ascii="宋体" w:hAnsi="宋体" w:eastAsia="宋体"/>
          <w:color w:val="auto"/>
          <w:highlight w:val="none"/>
          <w:lang w:eastAsia="zh-CN"/>
        </w:rPr>
      </w:pPr>
      <w:bookmarkStart w:id="1" w:name="_Toc143424734"/>
      <w:bookmarkStart w:id="2" w:name="_Toc142858871"/>
      <w:r>
        <w:rPr>
          <w:rFonts w:ascii="宋体" w:hAnsi="宋体" w:eastAsia="宋体"/>
          <w:color w:val="auto"/>
          <w:highlight w:val="none"/>
          <w:lang w:eastAsia="zh-CN"/>
        </w:rPr>
        <w:t>第一卷</w:t>
      </w:r>
      <w:bookmarkEnd w:id="0"/>
      <w:bookmarkEnd w:id="1"/>
      <w:bookmarkEnd w:id="2"/>
    </w:p>
    <w:p>
      <w:pPr>
        <w:tabs>
          <w:tab w:val="left" w:pos="561"/>
        </w:tabs>
        <w:spacing w:line="360" w:lineRule="auto"/>
        <w:jc w:val="center"/>
        <w:rPr>
          <w:rFonts w:ascii="宋体" w:hAnsi="宋体" w:eastAsia="宋体"/>
          <w:color w:val="auto"/>
          <w:highlight w:val="none"/>
          <w:lang w:eastAsia="zh-CN"/>
        </w:rPr>
      </w:pPr>
      <w:r>
        <w:rPr>
          <w:rFonts w:ascii="宋体" w:hAnsi="宋体" w:eastAsia="宋体"/>
          <w:color w:val="auto"/>
          <w:highlight w:val="none"/>
          <w:lang w:eastAsia="zh-CN"/>
        </w:rPr>
        <w:br w:type="page"/>
      </w:r>
    </w:p>
    <w:p>
      <w:pPr>
        <w:pStyle w:val="2"/>
        <w:jc w:val="center"/>
        <w:rPr>
          <w:rFonts w:ascii="宋体" w:hAnsi="宋体" w:eastAsia="宋体"/>
          <w:color w:val="auto"/>
          <w:highlight w:val="none"/>
          <w:lang w:eastAsia="zh-CN"/>
        </w:rPr>
      </w:pPr>
      <w:bookmarkStart w:id="3" w:name="_Toc142858872"/>
      <w:bookmarkStart w:id="4" w:name="_Toc25137979"/>
      <w:bookmarkStart w:id="5" w:name="_Toc143424735"/>
      <w:r>
        <w:rPr>
          <w:rFonts w:ascii="宋体" w:hAnsi="宋体" w:eastAsia="宋体"/>
          <w:color w:val="auto"/>
          <w:highlight w:val="none"/>
          <w:lang w:eastAsia="zh-CN"/>
        </w:rPr>
        <w:t>第一章</w:t>
      </w:r>
      <w:r>
        <w:rPr>
          <w:rFonts w:hint="eastAsia" w:ascii="宋体" w:hAnsi="宋体" w:eastAsia="宋体"/>
          <w:color w:val="auto"/>
          <w:highlight w:val="none"/>
          <w:lang w:val="en-US" w:eastAsia="zh-CN"/>
        </w:rPr>
        <w:t xml:space="preserve"> </w:t>
      </w:r>
      <w:r>
        <w:rPr>
          <w:rFonts w:ascii="宋体" w:hAnsi="宋体" w:eastAsia="宋体"/>
          <w:color w:val="auto"/>
          <w:highlight w:val="none"/>
          <w:lang w:eastAsia="zh-CN"/>
        </w:rPr>
        <w:t>招标公告</w:t>
      </w:r>
      <w:bookmarkEnd w:id="3"/>
      <w:bookmarkEnd w:id="4"/>
      <w:bookmarkEnd w:id="5"/>
    </w:p>
    <w:p>
      <w:pPr>
        <w:widowControl/>
        <w:spacing w:line="360" w:lineRule="auto"/>
        <w:jc w:val="center"/>
        <w:rPr>
          <w:rFonts w:ascii="宋体" w:hAnsi="宋体" w:eastAsia="宋体"/>
          <w:color w:val="auto"/>
          <w:sz w:val="24"/>
          <w:szCs w:val="24"/>
          <w:highlight w:val="none"/>
          <w:lang w:eastAsia="zh-CN"/>
        </w:rPr>
      </w:pPr>
    </w:p>
    <w:p>
      <w:pPr>
        <w:pStyle w:val="51"/>
        <w:jc w:val="center"/>
        <w:rPr>
          <w:color w:val="auto"/>
          <w:highlight w:val="none"/>
        </w:rPr>
      </w:pPr>
      <w:r>
        <w:rPr>
          <w:rFonts w:hint="eastAsia" w:ascii="宋体" w:hAnsi="宋体" w:eastAsia="宋体"/>
          <w:b/>
          <w:bCs/>
          <w:color w:val="auto"/>
          <w:highlight w:val="none"/>
        </w:rPr>
        <w:t>(另册)</w:t>
      </w:r>
      <w:r>
        <w:rPr>
          <w:color w:val="auto"/>
          <w:highlight w:val="none"/>
        </w:rPr>
        <w:br w:type="page"/>
      </w:r>
    </w:p>
    <w:p>
      <w:pPr>
        <w:pStyle w:val="2"/>
        <w:spacing w:after="240"/>
        <w:jc w:val="center"/>
        <w:rPr>
          <w:rFonts w:ascii="宋体" w:hAnsi="宋体" w:eastAsia="宋体"/>
          <w:color w:val="auto"/>
          <w:highlight w:val="none"/>
          <w:lang w:eastAsia="zh-CN"/>
        </w:rPr>
      </w:pPr>
      <w:bookmarkStart w:id="6" w:name="_Toc143424736"/>
      <w:bookmarkStart w:id="7" w:name="_Toc142858873"/>
      <w:r>
        <w:rPr>
          <w:rFonts w:ascii="宋体" w:hAnsi="宋体" w:eastAsia="宋体"/>
          <w:color w:val="auto"/>
          <w:highlight w:val="none"/>
          <w:lang w:eastAsia="zh-CN"/>
        </w:rPr>
        <w:t>第二章</w:t>
      </w:r>
      <w:r>
        <w:rPr>
          <w:rFonts w:hint="eastAsia" w:ascii="宋体" w:hAnsi="宋体" w:eastAsia="宋体"/>
          <w:color w:val="auto"/>
          <w:highlight w:val="none"/>
          <w:lang w:val="en-US" w:eastAsia="zh-CN"/>
        </w:rPr>
        <w:t xml:space="preserve"> </w:t>
      </w:r>
      <w:r>
        <w:rPr>
          <w:rFonts w:ascii="宋体" w:hAnsi="宋体" w:eastAsia="宋体"/>
          <w:color w:val="auto"/>
          <w:highlight w:val="none"/>
          <w:lang w:eastAsia="zh-CN"/>
        </w:rPr>
        <w:t>投标人须知</w:t>
      </w:r>
      <w:bookmarkEnd w:id="6"/>
      <w:bookmarkEnd w:id="7"/>
    </w:p>
    <w:p>
      <w:pPr>
        <w:pStyle w:val="4"/>
        <w:ind w:left="0"/>
        <w:jc w:val="center"/>
        <w:rPr>
          <w:rFonts w:ascii="宋体" w:hAnsi="宋体" w:eastAsia="宋体" w:cs="Microsoft JhengHei"/>
          <w:b w:val="0"/>
          <w:bCs w:val="0"/>
          <w:color w:val="auto"/>
          <w:sz w:val="20"/>
          <w:szCs w:val="20"/>
          <w:highlight w:val="none"/>
          <w:lang w:eastAsia="zh-CN"/>
        </w:rPr>
      </w:pPr>
      <w:bookmarkStart w:id="8" w:name="_Toc143424737"/>
      <w:bookmarkStart w:id="9" w:name="_Toc25137981"/>
      <w:bookmarkStart w:id="10" w:name="_Toc142858874"/>
      <w:r>
        <w:rPr>
          <w:rFonts w:ascii="宋体" w:hAnsi="宋体" w:eastAsia="宋体"/>
          <w:color w:val="auto"/>
          <w:highlight w:val="none"/>
          <w:lang w:eastAsia="zh-CN"/>
        </w:rPr>
        <w:t>投标人须知前附表</w:t>
      </w:r>
      <w:bookmarkEnd w:id="8"/>
      <w:bookmarkEnd w:id="9"/>
      <w:bookmarkEnd w:id="10"/>
    </w:p>
    <w:p>
      <w:pPr>
        <w:spacing w:before="12"/>
        <w:rPr>
          <w:rFonts w:ascii="宋体" w:hAnsi="宋体" w:eastAsia="宋体" w:cs="Microsoft JhengHei"/>
          <w:b/>
          <w:bCs/>
          <w:color w:val="auto"/>
          <w:sz w:val="12"/>
          <w:szCs w:val="12"/>
          <w:highlight w:val="none"/>
          <w:lang w:eastAsia="zh-CN"/>
        </w:rPr>
      </w:pPr>
    </w:p>
    <w:tbl>
      <w:tblPr>
        <w:tblStyle w:val="25"/>
        <w:tblW w:w="5010" w:type="pct"/>
        <w:tblInd w:w="0" w:type="dxa"/>
        <w:tblLayout w:type="autofit"/>
        <w:tblCellMar>
          <w:top w:w="0" w:type="dxa"/>
          <w:left w:w="0" w:type="dxa"/>
          <w:bottom w:w="0" w:type="dxa"/>
          <w:right w:w="0" w:type="dxa"/>
        </w:tblCellMar>
      </w:tblPr>
      <w:tblGrid>
        <w:gridCol w:w="998"/>
        <w:gridCol w:w="1846"/>
        <w:gridCol w:w="6211"/>
      </w:tblGrid>
      <w:tr>
        <w:tblPrEx>
          <w:tblCellMar>
            <w:top w:w="0" w:type="dxa"/>
            <w:left w:w="0" w:type="dxa"/>
            <w:bottom w:w="0" w:type="dxa"/>
            <w:right w:w="0" w:type="dxa"/>
          </w:tblCellMar>
        </w:tblPrEx>
        <w:trPr>
          <w:trHeight w:val="502"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条款号</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条款名称</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编列内容</w:t>
            </w:r>
          </w:p>
        </w:tc>
      </w:tr>
      <w:tr>
        <w:tblPrEx>
          <w:tblCellMar>
            <w:top w:w="0" w:type="dxa"/>
            <w:left w:w="0" w:type="dxa"/>
            <w:bottom w:w="0" w:type="dxa"/>
            <w:right w:w="0" w:type="dxa"/>
          </w:tblCellMar>
        </w:tblPrEx>
        <w:trPr>
          <w:trHeight w:val="1389"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招标人</w:t>
            </w:r>
          </w:p>
        </w:tc>
        <w:tc>
          <w:tcPr>
            <w:tcW w:w="3429"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4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名称：广东省代建项目管理局</w:t>
            </w:r>
          </w:p>
          <w:p>
            <w:pPr>
              <w:autoSpaceDE w:val="0"/>
              <w:autoSpaceDN w:val="0"/>
              <w:adjustRightInd w:val="0"/>
              <w:spacing w:line="24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地址：广州市天河区黄埔大道西108号奥园大厦12楼</w:t>
            </w:r>
          </w:p>
          <w:p>
            <w:pPr>
              <w:autoSpaceDE w:val="0"/>
              <w:autoSpaceDN w:val="0"/>
              <w:adjustRightInd w:val="0"/>
              <w:spacing w:line="24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联系人：黄工</w:t>
            </w:r>
          </w:p>
          <w:p>
            <w:pPr>
              <w:pStyle w:val="40"/>
              <w:spacing w:line="240" w:lineRule="auto"/>
              <w:ind w:left="220" w:leftChars="100" w:firstLine="0" w:firstLineChars="0"/>
              <w:jc w:val="left"/>
              <w:rPr>
                <w:color w:val="auto"/>
                <w:highlight w:val="none"/>
              </w:rPr>
            </w:pPr>
            <w:r>
              <w:rPr>
                <w:rFonts w:hint="eastAsia"/>
                <w:color w:val="auto"/>
                <w:highlight w:val="none"/>
              </w:rPr>
              <w:t>电话：020-83620804</w:t>
            </w:r>
          </w:p>
        </w:tc>
      </w:tr>
      <w:tr>
        <w:tblPrEx>
          <w:tblCellMar>
            <w:top w:w="0" w:type="dxa"/>
            <w:left w:w="0" w:type="dxa"/>
            <w:bottom w:w="0" w:type="dxa"/>
            <w:right w:w="0" w:type="dxa"/>
          </w:tblCellMar>
        </w:tblPrEx>
        <w:trPr>
          <w:trHeight w:val="1244"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招标代理机构</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0" w:leftChars="0" w:firstLine="218" w:firstLineChars="104"/>
              <w:jc w:val="left"/>
              <w:rPr>
                <w:color w:val="auto"/>
                <w:highlight w:val="none"/>
              </w:rPr>
            </w:pPr>
            <w:r>
              <w:rPr>
                <w:rFonts w:hint="eastAsia"/>
                <w:color w:val="auto"/>
                <w:highlight w:val="none"/>
              </w:rPr>
              <w:t>名称：广州市市政工程监理有限公司</w:t>
            </w:r>
          </w:p>
          <w:p>
            <w:pPr>
              <w:pStyle w:val="40"/>
              <w:ind w:left="0" w:leftChars="0" w:firstLine="218" w:firstLineChars="104"/>
              <w:jc w:val="left"/>
              <w:rPr>
                <w:color w:val="auto"/>
                <w:highlight w:val="none"/>
              </w:rPr>
            </w:pPr>
            <w:r>
              <w:rPr>
                <w:rFonts w:hint="eastAsia"/>
                <w:color w:val="auto"/>
                <w:highlight w:val="none"/>
              </w:rPr>
              <w:t>地址：广州市越秀区东风中路437号越秀城市广场南塔38楼</w:t>
            </w:r>
          </w:p>
          <w:p>
            <w:pPr>
              <w:pStyle w:val="40"/>
              <w:ind w:left="0" w:leftChars="0" w:firstLine="218" w:firstLineChars="104"/>
              <w:jc w:val="left"/>
              <w:rPr>
                <w:color w:val="auto"/>
                <w:highlight w:val="none"/>
              </w:rPr>
            </w:pPr>
            <w:r>
              <w:rPr>
                <w:rFonts w:hint="eastAsia"/>
                <w:color w:val="auto"/>
                <w:highlight w:val="none"/>
              </w:rPr>
              <w:t>联系人：卢工、彭工</w:t>
            </w:r>
          </w:p>
          <w:p>
            <w:pPr>
              <w:pStyle w:val="40"/>
              <w:ind w:left="0" w:leftChars="0" w:firstLine="218" w:firstLineChars="104"/>
              <w:jc w:val="left"/>
              <w:rPr>
                <w:color w:val="auto"/>
                <w:highlight w:val="none"/>
              </w:rPr>
            </w:pPr>
            <w:r>
              <w:rPr>
                <w:rFonts w:hint="eastAsia"/>
                <w:color w:val="auto"/>
                <w:highlight w:val="none"/>
              </w:rPr>
              <w:t>电话：020-83313605</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1.1.4</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招标项目名称</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广东省计量科学研究院知识城检测基地项目方案设计、初步设计</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1.1.5</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项目建设地点</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详见招标公告</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1.1.6</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项目建设规模</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详见招标公告</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1.1.7</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项目投资估算</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详见招标公告</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1.2.1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资金来源及比例</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省市场监管局自筹解决，100%</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1.2.2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资金落实情况</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已落实</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1.3.1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招标范围</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详见招标公告</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1.3.2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设计服务期限</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详见招标公告</w:t>
            </w:r>
          </w:p>
        </w:tc>
      </w:tr>
      <w:tr>
        <w:tblPrEx>
          <w:tblCellMar>
            <w:top w:w="0" w:type="dxa"/>
            <w:left w:w="0" w:type="dxa"/>
            <w:bottom w:w="0" w:type="dxa"/>
            <w:right w:w="0" w:type="dxa"/>
          </w:tblCellMar>
        </w:tblPrEx>
        <w:trPr>
          <w:trHeight w:val="567"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1.3.3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质量标准</w:t>
            </w:r>
          </w:p>
        </w:tc>
        <w:tc>
          <w:tcPr>
            <w:tcW w:w="3429" w:type="pct"/>
            <w:tcBorders>
              <w:top w:val="single" w:color="000000" w:sz="4" w:space="0"/>
              <w:left w:val="single" w:color="000000" w:sz="4" w:space="0"/>
              <w:bottom w:val="single" w:color="000000" w:sz="4" w:space="0"/>
              <w:right w:val="single" w:color="000000" w:sz="4" w:space="0"/>
            </w:tcBorders>
            <w:vAlign w:val="center"/>
          </w:tcPr>
          <w:p>
            <w:pPr>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详见招标公告</w:t>
            </w:r>
          </w:p>
        </w:tc>
      </w:tr>
      <w:tr>
        <w:tblPrEx>
          <w:tblCellMar>
            <w:top w:w="0" w:type="dxa"/>
            <w:left w:w="0" w:type="dxa"/>
            <w:bottom w:w="0" w:type="dxa"/>
            <w:right w:w="0" w:type="dxa"/>
          </w:tblCellMar>
        </w:tblPrEx>
        <w:trPr>
          <w:trHeight w:val="1971"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1.4.1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投标人资质条件、能力、信誉</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0" w:leftChars="0" w:firstLine="218" w:firstLineChars="104"/>
              <w:jc w:val="left"/>
              <w:rPr>
                <w:color w:val="auto"/>
                <w:highlight w:val="none"/>
              </w:rPr>
            </w:pPr>
            <w:r>
              <w:rPr>
                <w:rFonts w:hint="eastAsia"/>
                <w:color w:val="auto"/>
                <w:highlight w:val="none"/>
              </w:rPr>
              <w:t>1、资质要求：详见招标公告第5.2条要求</w:t>
            </w:r>
          </w:p>
          <w:p>
            <w:pPr>
              <w:pStyle w:val="40"/>
              <w:ind w:left="0" w:leftChars="0" w:firstLine="218" w:firstLineChars="104"/>
              <w:jc w:val="left"/>
              <w:rPr>
                <w:color w:val="auto"/>
                <w:highlight w:val="none"/>
              </w:rPr>
            </w:pPr>
            <w:r>
              <w:rPr>
                <w:rFonts w:hint="eastAsia"/>
                <w:color w:val="auto"/>
                <w:highlight w:val="none"/>
              </w:rPr>
              <w:t>2、财务要求：/</w:t>
            </w:r>
          </w:p>
          <w:p>
            <w:pPr>
              <w:pStyle w:val="40"/>
              <w:ind w:left="0" w:leftChars="0" w:firstLine="218" w:firstLineChars="104"/>
              <w:jc w:val="left"/>
              <w:rPr>
                <w:color w:val="auto"/>
                <w:highlight w:val="none"/>
              </w:rPr>
            </w:pPr>
            <w:r>
              <w:rPr>
                <w:rFonts w:hint="eastAsia"/>
                <w:color w:val="auto"/>
                <w:highlight w:val="none"/>
              </w:rPr>
              <w:t>3、业绩要求：/</w:t>
            </w:r>
          </w:p>
          <w:p>
            <w:pPr>
              <w:pStyle w:val="40"/>
              <w:ind w:left="0" w:leftChars="0" w:firstLine="218" w:firstLineChars="104"/>
              <w:jc w:val="left"/>
              <w:rPr>
                <w:color w:val="auto"/>
                <w:highlight w:val="none"/>
              </w:rPr>
            </w:pPr>
            <w:r>
              <w:rPr>
                <w:rFonts w:hint="eastAsia"/>
                <w:color w:val="auto"/>
                <w:highlight w:val="none"/>
              </w:rPr>
              <w:t>4、信誉要求：详见招标公告第5.7条要求</w:t>
            </w:r>
          </w:p>
          <w:p>
            <w:pPr>
              <w:pStyle w:val="40"/>
              <w:ind w:left="0" w:leftChars="0" w:firstLine="218" w:firstLineChars="104"/>
              <w:jc w:val="left"/>
              <w:rPr>
                <w:color w:val="auto"/>
                <w:highlight w:val="none"/>
              </w:rPr>
            </w:pPr>
            <w:r>
              <w:rPr>
                <w:rFonts w:hint="eastAsia"/>
                <w:color w:val="auto"/>
                <w:highlight w:val="none"/>
              </w:rPr>
              <w:t>5、项目负责人的资格要求：详见招标公告第5.5条要求</w:t>
            </w:r>
          </w:p>
          <w:p>
            <w:pPr>
              <w:pStyle w:val="40"/>
              <w:ind w:left="0" w:leftChars="0" w:firstLine="218" w:firstLineChars="104"/>
              <w:jc w:val="left"/>
              <w:rPr>
                <w:color w:val="auto"/>
                <w:highlight w:val="none"/>
              </w:rPr>
            </w:pPr>
            <w:r>
              <w:rPr>
                <w:rFonts w:hint="eastAsia"/>
                <w:color w:val="auto"/>
                <w:highlight w:val="none"/>
              </w:rPr>
              <w:t>6、其他主要人员要求：/</w:t>
            </w:r>
          </w:p>
          <w:p>
            <w:pPr>
              <w:pStyle w:val="40"/>
              <w:ind w:left="0" w:leftChars="0" w:firstLine="218" w:firstLineChars="104"/>
              <w:jc w:val="left"/>
              <w:rPr>
                <w:b/>
                <w:color w:val="auto"/>
                <w:highlight w:val="none"/>
              </w:rPr>
            </w:pPr>
            <w:r>
              <w:rPr>
                <w:rFonts w:hint="eastAsia"/>
                <w:color w:val="auto"/>
                <w:highlight w:val="none"/>
              </w:rPr>
              <w:t>7、其他要求：详见招标公告第5条投标人资格要求</w:t>
            </w:r>
          </w:p>
        </w:tc>
      </w:tr>
      <w:tr>
        <w:tblPrEx>
          <w:tblCellMar>
            <w:top w:w="0" w:type="dxa"/>
            <w:left w:w="0" w:type="dxa"/>
            <w:bottom w:w="0" w:type="dxa"/>
            <w:right w:w="0" w:type="dxa"/>
          </w:tblCellMar>
        </w:tblPrEx>
        <w:trPr>
          <w:trHeight w:val="729"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1.4.2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是否接受联合体投标</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0" w:leftChars="0" w:firstLine="218" w:firstLineChars="104"/>
              <w:jc w:val="left"/>
              <w:rPr>
                <w:color w:val="auto"/>
                <w:highlight w:val="none"/>
              </w:rPr>
            </w:pPr>
            <w:r>
              <w:rPr>
                <w:rFonts w:hint="eastAsia"/>
                <w:color w:val="auto"/>
                <w:highlight w:val="none"/>
              </w:rPr>
              <w:t>■不接受</w:t>
            </w:r>
          </w:p>
          <w:p>
            <w:pPr>
              <w:pStyle w:val="40"/>
              <w:ind w:left="0" w:leftChars="0" w:firstLine="218" w:firstLineChars="104"/>
              <w:jc w:val="left"/>
              <w:rPr>
                <w:color w:val="auto"/>
                <w:highlight w:val="none"/>
              </w:rPr>
            </w:pPr>
            <w:r>
              <w:rPr>
                <w:rFonts w:hint="eastAsia"/>
                <w:color w:val="auto"/>
                <w:highlight w:val="none"/>
              </w:rPr>
              <w:t>□接受，应满足下列要求：/</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1.4.3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投标人不得存在的其他情形</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（1）为招标人不具有独立法人资格的附属机构（单位）；</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（2）与招标人存在利害关系且可能影响招标公正性；</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（3）与本招标项目的其他投标人为同一个单位负责人；</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（4）与本招标项目的其他投标人存在控股、管理关系；</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（5）为本招标项目的代建人；</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（6）为本招标项目的招标代理机构；</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（7）与本招标项目的代建人或招标代理机构同为一个法定代表人；</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（8）与本招标项目的代建人或招标代理机构存在控股或参股关系；</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（9）被依法暂停或者取消投标资格；</w:t>
            </w:r>
            <w:r>
              <w:rPr>
                <w:rFonts w:hint="eastAsia" w:ascii="宋体" w:hAnsi="宋体" w:eastAsia="宋体" w:cs="宋体"/>
                <w:b/>
                <w:bCs/>
                <w:color w:val="auto"/>
                <w:sz w:val="21"/>
                <w:szCs w:val="21"/>
                <w:highlight w:val="none"/>
                <w:u w:val="single"/>
                <w:lang w:eastAsia="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ascii="宋体" w:hAnsi="宋体" w:eastAsia="宋体" w:cs="宋体"/>
                <w:color w:val="auto"/>
                <w:sz w:val="21"/>
                <w:szCs w:val="21"/>
                <w:highlight w:val="none"/>
                <w:u w:val="single"/>
                <w:lang w:eastAsia="zh-CN"/>
              </w:rPr>
              <w:t>）</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（10）被责令停产停业、暂扣或者吊销许可证、暂扣或者吊销执照；（</w:t>
            </w:r>
            <w:r>
              <w:rPr>
                <w:rFonts w:hint="eastAsia" w:ascii="宋体" w:hAnsi="宋体" w:eastAsia="宋体" w:cs="宋体"/>
                <w:b/>
                <w:bCs/>
                <w:color w:val="auto"/>
                <w:sz w:val="21"/>
                <w:szCs w:val="21"/>
                <w:highlight w:val="none"/>
                <w:u w:val="single"/>
                <w:lang w:eastAsia="zh-CN"/>
              </w:rPr>
              <w:t>本项事实应当以根据《中华人民共和国行政处罚法》依法作出并已经生效的行政处罚决定为认定依据。</w:t>
            </w:r>
            <w:r>
              <w:rPr>
                <w:rFonts w:hint="eastAsia" w:ascii="宋体" w:hAnsi="宋体" w:eastAsia="宋体" w:cs="宋体"/>
                <w:color w:val="auto"/>
                <w:sz w:val="21"/>
                <w:szCs w:val="21"/>
                <w:highlight w:val="none"/>
                <w:u w:val="single"/>
                <w:lang w:eastAsia="zh-CN"/>
              </w:rPr>
              <w:t>）</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（11）进入清算程序，或被宣告破产，或其他丧失履约能力的情形；</w:t>
            </w:r>
          </w:p>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（12）在最近三年内发生重大设计质量问题（</w:t>
            </w:r>
            <w:r>
              <w:rPr>
                <w:rFonts w:hint="eastAsia" w:ascii="宋体" w:hAnsi="宋体" w:eastAsia="宋体" w:cs="宋体"/>
                <w:b/>
                <w:bCs/>
                <w:color w:val="auto"/>
                <w:sz w:val="21"/>
                <w:szCs w:val="21"/>
                <w:highlight w:val="none"/>
                <w:u w:val="single"/>
                <w:lang w:eastAsia="zh-CN"/>
              </w:rPr>
              <w:t>“重大设计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Pr>
                <w:rFonts w:hint="eastAsia" w:ascii="宋体" w:hAnsi="宋体" w:eastAsia="宋体" w:cs="宋体"/>
                <w:color w:val="auto"/>
                <w:sz w:val="21"/>
                <w:szCs w:val="21"/>
                <w:highlight w:val="none"/>
                <w:u w:val="singl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1.9.1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踏勘现场</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18" w:leftChars="99" w:firstLine="0" w:firstLineChars="0"/>
              <w:jc w:val="left"/>
              <w:rPr>
                <w:color w:val="auto"/>
                <w:highlight w:val="none"/>
              </w:rPr>
            </w:pPr>
            <w:r>
              <w:rPr>
                <w:rFonts w:hint="eastAsia"/>
                <w:color w:val="auto"/>
                <w:highlight w:val="none"/>
              </w:rPr>
              <w:t>■不组织</w:t>
            </w:r>
          </w:p>
          <w:p>
            <w:pPr>
              <w:pStyle w:val="40"/>
              <w:ind w:left="218" w:leftChars="99" w:firstLine="0" w:firstLineChars="0"/>
              <w:jc w:val="left"/>
              <w:rPr>
                <w:color w:val="auto"/>
                <w:highlight w:val="none"/>
              </w:rPr>
            </w:pPr>
            <w:r>
              <w:rPr>
                <w:rFonts w:hint="eastAsia"/>
                <w:color w:val="auto"/>
                <w:highlight w:val="none"/>
              </w:rPr>
              <w:t>补充说明如下：</w:t>
            </w:r>
          </w:p>
          <w:p>
            <w:pPr>
              <w:pStyle w:val="40"/>
              <w:ind w:left="218" w:leftChars="99" w:firstLine="0" w:firstLineChars="0"/>
              <w:jc w:val="left"/>
              <w:rPr>
                <w:color w:val="auto"/>
                <w:highlight w:val="none"/>
              </w:rPr>
            </w:pPr>
            <w:r>
              <w:rPr>
                <w:rFonts w:hint="eastAsia"/>
                <w:color w:val="auto"/>
                <w:highlight w:val="none"/>
              </w:rPr>
              <w:t>（1）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投标人若认为必要时，也可以独自增加现场考察活动。</w:t>
            </w:r>
          </w:p>
          <w:p>
            <w:pPr>
              <w:pStyle w:val="40"/>
              <w:ind w:left="218" w:leftChars="99" w:firstLine="0" w:firstLineChars="0"/>
              <w:jc w:val="left"/>
              <w:rPr>
                <w:color w:val="auto"/>
                <w:highlight w:val="none"/>
              </w:rPr>
            </w:pPr>
            <w:r>
              <w:rPr>
                <w:rFonts w:hint="eastAsia"/>
                <w:color w:val="auto"/>
                <w:highlight w:val="none"/>
              </w:rPr>
              <w:t>（2）投标人及其代表进入考察的现场。投标人及其代表必须承担那些进入现场后，由于他们的行为所造成的人身伤害（不管是否致命）、财产损失或损坏，以及其他任何原因造成的损失、损坏或费用。招标人在投标人及其代表考察过程中不负任何责任。</w:t>
            </w:r>
          </w:p>
          <w:p>
            <w:pPr>
              <w:pStyle w:val="40"/>
              <w:ind w:left="218" w:leftChars="99" w:firstLine="0" w:firstLineChars="0"/>
              <w:jc w:val="left"/>
              <w:rPr>
                <w:color w:val="auto"/>
                <w:highlight w:val="none"/>
              </w:rPr>
            </w:pPr>
            <w:r>
              <w:rPr>
                <w:rFonts w:hint="eastAsia"/>
                <w:color w:val="auto"/>
                <w:highlight w:val="none"/>
              </w:rPr>
              <w:t>（3）由招标人提供的资料和数据，只是为了使投标人能够利用招标人现有的资料。招标人对投标人由此而作出的推论、解释和结论概不负责。</w:t>
            </w:r>
          </w:p>
          <w:p>
            <w:pPr>
              <w:pStyle w:val="40"/>
              <w:ind w:left="218" w:leftChars="99" w:firstLine="0" w:firstLineChars="0"/>
              <w:jc w:val="left"/>
              <w:rPr>
                <w:color w:val="auto"/>
                <w:highlight w:val="none"/>
              </w:rPr>
            </w:pPr>
            <w:r>
              <w:rPr>
                <w:rFonts w:hint="eastAsia"/>
                <w:color w:val="auto"/>
                <w:highlight w:val="none"/>
              </w:rPr>
              <w:t>（4）不论投标结果如何，投标人应承担其投标文件编制与递交所涉及的一切费用，发包人对上述费用不负任何责任。</w:t>
            </w:r>
          </w:p>
          <w:p>
            <w:pPr>
              <w:pStyle w:val="40"/>
              <w:ind w:left="218" w:leftChars="99" w:firstLine="0" w:firstLineChars="0"/>
              <w:jc w:val="left"/>
              <w:rPr>
                <w:color w:val="auto"/>
                <w:highlight w:val="none"/>
              </w:rPr>
            </w:pPr>
            <w:r>
              <w:rPr>
                <w:rFonts w:hint="eastAsia"/>
                <w:color w:val="auto"/>
                <w:highlight w:val="none"/>
              </w:rPr>
              <w:t>□组织，踏勘时间：</w:t>
            </w:r>
          </w:p>
          <w:p>
            <w:pPr>
              <w:pStyle w:val="40"/>
              <w:ind w:left="218" w:leftChars="99" w:firstLine="0" w:firstLineChars="0"/>
              <w:jc w:val="left"/>
              <w:rPr>
                <w:color w:val="auto"/>
                <w:highlight w:val="none"/>
              </w:rPr>
            </w:pPr>
            <w:r>
              <w:rPr>
                <w:rFonts w:hint="eastAsia"/>
                <w:color w:val="auto"/>
                <w:highlight w:val="none"/>
              </w:rPr>
              <w:t>踏勘集中地点：</w:t>
            </w:r>
          </w:p>
        </w:tc>
      </w:tr>
      <w:tr>
        <w:tblPrEx>
          <w:tblCellMar>
            <w:top w:w="0" w:type="dxa"/>
            <w:left w:w="0" w:type="dxa"/>
            <w:bottom w:w="0" w:type="dxa"/>
            <w:right w:w="0" w:type="dxa"/>
          </w:tblCellMar>
        </w:tblPrEx>
        <w:trPr>
          <w:trHeight w:val="1380"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1.10.1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投标预备会</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18" w:leftChars="99" w:firstLine="0" w:firstLineChars="0"/>
              <w:jc w:val="left"/>
              <w:rPr>
                <w:color w:val="auto"/>
                <w:highlight w:val="none"/>
              </w:rPr>
            </w:pPr>
            <w:r>
              <w:rPr>
                <w:rFonts w:hint="eastAsia"/>
                <w:color w:val="auto"/>
                <w:highlight w:val="none"/>
              </w:rPr>
              <w:t>■不召开</w:t>
            </w:r>
          </w:p>
          <w:p>
            <w:pPr>
              <w:pStyle w:val="40"/>
              <w:ind w:left="218" w:leftChars="99" w:firstLine="0" w:firstLineChars="0"/>
              <w:jc w:val="left"/>
              <w:rPr>
                <w:color w:val="auto"/>
                <w:highlight w:val="none"/>
              </w:rPr>
            </w:pPr>
            <w:r>
              <w:rPr>
                <w:rFonts w:hint="eastAsia"/>
                <w:color w:val="auto"/>
                <w:highlight w:val="none"/>
              </w:rPr>
              <w:t>□召开，召开时间：</w:t>
            </w:r>
          </w:p>
          <w:p>
            <w:pPr>
              <w:pStyle w:val="40"/>
              <w:ind w:left="218" w:leftChars="99" w:firstLine="0" w:firstLineChars="0"/>
              <w:jc w:val="left"/>
              <w:rPr>
                <w:color w:val="auto"/>
                <w:highlight w:val="none"/>
              </w:rPr>
            </w:pPr>
            <w:r>
              <w:rPr>
                <w:rFonts w:hint="eastAsia"/>
                <w:color w:val="auto"/>
                <w:highlight w:val="none"/>
              </w:rPr>
              <w:t>召开地点：</w:t>
            </w:r>
          </w:p>
        </w:tc>
      </w:tr>
      <w:tr>
        <w:tblPrEx>
          <w:tblCellMar>
            <w:top w:w="0" w:type="dxa"/>
            <w:left w:w="0" w:type="dxa"/>
            <w:bottom w:w="0" w:type="dxa"/>
            <w:right w:w="0" w:type="dxa"/>
          </w:tblCellMar>
        </w:tblPrEx>
        <w:trPr>
          <w:trHeight w:val="497" w:hRule="atLeast"/>
        </w:trPr>
        <w:tc>
          <w:tcPr>
            <w:tcW w:w="551" w:type="pct"/>
            <w:vMerge w:val="restar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1.10.2</w:t>
            </w:r>
          </w:p>
        </w:tc>
        <w:tc>
          <w:tcPr>
            <w:tcW w:w="1019" w:type="pct"/>
            <w:vMerge w:val="restar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投标人在投标预备会前提出问题</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18" w:leftChars="99" w:firstLine="0" w:firstLineChars="0"/>
              <w:jc w:val="left"/>
              <w:rPr>
                <w:color w:val="auto"/>
                <w:highlight w:val="none"/>
              </w:rPr>
            </w:pPr>
            <w:r>
              <w:rPr>
                <w:rFonts w:hint="eastAsia"/>
                <w:color w:val="auto"/>
                <w:highlight w:val="none"/>
              </w:rPr>
              <w:t>时间：/。</w:t>
            </w:r>
          </w:p>
        </w:tc>
      </w:tr>
      <w:tr>
        <w:tblPrEx>
          <w:tblCellMar>
            <w:top w:w="0" w:type="dxa"/>
            <w:left w:w="0" w:type="dxa"/>
            <w:bottom w:w="0" w:type="dxa"/>
            <w:right w:w="0" w:type="dxa"/>
          </w:tblCellMar>
        </w:tblPrEx>
        <w:trPr>
          <w:trHeight w:val="535" w:hRule="atLeast"/>
        </w:trPr>
        <w:tc>
          <w:tcPr>
            <w:tcW w:w="551" w:type="pct"/>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p>
        </w:tc>
        <w:tc>
          <w:tcPr>
            <w:tcW w:w="1019" w:type="pct"/>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18" w:leftChars="99" w:firstLine="0" w:firstLineChars="0"/>
              <w:jc w:val="left"/>
              <w:rPr>
                <w:color w:val="auto"/>
                <w:highlight w:val="none"/>
              </w:rPr>
            </w:pPr>
            <w:r>
              <w:rPr>
                <w:rFonts w:hint="eastAsia"/>
                <w:color w:val="auto"/>
                <w:highlight w:val="none"/>
              </w:rPr>
              <w:t>形式：/。</w:t>
            </w:r>
          </w:p>
        </w:tc>
      </w:tr>
      <w:tr>
        <w:tblPrEx>
          <w:tblCellMar>
            <w:top w:w="0" w:type="dxa"/>
            <w:left w:w="0" w:type="dxa"/>
            <w:bottom w:w="0" w:type="dxa"/>
            <w:right w:w="0" w:type="dxa"/>
          </w:tblCellMar>
        </w:tblPrEx>
        <w:trPr>
          <w:trHeight w:val="942"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1.10.3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招标文件澄清发出的形式</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1.11.1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分包</w:t>
            </w:r>
          </w:p>
        </w:tc>
        <w:tc>
          <w:tcPr>
            <w:tcW w:w="3429"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□不允许</w:t>
            </w:r>
          </w:p>
          <w:p>
            <w:pPr>
              <w:autoSpaceDE w:val="0"/>
              <w:autoSpaceDN w:val="0"/>
              <w:adjustRightInd w:val="0"/>
              <w:spacing w:line="360" w:lineRule="auto"/>
              <w:ind w:left="220" w:leftChars="100"/>
              <w:rPr>
                <w:rFonts w:ascii="宋体" w:hAnsi="宋体" w:eastAsia="宋体" w:cs="宋体"/>
                <w:color w:val="auto"/>
                <w:spacing w:val="-2"/>
                <w:sz w:val="21"/>
                <w:szCs w:val="21"/>
                <w:highlight w:val="none"/>
                <w:u w:val="single"/>
                <w:lang w:eastAsia="zh-CN"/>
              </w:rPr>
            </w:pPr>
            <w:r>
              <w:rPr>
                <w:rFonts w:hint="eastAsia" w:ascii="宋体" w:hAnsi="宋体" w:eastAsia="宋体" w:cs="宋体"/>
                <w:color w:val="auto"/>
                <w:sz w:val="21"/>
                <w:szCs w:val="21"/>
                <w:highlight w:val="none"/>
                <w:lang w:eastAsia="zh-CN"/>
              </w:rPr>
              <w:t>■允许，</w:t>
            </w:r>
            <w:r>
              <w:rPr>
                <w:rFonts w:hint="eastAsia" w:ascii="宋体" w:hAnsi="宋体" w:eastAsia="宋体" w:cs="宋体"/>
                <w:color w:val="auto"/>
                <w:spacing w:val="-2"/>
                <w:sz w:val="21"/>
                <w:szCs w:val="21"/>
                <w:highlight w:val="none"/>
                <w:lang w:eastAsia="zh-CN"/>
              </w:rPr>
              <w:t>分</w:t>
            </w:r>
            <w:r>
              <w:rPr>
                <w:rFonts w:hint="eastAsia" w:ascii="宋体" w:hAnsi="宋体" w:eastAsia="宋体" w:cs="宋体"/>
                <w:color w:val="auto"/>
                <w:sz w:val="21"/>
                <w:szCs w:val="21"/>
                <w:highlight w:val="none"/>
                <w:lang w:eastAsia="zh-CN"/>
              </w:rPr>
              <w:t>包</w:t>
            </w:r>
            <w:r>
              <w:rPr>
                <w:rFonts w:hint="eastAsia" w:ascii="宋体" w:hAnsi="宋体" w:eastAsia="宋体" w:cs="宋体"/>
                <w:color w:val="auto"/>
                <w:spacing w:val="-2"/>
                <w:sz w:val="21"/>
                <w:szCs w:val="21"/>
                <w:highlight w:val="none"/>
                <w:lang w:eastAsia="zh-CN"/>
              </w:rPr>
              <w:t>内</w:t>
            </w:r>
            <w:r>
              <w:rPr>
                <w:rFonts w:hint="eastAsia" w:ascii="宋体" w:hAnsi="宋体" w:eastAsia="宋体" w:cs="宋体"/>
                <w:color w:val="auto"/>
                <w:sz w:val="21"/>
                <w:szCs w:val="21"/>
                <w:highlight w:val="none"/>
                <w:lang w:eastAsia="zh-CN"/>
              </w:rPr>
              <w:t>容</w:t>
            </w:r>
            <w:r>
              <w:rPr>
                <w:rFonts w:hint="eastAsia" w:ascii="宋体" w:hAnsi="宋体" w:eastAsia="宋体" w:cs="宋体"/>
                <w:color w:val="auto"/>
                <w:spacing w:val="-2"/>
                <w:sz w:val="21"/>
                <w:szCs w:val="21"/>
                <w:highlight w:val="none"/>
                <w:lang w:eastAsia="zh-CN"/>
              </w:rPr>
              <w:t>要</w:t>
            </w:r>
            <w:r>
              <w:rPr>
                <w:rFonts w:hint="eastAsia" w:ascii="宋体" w:hAnsi="宋体" w:eastAsia="宋体" w:cs="宋体"/>
                <w:color w:val="auto"/>
                <w:sz w:val="21"/>
                <w:szCs w:val="21"/>
                <w:highlight w:val="none"/>
                <w:lang w:eastAsia="zh-CN"/>
              </w:rPr>
              <w:t>求：</w:t>
            </w:r>
            <w:r>
              <w:rPr>
                <w:rFonts w:hint="eastAsia" w:ascii="宋体" w:hAnsi="宋体" w:eastAsia="宋体" w:cs="宋体"/>
                <w:color w:val="auto"/>
                <w:spacing w:val="-2"/>
                <w:sz w:val="21"/>
                <w:szCs w:val="21"/>
                <w:highlight w:val="none"/>
                <w:u w:val="single"/>
                <w:lang w:eastAsia="zh-CN"/>
              </w:rPr>
              <w:t>如中标人不具备相关专业设计资质，应当自行完成本项目主体的设计业务，并在保证整个建筑工程项目完整性的前提下，经发包方同意，将其他部分专业设计业务依法分包给具备相应资质条件的分包单位。</w:t>
            </w:r>
          </w:p>
          <w:p>
            <w:pPr>
              <w:autoSpaceDE w:val="0"/>
              <w:autoSpaceDN w:val="0"/>
              <w:adjustRightInd w:val="0"/>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分包</w:t>
            </w:r>
            <w:r>
              <w:rPr>
                <w:rFonts w:hint="eastAsia" w:ascii="宋体" w:hAnsi="宋体" w:eastAsia="宋体" w:cs="宋体"/>
                <w:color w:val="auto"/>
                <w:spacing w:val="-2"/>
                <w:sz w:val="21"/>
                <w:szCs w:val="21"/>
                <w:highlight w:val="none"/>
                <w:lang w:eastAsia="zh-CN"/>
              </w:rPr>
              <w:t>金</w:t>
            </w:r>
            <w:r>
              <w:rPr>
                <w:rFonts w:hint="eastAsia" w:ascii="宋体" w:hAnsi="宋体" w:eastAsia="宋体" w:cs="宋体"/>
                <w:color w:val="auto"/>
                <w:sz w:val="21"/>
                <w:szCs w:val="21"/>
                <w:highlight w:val="none"/>
                <w:lang w:eastAsia="zh-CN"/>
              </w:rPr>
              <w:t>额</w:t>
            </w:r>
            <w:r>
              <w:rPr>
                <w:rFonts w:hint="eastAsia" w:ascii="宋体" w:hAnsi="宋体" w:eastAsia="宋体" w:cs="宋体"/>
                <w:color w:val="auto"/>
                <w:spacing w:val="-2"/>
                <w:sz w:val="21"/>
                <w:szCs w:val="21"/>
                <w:highlight w:val="none"/>
                <w:lang w:eastAsia="zh-CN"/>
              </w:rPr>
              <w:t>要</w:t>
            </w:r>
            <w:r>
              <w:rPr>
                <w:rFonts w:hint="eastAsia" w:ascii="宋体" w:hAnsi="宋体" w:eastAsia="宋体" w:cs="宋体"/>
                <w:color w:val="auto"/>
                <w:sz w:val="21"/>
                <w:szCs w:val="21"/>
                <w:highlight w:val="none"/>
                <w:lang w:eastAsia="zh-CN"/>
              </w:rPr>
              <w:t>求：</w:t>
            </w:r>
            <w:r>
              <w:rPr>
                <w:rFonts w:hint="eastAsia" w:ascii="宋体" w:hAnsi="宋体" w:eastAsia="宋体" w:cs="宋体"/>
                <w:color w:val="auto"/>
                <w:sz w:val="21"/>
                <w:szCs w:val="21"/>
                <w:highlight w:val="none"/>
                <w:u w:val="single"/>
                <w:lang w:eastAsia="zh-CN"/>
              </w:rPr>
              <w:t>/</w:t>
            </w:r>
          </w:p>
          <w:p>
            <w:pPr>
              <w:pStyle w:val="40"/>
              <w:ind w:left="0" w:leftChars="0" w:firstLine="218" w:firstLineChars="104"/>
              <w:jc w:val="left"/>
              <w:rPr>
                <w:color w:val="auto"/>
                <w:highlight w:val="none"/>
              </w:rPr>
            </w:pPr>
            <w:r>
              <w:rPr>
                <w:rFonts w:hint="eastAsia"/>
                <w:color w:val="auto"/>
                <w:highlight w:val="none"/>
              </w:rPr>
              <w:t>对分</w:t>
            </w:r>
            <w:r>
              <w:rPr>
                <w:rFonts w:hint="eastAsia"/>
                <w:color w:val="auto"/>
                <w:spacing w:val="-2"/>
                <w:highlight w:val="none"/>
              </w:rPr>
              <w:t>包</w:t>
            </w:r>
            <w:r>
              <w:rPr>
                <w:rFonts w:hint="eastAsia"/>
                <w:color w:val="auto"/>
                <w:highlight w:val="none"/>
              </w:rPr>
              <w:t>人</w:t>
            </w:r>
            <w:r>
              <w:rPr>
                <w:rFonts w:hint="eastAsia"/>
                <w:color w:val="auto"/>
                <w:spacing w:val="-2"/>
                <w:highlight w:val="none"/>
              </w:rPr>
              <w:t>的</w:t>
            </w:r>
            <w:r>
              <w:rPr>
                <w:rFonts w:hint="eastAsia"/>
                <w:color w:val="auto"/>
                <w:highlight w:val="none"/>
              </w:rPr>
              <w:t>资</w:t>
            </w:r>
            <w:r>
              <w:rPr>
                <w:rFonts w:hint="eastAsia"/>
                <w:color w:val="auto"/>
                <w:spacing w:val="-2"/>
                <w:highlight w:val="none"/>
              </w:rPr>
              <w:t>质</w:t>
            </w:r>
            <w:r>
              <w:rPr>
                <w:rFonts w:hint="eastAsia"/>
                <w:color w:val="auto"/>
                <w:highlight w:val="none"/>
              </w:rPr>
              <w:t>要</w:t>
            </w:r>
            <w:r>
              <w:rPr>
                <w:rFonts w:hint="eastAsia"/>
                <w:color w:val="auto"/>
                <w:spacing w:val="-2"/>
                <w:highlight w:val="none"/>
              </w:rPr>
              <w:t>求</w:t>
            </w:r>
            <w:r>
              <w:rPr>
                <w:rFonts w:hint="eastAsia"/>
                <w:color w:val="auto"/>
                <w:highlight w:val="none"/>
              </w:rPr>
              <w:t>：</w:t>
            </w:r>
            <w:r>
              <w:rPr>
                <w:rFonts w:hint="eastAsia"/>
                <w:color w:val="auto"/>
                <w:highlight w:val="none"/>
                <w:u w:val="single"/>
              </w:rPr>
              <w:t>按国家规定</w:t>
            </w:r>
            <w:r>
              <w:rPr>
                <w:rFonts w:hint="eastAsia"/>
                <w:color w:val="auto"/>
                <w:highlight w:val="none"/>
              </w:rPr>
              <w:t>。</w:t>
            </w:r>
          </w:p>
        </w:tc>
      </w:tr>
      <w:tr>
        <w:tblPrEx>
          <w:tblCellMar>
            <w:top w:w="0" w:type="dxa"/>
            <w:left w:w="0" w:type="dxa"/>
            <w:bottom w:w="0" w:type="dxa"/>
            <w:right w:w="0" w:type="dxa"/>
          </w:tblCellMar>
        </w:tblPrEx>
        <w:trPr>
          <w:trHeight w:val="593"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1.12.1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实质性要求和条件</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1.12.3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偏差</w:t>
            </w:r>
          </w:p>
        </w:tc>
        <w:tc>
          <w:tcPr>
            <w:tcW w:w="3429"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■不允许</w:t>
            </w:r>
          </w:p>
          <w:p>
            <w:pPr>
              <w:autoSpaceDE w:val="0"/>
              <w:autoSpaceDN w:val="0"/>
              <w:adjustRightInd w:val="0"/>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□允许，偏差范围：</w:t>
            </w:r>
          </w:p>
          <w:p>
            <w:pPr>
              <w:pStyle w:val="40"/>
              <w:rPr>
                <w:color w:val="auto"/>
                <w:highlight w:val="none"/>
              </w:rPr>
            </w:pPr>
            <w:r>
              <w:rPr>
                <w:rFonts w:hint="eastAsia"/>
                <w:color w:val="auto"/>
                <w:highlight w:val="none"/>
              </w:rPr>
              <w:t>偏差幅度：</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2.1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构成招标文件</w:t>
            </w:r>
            <w:r>
              <w:rPr>
                <w:rFonts w:hint="eastAsia"/>
                <w:color w:val="auto"/>
                <w:highlight w:val="none"/>
                <w:u w:val="single"/>
              </w:rPr>
              <w:t>及定标文件</w:t>
            </w:r>
            <w:r>
              <w:rPr>
                <w:rFonts w:hint="eastAsia"/>
                <w:color w:val="auto"/>
                <w:highlight w:val="none"/>
              </w:rPr>
              <w:t>的其他资料</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rPr>
          <w:trHeight w:val="894" w:hRule="atLeast"/>
        </w:trPr>
        <w:tc>
          <w:tcPr>
            <w:tcW w:w="551" w:type="pc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2.2.1</w:t>
            </w:r>
          </w:p>
        </w:tc>
        <w:tc>
          <w:tcPr>
            <w:tcW w:w="1019" w:type="pc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投标人要求澄清招标文件</w:t>
            </w:r>
          </w:p>
        </w:tc>
        <w:tc>
          <w:tcPr>
            <w:tcW w:w="3429" w:type="pct"/>
            <w:tcBorders>
              <w:top w:val="single" w:color="000000" w:sz="4" w:space="0"/>
              <w:left w:val="single" w:color="000000" w:sz="4" w:space="0"/>
              <w:right w:val="single" w:color="000000" w:sz="4" w:space="0"/>
            </w:tcBorders>
            <w:vAlign w:val="center"/>
          </w:tcPr>
          <w:p>
            <w:pPr>
              <w:spacing w:line="360" w:lineRule="auto"/>
              <w:ind w:left="218" w:leftChars="99"/>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时间：在提交投标文件截止时间18天前提出。</w:t>
            </w:r>
          </w:p>
          <w:p>
            <w:pPr>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形式：投标人的疑问通过广州公共资源交易中心数字交易平台提交。网上答疑的操作指南为：登陆广州公共资源交易中心网站→进入“我是投标人”→进入“新建设工程交易平台”→进入“我的投标”→进入“招标答疑提问”→通过项目编号或名称找到所需的项目→在上述的答疑时间内点击“答疑提问”进入到提问区域→无记名或匿名提出问题。按照广州公共资源交易中心数字交易平台关于全流程电子化项目的相关指南进行操作，详见：广州公共资源交易中心网站-&gt;服务指南-&gt;办事指引-&gt;建设工程-&gt;《建设工程全流程电子化项目操作指南（适用于投标人）》（http://www.gzggzy.cn/fwznbszyjsgc/928327.jhtml）。提问一律不得署名。</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2.2.2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招标文件澄清发出的形式</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招标人应在递交投标文件截止时间15日前将招标文件澄清文件在广州公共资源交易中心网站“项目查询(日程安排、答疑纪要)”专区发布。不足15日的，招标人应当顺延投标文件的截止时间。</w:t>
            </w:r>
          </w:p>
        </w:tc>
      </w:tr>
      <w:tr>
        <w:tblPrEx>
          <w:tblCellMar>
            <w:top w:w="0" w:type="dxa"/>
            <w:left w:w="0" w:type="dxa"/>
            <w:bottom w:w="0" w:type="dxa"/>
            <w:right w:w="0" w:type="dxa"/>
          </w:tblCellMar>
        </w:tblPrEx>
        <w:trPr>
          <w:trHeight w:val="1996" w:hRule="atLeast"/>
        </w:trPr>
        <w:tc>
          <w:tcPr>
            <w:tcW w:w="551" w:type="pc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2.2.3</w:t>
            </w:r>
          </w:p>
        </w:tc>
        <w:tc>
          <w:tcPr>
            <w:tcW w:w="1019" w:type="pc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投标人确认收到招标文件澄清</w:t>
            </w:r>
          </w:p>
        </w:tc>
        <w:tc>
          <w:tcPr>
            <w:tcW w:w="3429" w:type="pct"/>
            <w:tcBorders>
              <w:top w:val="single" w:color="000000" w:sz="4" w:space="0"/>
              <w:left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招标文件的澄清或修改在广州公共资源交易中心网站“项目查询(日程安排、答疑纪要)”专区网上公开发布，发出即视作收到，以广州公共资源交易中心数字交易平台网站发布时间作为送达时间。无需投标人确认。投标人应自行关注，招标人不再一一通知。招标文件的澄清或修改内容作为招标文件的组成部分，具有约束作用。</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2.3.1</w:t>
            </w:r>
          </w:p>
        </w:tc>
        <w:tc>
          <w:tcPr>
            <w:tcW w:w="1019" w:type="pct"/>
            <w:tcBorders>
              <w:top w:val="single" w:color="000000"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招标文件修改发出的形式</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以补充公告或项目答疑澄清的方式在广州公共资源交易中心网站发布。</w:t>
            </w:r>
          </w:p>
        </w:tc>
      </w:tr>
      <w:tr>
        <w:tblPrEx>
          <w:tblCellMar>
            <w:top w:w="0" w:type="dxa"/>
            <w:left w:w="0" w:type="dxa"/>
            <w:bottom w:w="0" w:type="dxa"/>
            <w:right w:w="0" w:type="dxa"/>
          </w:tblCellMar>
        </w:tblPrEx>
        <w:trPr>
          <w:trHeight w:val="1669" w:hRule="atLeast"/>
        </w:trPr>
        <w:tc>
          <w:tcPr>
            <w:tcW w:w="551" w:type="pct"/>
            <w:tcBorders>
              <w:top w:val="single" w:color="auto" w:sz="4" w:space="0"/>
              <w:left w:val="single" w:color="auto" w:sz="4" w:space="0"/>
              <w:bottom w:val="single" w:color="auto" w:sz="4" w:space="0"/>
              <w:right w:val="single" w:color="auto" w:sz="4" w:space="0"/>
            </w:tcBorders>
            <w:vAlign w:val="center"/>
          </w:tcPr>
          <w:p>
            <w:pPr>
              <w:pStyle w:val="40"/>
              <w:rPr>
                <w:color w:val="auto"/>
                <w:highlight w:val="none"/>
              </w:rPr>
            </w:pPr>
            <w:r>
              <w:rPr>
                <w:rFonts w:hint="eastAsia"/>
                <w:color w:val="auto"/>
                <w:highlight w:val="none"/>
              </w:rPr>
              <w:t>2.3.2</w:t>
            </w:r>
          </w:p>
        </w:tc>
        <w:tc>
          <w:tcPr>
            <w:tcW w:w="1019" w:type="pct"/>
            <w:tcBorders>
              <w:top w:val="single" w:color="auto" w:sz="4" w:space="0"/>
              <w:left w:val="single" w:color="auto" w:sz="4" w:space="0"/>
              <w:bottom w:val="single" w:color="auto" w:sz="4" w:space="0"/>
              <w:right w:val="single" w:color="auto" w:sz="4" w:space="0"/>
            </w:tcBorders>
            <w:vAlign w:val="center"/>
          </w:tcPr>
          <w:p>
            <w:pPr>
              <w:pStyle w:val="40"/>
              <w:rPr>
                <w:color w:val="auto"/>
                <w:highlight w:val="none"/>
              </w:rPr>
            </w:pPr>
            <w:r>
              <w:rPr>
                <w:rFonts w:hint="eastAsia"/>
                <w:color w:val="auto"/>
                <w:highlight w:val="none"/>
              </w:rPr>
              <w:t>投标人确认收到招标文件修改</w:t>
            </w:r>
          </w:p>
        </w:tc>
        <w:tc>
          <w:tcPr>
            <w:tcW w:w="3429" w:type="pct"/>
            <w:tcBorders>
              <w:top w:val="single" w:color="000000" w:sz="4" w:space="0"/>
              <w:left w:val="single" w:color="auto"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文件的澄清或修改在广州公共资源交易中心网站“项目查询(日程安排、答疑纪要)”专区网上公开发布，发出即视作收到，以广州公共资源交易中心数字交易平台网站发布时间作为送达时间。无需投标人确认。投标人应自行关注，招标人不再一一通知。招标文件的澄清或修改内容作为招标文件的组成部分，具有约束作用。</w:t>
            </w:r>
          </w:p>
        </w:tc>
      </w:tr>
      <w:tr>
        <w:tblPrEx>
          <w:tblCellMar>
            <w:top w:w="0" w:type="dxa"/>
            <w:left w:w="0" w:type="dxa"/>
            <w:bottom w:w="0" w:type="dxa"/>
            <w:right w:w="0" w:type="dxa"/>
          </w:tblCellMar>
        </w:tblPrEx>
        <w:tc>
          <w:tcPr>
            <w:tcW w:w="551" w:type="pct"/>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w:t>
            </w:r>
          </w:p>
        </w:tc>
        <w:tc>
          <w:tcPr>
            <w:tcW w:w="1019" w:type="pct"/>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构成投标文件</w:t>
            </w:r>
            <w:r>
              <w:rPr>
                <w:rFonts w:hint="eastAsia" w:ascii="宋体" w:hAnsi="宋体" w:eastAsia="宋体" w:cs="宋体"/>
                <w:color w:val="auto"/>
                <w:sz w:val="21"/>
                <w:szCs w:val="21"/>
                <w:highlight w:val="none"/>
                <w:u w:val="single"/>
                <w:lang w:eastAsia="zh-CN"/>
              </w:rPr>
              <w:t>及定标文件</w:t>
            </w:r>
            <w:r>
              <w:rPr>
                <w:rFonts w:hint="eastAsia" w:ascii="宋体" w:hAnsi="宋体" w:eastAsia="宋体" w:cs="宋体"/>
                <w:color w:val="auto"/>
                <w:sz w:val="21"/>
                <w:szCs w:val="21"/>
                <w:highlight w:val="none"/>
                <w:lang w:eastAsia="zh-CN"/>
              </w:rPr>
              <w:t>的其他资料</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（1）按本招标文件规定需提交的其它所有资料；</w:t>
            </w:r>
          </w:p>
          <w:p>
            <w:pPr>
              <w:spacing w:line="360" w:lineRule="auto"/>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（2）投标人认为需要提交的其他资料。</w:t>
            </w:r>
          </w:p>
          <w:p>
            <w:pPr>
              <w:spacing w:line="360" w:lineRule="auto"/>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注：①投标人提交的投标文件及定标文件必须按照招标文件所提供的投标文件格式的要求如实填写（表格可以按同样格式扩展、缩小，内容项目不能变化）。</w:t>
            </w:r>
          </w:p>
          <w:p>
            <w:pPr>
              <w:spacing w:line="360" w:lineRule="auto"/>
              <w:ind w:left="220" w:leftChars="10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②投标文件及定标文件应做到清晰、完整，文本、图纸文件大小应满足交易平台的要求。除非另有规定，否则投标文件的计量单位宜采用国际标准计量单位，尺寸齐全、准确，所有文字说明和文字标注以中文为准，报价均为人民币，时间均为北京时间。</w:t>
            </w:r>
          </w:p>
          <w:p>
            <w:pPr>
              <w:spacing w:line="360" w:lineRule="auto"/>
              <w:ind w:left="220" w:leftChars="100"/>
              <w:rPr>
                <w:rFonts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eastAsia="zh-CN"/>
              </w:rPr>
              <w:t>③每个投标人报送一个投标方案，投标文件应达到招标文件规定的深度，满足评审需要。不响应招标文件要求的投标文件可能被拒绝，责任由投标人自负。</w:t>
            </w:r>
          </w:p>
        </w:tc>
      </w:tr>
      <w:tr>
        <w:tblPrEx>
          <w:tblCellMar>
            <w:top w:w="0" w:type="dxa"/>
            <w:left w:w="0" w:type="dxa"/>
            <w:bottom w:w="0" w:type="dxa"/>
            <w:right w:w="0" w:type="dxa"/>
          </w:tblCellMar>
        </w:tblPrEx>
        <w:tc>
          <w:tcPr>
            <w:tcW w:w="551" w:type="pct"/>
            <w:tcBorders>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3.1.5</w:t>
            </w:r>
          </w:p>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（新增）</w:t>
            </w:r>
          </w:p>
        </w:tc>
        <w:tc>
          <w:tcPr>
            <w:tcW w:w="1019" w:type="pct"/>
            <w:tcBorders>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保密要求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投标人不得在技术文件</w:t>
            </w:r>
            <w:r>
              <w:rPr>
                <w:rFonts w:hint="eastAsia" w:ascii="宋体" w:hAnsi="宋体" w:eastAsia="宋体" w:cs="宋体"/>
                <w:b/>
                <w:color w:val="auto"/>
                <w:spacing w:val="-2"/>
                <w:sz w:val="21"/>
                <w:szCs w:val="21"/>
                <w:highlight w:val="none"/>
                <w:lang w:eastAsia="zh-CN"/>
              </w:rPr>
              <w:t>（含设计方案部分）</w:t>
            </w:r>
            <w:r>
              <w:rPr>
                <w:rFonts w:hint="eastAsia" w:ascii="宋体" w:hAnsi="宋体" w:eastAsia="宋体" w:cs="宋体"/>
                <w:b/>
                <w:color w:val="auto"/>
                <w:sz w:val="21"/>
                <w:szCs w:val="21"/>
                <w:highlight w:val="none"/>
                <w:lang w:eastAsia="zh-CN"/>
              </w:rPr>
              <w:t>上标注或做任何可以辨认投标人及专业技术人员身份的名称、印章、商标、图形等记认符号。</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3.2.1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增值税税金的计算方法</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3.2.3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报价方式</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按招标文件第六章投标文件格式进行报价，</w:t>
            </w:r>
            <w:r>
              <w:rPr>
                <w:rFonts w:hint="eastAsia" w:ascii="宋体" w:hAnsi="宋体" w:eastAsia="宋体" w:cs="宋体"/>
                <w:color w:val="auto"/>
                <w:sz w:val="21"/>
                <w:szCs w:val="21"/>
                <w:highlight w:val="none"/>
                <w:u w:val="single"/>
                <w:lang w:eastAsia="zh-CN"/>
              </w:rPr>
              <w:t>并按招标文件有关要求进行盖章上传。</w:t>
            </w:r>
            <w:r>
              <w:rPr>
                <w:rFonts w:hint="eastAsia" w:ascii="宋体" w:hAnsi="宋体" w:eastAsia="宋体" w:cs="宋体"/>
                <w:color w:val="auto"/>
                <w:sz w:val="21"/>
                <w:szCs w:val="21"/>
                <w:highlight w:val="none"/>
                <w:lang w:eastAsia="zh-CN"/>
              </w:rPr>
              <w:t>投标人根据自身企业实力自行报价。设计费报价为投标人完成本标段工程所有工作及履行合同的成本、利润、税金及风险等。</w:t>
            </w:r>
          </w:p>
        </w:tc>
      </w:tr>
      <w:tr>
        <w:tblPrEx>
          <w:tblCellMar>
            <w:top w:w="0" w:type="dxa"/>
            <w:left w:w="0" w:type="dxa"/>
            <w:bottom w:w="0" w:type="dxa"/>
            <w:right w:w="0" w:type="dxa"/>
          </w:tblCellMar>
        </w:tblPrEx>
        <w:trPr>
          <w:trHeight w:val="90" w:hRule="atLeast"/>
        </w:trPr>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3.2.4</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最高投标限价</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□无</w:t>
            </w:r>
          </w:p>
          <w:p>
            <w:pPr>
              <w:pStyle w:val="40"/>
              <w:ind w:left="220" w:leftChars="100" w:firstLine="0" w:firstLineChars="0"/>
              <w:jc w:val="left"/>
              <w:rPr>
                <w:color w:val="auto"/>
                <w:highlight w:val="none"/>
              </w:rPr>
            </w:pPr>
            <w:r>
              <w:rPr>
                <w:rFonts w:hint="eastAsia"/>
                <w:color w:val="auto"/>
                <w:highlight w:val="none"/>
              </w:rPr>
              <w:t>■有，本项目工程设计费最高投标限价</w:t>
            </w:r>
            <w:r>
              <w:rPr>
                <w:rFonts w:hint="eastAsia"/>
                <w:color w:val="auto"/>
                <w:highlight w:val="none"/>
                <w:u w:val="single"/>
              </w:rPr>
              <w:t>为461.64</w:t>
            </w:r>
            <w:r>
              <w:rPr>
                <w:rFonts w:hint="eastAsia"/>
                <w:color w:val="auto"/>
                <w:highlight w:val="none"/>
              </w:rPr>
              <w:t>万元。其中：方案设计及初步设计费最高限价</w:t>
            </w:r>
            <w:r>
              <w:rPr>
                <w:rFonts w:hint="eastAsia"/>
                <w:color w:val="auto"/>
                <w:highlight w:val="none"/>
                <w:u w:val="single"/>
              </w:rPr>
              <w:t>435.23</w:t>
            </w:r>
            <w:r>
              <w:rPr>
                <w:rFonts w:hint="eastAsia"/>
                <w:color w:val="auto"/>
                <w:highlight w:val="none"/>
              </w:rPr>
              <w:t>万元；BIM技术方案设计及初步设计费最高限价为</w:t>
            </w:r>
            <w:r>
              <w:rPr>
                <w:rFonts w:hint="eastAsia"/>
                <w:color w:val="auto"/>
                <w:highlight w:val="none"/>
                <w:u w:val="single"/>
              </w:rPr>
              <w:t>26.41</w:t>
            </w:r>
            <w:r>
              <w:rPr>
                <w:rFonts w:hint="eastAsia"/>
                <w:color w:val="auto"/>
                <w:highlight w:val="none"/>
              </w:rPr>
              <w:t>万元；（详见招标公告），投标人的投标报价高于最高投标限价的均为无效标。</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3.2.5</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投标报价的其他要求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投标人必须详细审阅全部招标文件及工程可行性研究报告等,充分考虑职责和义务,全面地理解招标文件对投标报价的要求,并按招标人提出的条件及内容进行报价。</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3.3.1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投标有效期</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120</w:t>
            </w:r>
            <w:r>
              <w:rPr>
                <w:rFonts w:hint="eastAsia" w:ascii="宋体" w:hAnsi="宋体" w:eastAsia="宋体" w:cs="宋体"/>
                <w:color w:val="auto"/>
                <w:sz w:val="21"/>
                <w:szCs w:val="21"/>
                <w:highlight w:val="none"/>
                <w:lang w:eastAsia="zh-CN"/>
              </w:rPr>
              <w:t>日历天（从投标截止之日算起）</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3.4.1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投标保证金</w:t>
            </w:r>
          </w:p>
        </w:tc>
        <w:tc>
          <w:tcPr>
            <w:tcW w:w="3429"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是否</w:t>
            </w:r>
            <w:r>
              <w:rPr>
                <w:rFonts w:hint="eastAsia" w:ascii="宋体" w:hAnsi="宋体" w:eastAsia="宋体" w:cs="宋体"/>
                <w:color w:val="auto"/>
                <w:spacing w:val="-2"/>
                <w:sz w:val="21"/>
                <w:szCs w:val="21"/>
                <w:highlight w:val="none"/>
                <w:lang w:eastAsia="zh-CN"/>
              </w:rPr>
              <w:t>要</w:t>
            </w:r>
            <w:r>
              <w:rPr>
                <w:rFonts w:hint="eastAsia" w:ascii="宋体" w:hAnsi="宋体" w:eastAsia="宋体" w:cs="宋体"/>
                <w:color w:val="auto"/>
                <w:sz w:val="21"/>
                <w:szCs w:val="21"/>
                <w:highlight w:val="none"/>
                <w:lang w:eastAsia="zh-CN"/>
              </w:rPr>
              <w:t>求</w:t>
            </w:r>
            <w:r>
              <w:rPr>
                <w:rFonts w:hint="eastAsia" w:ascii="宋体" w:hAnsi="宋体" w:eastAsia="宋体" w:cs="宋体"/>
                <w:color w:val="auto"/>
                <w:spacing w:val="-2"/>
                <w:sz w:val="21"/>
                <w:szCs w:val="21"/>
                <w:highlight w:val="none"/>
                <w:lang w:eastAsia="zh-CN"/>
              </w:rPr>
              <w:t>投</w:t>
            </w:r>
            <w:r>
              <w:rPr>
                <w:rFonts w:hint="eastAsia" w:ascii="宋体" w:hAnsi="宋体" w:eastAsia="宋体" w:cs="宋体"/>
                <w:color w:val="auto"/>
                <w:sz w:val="21"/>
                <w:szCs w:val="21"/>
                <w:highlight w:val="none"/>
                <w:lang w:eastAsia="zh-CN"/>
              </w:rPr>
              <w:t>标</w:t>
            </w:r>
            <w:r>
              <w:rPr>
                <w:rFonts w:hint="eastAsia" w:ascii="宋体" w:hAnsi="宋体" w:eastAsia="宋体" w:cs="宋体"/>
                <w:color w:val="auto"/>
                <w:spacing w:val="-2"/>
                <w:sz w:val="21"/>
                <w:szCs w:val="21"/>
                <w:highlight w:val="none"/>
                <w:lang w:eastAsia="zh-CN"/>
              </w:rPr>
              <w:t>人</w:t>
            </w:r>
            <w:r>
              <w:rPr>
                <w:rFonts w:hint="eastAsia" w:ascii="宋体" w:hAnsi="宋体" w:eastAsia="宋体" w:cs="宋体"/>
                <w:color w:val="auto"/>
                <w:sz w:val="21"/>
                <w:szCs w:val="21"/>
                <w:highlight w:val="none"/>
                <w:lang w:eastAsia="zh-CN"/>
              </w:rPr>
              <w:t>递</w:t>
            </w:r>
            <w:r>
              <w:rPr>
                <w:rFonts w:hint="eastAsia" w:ascii="宋体" w:hAnsi="宋体" w:eastAsia="宋体" w:cs="宋体"/>
                <w:color w:val="auto"/>
                <w:spacing w:val="-2"/>
                <w:sz w:val="21"/>
                <w:szCs w:val="21"/>
                <w:highlight w:val="none"/>
                <w:lang w:eastAsia="zh-CN"/>
              </w:rPr>
              <w:t>交</w:t>
            </w:r>
            <w:r>
              <w:rPr>
                <w:rFonts w:hint="eastAsia" w:ascii="宋体" w:hAnsi="宋体" w:eastAsia="宋体" w:cs="宋体"/>
                <w:color w:val="auto"/>
                <w:sz w:val="21"/>
                <w:szCs w:val="21"/>
                <w:highlight w:val="none"/>
                <w:lang w:eastAsia="zh-CN"/>
              </w:rPr>
              <w:t>投</w:t>
            </w:r>
            <w:r>
              <w:rPr>
                <w:rFonts w:hint="eastAsia" w:ascii="宋体" w:hAnsi="宋体" w:eastAsia="宋体" w:cs="宋体"/>
                <w:color w:val="auto"/>
                <w:spacing w:val="-2"/>
                <w:sz w:val="21"/>
                <w:szCs w:val="21"/>
                <w:highlight w:val="none"/>
                <w:lang w:eastAsia="zh-CN"/>
              </w:rPr>
              <w:t>标</w:t>
            </w:r>
            <w:r>
              <w:rPr>
                <w:rFonts w:hint="eastAsia" w:ascii="宋体" w:hAnsi="宋体" w:eastAsia="宋体" w:cs="宋体"/>
                <w:color w:val="auto"/>
                <w:sz w:val="21"/>
                <w:szCs w:val="21"/>
                <w:highlight w:val="none"/>
                <w:lang w:eastAsia="zh-CN"/>
              </w:rPr>
              <w:t>保证</w:t>
            </w:r>
            <w:r>
              <w:rPr>
                <w:rFonts w:hint="eastAsia" w:ascii="宋体" w:hAnsi="宋体" w:eastAsia="宋体" w:cs="宋体"/>
                <w:color w:val="auto"/>
                <w:spacing w:val="-2"/>
                <w:sz w:val="21"/>
                <w:szCs w:val="21"/>
                <w:highlight w:val="none"/>
                <w:lang w:eastAsia="zh-CN"/>
              </w:rPr>
              <w:t>金</w:t>
            </w:r>
            <w:r>
              <w:rPr>
                <w:rFonts w:hint="eastAsia" w:ascii="宋体" w:hAnsi="宋体" w:eastAsia="宋体" w:cs="宋体"/>
                <w:color w:val="auto"/>
                <w:sz w:val="21"/>
                <w:szCs w:val="21"/>
                <w:highlight w:val="none"/>
                <w:lang w:eastAsia="zh-CN"/>
              </w:rPr>
              <w:t>：</w:t>
            </w:r>
          </w:p>
          <w:p>
            <w:pPr>
              <w:pStyle w:val="7"/>
              <w:ind w:left="218" w:leftChars="99" w:firstLine="0"/>
              <w:rPr>
                <w:rFonts w:ascii="宋体" w:hAnsi="宋体" w:cs="宋体"/>
                <w:color w:val="auto"/>
                <w:sz w:val="21"/>
                <w:szCs w:val="21"/>
                <w:highlight w:val="none"/>
              </w:rPr>
            </w:pPr>
            <w:r>
              <w:rPr>
                <w:rFonts w:hint="eastAsia" w:ascii="宋体" w:hAnsi="宋体" w:cs="宋体"/>
                <w:b w:val="0"/>
                <w:color w:val="auto"/>
                <w:sz w:val="21"/>
                <w:szCs w:val="21"/>
                <w:highlight w:val="none"/>
              </w:rPr>
              <w:t>□要求</w:t>
            </w:r>
          </w:p>
          <w:p>
            <w:pPr>
              <w:pStyle w:val="7"/>
              <w:ind w:left="218" w:leftChars="99" w:firstLine="0"/>
              <w:rPr>
                <w:rFonts w:ascii="宋体" w:hAnsi="宋体" w:cs="宋体"/>
                <w:color w:val="auto"/>
                <w:sz w:val="21"/>
                <w:szCs w:val="21"/>
                <w:highlight w:val="none"/>
              </w:rPr>
            </w:pPr>
            <w:r>
              <w:rPr>
                <w:rFonts w:hint="eastAsia" w:ascii="宋体" w:hAnsi="宋体" w:cs="宋体"/>
                <w:color w:val="auto"/>
                <w:sz w:val="21"/>
                <w:szCs w:val="21"/>
                <w:highlight w:val="none"/>
              </w:rPr>
              <w:t>■不要求</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3.4.4</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其他可以不予退还投标保证金的情形</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3.5</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资格审查资料的特殊要求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topLinePunct/>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w:t>
            </w:r>
          </w:p>
          <w:p>
            <w:pPr>
              <w:topLinePunct/>
              <w:spacing w:line="360" w:lineRule="auto"/>
              <w:ind w:left="218" w:leftChars="99"/>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■有，具体要求：</w:t>
            </w:r>
          </w:p>
          <w:p>
            <w:pPr>
              <w:topLinePunct/>
              <w:spacing w:line="360" w:lineRule="auto"/>
              <w:ind w:left="218" w:leftChars="99"/>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本招标项目不要求提供“投标人基本情况表”、“近年财务状况表”、“近年发生的诉讼及仲裁情况”、“近年完成的类似设计项目情况表”、“正在设计和新承接的项目情况表”、“拟委任的主要人员汇总表”，以上内容不作为资格审查内容；如本招标项目要求提供以上资料，则不作为资格审查内容，仅作为评标资料（如有）。</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3.5.2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近年财务状况的年份要求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3.5.3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近年完成的类似项目情况的时间要求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3.5.5</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近年发生的诉讼及仲裁情况的时间要求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18" w:leftChars="9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3.6.1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是否允许递交备选投标方案</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tabs>
                <w:tab w:val="left" w:pos="220"/>
              </w:tabs>
              <w:ind w:left="220" w:leftChars="100" w:firstLine="0" w:firstLineChars="0"/>
              <w:jc w:val="left"/>
              <w:rPr>
                <w:color w:val="auto"/>
                <w:highlight w:val="none"/>
              </w:rPr>
            </w:pPr>
            <w:r>
              <w:rPr>
                <w:rFonts w:hint="eastAsia"/>
                <w:color w:val="auto"/>
                <w:highlight w:val="none"/>
              </w:rPr>
              <w:t>■不允许</w:t>
            </w:r>
          </w:p>
          <w:p>
            <w:pPr>
              <w:pStyle w:val="40"/>
              <w:tabs>
                <w:tab w:val="left" w:pos="220"/>
              </w:tabs>
              <w:ind w:left="220" w:leftChars="100" w:firstLine="0" w:firstLineChars="0"/>
              <w:jc w:val="left"/>
              <w:rPr>
                <w:color w:val="auto"/>
                <w:highlight w:val="none"/>
              </w:rPr>
            </w:pPr>
            <w:r>
              <w:rPr>
                <w:rFonts w:hint="eastAsia"/>
                <w:color w:val="auto"/>
                <w:highlight w:val="none"/>
              </w:rPr>
              <w:t>□允许</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3.7.3（A）</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tabs>
                <w:tab w:val="left" w:pos="220"/>
              </w:tabs>
              <w:ind w:left="220" w:leftChars="100" w:firstLine="0" w:firstLineChars="0"/>
              <w:jc w:val="left"/>
              <w:rPr>
                <w:color w:val="auto"/>
                <w:highlight w:val="none"/>
              </w:rPr>
            </w:pPr>
            <w:r>
              <w:rPr>
                <w:rFonts w:hint="eastAsia"/>
                <w:color w:val="auto"/>
                <w:highlight w:val="none"/>
              </w:rPr>
              <w:t>删除。</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3.7.3（B）</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u w:val="single"/>
                <w:lang w:eastAsia="zh-CN"/>
              </w:rPr>
              <w:t>及定标文件</w:t>
            </w:r>
            <w:r>
              <w:rPr>
                <w:rFonts w:hint="eastAsia" w:ascii="宋体" w:hAnsi="宋体" w:eastAsia="宋体" w:cs="宋体"/>
                <w:color w:val="auto"/>
                <w:sz w:val="21"/>
                <w:szCs w:val="21"/>
                <w:highlight w:val="none"/>
                <w:lang w:eastAsia="zh-CN"/>
              </w:rPr>
              <w:t>所附证书证件要求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9"/>
              <w:topLinePunct/>
              <w:spacing w:line="360" w:lineRule="auto"/>
              <w:ind w:left="218" w:leftChars="99"/>
              <w:rPr>
                <w:rFonts w:hAnsi="宋体" w:cs="宋体"/>
                <w:color w:val="auto"/>
                <w:sz w:val="21"/>
                <w:szCs w:val="21"/>
                <w:highlight w:val="none"/>
                <w:lang w:eastAsia="zh-CN"/>
              </w:rPr>
            </w:pPr>
            <w:r>
              <w:rPr>
                <w:rFonts w:hint="eastAsia" w:hAnsi="宋体" w:cs="宋体"/>
                <w:color w:val="auto"/>
                <w:sz w:val="21"/>
                <w:szCs w:val="21"/>
                <w:highlight w:val="none"/>
                <w:lang w:eastAsia="zh-CN"/>
              </w:rPr>
              <w:t>证书证件需为清晰彩色扫描件，并采用单位数字证书，按照招标文件要求在相应位置加盖电子印章。</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3.7.3（B）</w:t>
            </w:r>
          </w:p>
        </w:tc>
        <w:tc>
          <w:tcPr>
            <w:tcW w:w="101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u w:val="single"/>
                <w:lang w:eastAsia="zh-CN"/>
              </w:rPr>
              <w:t>及定标文件</w:t>
            </w:r>
            <w:r>
              <w:rPr>
                <w:rFonts w:hint="eastAsia" w:ascii="宋体" w:hAnsi="宋体" w:eastAsia="宋体" w:cs="宋体"/>
                <w:color w:val="auto"/>
                <w:sz w:val="21"/>
                <w:szCs w:val="21"/>
                <w:highlight w:val="none"/>
                <w:lang w:eastAsia="zh-CN"/>
              </w:rPr>
              <w:t>签字或盖章要求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9"/>
              <w:topLinePunct/>
              <w:snapToGrid w:val="0"/>
              <w:spacing w:line="360" w:lineRule="auto"/>
              <w:ind w:left="218" w:leftChars="99"/>
              <w:rPr>
                <w:rFonts w:hAnsi="宋体" w:cs="宋体"/>
                <w:color w:val="auto"/>
                <w:sz w:val="21"/>
                <w:szCs w:val="21"/>
                <w:highlight w:val="none"/>
                <w:u w:val="single"/>
                <w:lang w:eastAsia="zh-CN"/>
              </w:rPr>
            </w:pPr>
            <w:r>
              <w:rPr>
                <w:rFonts w:hint="eastAsia" w:hAnsi="宋体" w:cs="宋体"/>
                <w:color w:val="auto"/>
                <w:sz w:val="21"/>
                <w:szCs w:val="21"/>
                <w:highlight w:val="none"/>
                <w:u w:val="single"/>
                <w:lang w:eastAsia="zh-CN"/>
              </w:rPr>
              <w:t>投标文件中需法定代表人、代理人签字或盖章的，应加盖个人电子印章或在线下完成后扫描上传。投标人应采用单位数字证书，投标文件按招标文件要求在相应位置加盖电子印章。相关操作详见</w:t>
            </w:r>
            <w:r>
              <w:rPr>
                <w:rFonts w:hint="eastAsia" w:hAnsi="宋体" w:cs="宋体"/>
                <w:color w:val="auto"/>
                <w:sz w:val="21"/>
                <w:szCs w:val="21"/>
                <w:highlight w:val="none"/>
                <w:lang w:eastAsia="zh-CN"/>
              </w:rPr>
              <w:t>《建设工程全流程电子化项目操作指南（适用于投标人）》</w:t>
            </w:r>
            <w:r>
              <w:rPr>
                <w:rFonts w:hint="eastAsia" w:hAnsi="宋体" w:cs="宋体"/>
                <w:color w:val="auto"/>
                <w:sz w:val="21"/>
                <w:szCs w:val="21"/>
                <w:highlight w:val="none"/>
                <w:u w:val="singl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3.7.4</w:t>
            </w:r>
          </w:p>
          <w:p>
            <w:pPr>
              <w:snapToGrid w:val="0"/>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（增加）</w:t>
            </w:r>
          </w:p>
        </w:tc>
        <w:tc>
          <w:tcPr>
            <w:tcW w:w="101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暗标的具体要求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9"/>
              <w:topLinePunct/>
              <w:snapToGrid w:val="0"/>
              <w:spacing w:line="360" w:lineRule="auto"/>
              <w:ind w:left="218" w:leftChars="99"/>
              <w:rPr>
                <w:rFonts w:hAnsi="宋体" w:cs="宋体"/>
                <w:color w:val="auto"/>
                <w:sz w:val="21"/>
                <w:szCs w:val="21"/>
                <w:highlight w:val="none"/>
                <w:u w:val="single"/>
                <w:lang w:eastAsia="zh-CN"/>
              </w:rPr>
            </w:pPr>
            <w:r>
              <w:rPr>
                <w:rFonts w:hint="eastAsia" w:hAnsi="宋体" w:cs="宋体"/>
                <w:color w:val="auto"/>
                <w:sz w:val="21"/>
                <w:szCs w:val="21"/>
                <w:highlight w:val="none"/>
                <w:lang w:eastAsia="zh-CN"/>
              </w:rPr>
              <w:t>技术标中不能辨认出投标人或其专业技术人员的身份。不在设计方案上标注或做任何可以辨认投标人及专业技术人员身份的名称、印章、商标、图形等记认符号。</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4.1.1（A）</w:t>
            </w:r>
          </w:p>
        </w:tc>
        <w:tc>
          <w:tcPr>
            <w:tcW w:w="101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9"/>
              <w:topLinePunct/>
              <w:snapToGrid w:val="0"/>
              <w:spacing w:line="360" w:lineRule="auto"/>
              <w:ind w:left="218" w:leftChars="99"/>
              <w:rPr>
                <w:rFonts w:hAnsi="宋体" w:cs="宋体"/>
                <w:color w:val="auto"/>
                <w:sz w:val="21"/>
                <w:szCs w:val="21"/>
                <w:highlight w:val="none"/>
                <w:u w:val="single"/>
                <w:lang w:eastAsia="zh-CN"/>
              </w:rPr>
            </w:pPr>
            <w:r>
              <w:rPr>
                <w:rFonts w:hint="eastAsia" w:hAnsi="宋体" w:cs="宋体"/>
                <w:color w:val="auto"/>
                <w:sz w:val="21"/>
                <w:szCs w:val="21"/>
                <w:highlight w:val="none"/>
                <w:u w:val="single"/>
                <w:lang w:eastAsia="zh-CN"/>
              </w:rPr>
              <w:t>删除。</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4.1.1（B）</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投标文件</w:t>
            </w:r>
            <w:r>
              <w:rPr>
                <w:rFonts w:hint="eastAsia"/>
                <w:color w:val="auto"/>
                <w:highlight w:val="none"/>
                <w:u w:val="single"/>
              </w:rPr>
              <w:t>及定标文件</w:t>
            </w:r>
            <w:r>
              <w:rPr>
                <w:rFonts w:hint="eastAsia"/>
                <w:color w:val="auto"/>
                <w:highlight w:val="none"/>
              </w:rPr>
              <w:t>加密要求</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网上递交的电子投标文件须进行加密。未按要求加密的投标文件，交易平台将予以拒收。具体操作详见《建设工程全流程电子化项目操作指南（适用于投标人）》。</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4.1.2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封套上应载明的信息</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对递交的备用投标文件</w:t>
            </w:r>
            <w:r>
              <w:rPr>
                <w:rFonts w:hint="eastAsia"/>
                <w:color w:val="auto"/>
                <w:highlight w:val="none"/>
                <w:u w:val="single"/>
              </w:rPr>
              <w:t>及定标文件</w:t>
            </w:r>
            <w:r>
              <w:rPr>
                <w:rFonts w:hint="eastAsia"/>
                <w:color w:val="auto"/>
                <w:highlight w:val="none"/>
              </w:rPr>
              <w:t>电子光盘及保密信封要求封装。</w:t>
            </w:r>
          </w:p>
          <w:p>
            <w:pPr>
              <w:pStyle w:val="40"/>
              <w:ind w:left="220" w:leftChars="100" w:firstLine="0" w:firstLineChars="0"/>
              <w:jc w:val="left"/>
              <w:rPr>
                <w:color w:val="auto"/>
                <w:highlight w:val="none"/>
              </w:rPr>
            </w:pPr>
            <w:r>
              <w:rPr>
                <w:rFonts w:hint="eastAsia"/>
                <w:color w:val="auto"/>
                <w:highlight w:val="none"/>
              </w:rPr>
              <w:t>（1）商务文件封套上应载明：</w:t>
            </w:r>
          </w:p>
          <w:p>
            <w:pPr>
              <w:pStyle w:val="40"/>
              <w:ind w:left="220" w:leftChars="100" w:firstLine="0" w:firstLineChars="0"/>
              <w:jc w:val="left"/>
              <w:rPr>
                <w:color w:val="auto"/>
                <w:highlight w:val="none"/>
              </w:rPr>
            </w:pPr>
            <w:r>
              <w:rPr>
                <w:rFonts w:hint="eastAsia"/>
                <w:color w:val="auto"/>
                <w:highlight w:val="none"/>
              </w:rPr>
              <w:t>招标人名称：</w:t>
            </w:r>
          </w:p>
          <w:p>
            <w:pPr>
              <w:pStyle w:val="40"/>
              <w:ind w:left="220" w:leftChars="100" w:firstLine="0" w:firstLineChars="0"/>
              <w:jc w:val="left"/>
              <w:rPr>
                <w:color w:val="auto"/>
                <w:highlight w:val="none"/>
              </w:rPr>
            </w:pPr>
            <w:r>
              <w:rPr>
                <w:rFonts w:hint="eastAsia"/>
                <w:color w:val="auto"/>
                <w:highlight w:val="none"/>
              </w:rPr>
              <w:t xml:space="preserve">     （项目名称）        商务文件</w:t>
            </w:r>
          </w:p>
          <w:p>
            <w:pPr>
              <w:pStyle w:val="40"/>
              <w:ind w:left="220" w:leftChars="100" w:firstLine="0" w:firstLineChars="0"/>
              <w:jc w:val="left"/>
              <w:rPr>
                <w:color w:val="auto"/>
                <w:highlight w:val="none"/>
              </w:rPr>
            </w:pPr>
            <w:r>
              <w:rPr>
                <w:rFonts w:hint="eastAsia"/>
                <w:color w:val="auto"/>
                <w:highlight w:val="none"/>
              </w:rPr>
              <w:t>投标人名称：</w:t>
            </w:r>
          </w:p>
          <w:p>
            <w:pPr>
              <w:pStyle w:val="40"/>
              <w:ind w:left="220" w:leftChars="100" w:firstLine="0" w:firstLineChars="0"/>
              <w:jc w:val="left"/>
              <w:rPr>
                <w:color w:val="auto"/>
                <w:highlight w:val="none"/>
              </w:rPr>
            </w:pPr>
            <w:r>
              <w:rPr>
                <w:rFonts w:hint="eastAsia"/>
                <w:color w:val="auto"/>
                <w:highlight w:val="none"/>
              </w:rPr>
              <w:t>（2）技术文件封套上应载明：</w:t>
            </w:r>
          </w:p>
          <w:p>
            <w:pPr>
              <w:pStyle w:val="40"/>
              <w:ind w:left="220" w:leftChars="100" w:firstLine="0" w:firstLineChars="0"/>
              <w:jc w:val="left"/>
              <w:rPr>
                <w:color w:val="auto"/>
                <w:highlight w:val="none"/>
              </w:rPr>
            </w:pPr>
            <w:r>
              <w:rPr>
                <w:rFonts w:hint="eastAsia"/>
                <w:color w:val="auto"/>
                <w:highlight w:val="none"/>
              </w:rPr>
              <w:t>招标人名称：</w:t>
            </w:r>
          </w:p>
          <w:p>
            <w:pPr>
              <w:pStyle w:val="40"/>
              <w:ind w:left="220" w:leftChars="100" w:firstLine="0" w:firstLineChars="0"/>
              <w:jc w:val="left"/>
              <w:rPr>
                <w:color w:val="auto"/>
                <w:highlight w:val="none"/>
              </w:rPr>
            </w:pPr>
            <w:r>
              <w:rPr>
                <w:rFonts w:hint="eastAsia"/>
                <w:color w:val="auto"/>
                <w:highlight w:val="none"/>
              </w:rPr>
              <w:t xml:space="preserve">     （项目名称）        技术文件</w:t>
            </w:r>
          </w:p>
          <w:p>
            <w:pPr>
              <w:pStyle w:val="40"/>
              <w:ind w:left="220" w:leftChars="100" w:firstLine="0" w:firstLineChars="0"/>
              <w:jc w:val="left"/>
              <w:rPr>
                <w:color w:val="auto"/>
                <w:highlight w:val="none"/>
              </w:rPr>
            </w:pPr>
            <w:r>
              <w:rPr>
                <w:rFonts w:hint="eastAsia"/>
                <w:color w:val="auto"/>
                <w:highlight w:val="none"/>
              </w:rPr>
              <w:t>（3）保密信封封套上应载明：</w:t>
            </w:r>
          </w:p>
          <w:p>
            <w:pPr>
              <w:pStyle w:val="40"/>
              <w:ind w:left="220" w:leftChars="100" w:firstLine="0" w:firstLineChars="0"/>
              <w:jc w:val="left"/>
              <w:rPr>
                <w:color w:val="auto"/>
                <w:highlight w:val="none"/>
              </w:rPr>
            </w:pPr>
            <w:r>
              <w:rPr>
                <w:rFonts w:hint="eastAsia"/>
                <w:color w:val="auto"/>
                <w:highlight w:val="none"/>
              </w:rPr>
              <w:t>招标人名称：</w:t>
            </w:r>
          </w:p>
          <w:p>
            <w:pPr>
              <w:pStyle w:val="40"/>
              <w:ind w:left="220" w:leftChars="100" w:firstLine="0" w:firstLineChars="0"/>
              <w:jc w:val="left"/>
              <w:rPr>
                <w:color w:val="auto"/>
                <w:highlight w:val="none"/>
              </w:rPr>
            </w:pPr>
            <w:r>
              <w:rPr>
                <w:rFonts w:hint="eastAsia"/>
                <w:color w:val="auto"/>
                <w:highlight w:val="none"/>
              </w:rPr>
              <w:t xml:space="preserve">     （项目名称）        保密信封</w:t>
            </w:r>
          </w:p>
          <w:p>
            <w:pPr>
              <w:pStyle w:val="40"/>
              <w:ind w:left="220" w:leftChars="100" w:firstLine="0" w:firstLineChars="0"/>
              <w:jc w:val="left"/>
              <w:rPr>
                <w:color w:val="auto"/>
                <w:highlight w:val="none"/>
              </w:rPr>
            </w:pPr>
            <w:r>
              <w:rPr>
                <w:rFonts w:hint="eastAsia"/>
                <w:color w:val="auto"/>
                <w:highlight w:val="none"/>
              </w:rPr>
              <w:t>注：如提交技术方案文件备用光盘及保密信封的，封面及封口不需要盖章。</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投标截止时间</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2024年   月    日  时  分</w:t>
            </w:r>
          </w:p>
          <w:p>
            <w:pPr>
              <w:pStyle w:val="40"/>
              <w:ind w:left="220" w:leftChars="100" w:firstLine="0" w:firstLineChars="0"/>
              <w:jc w:val="left"/>
              <w:rPr>
                <w:color w:val="auto"/>
                <w:highlight w:val="none"/>
              </w:rPr>
            </w:pPr>
            <w:r>
              <w:rPr>
                <w:rFonts w:hint="eastAsia"/>
                <w:color w:val="auto"/>
                <w:highlight w:val="none"/>
              </w:rPr>
              <w:t>本项目各项投标活动具体可通过广州公共资源交易中心网站查询具体的时间和场地安排。投标人可登录广州公共资源交易中心网站首页，点击“交易业务-建设工程”专栏中的“项目查询（日程安排、答疑纪要）”，输入项目编号或项目名称查询最新信息。本项目各项投标活动的时间和场地安排是否有变化，请密切留意补充公告和招标答疑纪要的相关信息。</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4.2.2（A）</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递交投标文件</w:t>
            </w:r>
            <w:r>
              <w:rPr>
                <w:rFonts w:hint="eastAsia"/>
                <w:color w:val="auto"/>
                <w:highlight w:val="none"/>
                <w:u w:val="single"/>
              </w:rPr>
              <w:t>及定标文件</w:t>
            </w:r>
            <w:r>
              <w:rPr>
                <w:rFonts w:hint="eastAsia"/>
                <w:color w:val="auto"/>
                <w:highlight w:val="none"/>
              </w:rPr>
              <w:t>地点</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删除</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4.2.2（B）</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递交投标文件</w:t>
            </w:r>
            <w:r>
              <w:rPr>
                <w:rFonts w:hint="eastAsia"/>
                <w:color w:val="auto"/>
                <w:highlight w:val="none"/>
                <w:u w:val="single"/>
              </w:rPr>
              <w:t>及定标文件</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18" w:leftChars="99" w:firstLine="0" w:firstLineChars="0"/>
              <w:jc w:val="left"/>
              <w:rPr>
                <w:color w:val="auto"/>
                <w:highlight w:val="none"/>
              </w:rPr>
            </w:pPr>
            <w:r>
              <w:rPr>
                <w:rFonts w:hint="eastAsia"/>
                <w:color w:val="auto"/>
                <w:highlight w:val="none"/>
              </w:rPr>
              <w:t>1、投标人登录广州公共资源交易中心交易平台递交电子投标文件。</w:t>
            </w:r>
          </w:p>
          <w:p>
            <w:pPr>
              <w:pStyle w:val="40"/>
              <w:ind w:left="218" w:leftChars="99" w:firstLine="0" w:firstLineChars="0"/>
              <w:jc w:val="left"/>
              <w:rPr>
                <w:color w:val="auto"/>
                <w:highlight w:val="none"/>
              </w:rPr>
            </w:pPr>
            <w:r>
              <w:rPr>
                <w:rFonts w:hint="eastAsia"/>
                <w:color w:val="auto"/>
                <w:highlight w:val="none"/>
              </w:rPr>
              <w:t>2、投标人完成电子投标文件上传后，交易平台即时向投标人发出递交回执通知。递交时间以递交回执通知载明的传输完成时间为准。</w:t>
            </w:r>
          </w:p>
          <w:p>
            <w:pPr>
              <w:pStyle w:val="40"/>
              <w:ind w:left="218" w:leftChars="99" w:firstLine="0" w:firstLineChars="0"/>
              <w:jc w:val="left"/>
              <w:rPr>
                <w:color w:val="auto"/>
                <w:highlight w:val="none"/>
              </w:rPr>
            </w:pPr>
            <w:r>
              <w:rPr>
                <w:rFonts w:hint="eastAsia"/>
                <w:color w:val="auto"/>
                <w:highlight w:val="none"/>
              </w:rPr>
              <w:t>3、如按招标公告要求需要提交投标文件光盘（备用），备用光盘不得加密。如使用投标文件光盘（备用）时无法读取或导入的，则视为未提交投标文件。</w:t>
            </w:r>
          </w:p>
          <w:p>
            <w:pPr>
              <w:pStyle w:val="40"/>
              <w:ind w:left="218" w:leftChars="99" w:firstLine="0" w:firstLineChars="0"/>
              <w:jc w:val="left"/>
              <w:rPr>
                <w:color w:val="auto"/>
                <w:highlight w:val="none"/>
              </w:rPr>
            </w:pPr>
            <w:r>
              <w:rPr>
                <w:rFonts w:hint="eastAsia"/>
                <w:bCs/>
                <w:color w:val="auto"/>
                <w:highlight w:val="none"/>
              </w:rPr>
              <w:t>4、</w:t>
            </w:r>
            <w:r>
              <w:rPr>
                <w:rFonts w:hint="eastAsia"/>
                <w:color w:val="auto"/>
                <w:highlight w:val="none"/>
              </w:rPr>
              <w:t>逾期送达的投标文件，交易平台将予以拒收。</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投标文件</w:t>
            </w:r>
            <w:r>
              <w:rPr>
                <w:rFonts w:hint="eastAsia"/>
                <w:color w:val="auto"/>
                <w:highlight w:val="none"/>
                <w:u w:val="single"/>
              </w:rPr>
              <w:t>及定标文件</w:t>
            </w:r>
            <w:r>
              <w:rPr>
                <w:rFonts w:hint="eastAsia"/>
                <w:color w:val="auto"/>
                <w:highlight w:val="none"/>
              </w:rPr>
              <w:t>是否退还</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■否</w:t>
            </w:r>
          </w:p>
          <w:p>
            <w:pPr>
              <w:pStyle w:val="40"/>
              <w:ind w:left="220" w:leftChars="100" w:firstLine="0" w:firstLineChars="0"/>
              <w:jc w:val="left"/>
              <w:rPr>
                <w:color w:val="auto"/>
                <w:highlight w:val="none"/>
              </w:rPr>
            </w:pPr>
            <w:r>
              <w:rPr>
                <w:rFonts w:hint="eastAsia"/>
                <w:color w:val="auto"/>
                <w:highlight w:val="none"/>
              </w:rPr>
              <w:t>□是，退还时间：</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4.2.4（A）</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删除。</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4.2.5（A）</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删除。</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4.2.6（增加）</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投标时间</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1、投标截止时间自本工程招标公告发布之日起计。</w:t>
            </w:r>
          </w:p>
          <w:p>
            <w:pPr>
              <w:pStyle w:val="40"/>
              <w:ind w:left="220" w:leftChars="100" w:firstLine="0" w:firstLineChars="0"/>
              <w:jc w:val="left"/>
              <w:rPr>
                <w:color w:val="auto"/>
                <w:highlight w:val="none"/>
              </w:rPr>
            </w:pPr>
            <w:r>
              <w:rPr>
                <w:rFonts w:hint="eastAsia"/>
                <w:color w:val="auto"/>
                <w:highlight w:val="none"/>
              </w:rPr>
              <w:t>2、具体投标截止时间以招标人（招标代理机构）的最新通知为准，请各投标人留意交易平台网站发布的本工程相关信息。</w:t>
            </w:r>
          </w:p>
          <w:p>
            <w:pPr>
              <w:pStyle w:val="40"/>
              <w:ind w:left="220" w:leftChars="100" w:firstLine="0" w:firstLineChars="0"/>
              <w:jc w:val="left"/>
              <w:rPr>
                <w:color w:val="auto"/>
                <w:highlight w:val="none"/>
              </w:rPr>
            </w:pPr>
            <w:r>
              <w:rPr>
                <w:rFonts w:hint="eastAsia"/>
                <w:color w:val="auto"/>
                <w:highlight w:val="none"/>
              </w:rPr>
              <w:t>3、到投标截止时间止，招标人收到的投标文件少于3家的，招标人将重新组织招标。</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4.3</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投标文件</w:t>
            </w:r>
            <w:r>
              <w:rPr>
                <w:rFonts w:hint="eastAsia"/>
                <w:color w:val="auto"/>
                <w:highlight w:val="none"/>
                <w:u w:val="single"/>
              </w:rPr>
              <w:t>及定标文件</w:t>
            </w:r>
            <w:r>
              <w:rPr>
                <w:rFonts w:hint="eastAsia"/>
                <w:color w:val="auto"/>
                <w:highlight w:val="none"/>
              </w:rPr>
              <w:t>的修改与撤回</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1、在规定的投标截止时间前，投标人可以修改或撤回已递交的投标文件。</w:t>
            </w:r>
          </w:p>
          <w:p>
            <w:pPr>
              <w:pStyle w:val="40"/>
              <w:ind w:left="220" w:leftChars="100" w:firstLine="0" w:firstLineChars="0"/>
              <w:jc w:val="left"/>
              <w:rPr>
                <w:color w:val="auto"/>
                <w:highlight w:val="none"/>
              </w:rPr>
            </w:pPr>
            <w:r>
              <w:rPr>
                <w:rFonts w:hint="eastAsia"/>
                <w:color w:val="auto"/>
                <w:highlight w:val="none"/>
              </w:rPr>
              <w:t>2、投标人修改或撤回已递交的投标文件，需在交易平台发出撤回通知，并按要求加盖电子印章。电子招标投标交易平台收到通知后，即时向投标人发布确认回执通知。</w:t>
            </w:r>
          </w:p>
          <w:p>
            <w:pPr>
              <w:pStyle w:val="40"/>
              <w:ind w:left="220" w:leftChars="100" w:firstLine="0" w:firstLineChars="0"/>
              <w:jc w:val="left"/>
              <w:rPr>
                <w:color w:val="auto"/>
                <w:highlight w:val="none"/>
              </w:rPr>
            </w:pPr>
            <w:r>
              <w:rPr>
                <w:rFonts w:hint="eastAsia"/>
                <w:color w:val="auto"/>
                <w:highlight w:val="none"/>
              </w:rPr>
              <w:t>3、修改后再次递交的，按4.2.2（B）的规定执行。</w:t>
            </w:r>
          </w:p>
          <w:p>
            <w:pPr>
              <w:pStyle w:val="40"/>
              <w:ind w:left="220" w:leftChars="100" w:firstLine="0" w:firstLineChars="0"/>
              <w:jc w:val="left"/>
              <w:rPr>
                <w:color w:val="auto"/>
                <w:highlight w:val="none"/>
              </w:rPr>
            </w:pPr>
            <w:r>
              <w:rPr>
                <w:rFonts w:hint="eastAsia"/>
                <w:color w:val="auto"/>
                <w:highlight w:val="none"/>
              </w:rPr>
              <w:t>4、在投标截止时间后，投标人不得补充、修改或更换投标文件。</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5.1（A）</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开标时间和地点</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删除。</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5.1（B）</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开标时间和地点</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开标时间：同投标截止时间</w:t>
            </w:r>
          </w:p>
          <w:p>
            <w:pPr>
              <w:pStyle w:val="40"/>
              <w:ind w:left="220" w:leftChars="100" w:firstLine="0" w:firstLineChars="0"/>
              <w:jc w:val="left"/>
              <w:rPr>
                <w:color w:val="auto"/>
                <w:highlight w:val="none"/>
              </w:rPr>
            </w:pPr>
            <w:r>
              <w:rPr>
                <w:rFonts w:hint="eastAsia"/>
                <w:color w:val="auto"/>
                <w:highlight w:val="none"/>
              </w:rPr>
              <w:t>开标地点：具体时间和地点可以到广州公共资源交易中心交易平台“建设工程→项目查询（日程安排、答疑纪要）”输入本项目编号或项目名称进行查询。</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5.2（B）</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开标程序</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1、在投标截止时间后半小时内，投标人通过递交投标文件的交易平台对已递交的电子投标文件进行解密。投标人完成解密后，再由招标人进行解密。解密完成后，公布招标项目名称、投标人名称等相关信息。未在规定时间内解密的投标文件不参与开标、评标。</w:t>
            </w:r>
          </w:p>
          <w:p>
            <w:pPr>
              <w:pStyle w:val="40"/>
              <w:ind w:left="220" w:leftChars="100" w:firstLine="0" w:firstLineChars="0"/>
              <w:jc w:val="left"/>
              <w:rPr>
                <w:color w:val="auto"/>
                <w:highlight w:val="none"/>
              </w:rPr>
            </w:pPr>
            <w:r>
              <w:rPr>
                <w:rFonts w:hint="eastAsia"/>
                <w:color w:val="auto"/>
                <w:highlight w:val="none"/>
              </w:rPr>
              <w:t>2、截标后，开标开始时间因故推迟的，相关评标信息仍以原定的开标开始时间的信息为准。</w:t>
            </w:r>
          </w:p>
          <w:p>
            <w:pPr>
              <w:pStyle w:val="40"/>
              <w:ind w:left="220" w:leftChars="100" w:firstLine="0" w:firstLineChars="0"/>
              <w:jc w:val="left"/>
              <w:rPr>
                <w:color w:val="auto"/>
                <w:highlight w:val="none"/>
              </w:rPr>
            </w:pPr>
            <w:r>
              <w:rPr>
                <w:rFonts w:hint="eastAsia"/>
                <w:color w:val="auto"/>
                <w:highlight w:val="none"/>
              </w:rPr>
              <w:t>3、备用光盘的读取按10.7的规定执行。</w:t>
            </w:r>
          </w:p>
          <w:p>
            <w:pPr>
              <w:pStyle w:val="40"/>
              <w:ind w:left="220" w:leftChars="100" w:firstLine="0" w:firstLineChars="0"/>
              <w:jc w:val="left"/>
              <w:rPr>
                <w:color w:val="auto"/>
                <w:highlight w:val="none"/>
              </w:rPr>
            </w:pPr>
            <w:r>
              <w:rPr>
                <w:rFonts w:hint="eastAsia"/>
                <w:color w:val="auto"/>
                <w:highlight w:val="none"/>
              </w:rPr>
              <w:t>4、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pStyle w:val="40"/>
              <w:ind w:left="220" w:leftChars="100" w:firstLine="0" w:firstLineChars="0"/>
              <w:jc w:val="left"/>
              <w:rPr>
                <w:color w:val="auto"/>
                <w:highlight w:val="none"/>
              </w:rPr>
            </w:pPr>
            <w:r>
              <w:rPr>
                <w:rFonts w:hint="eastAsia"/>
                <w:color w:val="auto"/>
                <w:highlight w:val="none"/>
              </w:rPr>
              <w:t>5、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r>
              <w:rPr>
                <w:rFonts w:hint="eastAsia"/>
                <w:color w:val="auto"/>
                <w:highlight w:val="none"/>
                <w:u w:val="single"/>
              </w:rPr>
              <w:t>投标人选择参加在线开标，具体按照交易平台相关指南进行操作。详见：《建设工程全流程电子化项目操作指南（适用于投标人）》。</w:t>
            </w:r>
          </w:p>
          <w:p>
            <w:pPr>
              <w:pStyle w:val="40"/>
              <w:ind w:left="220" w:leftChars="100" w:firstLine="0" w:firstLineChars="0"/>
              <w:jc w:val="left"/>
              <w:rPr>
                <w:color w:val="auto"/>
                <w:highlight w:val="none"/>
              </w:rPr>
            </w:pPr>
            <w:r>
              <w:rPr>
                <w:rFonts w:hint="eastAsia"/>
                <w:color w:val="auto"/>
                <w:highlight w:val="none"/>
              </w:rPr>
              <w:t>6、参加现场开标的投标人对开标结果有异议的，应当在开标现场提出，招标人应当当场作出答复，并制作记录。</w:t>
            </w:r>
          </w:p>
          <w:p>
            <w:pPr>
              <w:pStyle w:val="40"/>
              <w:ind w:left="220" w:leftChars="100" w:firstLine="0" w:firstLineChars="0"/>
              <w:jc w:val="left"/>
              <w:rPr>
                <w:color w:val="auto"/>
                <w:highlight w:val="none"/>
              </w:rPr>
            </w:pPr>
            <w:r>
              <w:rPr>
                <w:rFonts w:hint="eastAsia"/>
                <w:color w:val="auto"/>
                <w:highlight w:val="none"/>
              </w:rPr>
              <w:t>7、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pStyle w:val="40"/>
              <w:ind w:left="220" w:leftChars="100" w:firstLine="0" w:firstLineChars="0"/>
              <w:jc w:val="left"/>
              <w:rPr>
                <w:color w:val="auto"/>
                <w:highlight w:val="none"/>
              </w:rPr>
            </w:pPr>
            <w:r>
              <w:rPr>
                <w:rFonts w:hint="eastAsia"/>
                <w:color w:val="auto"/>
                <w:highlight w:val="none"/>
              </w:rPr>
              <w:t>8、投标人未参加开标或在规定的时间内未提出异议的，视为对开标无异议。</w:t>
            </w:r>
          </w:p>
          <w:p>
            <w:pPr>
              <w:pStyle w:val="40"/>
              <w:ind w:left="220" w:leftChars="100" w:firstLine="0" w:firstLineChars="0"/>
              <w:jc w:val="left"/>
              <w:rPr>
                <w:color w:val="auto"/>
                <w:highlight w:val="none"/>
              </w:rPr>
            </w:pPr>
            <w:r>
              <w:rPr>
                <w:rFonts w:hint="eastAsia"/>
                <w:color w:val="auto"/>
                <w:highlight w:val="none"/>
              </w:rPr>
              <w:t>9、开标时，两个（含两个）以上的投标人加密打包投标文件电脑机器特征码一致的，不参与下一程序，并由评标委员会否决其投标。</w:t>
            </w:r>
          </w:p>
          <w:p>
            <w:pPr>
              <w:pStyle w:val="40"/>
              <w:ind w:left="220" w:leftChars="100" w:firstLine="0" w:firstLineChars="0"/>
              <w:jc w:val="left"/>
              <w:rPr>
                <w:color w:val="auto"/>
                <w:highlight w:val="none"/>
              </w:rPr>
            </w:pPr>
            <w:r>
              <w:rPr>
                <w:rFonts w:hint="eastAsia"/>
                <w:color w:val="auto"/>
                <w:highlight w:val="none"/>
              </w:rPr>
              <w:t>10、技术文件开标时不得开启，在评标时由交易平台随机编号后开启，交由评标委员会进行评审。编号所对应的投标人在投票结束前不得告知评标委员会、交易平台工作人员、招标人或招标代理机构。</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6.1.1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评标委员会的组建</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spacing w:val="-2"/>
                <w:highlight w:val="none"/>
              </w:rPr>
              <w:t>评标委员会构成：</w:t>
            </w:r>
            <w:r>
              <w:rPr>
                <w:rFonts w:hint="eastAsia"/>
                <w:color w:val="auto"/>
                <w:highlight w:val="none"/>
              </w:rPr>
              <w:t>由招标人依法组建；</w:t>
            </w:r>
          </w:p>
          <w:p>
            <w:pPr>
              <w:pStyle w:val="40"/>
              <w:ind w:left="220" w:leftChars="100" w:firstLine="0" w:firstLineChars="0"/>
              <w:jc w:val="left"/>
              <w:rPr>
                <w:color w:val="auto"/>
                <w:highlight w:val="none"/>
              </w:rPr>
            </w:pPr>
            <w:r>
              <w:rPr>
                <w:rFonts w:hint="eastAsia"/>
                <w:color w:val="auto"/>
                <w:highlight w:val="none"/>
              </w:rPr>
              <w:t>定标委员会构成：由招标人依法组建；</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6.3.1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评标办法</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本项目采用评定分离的评标和定标办法；</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6.3.2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入围定标环节的投标人家数</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firstLine="0" w:firstLineChars="0"/>
              <w:jc w:val="left"/>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 xml:space="preserve">6 </w:t>
            </w:r>
            <w:r>
              <w:rPr>
                <w:rFonts w:hint="eastAsia" w:ascii="宋体" w:hAnsi="宋体" w:eastAsia="宋体" w:cs="宋体"/>
                <w:color w:val="auto"/>
                <w:sz w:val="21"/>
                <w:szCs w:val="21"/>
                <w:highlight w:val="none"/>
                <w:lang w:eastAsia="zh-CN"/>
              </w:rPr>
              <w:t>家。</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7.1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中标候选人公示媒介及期限</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公示媒介：中国招标投标公共服务平台、广东省招标投标监管网、广州公共资源交易中心网</w:t>
            </w:r>
          </w:p>
          <w:p>
            <w:pPr>
              <w:pStyle w:val="40"/>
              <w:ind w:left="220" w:leftChars="100" w:firstLine="0" w:firstLineChars="0"/>
              <w:jc w:val="left"/>
              <w:rPr>
                <w:color w:val="auto"/>
                <w:highlight w:val="none"/>
              </w:rPr>
            </w:pPr>
            <w:r>
              <w:rPr>
                <w:rFonts w:hint="eastAsia"/>
                <w:color w:val="auto"/>
                <w:highlight w:val="none"/>
              </w:rPr>
              <w:t>公示期限：</w:t>
            </w:r>
            <w:r>
              <w:rPr>
                <w:rFonts w:hint="eastAsia"/>
                <w:color w:val="auto"/>
                <w:highlight w:val="none"/>
                <w:u w:val="single" w:color="000000"/>
              </w:rPr>
              <w:t>3</w:t>
            </w:r>
            <w:r>
              <w:rPr>
                <w:rFonts w:hint="eastAsia"/>
                <w:color w:val="auto"/>
                <w:highlight w:val="none"/>
              </w:rPr>
              <w:t>日</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7.2</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评标结果异议</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投标人或者其他利害关系人对评标结果有异议的，应当在合格的中标候选人公示期间提出，可以通过线下或线上的形式提出异议。线上提交的，应通过交易平台进行，招标人也应通过交易平台答复线上提交的异议。作出答复前，应当暂停招标投标活动。招标人将在收到异议之日起3日内作出答复；作出答复前，将暂停招标投标活动。</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7.4</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是否授权评标委员会确定中标人</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□是</w:t>
            </w:r>
          </w:p>
          <w:p>
            <w:pPr>
              <w:pStyle w:val="40"/>
              <w:ind w:left="220" w:leftChars="100" w:firstLine="0" w:firstLineChars="0"/>
              <w:jc w:val="left"/>
              <w:rPr>
                <w:color w:val="auto"/>
                <w:highlight w:val="none"/>
              </w:rPr>
            </w:pPr>
            <w:r>
              <w:rPr>
                <w:rFonts w:hint="eastAsia"/>
                <w:color w:val="auto"/>
                <w:highlight w:val="none"/>
              </w:rPr>
              <w:t>■否：推荐进入定标阶段候选人数：6人，进入定标阶段。</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7.6</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技术成果经济补偿</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□不补偿</w:t>
            </w:r>
          </w:p>
          <w:p>
            <w:pPr>
              <w:pStyle w:val="40"/>
              <w:ind w:left="220" w:leftChars="100" w:firstLine="0" w:firstLineChars="0"/>
              <w:jc w:val="left"/>
              <w:rPr>
                <w:color w:val="auto"/>
                <w:highlight w:val="none"/>
              </w:rPr>
            </w:pPr>
            <w:r>
              <w:rPr>
                <w:rFonts w:hint="eastAsia"/>
                <w:color w:val="auto"/>
                <w:highlight w:val="none"/>
              </w:rPr>
              <w:t>■补偿，补偿标准：见招标公告</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7.7.1</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履约保证金</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23"/>
              <w:spacing w:line="360" w:lineRule="auto"/>
              <w:ind w:left="220" w:leftChars="100" w:firstLine="0" w:firstLineChars="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是否要求中标人提交履约保证金：</w:t>
            </w:r>
          </w:p>
          <w:p>
            <w:pPr>
              <w:pStyle w:val="23"/>
              <w:spacing w:line="360" w:lineRule="auto"/>
              <w:ind w:left="220" w:leftChars="100" w:firstLine="0" w:firstLineChars="0"/>
              <w:jc w:val="left"/>
              <w:rPr>
                <w:rFonts w:ascii="宋体" w:hAnsi="宋体" w:eastAsia="宋体"/>
                <w:color w:val="auto"/>
                <w:sz w:val="21"/>
                <w:szCs w:val="21"/>
                <w:highlight w:val="none"/>
              </w:rPr>
            </w:pPr>
            <w:r>
              <w:rPr>
                <w:rFonts w:hint="eastAsia" w:ascii="宋体" w:hAnsi="宋体" w:eastAsia="宋体"/>
                <w:color w:val="auto"/>
                <w:sz w:val="21"/>
                <w:szCs w:val="21"/>
                <w:highlight w:val="none"/>
              </w:rPr>
              <w:t>■要求，履约保证金的形式：</w:t>
            </w:r>
            <w:r>
              <w:rPr>
                <w:rFonts w:hint="eastAsia" w:ascii="宋体" w:hAnsi="宋体" w:eastAsia="宋体"/>
                <w:b/>
                <w:bCs/>
                <w:color w:val="auto"/>
                <w:sz w:val="21"/>
                <w:szCs w:val="21"/>
                <w:highlight w:val="none"/>
                <w:u w:val="single"/>
              </w:rPr>
              <w:t>详见合同</w:t>
            </w:r>
            <w:r>
              <w:rPr>
                <w:rFonts w:hint="eastAsia" w:ascii="宋体" w:hAnsi="宋体" w:eastAsia="宋体"/>
                <w:color w:val="auto"/>
                <w:sz w:val="21"/>
                <w:szCs w:val="21"/>
                <w:highlight w:val="none"/>
              </w:rPr>
              <w:t>。</w:t>
            </w:r>
          </w:p>
          <w:p>
            <w:pPr>
              <w:pStyle w:val="23"/>
              <w:spacing w:line="360" w:lineRule="auto"/>
              <w:ind w:left="220" w:leftChars="100" w:firstLine="0" w:firstLineChars="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履约保证金的金额：中标价款的10%，</w:t>
            </w:r>
          </w:p>
          <w:p>
            <w:pPr>
              <w:pStyle w:val="40"/>
              <w:ind w:left="220" w:leftChars="100" w:firstLine="0" w:firstLineChars="0"/>
              <w:jc w:val="left"/>
              <w:rPr>
                <w:color w:val="auto"/>
                <w:highlight w:val="none"/>
              </w:rPr>
            </w:pPr>
            <w:r>
              <w:rPr>
                <w:rFonts w:hint="eastAsia"/>
                <w:color w:val="auto"/>
                <w:highlight w:val="none"/>
              </w:rPr>
              <w:t>□不要求</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9</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是否采用电子招标投标</w:t>
            </w:r>
          </w:p>
        </w:tc>
        <w:tc>
          <w:tcPr>
            <w:tcW w:w="3429" w:type="pct"/>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□否</w:t>
            </w:r>
          </w:p>
          <w:p>
            <w:pPr>
              <w:pStyle w:val="40"/>
              <w:ind w:left="220" w:leftChars="100" w:firstLine="0" w:firstLineChars="0"/>
              <w:jc w:val="left"/>
              <w:rPr>
                <w:color w:val="auto"/>
                <w:highlight w:val="none"/>
              </w:rPr>
            </w:pPr>
            <w:r>
              <w:rPr>
                <w:rFonts w:hint="eastAsia"/>
                <w:color w:val="auto"/>
                <w:highlight w:val="none"/>
              </w:rPr>
              <w:t>■是，具体要求：</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1、具体操作按照广州公共资源交易中心数字交易平台关于全流程电子化项目的相关指南进行操作，详见《建设工程全流程电子化项目操作指南（适用于投标人）》。</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2、提交投标文件光盘备用</w:t>
            </w:r>
          </w:p>
          <w:p>
            <w:pPr>
              <w:spacing w:line="360" w:lineRule="auto"/>
              <w:ind w:left="220" w:leftChars="100" w:firstLine="0" w:firstLineChars="0"/>
              <w:jc w:val="left"/>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投标人可制作非加密的</w:t>
            </w:r>
            <w:r>
              <w:rPr>
                <w:rFonts w:hint="eastAsia" w:ascii="宋体" w:hAnsi="宋体" w:eastAsia="宋体" w:cs="宋体"/>
                <w:color w:val="auto"/>
                <w:spacing w:val="-2"/>
                <w:sz w:val="21"/>
                <w:szCs w:val="21"/>
                <w:highlight w:val="none"/>
                <w:u w:val="single"/>
                <w:lang w:eastAsia="zh-CN"/>
              </w:rPr>
              <w:t>商务文件光盘、技术文件光盘各1个</w:t>
            </w:r>
            <w:r>
              <w:rPr>
                <w:rFonts w:hint="eastAsia" w:ascii="宋体" w:hAnsi="宋体" w:eastAsia="宋体" w:cs="宋体"/>
                <w:color w:val="auto"/>
                <w:sz w:val="21"/>
                <w:szCs w:val="21"/>
                <w:highlight w:val="none"/>
                <w:u w:val="single"/>
                <w:lang w:eastAsia="zh-CN"/>
              </w:rPr>
              <w:t>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如果投标人没有按规定通过交易平台网上递交电子投标文件的，不再读取提交的光盘及开启保密信封。投标人也可不提交投标文件光盘（备用）及保密信封（备用）。</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3、补救方案</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（1）投标文件解密失败的补救方案：</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原因解密失败且未递交电子光盘或递交的电子光盘不能读取的，视为撤回投标文件。</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（2）评标时突发情况的补救方案</w:t>
            </w:r>
          </w:p>
          <w:p>
            <w:pPr>
              <w:spacing w:line="360" w:lineRule="auto"/>
              <w:ind w:left="220" w:leftChars="100" w:firstLine="0" w:firstLineChars="0"/>
              <w:jc w:val="left"/>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若遇不可抗力发生（如：网络瘫痪、服务器损坏、交易系统故障短期无法恢复等因素），由评标委员会开启递交的全部投标文件光盘，并按光盘内容进行评审。</w:t>
            </w:r>
          </w:p>
          <w:p>
            <w:pPr>
              <w:pStyle w:val="40"/>
              <w:ind w:left="220" w:leftChars="100" w:firstLine="0" w:firstLineChars="0"/>
              <w:jc w:val="left"/>
              <w:rPr>
                <w:color w:val="auto"/>
                <w:highlight w:val="none"/>
              </w:rPr>
            </w:pPr>
            <w:r>
              <w:rPr>
                <w:rFonts w:hint="eastAsia"/>
                <w:color w:val="auto"/>
                <w:highlight w:val="none"/>
              </w:rPr>
              <w:t>（3）除发生上述情况外，开标评标均以投标人通过交易平台网上递交的电子投标文件为准。</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10</w:t>
            </w:r>
          </w:p>
        </w:tc>
        <w:tc>
          <w:tcPr>
            <w:tcW w:w="1019"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需要补充的其他内容</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firstLine="0" w:firstLineChars="0"/>
              <w:jc w:val="left"/>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特别提示</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投标人在本项目招标人的工程项目中存在下列行为的，将被拒绝1年内参与我单位后续工程投标。（注：拒绝投标时限由招标人视严重程度确定，最低三个月起，自招标人发出通知之日起计）：</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（1）将中标工程转包或者违法分包的；</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（2）在中标工程中不执行质量、安全生产相关规定的，造成质量或安全事故的；</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（3）存在围标或串标情形的；</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（4）存在弄虚作假骗取中标、行贿情形的；</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10.2</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送达</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《投诉处理决定书》和《行政处理决定书》在广州市住房和城乡建设局网站上公布的，视为送达其他与决定书有关的当事人。</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10.3</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招标失败的情形</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本项目采用资格后审方式，满足资格审查合格条件或通过初步评审的投标申请人不足3名时为招标失败。招标人分析招标失败原因，修正招标方案，报有关管理部门核准后，重新组织招标。</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10.4</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招标人拒绝接收其投标文件情况</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在投标截止期后逾期上传递交电子投标文件的；</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10.5</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投标文件公开</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pacing w:val="-2"/>
                <w:sz w:val="21"/>
                <w:szCs w:val="21"/>
                <w:highlight w:val="none"/>
                <w:u w:val="single"/>
                <w:lang w:eastAsia="zh-CN"/>
              </w:rPr>
              <w:t>在产生中标候选人后，招标人将中标候选人的投标文件商务部分的电子版（报价清单、方案等涉及商业秘密的内容除外）在广州公共资源交易中心网站等法定媒介公开。</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10.6</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1、招标公告、招标文件、答疑纪要（如有）、补充公告（如有）等招标资料全部发布在广州公共资源交易中心网站，由投标人自行下载查阅。</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2、投标截止时间、开标时间和地点：发布在广州公共资源交易中心网站（</w:t>
            </w:r>
            <w:r>
              <w:rPr>
                <w:rFonts w:hint="eastAsia" w:ascii="宋体" w:hAnsi="宋体" w:eastAsia="宋体" w:cs="宋体"/>
                <w:color w:val="auto"/>
                <w:sz w:val="21"/>
                <w:szCs w:val="21"/>
                <w:highlight w:val="none"/>
                <w:u w:val="single"/>
                <w:lang w:eastAsia="zh-CN"/>
              </w:rPr>
              <w:t>投标人可登录广州公共资源交易中心网站首页，点击“交易业务-建设工程”专栏中的“项目查询（日程安排、答疑纪要）”，输入项目编号或项目名称查询最新信息</w:t>
            </w:r>
            <w:r>
              <w:rPr>
                <w:rFonts w:hint="eastAsia" w:ascii="宋体" w:hAnsi="宋体" w:eastAsia="宋体" w:cs="宋体"/>
                <w:color w:val="auto"/>
                <w:sz w:val="21"/>
                <w:szCs w:val="21"/>
                <w:highlight w:val="none"/>
                <w:lang w:eastAsia="zh-CN"/>
              </w:rPr>
              <w:t>）。</w:t>
            </w:r>
          </w:p>
          <w:p>
            <w:pPr>
              <w:autoSpaceDE w:val="0"/>
              <w:autoSpaceDN w:val="0"/>
              <w:adjustRightInd w:val="0"/>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3、中标后，中标单位须提交与网上上传电子投标文件完全一致的纸质投标文件（1正3副，加盖公章）给招标单位。</w:t>
            </w:r>
          </w:p>
          <w:p>
            <w:pPr>
              <w:autoSpaceDE w:val="0"/>
              <w:autoSpaceDN w:val="0"/>
              <w:adjustRightInd w:val="0"/>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4、本工程采用全电子化资格后审方式，具体要求详见《建设工程全流程电子化项目操作指南（适用于投标人）》。</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10.7</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电子招标投标解密失败及突发状况的补救</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1、提交投标文件光盘备用：</w:t>
            </w:r>
            <w:r>
              <w:rPr>
                <w:rFonts w:hint="eastAsia" w:ascii="宋体" w:hAnsi="宋体" w:eastAsia="宋体" w:cs="宋体"/>
                <w:color w:val="auto"/>
                <w:sz w:val="21"/>
                <w:szCs w:val="21"/>
                <w:highlight w:val="none"/>
                <w:u w:val="single"/>
                <w:lang w:eastAsia="zh-CN"/>
              </w:rPr>
              <w:t>投标人可制作非加密的</w:t>
            </w:r>
            <w:r>
              <w:rPr>
                <w:rFonts w:hint="eastAsia" w:ascii="宋体" w:hAnsi="宋体" w:eastAsia="宋体" w:cs="宋体"/>
                <w:color w:val="auto"/>
                <w:spacing w:val="-2"/>
                <w:sz w:val="21"/>
                <w:szCs w:val="21"/>
                <w:highlight w:val="none"/>
                <w:u w:val="single"/>
                <w:lang w:eastAsia="zh-CN"/>
              </w:rPr>
              <w:t>商务文件光盘、技术文件光盘各1个</w:t>
            </w:r>
            <w:r>
              <w:rPr>
                <w:rFonts w:hint="eastAsia" w:ascii="宋体" w:hAnsi="宋体" w:eastAsia="宋体" w:cs="宋体"/>
                <w:color w:val="auto"/>
                <w:sz w:val="21"/>
                <w:szCs w:val="21"/>
                <w:highlight w:val="none"/>
                <w:u w:val="single"/>
                <w:lang w:eastAsia="zh-CN"/>
              </w:rPr>
              <w:t>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如果投标人没有按规定通过交易平台网上递交电子投标文件的，不再读取提交的光盘及开启保密信封。投标人也可不提交投标文件光盘（备用）及保密信封（备用）。</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2、补救方案</w:t>
            </w:r>
          </w:p>
          <w:p>
            <w:pPr>
              <w:spacing w:line="360" w:lineRule="auto"/>
              <w:ind w:left="220" w:leftChars="100"/>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（1）投标文件解密失败的补救方案：</w:t>
            </w:r>
          </w:p>
          <w:p>
            <w:pPr>
              <w:spacing w:line="360" w:lineRule="auto"/>
              <w:ind w:left="220" w:leftChars="100"/>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原因解密失败且未递交电子光盘或递交的电子光盘不能读取的，视为撤回投标文件。</w:t>
            </w:r>
          </w:p>
          <w:p>
            <w:pPr>
              <w:spacing w:line="360" w:lineRule="auto"/>
              <w:ind w:left="220" w:leftChars="100"/>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（2）评标时突发情况的补救方案若遇不可抗力发生（如：网络瘫痪、服务器损坏、交易系统故障短期无法恢复等因素），由评标委员会开启递交的全部投标文件光盘，并按光盘内容进行评审。</w:t>
            </w:r>
          </w:p>
          <w:p>
            <w:pPr>
              <w:spacing w:line="360" w:lineRule="auto"/>
              <w:ind w:left="220" w:leftChars="1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（3）除发生上述情况外，开标评标均以投标人通过交易平台网上递交的电子投标文件为准</w:t>
            </w: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c>
          <w:tcPr>
            <w:tcW w:w="55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10.8</w:t>
            </w:r>
          </w:p>
        </w:tc>
        <w:tc>
          <w:tcPr>
            <w:tcW w:w="101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其他费用</w:t>
            </w:r>
          </w:p>
        </w:tc>
        <w:tc>
          <w:tcPr>
            <w:tcW w:w="3429" w:type="pct"/>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ight="110" w:right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（1）交易服务费：中标人代缴广州交易集团有限公司交易服务费，由广州交易集团有限公司向中标人开具增值税发票，其费用在承包人第一次请款时一并申请。</w:t>
            </w:r>
          </w:p>
          <w:p>
            <w:pPr>
              <w:spacing w:line="360" w:lineRule="auto"/>
              <w:ind w:left="220" w:leftChars="100" w:right="110" w:right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（2）招标代理费：由招标人支付给招标代理。</w:t>
            </w:r>
          </w:p>
        </w:tc>
      </w:tr>
    </w:tbl>
    <w:p>
      <w:pPr>
        <w:pStyle w:val="9"/>
        <w:rPr>
          <w:color w:val="auto"/>
          <w:highlight w:val="none"/>
          <w:lang w:eastAsia="zh-CN"/>
        </w:rPr>
      </w:pPr>
    </w:p>
    <w:p>
      <w:pPr>
        <w:pStyle w:val="4"/>
        <w:spacing w:after="240" w:line="443" w:lineRule="exact"/>
        <w:ind w:right="44"/>
        <w:rPr>
          <w:rFonts w:ascii="宋体" w:hAnsi="宋体" w:eastAsia="宋体"/>
          <w:b w:val="0"/>
          <w:bCs w:val="0"/>
          <w:color w:val="auto"/>
          <w:highlight w:val="none"/>
          <w:lang w:eastAsia="zh-CN"/>
        </w:rPr>
      </w:pPr>
      <w:bookmarkStart w:id="11" w:name="_Toc25137982"/>
      <w:r>
        <w:rPr>
          <w:rFonts w:ascii="宋体" w:hAnsi="宋体" w:eastAsia="宋体"/>
          <w:color w:val="auto"/>
          <w:highlight w:val="none"/>
          <w:lang w:eastAsia="zh-CN"/>
        </w:rPr>
        <w:br w:type="page"/>
      </w:r>
      <w:bookmarkStart w:id="12" w:name="_Toc142858875"/>
      <w:bookmarkStart w:id="13" w:name="_Toc143424738"/>
      <w:r>
        <w:rPr>
          <w:rFonts w:ascii="宋体" w:hAnsi="宋体" w:eastAsia="宋体"/>
          <w:color w:val="auto"/>
          <w:highlight w:val="none"/>
          <w:lang w:eastAsia="zh-CN"/>
        </w:rPr>
        <w:t>1. 总则</w:t>
      </w:r>
      <w:bookmarkEnd w:id="11"/>
      <w:bookmarkEnd w:id="12"/>
      <w:bookmarkEnd w:id="13"/>
    </w:p>
    <w:p>
      <w:pPr>
        <w:pStyle w:val="5"/>
        <w:spacing w:after="240"/>
        <w:ind w:right="44"/>
        <w:rPr>
          <w:b/>
          <w:bCs/>
          <w:color w:val="auto"/>
          <w:highlight w:val="none"/>
          <w:lang w:eastAsia="zh-CN"/>
        </w:rPr>
      </w:pPr>
      <w:r>
        <w:rPr>
          <w:b/>
          <w:bCs/>
          <w:color w:val="auto"/>
          <w:highlight w:val="none"/>
          <w:lang w:eastAsia="zh-CN"/>
        </w:rPr>
        <w:t>1.1招标项目概况</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1.1.1</w:t>
      </w:r>
      <w:r>
        <w:rPr>
          <w:color w:val="auto"/>
          <w:spacing w:val="-8"/>
          <w:sz w:val="24"/>
          <w:szCs w:val="24"/>
          <w:highlight w:val="none"/>
          <w:lang w:eastAsia="zh-CN"/>
        </w:rPr>
        <w:t>根据《中华人民共和国招标投标法》、《中华人民共和国招标投标法实施条例》等有关</w:t>
      </w:r>
      <w:r>
        <w:rPr>
          <w:color w:val="auto"/>
          <w:sz w:val="24"/>
          <w:szCs w:val="24"/>
          <w:highlight w:val="none"/>
          <w:lang w:eastAsia="zh-CN"/>
        </w:rPr>
        <w:t>法律、法规和规章的规定，本招标项目已具备招标条件，现对</w:t>
      </w:r>
      <w:r>
        <w:rPr>
          <w:rFonts w:hint="eastAsia"/>
          <w:color w:val="auto"/>
          <w:sz w:val="24"/>
          <w:szCs w:val="24"/>
          <w:highlight w:val="none"/>
          <w:u w:val="single"/>
          <w:lang w:eastAsia="zh-CN"/>
        </w:rPr>
        <w:t>设计</w:t>
      </w:r>
      <w:r>
        <w:rPr>
          <w:color w:val="auto"/>
          <w:sz w:val="24"/>
          <w:szCs w:val="24"/>
          <w:highlight w:val="none"/>
          <w:lang w:eastAsia="zh-CN"/>
        </w:rPr>
        <w:t>进行招标。</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1.1.2招标人：见投标人须知前附表。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1.1.3招标代理机构：见投标人须知前附表。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1.1.4招标项目名称：见投标人须知前附表。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1.1.5项目建设地点：见投标人须知前附表。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1.1.6项目建设规模：见投标人须知前附表。</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1.1.7项目投资估算：见投标人须知前附表。</w:t>
      </w:r>
    </w:p>
    <w:p>
      <w:pPr>
        <w:pStyle w:val="5"/>
        <w:spacing w:after="240"/>
        <w:ind w:right="44"/>
        <w:rPr>
          <w:b/>
          <w:bCs/>
          <w:color w:val="auto"/>
          <w:highlight w:val="none"/>
          <w:lang w:eastAsia="zh-CN"/>
        </w:rPr>
      </w:pPr>
      <w:r>
        <w:rPr>
          <w:b/>
          <w:bCs/>
          <w:color w:val="auto"/>
          <w:highlight w:val="none"/>
          <w:lang w:eastAsia="zh-CN"/>
        </w:rPr>
        <w:t>1.2招标项目的资金来源和落实情况</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1.2.1资金来源及比例：见投标人须知前附表。</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1.2.2资金落实情况：见投标人须知前附表。</w:t>
      </w:r>
    </w:p>
    <w:p>
      <w:pPr>
        <w:pStyle w:val="5"/>
        <w:spacing w:after="240"/>
        <w:ind w:right="44"/>
        <w:rPr>
          <w:b/>
          <w:bCs/>
          <w:color w:val="auto"/>
          <w:highlight w:val="none"/>
          <w:lang w:eastAsia="zh-CN"/>
        </w:rPr>
      </w:pPr>
      <w:r>
        <w:rPr>
          <w:b/>
          <w:bCs/>
          <w:color w:val="auto"/>
          <w:highlight w:val="none"/>
          <w:lang w:eastAsia="zh-CN"/>
        </w:rPr>
        <w:t>1.3招标范围、</w:t>
      </w:r>
      <w:r>
        <w:rPr>
          <w:b/>
          <w:bCs/>
          <w:color w:val="auto"/>
          <w:highlight w:val="none"/>
          <w:u w:val="single"/>
          <w:lang w:eastAsia="zh-CN"/>
        </w:rPr>
        <w:t>设计</w:t>
      </w:r>
      <w:r>
        <w:rPr>
          <w:b/>
          <w:bCs/>
          <w:color w:val="auto"/>
          <w:highlight w:val="none"/>
          <w:lang w:eastAsia="zh-CN"/>
        </w:rPr>
        <w:t>服务期限和质量标准</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1.3.1招标范围：见投标人须知前附表。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1.3.2</w:t>
      </w:r>
      <w:r>
        <w:rPr>
          <w:color w:val="auto"/>
          <w:sz w:val="24"/>
          <w:szCs w:val="24"/>
          <w:highlight w:val="none"/>
          <w:u w:val="single"/>
          <w:lang w:eastAsia="zh-CN"/>
        </w:rPr>
        <w:t>设计</w:t>
      </w:r>
      <w:r>
        <w:rPr>
          <w:color w:val="auto"/>
          <w:sz w:val="24"/>
          <w:szCs w:val="24"/>
          <w:highlight w:val="none"/>
          <w:lang w:eastAsia="zh-CN"/>
        </w:rPr>
        <w:t>服务期限：见投标人须知前附表。</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1.3.3质量标准：见投标人须知前附表。</w:t>
      </w:r>
    </w:p>
    <w:p>
      <w:pPr>
        <w:pStyle w:val="5"/>
        <w:spacing w:after="240"/>
        <w:ind w:right="44"/>
        <w:rPr>
          <w:b/>
          <w:bCs/>
          <w:color w:val="auto"/>
          <w:highlight w:val="none"/>
          <w:lang w:eastAsia="zh-CN"/>
        </w:rPr>
      </w:pPr>
      <w:r>
        <w:rPr>
          <w:b/>
          <w:bCs/>
          <w:color w:val="auto"/>
          <w:highlight w:val="none"/>
          <w:lang w:eastAsia="zh-CN"/>
        </w:rPr>
        <w:t>1.4投标人资格要求</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1.4.1投标人应具备承担本招标项目资质条件、能力和信誉：</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（1）资质要求：见投标人须知前附表；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（2）财务要求：见投标人须知前附表</w:t>
      </w:r>
      <w:r>
        <w:rPr>
          <w:rFonts w:hint="eastAsia"/>
          <w:color w:val="auto"/>
          <w:sz w:val="24"/>
          <w:szCs w:val="24"/>
          <w:highlight w:val="none"/>
          <w:lang w:eastAsia="zh-CN"/>
        </w:rPr>
        <w:t>（如有）</w:t>
      </w:r>
      <w:r>
        <w:rPr>
          <w:color w:val="auto"/>
          <w:sz w:val="24"/>
          <w:szCs w:val="24"/>
          <w:highlight w:val="none"/>
          <w:lang w:eastAsia="zh-CN"/>
        </w:rPr>
        <w:t>；</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（3）业绩要求：见投标人须知前附表</w:t>
      </w:r>
      <w:r>
        <w:rPr>
          <w:rFonts w:hint="eastAsia"/>
          <w:color w:val="auto"/>
          <w:sz w:val="24"/>
          <w:szCs w:val="24"/>
          <w:highlight w:val="none"/>
          <w:lang w:eastAsia="zh-CN"/>
        </w:rPr>
        <w:t>（如有）</w:t>
      </w:r>
      <w:r>
        <w:rPr>
          <w:color w:val="auto"/>
          <w:sz w:val="24"/>
          <w:szCs w:val="24"/>
          <w:highlight w:val="none"/>
          <w:lang w:eastAsia="zh-CN"/>
        </w:rPr>
        <w:t>；</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（4）信誉要求：见投标人须知前附表；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（5）项目负责人的资格要求：应当具备工程设计类注册执业资格（如有），具体要求见投标人须知前附表；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（6）其他主要人员要求：见投标人须知前附表</w:t>
      </w:r>
      <w:r>
        <w:rPr>
          <w:rFonts w:hint="eastAsia"/>
          <w:color w:val="auto"/>
          <w:sz w:val="24"/>
          <w:szCs w:val="24"/>
          <w:highlight w:val="none"/>
          <w:lang w:eastAsia="zh-CN"/>
        </w:rPr>
        <w:t>（如有）</w:t>
      </w:r>
      <w:r>
        <w:rPr>
          <w:color w:val="auto"/>
          <w:sz w:val="24"/>
          <w:szCs w:val="24"/>
          <w:highlight w:val="none"/>
          <w:lang w:eastAsia="zh-CN"/>
        </w:rPr>
        <w:t>。</w:t>
      </w:r>
    </w:p>
    <w:p>
      <w:pPr>
        <w:pStyle w:val="10"/>
        <w:spacing w:line="360" w:lineRule="auto"/>
        <w:ind w:left="0" w:firstLine="480" w:firstLineChars="200"/>
        <w:rPr>
          <w:color w:val="auto"/>
          <w:sz w:val="24"/>
          <w:szCs w:val="24"/>
          <w:highlight w:val="none"/>
          <w:lang w:eastAsia="zh-CN"/>
        </w:rPr>
      </w:pPr>
      <w:r>
        <w:rPr>
          <w:rFonts w:hint="eastAsia"/>
          <w:color w:val="auto"/>
          <w:sz w:val="24"/>
          <w:szCs w:val="24"/>
          <w:highlight w:val="none"/>
          <w:lang w:eastAsia="zh-CN"/>
        </w:rPr>
        <w:t>（7）</w:t>
      </w:r>
      <w:r>
        <w:rPr>
          <w:color w:val="auto"/>
          <w:sz w:val="24"/>
          <w:szCs w:val="24"/>
          <w:highlight w:val="none"/>
          <w:lang w:eastAsia="zh-CN"/>
        </w:rPr>
        <w:t>其他要求：见投标人须知前附表。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需要提交的相关证明材料见本章第3.5款的规定。</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1.4.2 投标人须知前附表规定接受联合体投标的，联合体除应符合本章第1.4.1项和投标人须知前附表的要求外，还应遵守以下规定：</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（1）联合体各方应按招标文件提供的格式签订联合体协议书，明确联合体牵头人和各方权利义务，并承诺就中标项目向招标人承担连带责任；</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（2）由同一专业的单位组成的联合体，按照资质等级较低的单位确定资质等级；</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（3）联合体各方不得再以自己名义单独或参加其他联合体在本招标项目中投标，否则各相关投标均无效。</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1.4.3投标人不得存在下列情形之一：</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1</w:t>
      </w:r>
      <w:r>
        <w:rPr>
          <w:rFonts w:hint="eastAsia"/>
          <w:color w:val="auto"/>
          <w:sz w:val="24"/>
          <w:szCs w:val="24"/>
          <w:highlight w:val="none"/>
          <w:u w:val="single"/>
          <w:lang w:eastAsia="zh-CN"/>
        </w:rPr>
        <w:t>）为招标人不具有独立法人资格的附属机构（单位）；</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2</w:t>
      </w:r>
      <w:r>
        <w:rPr>
          <w:rFonts w:hint="eastAsia"/>
          <w:color w:val="auto"/>
          <w:sz w:val="24"/>
          <w:szCs w:val="24"/>
          <w:highlight w:val="none"/>
          <w:u w:val="single"/>
          <w:lang w:eastAsia="zh-CN"/>
        </w:rPr>
        <w:t>）与招标人存在利害关系且可能影响招标公正性；</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3</w:t>
      </w:r>
      <w:r>
        <w:rPr>
          <w:rFonts w:hint="eastAsia"/>
          <w:color w:val="auto"/>
          <w:sz w:val="24"/>
          <w:szCs w:val="24"/>
          <w:highlight w:val="none"/>
          <w:u w:val="single"/>
          <w:lang w:eastAsia="zh-CN"/>
        </w:rPr>
        <w:t>）与本招标项目的其他投标人为同一个单位负责人；</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4</w:t>
      </w:r>
      <w:r>
        <w:rPr>
          <w:rFonts w:hint="eastAsia"/>
          <w:color w:val="auto"/>
          <w:sz w:val="24"/>
          <w:szCs w:val="24"/>
          <w:highlight w:val="none"/>
          <w:u w:val="single"/>
          <w:lang w:eastAsia="zh-CN"/>
        </w:rPr>
        <w:t>）与本招标项目的其他投标人存在控股、管理关系；</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5</w:t>
      </w:r>
      <w:r>
        <w:rPr>
          <w:rFonts w:hint="eastAsia"/>
          <w:color w:val="auto"/>
          <w:sz w:val="24"/>
          <w:szCs w:val="24"/>
          <w:highlight w:val="none"/>
          <w:u w:val="single"/>
          <w:lang w:eastAsia="zh-CN"/>
        </w:rPr>
        <w:t>）为本招标项目的代建人；</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6</w:t>
      </w:r>
      <w:r>
        <w:rPr>
          <w:rFonts w:hint="eastAsia"/>
          <w:color w:val="auto"/>
          <w:sz w:val="24"/>
          <w:szCs w:val="24"/>
          <w:highlight w:val="none"/>
          <w:u w:val="single"/>
          <w:lang w:eastAsia="zh-CN"/>
        </w:rPr>
        <w:t>）为本招标项目的招标代理机构；</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7</w:t>
      </w:r>
      <w:r>
        <w:rPr>
          <w:rFonts w:hint="eastAsia"/>
          <w:color w:val="auto"/>
          <w:sz w:val="24"/>
          <w:szCs w:val="24"/>
          <w:highlight w:val="none"/>
          <w:u w:val="single"/>
          <w:lang w:eastAsia="zh-CN"/>
        </w:rPr>
        <w:t>）与本招标项目的代建人或招标代理机构同为一个法定代表人；</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8</w:t>
      </w:r>
      <w:r>
        <w:rPr>
          <w:rFonts w:hint="eastAsia"/>
          <w:color w:val="auto"/>
          <w:sz w:val="24"/>
          <w:szCs w:val="24"/>
          <w:highlight w:val="none"/>
          <w:u w:val="single"/>
          <w:lang w:eastAsia="zh-CN"/>
        </w:rPr>
        <w:t>）与本招标项目的代建人或招标代理机构存在控股或参股关系；</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9</w:t>
      </w:r>
      <w:r>
        <w:rPr>
          <w:rFonts w:hint="eastAsia"/>
          <w:color w:val="auto"/>
          <w:sz w:val="24"/>
          <w:szCs w:val="24"/>
          <w:highlight w:val="none"/>
          <w:u w:val="single"/>
          <w:lang w:eastAsia="zh-CN"/>
        </w:rPr>
        <w:t>）被依法暂停或者取消投标资格；（</w:t>
      </w:r>
      <w:r>
        <w:rPr>
          <w:rFonts w:hint="eastAsia"/>
          <w:b/>
          <w:bCs/>
          <w:color w:val="auto"/>
          <w:sz w:val="24"/>
          <w:szCs w:val="24"/>
          <w:highlight w:val="none"/>
          <w:u w:val="single"/>
          <w:lang w:eastAsia="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color w:val="auto"/>
          <w:sz w:val="24"/>
          <w:szCs w:val="24"/>
          <w:highlight w:val="none"/>
          <w:u w:val="single"/>
          <w:lang w:eastAsia="zh-CN"/>
        </w:rPr>
        <w:t>）</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10</w:t>
      </w:r>
      <w:r>
        <w:rPr>
          <w:rFonts w:hint="eastAsia"/>
          <w:color w:val="auto"/>
          <w:sz w:val="24"/>
          <w:szCs w:val="24"/>
          <w:highlight w:val="none"/>
          <w:u w:val="single"/>
          <w:lang w:eastAsia="zh-CN"/>
        </w:rPr>
        <w:t>）被责令停产停业、暂扣或者吊销许可证、暂扣或者吊销执照；（</w:t>
      </w:r>
      <w:r>
        <w:rPr>
          <w:rFonts w:hint="eastAsia"/>
          <w:b/>
          <w:bCs/>
          <w:color w:val="auto"/>
          <w:sz w:val="24"/>
          <w:szCs w:val="24"/>
          <w:highlight w:val="none"/>
          <w:u w:val="single"/>
          <w:lang w:eastAsia="zh-CN"/>
        </w:rPr>
        <w:t>本项事实应当以根据《中华人民共和国行政处罚法》依法作出并已经生效的行政处罚决定为认定依据。</w:t>
      </w:r>
      <w:r>
        <w:rPr>
          <w:rFonts w:hint="eastAsia"/>
          <w:color w:val="auto"/>
          <w:sz w:val="24"/>
          <w:szCs w:val="24"/>
          <w:highlight w:val="none"/>
          <w:u w:val="single"/>
          <w:lang w:eastAsia="zh-CN"/>
        </w:rPr>
        <w:t>）</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11</w:t>
      </w:r>
      <w:r>
        <w:rPr>
          <w:rFonts w:hint="eastAsia"/>
          <w:color w:val="auto"/>
          <w:sz w:val="24"/>
          <w:szCs w:val="24"/>
          <w:highlight w:val="none"/>
          <w:u w:val="single"/>
          <w:lang w:eastAsia="zh-CN"/>
        </w:rPr>
        <w:t>）进入清算程序，或被宣告破产，或其他丧失履约能力的情形；</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12</w:t>
      </w:r>
      <w:r>
        <w:rPr>
          <w:rFonts w:hint="eastAsia"/>
          <w:color w:val="auto"/>
          <w:sz w:val="24"/>
          <w:szCs w:val="24"/>
          <w:highlight w:val="none"/>
          <w:u w:val="single"/>
          <w:lang w:eastAsia="zh-CN"/>
        </w:rPr>
        <w:t>）在最近三年内发生重大设计质量问题（</w:t>
      </w:r>
      <w:r>
        <w:rPr>
          <w:rFonts w:hint="eastAsia"/>
          <w:b/>
          <w:bCs/>
          <w:color w:val="auto"/>
          <w:sz w:val="24"/>
          <w:szCs w:val="24"/>
          <w:highlight w:val="none"/>
          <w:u w:val="single"/>
          <w:lang w:eastAsia="zh-CN"/>
        </w:rPr>
        <w:t>“重大设计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Pr>
          <w:rFonts w:hint="eastAsia"/>
          <w:color w:val="auto"/>
          <w:sz w:val="24"/>
          <w:szCs w:val="24"/>
          <w:highlight w:val="none"/>
          <w:u w:val="single"/>
          <w:lang w:eastAsia="zh-CN"/>
        </w:rPr>
        <w:t>）。</w:t>
      </w:r>
    </w:p>
    <w:p>
      <w:pPr>
        <w:pStyle w:val="5"/>
        <w:spacing w:after="240"/>
        <w:ind w:right="44"/>
        <w:rPr>
          <w:b/>
          <w:bCs/>
          <w:color w:val="auto"/>
          <w:highlight w:val="none"/>
          <w:lang w:eastAsia="zh-CN"/>
        </w:rPr>
      </w:pPr>
      <w:r>
        <w:rPr>
          <w:b/>
          <w:bCs/>
          <w:color w:val="auto"/>
          <w:highlight w:val="none"/>
          <w:lang w:eastAsia="zh-CN"/>
        </w:rPr>
        <w:t>1.5费用承担</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投标人准备和参加投标活动发生的费用自理。</w:t>
      </w:r>
    </w:p>
    <w:p>
      <w:pPr>
        <w:pStyle w:val="5"/>
        <w:spacing w:after="240"/>
        <w:ind w:right="44"/>
        <w:rPr>
          <w:b/>
          <w:bCs/>
          <w:color w:val="auto"/>
          <w:highlight w:val="none"/>
          <w:lang w:eastAsia="zh-CN"/>
        </w:rPr>
      </w:pPr>
      <w:r>
        <w:rPr>
          <w:b/>
          <w:bCs/>
          <w:color w:val="auto"/>
          <w:highlight w:val="none"/>
          <w:lang w:eastAsia="zh-CN"/>
        </w:rPr>
        <w:t>1.6保密</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参与招标投标活动的各方应对招标文件和投标文件中的商业和技术等秘密保密，否则应承担相应的法律责任。</w:t>
      </w:r>
    </w:p>
    <w:p>
      <w:pPr>
        <w:pStyle w:val="5"/>
        <w:spacing w:after="240"/>
        <w:ind w:right="44"/>
        <w:rPr>
          <w:b/>
          <w:bCs/>
          <w:color w:val="auto"/>
          <w:highlight w:val="none"/>
          <w:lang w:eastAsia="zh-CN"/>
        </w:rPr>
      </w:pPr>
      <w:r>
        <w:rPr>
          <w:b/>
          <w:bCs/>
          <w:color w:val="auto"/>
          <w:highlight w:val="none"/>
          <w:lang w:eastAsia="zh-CN"/>
        </w:rPr>
        <w:t>1.7语言文字</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招标投标文件使用的语言文字为中文。专用术语使用外文的，应附有中文注释。</w:t>
      </w:r>
    </w:p>
    <w:p>
      <w:pPr>
        <w:pStyle w:val="5"/>
        <w:spacing w:after="240"/>
        <w:ind w:right="44"/>
        <w:rPr>
          <w:b/>
          <w:bCs/>
          <w:color w:val="auto"/>
          <w:highlight w:val="none"/>
          <w:lang w:eastAsia="zh-CN"/>
        </w:rPr>
      </w:pPr>
      <w:r>
        <w:rPr>
          <w:b/>
          <w:bCs/>
          <w:color w:val="auto"/>
          <w:highlight w:val="none"/>
          <w:lang w:eastAsia="zh-CN"/>
        </w:rPr>
        <w:t>1.8计量单位</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所有计量均采用中华人民共和国法定计量单位。</w:t>
      </w:r>
    </w:p>
    <w:p>
      <w:pPr>
        <w:pStyle w:val="5"/>
        <w:spacing w:after="240"/>
        <w:ind w:right="44"/>
        <w:rPr>
          <w:b/>
          <w:bCs/>
          <w:color w:val="auto"/>
          <w:highlight w:val="none"/>
          <w:lang w:eastAsia="zh-CN"/>
        </w:rPr>
      </w:pPr>
      <w:r>
        <w:rPr>
          <w:b/>
          <w:bCs/>
          <w:color w:val="auto"/>
          <w:highlight w:val="none"/>
          <w:lang w:eastAsia="zh-CN"/>
        </w:rPr>
        <w:t>1.9踏勘现场</w:t>
      </w:r>
    </w:p>
    <w:p>
      <w:pPr>
        <w:pStyle w:val="10"/>
        <w:spacing w:line="360" w:lineRule="auto"/>
        <w:ind w:left="0" w:firstLine="480" w:firstLineChars="200"/>
        <w:rPr>
          <w:color w:val="auto"/>
          <w:sz w:val="24"/>
          <w:szCs w:val="24"/>
          <w:highlight w:val="none"/>
          <w:u w:val="single"/>
          <w:lang w:eastAsia="zh-CN"/>
        </w:rPr>
      </w:pPr>
      <w:r>
        <w:rPr>
          <w:rFonts w:hint="eastAsia"/>
          <w:color w:val="auto"/>
          <w:sz w:val="24"/>
          <w:szCs w:val="24"/>
          <w:highlight w:val="none"/>
          <w:u w:val="single"/>
          <w:lang w:eastAsia="zh-CN"/>
        </w:rPr>
        <w:t>不组织</w:t>
      </w:r>
      <w:r>
        <w:rPr>
          <w:rFonts w:cs="宋体"/>
          <w:color w:val="auto"/>
          <w:sz w:val="24"/>
          <w:szCs w:val="24"/>
          <w:highlight w:val="none"/>
          <w:u w:val="single"/>
          <w:lang w:eastAsia="zh-CN"/>
        </w:rPr>
        <w:t>踏勘现场。</w:t>
      </w:r>
      <w:r>
        <w:rPr>
          <w:rFonts w:hint="eastAsia" w:cs="宋体"/>
          <w:color w:val="auto"/>
          <w:sz w:val="24"/>
          <w:szCs w:val="24"/>
          <w:highlight w:val="none"/>
          <w:u w:val="single"/>
          <w:lang w:eastAsia="zh-CN"/>
        </w:rPr>
        <w:t>补充说明如下：</w:t>
      </w:r>
    </w:p>
    <w:p>
      <w:pPr>
        <w:pStyle w:val="10"/>
        <w:spacing w:line="360" w:lineRule="auto"/>
        <w:ind w:left="0" w:firstLine="480" w:firstLineChars="200"/>
        <w:rPr>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1</w:t>
      </w:r>
      <w:r>
        <w:rPr>
          <w:rFonts w:hint="eastAsia" w:cs="宋体"/>
          <w:color w:val="auto"/>
          <w:sz w:val="24"/>
          <w:szCs w:val="24"/>
          <w:highlight w:val="none"/>
          <w:u w:val="single"/>
          <w:lang w:eastAsia="zh-CN"/>
        </w:rPr>
        <w:t>）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投标人若认为必要时，也可以独自增加现场考察活动。</w:t>
      </w:r>
    </w:p>
    <w:p>
      <w:pPr>
        <w:pStyle w:val="10"/>
        <w:spacing w:line="360" w:lineRule="auto"/>
        <w:ind w:left="0" w:firstLine="480" w:firstLineChars="200"/>
        <w:rPr>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2</w:t>
      </w:r>
      <w:r>
        <w:rPr>
          <w:rFonts w:hint="eastAsia" w:cs="宋体"/>
          <w:color w:val="auto"/>
          <w:sz w:val="24"/>
          <w:szCs w:val="24"/>
          <w:highlight w:val="none"/>
          <w:u w:val="single"/>
          <w:lang w:eastAsia="zh-CN"/>
        </w:rPr>
        <w:t>）投标人及其代表进入考察的现场。投标人及其代表必须承担那些进入现场后，由于他们的行为所造成的人身伤害（不管是否致命）、财产损失或损坏，以及其他任何原因造成的损失、损坏或费用。招标人在投标人及其代表考察过程中不负任何责任。</w:t>
      </w:r>
    </w:p>
    <w:p>
      <w:pPr>
        <w:pStyle w:val="10"/>
        <w:spacing w:line="360" w:lineRule="auto"/>
        <w:ind w:left="0" w:firstLine="480" w:firstLineChars="200"/>
        <w:rPr>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3</w:t>
      </w:r>
      <w:r>
        <w:rPr>
          <w:rFonts w:hint="eastAsia" w:cs="宋体"/>
          <w:color w:val="auto"/>
          <w:sz w:val="24"/>
          <w:szCs w:val="24"/>
          <w:highlight w:val="none"/>
          <w:u w:val="single"/>
          <w:lang w:eastAsia="zh-CN"/>
        </w:rPr>
        <w:t>）由招标人提供的资料和数据，只是为了使投标人能够利用招标人现有的资料。招标人对投标人由此而作出的推论、解释和结论概不负责。</w:t>
      </w:r>
    </w:p>
    <w:p>
      <w:pPr>
        <w:pStyle w:val="10"/>
        <w:spacing w:line="360" w:lineRule="auto"/>
        <w:ind w:left="0" w:firstLine="480" w:firstLineChars="200"/>
        <w:rPr>
          <w:rFonts w:cs="宋体"/>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4</w:t>
      </w:r>
      <w:r>
        <w:rPr>
          <w:rFonts w:hint="eastAsia" w:cs="宋体"/>
          <w:color w:val="auto"/>
          <w:sz w:val="24"/>
          <w:szCs w:val="24"/>
          <w:highlight w:val="none"/>
          <w:u w:val="single"/>
          <w:lang w:eastAsia="zh-CN"/>
        </w:rPr>
        <w:t>）不论投标结果如何，投标人应承担其投标文件编制与递交所涉及的一切费用，发包人对上述费用不负任何责任。</w:t>
      </w:r>
    </w:p>
    <w:p>
      <w:pPr>
        <w:pStyle w:val="5"/>
        <w:spacing w:after="240"/>
        <w:ind w:right="44"/>
        <w:rPr>
          <w:b/>
          <w:bCs/>
          <w:color w:val="auto"/>
          <w:highlight w:val="none"/>
          <w:lang w:eastAsia="zh-CN"/>
        </w:rPr>
      </w:pPr>
      <w:r>
        <w:rPr>
          <w:b/>
          <w:bCs/>
          <w:color w:val="auto"/>
          <w:highlight w:val="none"/>
          <w:lang w:eastAsia="zh-CN"/>
        </w:rPr>
        <w:t>1.10投标预备会</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u w:val="single"/>
          <w:lang w:eastAsia="zh-CN"/>
        </w:rPr>
        <w:t>不召开</w:t>
      </w:r>
      <w:r>
        <w:rPr>
          <w:color w:val="auto"/>
          <w:sz w:val="24"/>
          <w:szCs w:val="24"/>
          <w:highlight w:val="none"/>
          <w:lang w:eastAsia="zh-CN"/>
        </w:rPr>
        <w:t>。</w:t>
      </w:r>
    </w:p>
    <w:p>
      <w:pPr>
        <w:pStyle w:val="5"/>
        <w:spacing w:after="240"/>
        <w:ind w:right="44"/>
        <w:rPr>
          <w:b/>
          <w:bCs/>
          <w:color w:val="auto"/>
          <w:highlight w:val="none"/>
          <w:lang w:eastAsia="zh-CN"/>
        </w:rPr>
      </w:pPr>
      <w:r>
        <w:rPr>
          <w:b/>
          <w:bCs/>
          <w:color w:val="auto"/>
          <w:highlight w:val="none"/>
          <w:lang w:eastAsia="zh-CN"/>
        </w:rPr>
        <w:t>1.11分包</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1.11.1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1.11.2中标人不得向他人转让中标项目，接受分包的人不得再次分包。中标人应当就分包项目向招标人负责，接受分包的人就分包项目承担连带责任。</w:t>
      </w:r>
    </w:p>
    <w:p>
      <w:pPr>
        <w:pStyle w:val="5"/>
        <w:spacing w:after="240"/>
        <w:ind w:right="44"/>
        <w:rPr>
          <w:b/>
          <w:bCs/>
          <w:color w:val="auto"/>
          <w:highlight w:val="none"/>
          <w:lang w:eastAsia="zh-CN"/>
        </w:rPr>
      </w:pPr>
      <w:r>
        <w:rPr>
          <w:b/>
          <w:bCs/>
          <w:color w:val="auto"/>
          <w:highlight w:val="none"/>
          <w:lang w:eastAsia="zh-CN"/>
        </w:rPr>
        <w:t>1.12响应和偏差</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1.12.1投标文件应当对招标文件的实质性要求和条件作出满足性或更有利于招标人的响应，否则，投标人的投标将被否决。实质性要求和条件见投标人须知前附表。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1.12.2投标人应根据招标文件的要求提供投标设计方案等内容以对招标文件作出响应。</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1.12.3投标人须知前附表允许投标文件偏离招标文件某些要求的，偏差应当符合招标文件规定的偏差范围和幅度。</w:t>
      </w:r>
      <w:bookmarkStart w:id="14" w:name="_Toc25137983"/>
    </w:p>
    <w:p>
      <w:pPr>
        <w:pStyle w:val="4"/>
        <w:spacing w:after="240" w:line="443" w:lineRule="exact"/>
        <w:ind w:right="44"/>
        <w:rPr>
          <w:rFonts w:ascii="宋体" w:hAnsi="宋体" w:eastAsia="宋体"/>
          <w:color w:val="auto"/>
          <w:highlight w:val="none"/>
          <w:lang w:eastAsia="zh-CN"/>
        </w:rPr>
      </w:pPr>
      <w:bookmarkStart w:id="15" w:name="_Toc142858876"/>
      <w:bookmarkStart w:id="16" w:name="_Toc143424739"/>
      <w:r>
        <w:rPr>
          <w:rFonts w:ascii="宋体" w:hAnsi="宋体" w:eastAsia="宋体"/>
          <w:color w:val="auto"/>
          <w:highlight w:val="none"/>
          <w:lang w:eastAsia="zh-CN"/>
        </w:rPr>
        <w:t>2. 招标文件</w:t>
      </w:r>
      <w:bookmarkEnd w:id="14"/>
      <w:bookmarkEnd w:id="15"/>
      <w:bookmarkEnd w:id="16"/>
    </w:p>
    <w:p>
      <w:pPr>
        <w:pStyle w:val="5"/>
        <w:spacing w:after="240"/>
        <w:ind w:right="44"/>
        <w:rPr>
          <w:b/>
          <w:bCs/>
          <w:color w:val="auto"/>
          <w:highlight w:val="none"/>
          <w:lang w:eastAsia="zh-CN"/>
        </w:rPr>
      </w:pPr>
      <w:r>
        <w:rPr>
          <w:b/>
          <w:bCs/>
          <w:color w:val="auto"/>
          <w:highlight w:val="none"/>
          <w:lang w:eastAsia="zh-CN"/>
        </w:rPr>
        <w:t>2.1招标文件的组成</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本招标文件包括：</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（1）招标公告；</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（2）投标人须知；</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（3）评标办法；</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（4）合同条款及格式；</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（5）发包人要求；</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（6）投标文件格式；</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（7）投标人须知前附表规定的其他资料。</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根据本章第1.10款、第2.2款和第2.3款对招标文件所作的澄清、修改，构成招标文件的组成部分。</w:t>
      </w:r>
    </w:p>
    <w:p>
      <w:pPr>
        <w:pStyle w:val="5"/>
        <w:spacing w:after="240"/>
        <w:ind w:right="44"/>
        <w:rPr>
          <w:b/>
          <w:bCs/>
          <w:color w:val="auto"/>
          <w:highlight w:val="none"/>
          <w:lang w:eastAsia="zh-CN"/>
        </w:rPr>
      </w:pPr>
      <w:r>
        <w:rPr>
          <w:b/>
          <w:bCs/>
          <w:color w:val="auto"/>
          <w:highlight w:val="none"/>
          <w:lang w:eastAsia="zh-CN"/>
        </w:rPr>
        <w:t>2.2招标文件的澄清</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2.2.3投标人在收到澄清后，应按投标人须知前附表规定的时间和形式通知招标人，确认已收到该澄清。</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2.2.4 除非招标人认为确有必要答复，否则，招标人有权拒绝回复投标人在本章第 2.2.1项规定的时间后的任何澄清要求。</w:t>
      </w:r>
    </w:p>
    <w:p>
      <w:pPr>
        <w:pStyle w:val="5"/>
        <w:spacing w:after="240"/>
        <w:ind w:right="44"/>
        <w:rPr>
          <w:b/>
          <w:bCs/>
          <w:color w:val="auto"/>
          <w:highlight w:val="none"/>
          <w:lang w:eastAsia="zh-CN"/>
        </w:rPr>
      </w:pPr>
      <w:r>
        <w:rPr>
          <w:b/>
          <w:bCs/>
          <w:color w:val="auto"/>
          <w:highlight w:val="none"/>
          <w:lang w:eastAsia="zh-CN"/>
        </w:rPr>
        <w:t>2.3招标文件的修改</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2.3.2投标人收到修改内容后，应按投标人须知前附表规定的时间和形式通知招标人，确认已收到该修改。</w:t>
      </w:r>
    </w:p>
    <w:p>
      <w:pPr>
        <w:pStyle w:val="5"/>
        <w:spacing w:after="240"/>
        <w:ind w:right="44"/>
        <w:rPr>
          <w:b/>
          <w:bCs/>
          <w:color w:val="auto"/>
          <w:highlight w:val="none"/>
          <w:lang w:eastAsia="zh-CN"/>
        </w:rPr>
      </w:pPr>
      <w:r>
        <w:rPr>
          <w:b/>
          <w:bCs/>
          <w:color w:val="auto"/>
          <w:highlight w:val="none"/>
          <w:lang w:eastAsia="zh-CN"/>
        </w:rPr>
        <w:t>2.4招标文件的异议</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投标人或者其他利害关系人对招标文件有异议的，应当在投标截止时间10日前以书面形式提出。招标人将在收到异议之日起3日内作出答复；作出答复前，将暂停招标投标活动。</w:t>
      </w:r>
      <w:bookmarkStart w:id="17" w:name="_Toc25137984"/>
    </w:p>
    <w:p>
      <w:pPr>
        <w:pStyle w:val="4"/>
        <w:spacing w:after="240" w:line="443" w:lineRule="exact"/>
        <w:ind w:right="44"/>
        <w:rPr>
          <w:rFonts w:ascii="宋体" w:hAnsi="宋体" w:eastAsia="宋体"/>
          <w:color w:val="auto"/>
          <w:highlight w:val="none"/>
          <w:lang w:eastAsia="zh-CN"/>
        </w:rPr>
      </w:pPr>
      <w:bookmarkStart w:id="18" w:name="_Toc142858877"/>
      <w:bookmarkStart w:id="19" w:name="_Toc143424740"/>
      <w:r>
        <w:rPr>
          <w:rFonts w:ascii="宋体" w:hAnsi="宋体" w:eastAsia="宋体"/>
          <w:color w:val="auto"/>
          <w:highlight w:val="none"/>
          <w:lang w:eastAsia="zh-CN"/>
        </w:rPr>
        <w:t>3. 投标文件</w:t>
      </w:r>
      <w:bookmarkEnd w:id="17"/>
      <w:bookmarkEnd w:id="18"/>
      <w:bookmarkEnd w:id="19"/>
    </w:p>
    <w:p>
      <w:pPr>
        <w:pStyle w:val="5"/>
        <w:spacing w:after="240"/>
        <w:ind w:right="44"/>
        <w:rPr>
          <w:b/>
          <w:bCs/>
          <w:color w:val="auto"/>
          <w:highlight w:val="none"/>
          <w:lang w:eastAsia="zh-CN"/>
        </w:rPr>
      </w:pPr>
      <w:r>
        <w:rPr>
          <w:b/>
          <w:bCs/>
          <w:color w:val="auto"/>
          <w:highlight w:val="none"/>
          <w:lang w:eastAsia="zh-CN"/>
        </w:rPr>
        <w:t>3.1投标文件的组成</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 xml:space="preserve">3.1.1 </w:t>
      </w:r>
      <w:r>
        <w:rPr>
          <w:rFonts w:hint="eastAsia" w:cs="宋体"/>
          <w:color w:val="auto"/>
          <w:sz w:val="24"/>
          <w:szCs w:val="24"/>
          <w:highlight w:val="none"/>
          <w:lang w:eastAsia="zh-CN"/>
        </w:rPr>
        <w:t>投标文件</w:t>
      </w:r>
      <w:r>
        <w:rPr>
          <w:rFonts w:hint="eastAsia" w:cs="宋体"/>
          <w:color w:val="auto"/>
          <w:sz w:val="24"/>
          <w:szCs w:val="24"/>
          <w:highlight w:val="none"/>
          <w:u w:val="single"/>
          <w:lang w:eastAsia="zh-CN"/>
        </w:rPr>
        <w:t>及定标文件</w:t>
      </w:r>
      <w:r>
        <w:rPr>
          <w:rFonts w:hint="eastAsia" w:cs="宋体"/>
          <w:color w:val="auto"/>
          <w:sz w:val="24"/>
          <w:szCs w:val="24"/>
          <w:highlight w:val="none"/>
          <w:lang w:eastAsia="zh-CN"/>
        </w:rPr>
        <w:t>应包括下列内容：</w:t>
      </w:r>
    </w:p>
    <w:p>
      <w:pPr>
        <w:pStyle w:val="10"/>
        <w:spacing w:line="360" w:lineRule="auto"/>
        <w:ind w:left="0" w:firstLine="482" w:firstLineChars="200"/>
        <w:rPr>
          <w:rFonts w:cs="宋体"/>
          <w:b/>
          <w:color w:val="auto"/>
          <w:sz w:val="24"/>
          <w:szCs w:val="24"/>
          <w:highlight w:val="none"/>
          <w:u w:val="single"/>
          <w:lang w:eastAsia="zh-CN"/>
        </w:rPr>
      </w:pPr>
      <w:r>
        <w:rPr>
          <w:rFonts w:hint="eastAsia" w:cs="宋体"/>
          <w:b/>
          <w:color w:val="auto"/>
          <w:sz w:val="24"/>
          <w:szCs w:val="24"/>
          <w:highlight w:val="none"/>
          <w:u w:val="single"/>
          <w:lang w:eastAsia="zh-CN"/>
        </w:rPr>
        <w:t>投标文件由商务文件（含资格审查部分、资信业绩部分）、技术文件（含设计方案部分）两个部分组成。各部分投标文件应分别编制。设计投标文件编制要求详见第六章投标文件格式“设计投标文件编制要求”。</w:t>
      </w:r>
    </w:p>
    <w:p>
      <w:pPr>
        <w:pStyle w:val="10"/>
        <w:spacing w:line="360" w:lineRule="auto"/>
        <w:ind w:left="0" w:firstLine="482" w:firstLineChars="200"/>
        <w:rPr>
          <w:rFonts w:cs="宋体"/>
          <w:b/>
          <w:color w:val="auto"/>
          <w:sz w:val="24"/>
          <w:szCs w:val="24"/>
          <w:highlight w:val="none"/>
          <w:u w:val="single"/>
          <w:lang w:eastAsia="zh-CN"/>
        </w:rPr>
      </w:pPr>
      <w:r>
        <w:rPr>
          <w:rFonts w:hint="eastAsia" w:cs="宋体"/>
          <w:b/>
          <w:color w:val="auto"/>
          <w:sz w:val="24"/>
          <w:szCs w:val="24"/>
          <w:highlight w:val="none"/>
          <w:u w:val="single"/>
          <w:lang w:eastAsia="zh-CN"/>
        </w:rPr>
        <w:t>定标文件由技术文件（含设计方案部分）组成。设计投标文件编制要求详见第七章定标文件格式“设计投标文件编制要求”。</w:t>
      </w:r>
    </w:p>
    <w:p>
      <w:pPr>
        <w:pStyle w:val="10"/>
        <w:spacing w:line="360" w:lineRule="auto"/>
        <w:ind w:firstLine="482" w:firstLineChars="200"/>
        <w:rPr>
          <w:rFonts w:cs="宋体"/>
          <w:b/>
          <w:color w:val="auto"/>
          <w:sz w:val="24"/>
          <w:szCs w:val="24"/>
          <w:highlight w:val="none"/>
          <w:u w:val="single"/>
          <w:lang w:eastAsia="zh-CN"/>
        </w:rPr>
      </w:pPr>
      <w:r>
        <w:rPr>
          <w:rFonts w:hint="eastAsia" w:cs="宋体"/>
          <w:b/>
          <w:color w:val="auto"/>
          <w:sz w:val="24"/>
          <w:szCs w:val="24"/>
          <w:highlight w:val="none"/>
          <w:u w:val="single"/>
          <w:lang w:eastAsia="zh-CN"/>
        </w:rPr>
        <w:t>注：技术文件（含设计方案部分）为暗标。技术标中不能辨认出投标人或其专业技术人员的身份。不在设计方案上标注或做任何可以辨认投标人及专业技术人员身份的名称、印章、商标、图形等记认符号。</w:t>
      </w:r>
    </w:p>
    <w:p>
      <w:pPr>
        <w:pStyle w:val="10"/>
        <w:spacing w:line="360" w:lineRule="auto"/>
        <w:ind w:left="0" w:firstLine="480" w:firstLineChars="200"/>
        <w:rPr>
          <w:rFonts w:cs="宋体"/>
          <w:color w:val="auto"/>
          <w:sz w:val="24"/>
          <w:szCs w:val="24"/>
          <w:highlight w:val="none"/>
          <w:lang w:eastAsia="zh-CN"/>
        </w:rPr>
      </w:pPr>
      <w:r>
        <w:rPr>
          <w:rFonts w:cs="宋体"/>
          <w:color w:val="auto"/>
          <w:sz w:val="24"/>
          <w:szCs w:val="24"/>
          <w:highlight w:val="none"/>
          <w:lang w:eastAsia="zh-CN"/>
        </w:rPr>
        <w:t>投标人在评标过程中作出的符合法律法规和招标文件规定的澄清确认，构成投标文件</w:t>
      </w:r>
      <w:r>
        <w:rPr>
          <w:rFonts w:hint="eastAsia" w:cs="宋体"/>
          <w:color w:val="auto"/>
          <w:sz w:val="24"/>
          <w:szCs w:val="24"/>
          <w:highlight w:val="none"/>
          <w:u w:val="single"/>
          <w:lang w:eastAsia="zh-CN"/>
        </w:rPr>
        <w:t>及定标文件</w:t>
      </w:r>
      <w:r>
        <w:rPr>
          <w:rFonts w:cs="宋体"/>
          <w:color w:val="auto"/>
          <w:sz w:val="24"/>
          <w:szCs w:val="24"/>
          <w:highlight w:val="none"/>
          <w:lang w:eastAsia="zh-CN"/>
        </w:rPr>
        <w:t>的组成部分。</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3.1.2投标人须知前附表规定不接受联合体投标的，或投标人没有组成联合体的，投标文件不包括本章第3.1.1（3）目所指的联合体协议书。</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3.1.3 投标人须知前附表未要求提交投标保证金的，投标文件不包括本章第 3.1.1（4）目所指的投标保证金。</w:t>
      </w:r>
    </w:p>
    <w:p>
      <w:pPr>
        <w:pStyle w:val="5"/>
        <w:spacing w:after="240"/>
        <w:ind w:right="44"/>
        <w:rPr>
          <w:b/>
          <w:bCs/>
          <w:color w:val="auto"/>
          <w:highlight w:val="none"/>
          <w:lang w:eastAsia="zh-CN"/>
        </w:rPr>
      </w:pPr>
      <w:r>
        <w:rPr>
          <w:b/>
          <w:bCs/>
          <w:color w:val="auto"/>
          <w:highlight w:val="none"/>
          <w:lang w:eastAsia="zh-CN"/>
        </w:rPr>
        <w:t>3.2投标报价</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3.2.1投标报价应包括国家规定的增值税税金，除投标人须知前附表另有规定外，增值税税金按一般计税方法计算。投标人应按第六章“投标文件格式”的要求在投标函中进行报价并填写</w:t>
      </w:r>
      <w:r>
        <w:rPr>
          <w:color w:val="auto"/>
          <w:sz w:val="24"/>
          <w:szCs w:val="24"/>
          <w:highlight w:val="none"/>
          <w:u w:val="single"/>
          <w:lang w:eastAsia="zh-CN"/>
        </w:rPr>
        <w:t>设计</w:t>
      </w:r>
      <w:r>
        <w:rPr>
          <w:color w:val="auto"/>
          <w:sz w:val="24"/>
          <w:szCs w:val="24"/>
          <w:highlight w:val="none"/>
          <w:lang w:eastAsia="zh-CN"/>
        </w:rPr>
        <w:t>费用清单。</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3.2.2投标人应充分了解该项目的总体情况以及影响投标报价的其他要素。</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3.2.3本项目的报价方式见投标人须知前附表。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3.2.4招标人设有最高投标限价的，投标人的投标报价不得超过最高投标限价，最高投标限价在投标人须知前附表中载明。</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3.2.5投标报价的其他要求见投标人须知前附表。</w:t>
      </w:r>
    </w:p>
    <w:p>
      <w:pPr>
        <w:pStyle w:val="5"/>
        <w:spacing w:after="240"/>
        <w:ind w:right="44"/>
        <w:rPr>
          <w:b/>
          <w:bCs/>
          <w:color w:val="auto"/>
          <w:highlight w:val="none"/>
          <w:lang w:eastAsia="zh-CN"/>
        </w:rPr>
      </w:pPr>
      <w:r>
        <w:rPr>
          <w:b/>
          <w:bCs/>
          <w:color w:val="auto"/>
          <w:highlight w:val="none"/>
          <w:lang w:eastAsia="zh-CN"/>
        </w:rPr>
        <w:t>3.3投标有效期</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3.3.1除投标人须知前附表另有规定外，投标有效期为</w:t>
      </w:r>
      <w:r>
        <w:rPr>
          <w:rFonts w:hint="eastAsia"/>
          <w:color w:val="auto"/>
          <w:sz w:val="24"/>
          <w:szCs w:val="24"/>
          <w:highlight w:val="none"/>
          <w:lang w:eastAsia="zh-CN"/>
        </w:rPr>
        <w:t>120</w:t>
      </w:r>
      <w:r>
        <w:rPr>
          <w:color w:val="auto"/>
          <w:sz w:val="24"/>
          <w:szCs w:val="24"/>
          <w:highlight w:val="none"/>
          <w:lang w:eastAsia="zh-CN"/>
        </w:rPr>
        <w:t>天。</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3.3.2在投标有效期内，投标人撤销投标文件的，应承担招标文件和法律规定的责任。</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3.3.3出现特殊情况需要延长投标有效期的，招标人以书面形式通知所有投标人延长投标有效期。投标人应予以书面答复，同意延长的，但不得要求或被允许修改其投标文件；投标人拒绝延长的，其投标失效。</w:t>
      </w:r>
    </w:p>
    <w:p>
      <w:pPr>
        <w:pStyle w:val="5"/>
        <w:spacing w:after="240"/>
        <w:ind w:right="44"/>
        <w:rPr>
          <w:b/>
          <w:bCs/>
          <w:color w:val="auto"/>
          <w:highlight w:val="none"/>
          <w:lang w:eastAsia="zh-CN"/>
        </w:rPr>
      </w:pPr>
      <w:r>
        <w:rPr>
          <w:b/>
          <w:bCs/>
          <w:color w:val="auto"/>
          <w:highlight w:val="none"/>
          <w:lang w:eastAsia="zh-CN"/>
        </w:rPr>
        <w:t>3.4投标保证金</w:t>
      </w:r>
    </w:p>
    <w:p>
      <w:pPr>
        <w:pStyle w:val="10"/>
        <w:spacing w:after="240" w:line="360" w:lineRule="auto"/>
        <w:ind w:left="0" w:firstLine="480" w:firstLineChars="200"/>
        <w:rPr>
          <w:color w:val="auto"/>
          <w:sz w:val="24"/>
          <w:szCs w:val="24"/>
          <w:highlight w:val="none"/>
          <w:lang w:eastAsia="zh-CN"/>
        </w:rPr>
      </w:pPr>
      <w:r>
        <w:rPr>
          <w:rFonts w:hint="eastAsia"/>
          <w:color w:val="auto"/>
          <w:sz w:val="24"/>
          <w:szCs w:val="24"/>
          <w:highlight w:val="none"/>
          <w:lang w:eastAsia="zh-CN"/>
        </w:rPr>
        <w:t>无</w:t>
      </w:r>
    </w:p>
    <w:p>
      <w:pPr>
        <w:pStyle w:val="5"/>
        <w:spacing w:after="240"/>
        <w:ind w:right="44"/>
        <w:rPr>
          <w:b/>
          <w:bCs/>
          <w:color w:val="auto"/>
          <w:highlight w:val="none"/>
          <w:lang w:eastAsia="zh-CN"/>
        </w:rPr>
      </w:pPr>
      <w:r>
        <w:rPr>
          <w:b/>
          <w:bCs/>
          <w:color w:val="auto"/>
          <w:highlight w:val="none"/>
          <w:lang w:eastAsia="zh-CN"/>
        </w:rPr>
        <w:t>3.5资格审查资料（适用于已进行资格预审的）</w:t>
      </w:r>
    </w:p>
    <w:p>
      <w:pPr>
        <w:pStyle w:val="10"/>
        <w:spacing w:after="240" w:line="360" w:lineRule="auto"/>
        <w:ind w:left="0" w:firstLine="480" w:firstLineChars="200"/>
        <w:rPr>
          <w:strike/>
          <w:color w:val="auto"/>
          <w:sz w:val="24"/>
          <w:szCs w:val="24"/>
          <w:highlight w:val="none"/>
          <w:lang w:eastAsia="zh-CN"/>
        </w:rPr>
      </w:pPr>
      <w:r>
        <w:rPr>
          <w:strike/>
          <w:color w:val="auto"/>
          <w:sz w:val="24"/>
          <w:szCs w:val="24"/>
          <w:highlight w:val="none"/>
          <w:lang w:eastAsia="zh-CN"/>
        </w:rPr>
        <w:t>投标人在递交投标文件前，发生可能影响其投标资格的新情况的，应更新或补充其在申请资格预审时提供的资料，以证实其各项资格条件仍能继续满足资格预审文件的要求，且没有实质性降低。</w:t>
      </w:r>
    </w:p>
    <w:p>
      <w:pPr>
        <w:pStyle w:val="5"/>
        <w:spacing w:after="240"/>
        <w:ind w:right="44"/>
        <w:rPr>
          <w:b/>
          <w:bCs/>
          <w:color w:val="auto"/>
          <w:highlight w:val="none"/>
          <w:lang w:eastAsia="zh-CN"/>
        </w:rPr>
      </w:pPr>
      <w:r>
        <w:rPr>
          <w:b/>
          <w:bCs/>
          <w:color w:val="auto"/>
          <w:highlight w:val="none"/>
          <w:lang w:eastAsia="zh-CN"/>
        </w:rPr>
        <w:t>3.5资格审查资料（适用于未进行资格预审的）</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除投标人须知前附表另有规定外，投标人应按下列规定提供资格审查资料，以证明其满足本章第1.4款规定的资质、财务</w:t>
      </w:r>
      <w:r>
        <w:rPr>
          <w:rFonts w:hint="eastAsia"/>
          <w:color w:val="auto"/>
          <w:sz w:val="24"/>
          <w:szCs w:val="24"/>
          <w:highlight w:val="none"/>
          <w:lang w:eastAsia="zh-CN"/>
        </w:rPr>
        <w:t>（如有）</w:t>
      </w:r>
      <w:r>
        <w:rPr>
          <w:color w:val="auto"/>
          <w:sz w:val="24"/>
          <w:szCs w:val="24"/>
          <w:highlight w:val="none"/>
          <w:lang w:eastAsia="zh-CN"/>
        </w:rPr>
        <w:t>、业绩</w:t>
      </w:r>
      <w:r>
        <w:rPr>
          <w:rFonts w:hint="eastAsia"/>
          <w:color w:val="auto"/>
          <w:sz w:val="24"/>
          <w:szCs w:val="24"/>
          <w:highlight w:val="none"/>
          <w:lang w:eastAsia="zh-CN"/>
        </w:rPr>
        <w:t>（如有）</w:t>
      </w:r>
      <w:r>
        <w:rPr>
          <w:color w:val="auto"/>
          <w:sz w:val="24"/>
          <w:szCs w:val="24"/>
          <w:highlight w:val="none"/>
          <w:lang w:eastAsia="zh-CN"/>
        </w:rPr>
        <w:t>、信誉等要求。</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3.5.1“投标人基本情况表”应附投标人营业执照和组织机构代码证的</w:t>
      </w:r>
      <w:r>
        <w:rPr>
          <w:rFonts w:hint="eastAsia"/>
          <w:color w:val="auto"/>
          <w:sz w:val="24"/>
          <w:szCs w:val="24"/>
          <w:highlight w:val="none"/>
          <w:lang w:eastAsia="zh-CN"/>
        </w:rPr>
        <w:t>扫描</w:t>
      </w:r>
      <w:r>
        <w:rPr>
          <w:color w:val="auto"/>
          <w:sz w:val="24"/>
          <w:szCs w:val="24"/>
          <w:highlight w:val="none"/>
          <w:lang w:eastAsia="zh-CN"/>
        </w:rPr>
        <w:t>件（按照“三证合一”或“五证合一”登记制度进行登记的，可仅提供营业执照</w:t>
      </w:r>
      <w:r>
        <w:rPr>
          <w:rFonts w:hint="eastAsia"/>
          <w:color w:val="auto"/>
          <w:sz w:val="24"/>
          <w:szCs w:val="24"/>
          <w:highlight w:val="none"/>
          <w:lang w:eastAsia="zh-CN"/>
        </w:rPr>
        <w:t>扫描</w:t>
      </w:r>
      <w:r>
        <w:rPr>
          <w:color w:val="auto"/>
          <w:sz w:val="24"/>
          <w:szCs w:val="24"/>
          <w:highlight w:val="none"/>
          <w:lang w:eastAsia="zh-CN"/>
        </w:rPr>
        <w:t>件）、投标人</w:t>
      </w:r>
      <w:r>
        <w:rPr>
          <w:color w:val="auto"/>
          <w:sz w:val="24"/>
          <w:szCs w:val="24"/>
          <w:highlight w:val="none"/>
          <w:u w:val="single"/>
          <w:lang w:eastAsia="zh-CN"/>
        </w:rPr>
        <w:t>设计</w:t>
      </w:r>
      <w:r>
        <w:rPr>
          <w:color w:val="auto"/>
          <w:sz w:val="24"/>
          <w:szCs w:val="24"/>
          <w:highlight w:val="none"/>
          <w:lang w:eastAsia="zh-CN"/>
        </w:rPr>
        <w:t>资质证书副本等材料的</w:t>
      </w:r>
      <w:r>
        <w:rPr>
          <w:rFonts w:hint="eastAsia"/>
          <w:color w:val="auto"/>
          <w:sz w:val="24"/>
          <w:szCs w:val="24"/>
          <w:highlight w:val="none"/>
          <w:lang w:eastAsia="zh-CN"/>
        </w:rPr>
        <w:t>扫描</w:t>
      </w:r>
      <w:r>
        <w:rPr>
          <w:color w:val="auto"/>
          <w:sz w:val="24"/>
          <w:szCs w:val="24"/>
          <w:highlight w:val="none"/>
          <w:lang w:eastAsia="zh-CN"/>
        </w:rPr>
        <w:t>件。</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3.5.2“近年财务状况表”应附经会计师事务所或审计机构审计的财务会计报表，包括资产负债表、现金流量表、利润表和财务情况说明书的</w:t>
      </w:r>
      <w:r>
        <w:rPr>
          <w:rFonts w:hint="eastAsia"/>
          <w:strike/>
          <w:color w:val="auto"/>
          <w:sz w:val="24"/>
          <w:szCs w:val="24"/>
          <w:highlight w:val="none"/>
          <w:lang w:eastAsia="zh-CN"/>
        </w:rPr>
        <w:t>扫描</w:t>
      </w:r>
      <w:r>
        <w:rPr>
          <w:strike/>
          <w:color w:val="auto"/>
          <w:sz w:val="24"/>
          <w:szCs w:val="24"/>
          <w:highlight w:val="none"/>
          <w:lang w:eastAsia="zh-CN"/>
        </w:rPr>
        <w:t>件，具体年份要求见投标人须知前附表。投标人的成立时间少于投标人须知前附表规定年份的，应提供成立以来的财务状况表。</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3.5.3“近年完成的类似设计项目情况表”应附中标通知书和（或）合同协议书、发包人出具的证明文件；具体时间要求见投标人须知前附表，每张表格只填写一个项目，并标明序号。</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3.5.4“正在设计和新承接的项目情况表”应附中标通知书和（或）合同协议书</w:t>
      </w:r>
      <w:r>
        <w:rPr>
          <w:rFonts w:hint="eastAsia"/>
          <w:strike/>
          <w:color w:val="auto"/>
          <w:sz w:val="24"/>
          <w:szCs w:val="24"/>
          <w:highlight w:val="none"/>
          <w:lang w:eastAsia="zh-CN"/>
        </w:rPr>
        <w:t>扫描</w:t>
      </w:r>
      <w:r>
        <w:rPr>
          <w:strike/>
          <w:color w:val="auto"/>
          <w:sz w:val="24"/>
          <w:szCs w:val="24"/>
          <w:highlight w:val="none"/>
          <w:lang w:eastAsia="zh-CN"/>
        </w:rPr>
        <w:t>件。每张表格只填写一个项目，并标明序号。</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3.5.5“近年发生的诉讼及仲裁情况”应说明投标人败诉的设计合同的相关情况，并附法院或仲裁机构作出的判决、裁决等有关法律文书</w:t>
      </w:r>
      <w:r>
        <w:rPr>
          <w:rFonts w:hint="eastAsia"/>
          <w:strike/>
          <w:color w:val="auto"/>
          <w:sz w:val="24"/>
          <w:szCs w:val="24"/>
          <w:highlight w:val="none"/>
          <w:lang w:eastAsia="zh-CN"/>
        </w:rPr>
        <w:t>扫描</w:t>
      </w:r>
      <w:r>
        <w:rPr>
          <w:strike/>
          <w:color w:val="auto"/>
          <w:sz w:val="24"/>
          <w:szCs w:val="24"/>
          <w:highlight w:val="none"/>
          <w:lang w:eastAsia="zh-CN"/>
        </w:rPr>
        <w:t>件，具体时间要求见投标人须知前附表。</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3.5.6“拟委任的主要人员汇总表”应填报满足本章第 1.4.1项规定的项目负责人和其他主要人员的相关信息。“主要人员简历表”中项目负责人应附身份证、学历证、职称证、执业资格证书和社保缴费证明</w:t>
      </w:r>
      <w:r>
        <w:rPr>
          <w:rFonts w:hint="eastAsia"/>
          <w:strike/>
          <w:color w:val="auto"/>
          <w:sz w:val="24"/>
          <w:szCs w:val="24"/>
          <w:highlight w:val="none"/>
          <w:lang w:eastAsia="zh-CN"/>
        </w:rPr>
        <w:t>扫描</w:t>
      </w:r>
      <w:r>
        <w:rPr>
          <w:strike/>
          <w:color w:val="auto"/>
          <w:sz w:val="24"/>
          <w:szCs w:val="24"/>
          <w:highlight w:val="none"/>
          <w:lang w:eastAsia="zh-CN"/>
        </w:rPr>
        <w:t>件，管理过的项目业绩须附合同协议书</w:t>
      </w:r>
      <w:r>
        <w:rPr>
          <w:rFonts w:hint="eastAsia"/>
          <w:strike/>
          <w:color w:val="auto"/>
          <w:sz w:val="24"/>
          <w:szCs w:val="24"/>
          <w:highlight w:val="none"/>
          <w:lang w:eastAsia="zh-CN"/>
        </w:rPr>
        <w:t>扫描</w:t>
      </w:r>
      <w:r>
        <w:rPr>
          <w:strike/>
          <w:color w:val="auto"/>
          <w:sz w:val="24"/>
          <w:szCs w:val="24"/>
          <w:highlight w:val="none"/>
          <w:lang w:eastAsia="zh-CN"/>
        </w:rPr>
        <w:t>件；其他主要人员应附身份证、学历证、职称证、有关证书和社保缴费证明</w:t>
      </w:r>
      <w:r>
        <w:rPr>
          <w:rFonts w:hint="eastAsia"/>
          <w:strike/>
          <w:color w:val="auto"/>
          <w:sz w:val="24"/>
          <w:szCs w:val="24"/>
          <w:highlight w:val="none"/>
          <w:lang w:eastAsia="zh-CN"/>
        </w:rPr>
        <w:t>扫描</w:t>
      </w:r>
      <w:r>
        <w:rPr>
          <w:strike/>
          <w:color w:val="auto"/>
          <w:sz w:val="24"/>
          <w:szCs w:val="24"/>
          <w:highlight w:val="none"/>
          <w:lang w:eastAsia="zh-CN"/>
        </w:rPr>
        <w:t>件。</w:t>
      </w:r>
    </w:p>
    <w:p>
      <w:pPr>
        <w:pStyle w:val="10"/>
        <w:spacing w:after="240" w:line="360" w:lineRule="auto"/>
        <w:ind w:left="0" w:firstLine="480" w:firstLineChars="200"/>
        <w:rPr>
          <w:strike/>
          <w:color w:val="auto"/>
          <w:sz w:val="24"/>
          <w:szCs w:val="24"/>
          <w:highlight w:val="none"/>
          <w:lang w:eastAsia="zh-CN"/>
        </w:rPr>
      </w:pPr>
      <w:r>
        <w:rPr>
          <w:strike/>
          <w:color w:val="auto"/>
          <w:sz w:val="24"/>
          <w:szCs w:val="24"/>
          <w:highlight w:val="none"/>
          <w:lang w:eastAsia="zh-CN"/>
        </w:rPr>
        <w:t>3.5.7投标人须知前附表规定接受联合体投标的，本章第3.5.1项至第3.5.6项规定的表格和资料应包括联合体各方相关情况。</w:t>
      </w:r>
    </w:p>
    <w:p>
      <w:pPr>
        <w:pStyle w:val="5"/>
        <w:spacing w:after="240"/>
        <w:ind w:right="44"/>
        <w:rPr>
          <w:b/>
          <w:bCs/>
          <w:color w:val="auto"/>
          <w:highlight w:val="none"/>
          <w:lang w:eastAsia="zh-CN"/>
        </w:rPr>
      </w:pPr>
      <w:r>
        <w:rPr>
          <w:b/>
          <w:bCs/>
          <w:color w:val="auto"/>
          <w:highlight w:val="none"/>
          <w:lang w:eastAsia="zh-CN"/>
        </w:rPr>
        <w:t>3.6备选投标方案</w:t>
      </w:r>
    </w:p>
    <w:p>
      <w:pPr>
        <w:pStyle w:val="10"/>
        <w:spacing w:line="360" w:lineRule="auto"/>
        <w:ind w:left="0" w:firstLine="480" w:firstLineChars="200"/>
        <w:rPr>
          <w:color w:val="auto"/>
          <w:sz w:val="24"/>
          <w:szCs w:val="24"/>
          <w:highlight w:val="none"/>
          <w:lang w:eastAsia="zh-CN"/>
        </w:rPr>
      </w:pPr>
      <w:r>
        <w:rPr>
          <w:rFonts w:hint="eastAsia"/>
          <w:color w:val="auto"/>
          <w:sz w:val="24"/>
          <w:szCs w:val="24"/>
          <w:highlight w:val="none"/>
          <w:lang w:eastAsia="zh-CN"/>
        </w:rPr>
        <w:t>不允许递交备选投标方案。</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3.6.1除投标人须知前附表规定允许外，投标人不得递交备选投标方案，否则其投标将被否决。</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0"/>
        <w:spacing w:after="240" w:line="360" w:lineRule="auto"/>
        <w:ind w:left="0" w:firstLine="480" w:firstLineChars="200"/>
        <w:rPr>
          <w:color w:val="auto"/>
          <w:sz w:val="24"/>
          <w:szCs w:val="24"/>
          <w:highlight w:val="none"/>
          <w:lang w:eastAsia="zh-CN"/>
        </w:rPr>
      </w:pPr>
      <w:r>
        <w:rPr>
          <w:strike/>
          <w:color w:val="auto"/>
          <w:sz w:val="24"/>
          <w:szCs w:val="24"/>
          <w:highlight w:val="none"/>
          <w:lang w:eastAsia="zh-CN"/>
        </w:rPr>
        <w:t>3.6.3投标人提供两个或两个以上投标报价，或者在投标文件中提供一个报价，但同时提供两个或两个以上勘察设计方案的，视为提供备选方案。</w:t>
      </w:r>
    </w:p>
    <w:p>
      <w:pPr>
        <w:pStyle w:val="5"/>
        <w:spacing w:after="240"/>
        <w:ind w:right="44"/>
        <w:rPr>
          <w:b/>
          <w:bCs/>
          <w:color w:val="auto"/>
          <w:highlight w:val="none"/>
          <w:lang w:eastAsia="zh-CN"/>
        </w:rPr>
      </w:pPr>
      <w:r>
        <w:rPr>
          <w:b/>
          <w:bCs/>
          <w:color w:val="auto"/>
          <w:highlight w:val="none"/>
          <w:lang w:eastAsia="zh-CN"/>
        </w:rPr>
        <w:t>3.7投标文件</w:t>
      </w:r>
      <w:r>
        <w:rPr>
          <w:rFonts w:hint="eastAsia"/>
          <w:b/>
          <w:bCs/>
          <w:color w:val="auto"/>
          <w:highlight w:val="none"/>
          <w:u w:val="single"/>
          <w:lang w:eastAsia="zh-CN"/>
        </w:rPr>
        <w:t>及定标文件</w:t>
      </w:r>
      <w:r>
        <w:rPr>
          <w:b/>
          <w:bCs/>
          <w:color w:val="auto"/>
          <w:highlight w:val="none"/>
          <w:lang w:eastAsia="zh-CN"/>
        </w:rPr>
        <w:t>的编制</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3.7.1投标文件</w:t>
      </w:r>
      <w:r>
        <w:rPr>
          <w:rFonts w:hint="eastAsia"/>
          <w:color w:val="auto"/>
          <w:sz w:val="24"/>
          <w:szCs w:val="24"/>
          <w:highlight w:val="none"/>
          <w:u w:val="single"/>
          <w:lang w:eastAsia="zh-CN"/>
        </w:rPr>
        <w:t>及定标文件</w:t>
      </w:r>
      <w:r>
        <w:rPr>
          <w:rFonts w:hint="eastAsia"/>
          <w:color w:val="auto"/>
          <w:sz w:val="24"/>
          <w:szCs w:val="24"/>
          <w:highlight w:val="none"/>
          <w:lang w:eastAsia="zh-CN"/>
        </w:rPr>
        <w:t>应</w:t>
      </w:r>
      <w:r>
        <w:rPr>
          <w:color w:val="auto"/>
          <w:sz w:val="24"/>
          <w:szCs w:val="24"/>
          <w:highlight w:val="none"/>
          <w:lang w:eastAsia="zh-CN"/>
        </w:rPr>
        <w:t>按第六章“投标文件格式”进行编写，如有必要，可以增加附页，作为投标文件</w:t>
      </w:r>
      <w:r>
        <w:rPr>
          <w:rFonts w:hint="eastAsia"/>
          <w:color w:val="auto"/>
          <w:sz w:val="24"/>
          <w:szCs w:val="24"/>
          <w:highlight w:val="none"/>
          <w:u w:val="single"/>
          <w:lang w:eastAsia="zh-CN"/>
        </w:rPr>
        <w:t>及定标文件</w:t>
      </w:r>
      <w:r>
        <w:rPr>
          <w:color w:val="auto"/>
          <w:sz w:val="24"/>
          <w:szCs w:val="24"/>
          <w:highlight w:val="none"/>
          <w:lang w:eastAsia="zh-CN"/>
        </w:rPr>
        <w:t>的组成部分。其中，投标函附录在满足招标文件实质性要求的基础上，可以提出比招标文件要求更有利于招标人的承诺。</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3.7.2投标文件</w:t>
      </w:r>
      <w:r>
        <w:rPr>
          <w:rFonts w:hint="eastAsia"/>
          <w:color w:val="auto"/>
          <w:sz w:val="24"/>
          <w:szCs w:val="24"/>
          <w:highlight w:val="none"/>
          <w:u w:val="single"/>
          <w:lang w:eastAsia="zh-CN"/>
        </w:rPr>
        <w:t>及定标文件</w:t>
      </w:r>
      <w:r>
        <w:rPr>
          <w:color w:val="auto"/>
          <w:sz w:val="24"/>
          <w:szCs w:val="24"/>
          <w:highlight w:val="none"/>
          <w:lang w:eastAsia="zh-CN"/>
        </w:rPr>
        <w:t>应当对招标文件有关</w:t>
      </w:r>
      <w:r>
        <w:rPr>
          <w:color w:val="auto"/>
          <w:sz w:val="24"/>
          <w:szCs w:val="24"/>
          <w:highlight w:val="none"/>
          <w:u w:val="single"/>
          <w:lang w:eastAsia="zh-CN"/>
        </w:rPr>
        <w:t>设计</w:t>
      </w:r>
      <w:r>
        <w:rPr>
          <w:color w:val="auto"/>
          <w:sz w:val="24"/>
          <w:szCs w:val="24"/>
          <w:highlight w:val="none"/>
          <w:lang w:eastAsia="zh-CN"/>
        </w:rPr>
        <w:t>服务期限、投标有效期、发包人要求、招标范围等实质性内容作出响应。</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（3）投标文件的正本与副本应分别装订，并编制目录，投标文件需分册装订的，具体分册装订要求见投标人须知前附表规定。</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3.7.3（B）投标文件</w:t>
      </w:r>
      <w:r>
        <w:rPr>
          <w:rFonts w:hint="eastAsia"/>
          <w:color w:val="auto"/>
          <w:sz w:val="24"/>
          <w:szCs w:val="24"/>
          <w:highlight w:val="none"/>
          <w:u w:val="single"/>
          <w:lang w:eastAsia="zh-CN"/>
        </w:rPr>
        <w:t>及定标文件</w:t>
      </w:r>
      <w:r>
        <w:rPr>
          <w:rFonts w:hint="eastAsia"/>
          <w:color w:val="auto"/>
          <w:sz w:val="24"/>
          <w:szCs w:val="24"/>
          <w:highlight w:val="none"/>
          <w:lang w:eastAsia="zh-CN"/>
        </w:rPr>
        <w:t>全</w:t>
      </w:r>
      <w:r>
        <w:rPr>
          <w:color w:val="auto"/>
          <w:sz w:val="24"/>
          <w:szCs w:val="24"/>
          <w:highlight w:val="none"/>
          <w:lang w:eastAsia="zh-CN"/>
        </w:rPr>
        <w:t>部采用电子文档，除投标人须知前附表另有规定外，投标文件</w:t>
      </w:r>
      <w:r>
        <w:rPr>
          <w:rFonts w:hint="eastAsia"/>
          <w:color w:val="auto"/>
          <w:sz w:val="24"/>
          <w:szCs w:val="24"/>
          <w:highlight w:val="none"/>
          <w:u w:val="single"/>
          <w:lang w:eastAsia="zh-CN"/>
        </w:rPr>
        <w:t>及定标文件</w:t>
      </w:r>
      <w:r>
        <w:rPr>
          <w:color w:val="auto"/>
          <w:sz w:val="24"/>
          <w:szCs w:val="24"/>
          <w:highlight w:val="none"/>
          <w:lang w:eastAsia="zh-CN"/>
        </w:rPr>
        <w:t>所附证书证件均为原件扫描件，并采用单位和个人数字证书，按招标文件</w:t>
      </w:r>
      <w:r>
        <w:rPr>
          <w:rFonts w:hint="eastAsia"/>
          <w:color w:val="auto"/>
          <w:sz w:val="24"/>
          <w:szCs w:val="24"/>
          <w:highlight w:val="none"/>
          <w:u w:val="single"/>
          <w:lang w:eastAsia="zh-CN"/>
        </w:rPr>
        <w:t>及定标文件</w:t>
      </w:r>
      <w:r>
        <w:rPr>
          <w:color w:val="auto"/>
          <w:sz w:val="24"/>
          <w:szCs w:val="24"/>
          <w:highlight w:val="none"/>
          <w:lang w:eastAsia="zh-CN"/>
        </w:rPr>
        <w:t>要求在相应位置加盖电子印章</w:t>
      </w:r>
      <w:r>
        <w:rPr>
          <w:rFonts w:hint="eastAsia"/>
          <w:b/>
          <w:color w:val="auto"/>
          <w:sz w:val="24"/>
          <w:szCs w:val="24"/>
          <w:highlight w:val="none"/>
          <w:u w:val="single"/>
          <w:lang w:eastAsia="zh-CN"/>
        </w:rPr>
        <w:t>（技术文件除外）</w:t>
      </w:r>
      <w:r>
        <w:rPr>
          <w:color w:val="auto"/>
          <w:sz w:val="24"/>
          <w:szCs w:val="24"/>
          <w:highlight w:val="none"/>
          <w:lang w:eastAsia="zh-CN"/>
        </w:rPr>
        <w:t>。由投标人的法定代表人签字或加盖电子印章的，应附法定代表人身份证明，由代理人签字或加盖电子印章的，应附由法定代表人签署的授权委托书。签字或盖章的具体要求见投标人须知前附表。</w:t>
      </w:r>
      <w:bookmarkStart w:id="20" w:name="_Toc25137985"/>
    </w:p>
    <w:p>
      <w:pPr>
        <w:pStyle w:val="10"/>
        <w:spacing w:after="240" w:line="360" w:lineRule="auto"/>
        <w:ind w:left="0" w:firstLine="480" w:firstLineChars="200"/>
        <w:rPr>
          <w:color w:val="auto"/>
          <w:sz w:val="24"/>
          <w:szCs w:val="24"/>
          <w:highlight w:val="none"/>
          <w:lang w:eastAsia="zh-CN"/>
        </w:rPr>
      </w:pPr>
      <w:r>
        <w:rPr>
          <w:color w:val="auto"/>
          <w:sz w:val="24"/>
          <w:szCs w:val="24"/>
          <w:highlight w:val="none"/>
          <w:u w:val="single"/>
          <w:lang w:eastAsia="zh-CN"/>
        </w:rPr>
        <w:t>3.7.4</w:t>
      </w:r>
      <w:r>
        <w:rPr>
          <w:rFonts w:hint="eastAsia"/>
          <w:color w:val="auto"/>
          <w:sz w:val="24"/>
          <w:szCs w:val="24"/>
          <w:highlight w:val="none"/>
          <w:u w:val="single"/>
          <w:lang w:eastAsia="zh-CN"/>
        </w:rPr>
        <w:t>技术标中不能辨认出投标人或其专业技术人员的身份。不在设计方案上标注或做任何可以辨认投标人及专业技术人员身份的名称、印章、商标、图形等记认符号</w:t>
      </w:r>
      <w:r>
        <w:rPr>
          <w:rFonts w:hint="eastAsia"/>
          <w:color w:val="auto"/>
          <w:sz w:val="24"/>
          <w:szCs w:val="24"/>
          <w:highlight w:val="none"/>
          <w:lang w:eastAsia="zh-CN"/>
        </w:rPr>
        <w:t>。</w:t>
      </w:r>
    </w:p>
    <w:p>
      <w:pPr>
        <w:pStyle w:val="4"/>
        <w:spacing w:after="240" w:line="443" w:lineRule="exact"/>
        <w:ind w:right="44"/>
        <w:rPr>
          <w:rFonts w:ascii="宋体" w:hAnsi="宋体" w:eastAsia="宋体"/>
          <w:color w:val="auto"/>
          <w:highlight w:val="none"/>
          <w:lang w:eastAsia="zh-CN"/>
        </w:rPr>
      </w:pPr>
      <w:bookmarkStart w:id="21" w:name="_Toc143424741"/>
      <w:bookmarkStart w:id="22" w:name="_Toc142858878"/>
      <w:r>
        <w:rPr>
          <w:rFonts w:ascii="宋体" w:hAnsi="宋体" w:eastAsia="宋体"/>
          <w:color w:val="auto"/>
          <w:highlight w:val="none"/>
          <w:lang w:eastAsia="zh-CN"/>
        </w:rPr>
        <w:t>4. 投标</w:t>
      </w:r>
      <w:bookmarkEnd w:id="20"/>
      <w:bookmarkEnd w:id="21"/>
      <w:bookmarkEnd w:id="22"/>
    </w:p>
    <w:p>
      <w:pPr>
        <w:pStyle w:val="5"/>
        <w:spacing w:after="240"/>
        <w:ind w:right="44"/>
        <w:rPr>
          <w:b/>
          <w:bCs/>
          <w:color w:val="auto"/>
          <w:highlight w:val="none"/>
          <w:lang w:eastAsia="zh-CN"/>
        </w:rPr>
      </w:pPr>
      <w:r>
        <w:rPr>
          <w:b/>
          <w:bCs/>
          <w:color w:val="auto"/>
          <w:highlight w:val="none"/>
          <w:lang w:eastAsia="zh-CN"/>
        </w:rPr>
        <w:t>4.1投标文件</w:t>
      </w:r>
      <w:r>
        <w:rPr>
          <w:rFonts w:hint="eastAsia"/>
          <w:b/>
          <w:bCs/>
          <w:color w:val="auto"/>
          <w:highlight w:val="none"/>
          <w:u w:val="single"/>
          <w:lang w:eastAsia="zh-CN"/>
        </w:rPr>
        <w:t>及定标文件</w:t>
      </w:r>
      <w:r>
        <w:rPr>
          <w:b/>
          <w:bCs/>
          <w:color w:val="auto"/>
          <w:highlight w:val="none"/>
          <w:lang w:eastAsia="zh-CN"/>
        </w:rPr>
        <w:t>的密封和标记</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4.1.1（A）投标文件应密封包装，并在封套的封口处加盖投标人单位章或由投标人的法定代表人或其授权的代理人签字。</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4.1.1（B）投标人应当按照招标文件和电子招标投标交易平台的要求加密投标文件，具体要求见投标人须知前附表。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4.1.2投标文件</w:t>
      </w:r>
      <w:r>
        <w:rPr>
          <w:rFonts w:hint="eastAsia"/>
          <w:b/>
          <w:color w:val="auto"/>
          <w:sz w:val="24"/>
          <w:szCs w:val="24"/>
          <w:highlight w:val="none"/>
          <w:u w:val="single"/>
          <w:lang w:eastAsia="zh-CN"/>
        </w:rPr>
        <w:t>备用光盘</w:t>
      </w:r>
      <w:r>
        <w:rPr>
          <w:color w:val="auto"/>
          <w:sz w:val="24"/>
          <w:szCs w:val="24"/>
          <w:highlight w:val="none"/>
          <w:lang w:eastAsia="zh-CN"/>
        </w:rPr>
        <w:t>封套上应写明的内容见投标人须知前附表。</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4.1.3未按本章第 4.1.1项要求密封的投标文件，招标人将予以拒收。</w:t>
      </w:r>
    </w:p>
    <w:p>
      <w:pPr>
        <w:pStyle w:val="5"/>
        <w:spacing w:after="240"/>
        <w:ind w:right="44"/>
        <w:rPr>
          <w:b/>
          <w:bCs/>
          <w:color w:val="auto"/>
          <w:highlight w:val="none"/>
          <w:lang w:eastAsia="zh-CN"/>
        </w:rPr>
      </w:pPr>
      <w:r>
        <w:rPr>
          <w:b/>
          <w:bCs/>
          <w:color w:val="auto"/>
          <w:highlight w:val="none"/>
          <w:lang w:eastAsia="zh-CN"/>
        </w:rPr>
        <w:t>4.2投标文件</w:t>
      </w:r>
      <w:r>
        <w:rPr>
          <w:rFonts w:hint="eastAsia"/>
          <w:b/>
          <w:bCs/>
          <w:color w:val="auto"/>
          <w:highlight w:val="none"/>
          <w:u w:val="single"/>
          <w:lang w:eastAsia="zh-CN"/>
        </w:rPr>
        <w:t>及定标文件</w:t>
      </w:r>
      <w:r>
        <w:rPr>
          <w:b/>
          <w:bCs/>
          <w:color w:val="auto"/>
          <w:highlight w:val="none"/>
          <w:lang w:eastAsia="zh-CN"/>
        </w:rPr>
        <w:t>的递交</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4.2.1投标人应在投标人须知前附表规定的投标截止时间前递交投标文件</w:t>
      </w:r>
      <w:r>
        <w:rPr>
          <w:rFonts w:hint="eastAsia"/>
          <w:color w:val="auto"/>
          <w:sz w:val="24"/>
          <w:szCs w:val="24"/>
          <w:highlight w:val="none"/>
          <w:u w:val="single"/>
          <w:lang w:eastAsia="zh-CN"/>
        </w:rPr>
        <w:t>及定标文件</w:t>
      </w:r>
      <w:r>
        <w:rPr>
          <w:color w:val="auto"/>
          <w:sz w:val="24"/>
          <w:szCs w:val="24"/>
          <w:highlight w:val="none"/>
          <w:lang w:eastAsia="zh-CN"/>
        </w:rPr>
        <w:t>。</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4.2.2（A）投标人递交投标文件的地点：见投标人须知前附表。</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4.2.2（B）投标人通过下载招标文件的电子招标投标交易平台递交电子投标文件</w:t>
      </w:r>
      <w:r>
        <w:rPr>
          <w:rFonts w:hint="eastAsia"/>
          <w:color w:val="auto"/>
          <w:sz w:val="24"/>
          <w:szCs w:val="24"/>
          <w:highlight w:val="none"/>
          <w:u w:val="single"/>
          <w:lang w:eastAsia="zh-CN"/>
        </w:rPr>
        <w:t>及定标文件</w:t>
      </w:r>
      <w:r>
        <w:rPr>
          <w:color w:val="auto"/>
          <w:sz w:val="24"/>
          <w:szCs w:val="24"/>
          <w:highlight w:val="none"/>
          <w:lang w:eastAsia="zh-CN"/>
        </w:rPr>
        <w:t>。</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4.2.3除投标人须知前附表另有规定外，投标人所递交的投标文件</w:t>
      </w:r>
      <w:r>
        <w:rPr>
          <w:rFonts w:hint="eastAsia"/>
          <w:color w:val="auto"/>
          <w:sz w:val="24"/>
          <w:szCs w:val="24"/>
          <w:highlight w:val="none"/>
          <w:u w:val="single"/>
          <w:lang w:eastAsia="zh-CN"/>
        </w:rPr>
        <w:t>及定标文件</w:t>
      </w:r>
      <w:r>
        <w:rPr>
          <w:color w:val="auto"/>
          <w:sz w:val="24"/>
          <w:szCs w:val="24"/>
          <w:highlight w:val="none"/>
          <w:lang w:eastAsia="zh-CN"/>
        </w:rPr>
        <w:t>不予退还。</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4.2.4（A）招标人收到投标文件后，向投标人出具签收凭证。</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4.2.4（B）投标人完成电子投标文件</w:t>
      </w:r>
      <w:r>
        <w:rPr>
          <w:rFonts w:hint="eastAsia"/>
          <w:color w:val="auto"/>
          <w:sz w:val="24"/>
          <w:szCs w:val="24"/>
          <w:highlight w:val="none"/>
          <w:u w:val="single"/>
          <w:lang w:eastAsia="zh-CN"/>
        </w:rPr>
        <w:t>及定标文件</w:t>
      </w:r>
      <w:r>
        <w:rPr>
          <w:color w:val="auto"/>
          <w:sz w:val="24"/>
          <w:szCs w:val="24"/>
          <w:highlight w:val="none"/>
          <w:lang w:eastAsia="zh-CN"/>
        </w:rPr>
        <w:t>上传后，电子招标投标交易平台即时向投标人发出递交回执通知。递交时间以递交回执通知载明的传输完成时间为准。</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4.2.5（A）逾期送达的投标文件，招标人将予以拒收。</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4.2.5（B）逾期送达的投标文件，电子招标投标交易平台将予以拒收。</w:t>
      </w:r>
    </w:p>
    <w:p>
      <w:pPr>
        <w:pStyle w:val="5"/>
        <w:spacing w:after="240"/>
        <w:ind w:right="44"/>
        <w:rPr>
          <w:b/>
          <w:bCs/>
          <w:color w:val="auto"/>
          <w:highlight w:val="none"/>
          <w:lang w:eastAsia="zh-CN"/>
        </w:rPr>
      </w:pPr>
      <w:r>
        <w:rPr>
          <w:b/>
          <w:bCs/>
          <w:color w:val="auto"/>
          <w:highlight w:val="none"/>
          <w:lang w:eastAsia="zh-CN"/>
        </w:rPr>
        <w:t>4.3投标文件的修改与撤回</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4.3.1在本章第 4.2.1项规定的投标截止时间前，投标人可以修改或撤回已递交的投标文件</w:t>
      </w:r>
      <w:r>
        <w:rPr>
          <w:rFonts w:hint="eastAsia"/>
          <w:color w:val="auto"/>
          <w:sz w:val="24"/>
          <w:szCs w:val="24"/>
          <w:highlight w:val="none"/>
          <w:u w:val="single"/>
          <w:lang w:eastAsia="zh-CN"/>
        </w:rPr>
        <w:t>及定标文件</w:t>
      </w:r>
      <w:r>
        <w:rPr>
          <w:color w:val="auto"/>
          <w:sz w:val="24"/>
          <w:szCs w:val="24"/>
          <w:highlight w:val="none"/>
          <w:lang w:eastAsia="zh-CN"/>
        </w:rPr>
        <w:t>，但应以书面形式通知招标人。</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4.3.2（A）投标人修改或撤回已递交投标文件的书面通知应按照本章第3.7.3（A）项的要求签字或盖章。招标人收到书面通知后，向投标人出具签收凭证。</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4.3.2（B）投标人修改或撤回已递交投标文件的通知，应按照本章第3.7.3（B）项的要求加盖电子印章。电子招标投标交易平台收到通知后，即时向投标人发出确认回执通知。</w:t>
      </w:r>
    </w:p>
    <w:p>
      <w:pPr>
        <w:pStyle w:val="1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4.3.3投标人撤回投标文件的，招标人自收到投标人书面撤回通知之日起 5日内退还已收取的投标保证金。</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4.3.4修改的内容为投标文件</w:t>
      </w:r>
      <w:r>
        <w:rPr>
          <w:rFonts w:hint="eastAsia"/>
          <w:color w:val="auto"/>
          <w:sz w:val="24"/>
          <w:szCs w:val="24"/>
          <w:highlight w:val="none"/>
          <w:u w:val="single"/>
          <w:lang w:eastAsia="zh-CN"/>
        </w:rPr>
        <w:t>及定标文件</w:t>
      </w:r>
      <w:r>
        <w:rPr>
          <w:color w:val="auto"/>
          <w:sz w:val="24"/>
          <w:szCs w:val="24"/>
          <w:highlight w:val="none"/>
          <w:lang w:eastAsia="zh-CN"/>
        </w:rPr>
        <w:t>的组成部分。修改的投标文件</w:t>
      </w:r>
      <w:r>
        <w:rPr>
          <w:rFonts w:hint="eastAsia"/>
          <w:color w:val="auto"/>
          <w:sz w:val="24"/>
          <w:szCs w:val="24"/>
          <w:highlight w:val="none"/>
          <w:u w:val="single"/>
          <w:lang w:eastAsia="zh-CN"/>
        </w:rPr>
        <w:t>及定标文件</w:t>
      </w:r>
      <w:r>
        <w:rPr>
          <w:color w:val="auto"/>
          <w:sz w:val="24"/>
          <w:szCs w:val="24"/>
          <w:highlight w:val="none"/>
          <w:lang w:eastAsia="zh-CN"/>
        </w:rPr>
        <w:t>应按照本章第3条、第4条的规定进行编制、密封、标记和递交，并标明“修改”字样。</w:t>
      </w:r>
      <w:bookmarkStart w:id="23" w:name="_Toc25137986"/>
    </w:p>
    <w:p>
      <w:pPr>
        <w:pStyle w:val="4"/>
        <w:spacing w:after="240" w:line="443" w:lineRule="exact"/>
        <w:ind w:right="44"/>
        <w:rPr>
          <w:rFonts w:ascii="宋体" w:hAnsi="宋体" w:eastAsia="宋体"/>
          <w:color w:val="auto"/>
          <w:highlight w:val="none"/>
          <w:lang w:eastAsia="zh-CN"/>
        </w:rPr>
      </w:pPr>
      <w:bookmarkStart w:id="24" w:name="_Toc143424742"/>
      <w:bookmarkStart w:id="25" w:name="_Toc142858879"/>
      <w:r>
        <w:rPr>
          <w:rFonts w:ascii="宋体" w:hAnsi="宋体" w:eastAsia="宋体"/>
          <w:color w:val="auto"/>
          <w:highlight w:val="none"/>
          <w:lang w:eastAsia="zh-CN"/>
        </w:rPr>
        <w:t>5. 开标</w:t>
      </w:r>
      <w:bookmarkEnd w:id="23"/>
      <w:bookmarkEnd w:id="24"/>
      <w:bookmarkEnd w:id="25"/>
    </w:p>
    <w:p>
      <w:pPr>
        <w:pStyle w:val="5"/>
        <w:spacing w:after="240"/>
        <w:ind w:right="44"/>
        <w:rPr>
          <w:b/>
          <w:bCs/>
          <w:strike/>
          <w:color w:val="auto"/>
          <w:highlight w:val="none"/>
          <w:lang w:eastAsia="zh-CN"/>
        </w:rPr>
      </w:pPr>
      <w:r>
        <w:rPr>
          <w:b/>
          <w:bCs/>
          <w:strike/>
          <w:color w:val="auto"/>
          <w:highlight w:val="none"/>
          <w:lang w:eastAsia="zh-CN"/>
        </w:rPr>
        <w:t>5.1开标时间和地点（A）</w:t>
      </w:r>
    </w:p>
    <w:p>
      <w:pPr>
        <w:pStyle w:val="10"/>
        <w:spacing w:after="240" w:line="360" w:lineRule="auto"/>
        <w:ind w:left="0" w:firstLine="480" w:firstLineChars="200"/>
        <w:rPr>
          <w:strike/>
          <w:color w:val="auto"/>
          <w:sz w:val="24"/>
          <w:szCs w:val="24"/>
          <w:highlight w:val="none"/>
          <w:lang w:eastAsia="zh-CN"/>
        </w:rPr>
      </w:pPr>
      <w:r>
        <w:rPr>
          <w:strike/>
          <w:color w:val="auto"/>
          <w:sz w:val="24"/>
          <w:szCs w:val="24"/>
          <w:highlight w:val="none"/>
          <w:lang w:eastAsia="zh-CN"/>
        </w:rPr>
        <w:t>招标人在本章第 4.2.1项规定的投标截止时间（开标时间）和投标人须知前附表规定的地点公开开标，并邀请所有投标人的法定代表人或其委托代理人准时参加。</w:t>
      </w:r>
    </w:p>
    <w:p>
      <w:pPr>
        <w:pStyle w:val="5"/>
        <w:spacing w:after="240"/>
        <w:ind w:right="44"/>
        <w:rPr>
          <w:b/>
          <w:bCs/>
          <w:color w:val="auto"/>
          <w:highlight w:val="none"/>
          <w:lang w:eastAsia="zh-CN"/>
        </w:rPr>
      </w:pPr>
      <w:r>
        <w:rPr>
          <w:b/>
          <w:bCs/>
          <w:color w:val="auto"/>
          <w:highlight w:val="none"/>
          <w:lang w:eastAsia="zh-CN"/>
        </w:rPr>
        <w:t>5.1开标时间和地点（B）</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招标人在本章第 4.2.1项规定的投标截止时间（开标时间）,通过电子招标投标交易平台公开开标，所有投标人的法定代表人或其委托代理人应当准时参加</w:t>
      </w:r>
      <w:r>
        <w:rPr>
          <w:rFonts w:hint="eastAsia"/>
          <w:color w:val="auto"/>
          <w:sz w:val="24"/>
          <w:szCs w:val="24"/>
          <w:highlight w:val="none"/>
          <w:u w:val="single"/>
          <w:lang w:eastAsia="zh-CN"/>
        </w:rPr>
        <w:t>，也可不参加</w:t>
      </w:r>
      <w:r>
        <w:rPr>
          <w:color w:val="auto"/>
          <w:sz w:val="24"/>
          <w:szCs w:val="24"/>
          <w:highlight w:val="none"/>
          <w:lang w:eastAsia="zh-CN"/>
        </w:rPr>
        <w:t>。</w:t>
      </w:r>
    </w:p>
    <w:p>
      <w:pPr>
        <w:pStyle w:val="5"/>
        <w:spacing w:after="240"/>
        <w:ind w:right="44"/>
        <w:rPr>
          <w:b/>
          <w:bCs/>
          <w:color w:val="auto"/>
          <w:highlight w:val="none"/>
          <w:lang w:eastAsia="zh-CN"/>
        </w:rPr>
      </w:pPr>
      <w:r>
        <w:rPr>
          <w:b/>
          <w:bCs/>
          <w:color w:val="auto"/>
          <w:highlight w:val="none"/>
          <w:lang w:eastAsia="zh-CN"/>
        </w:rPr>
        <w:t>5.2开标程序</w:t>
      </w:r>
    </w:p>
    <w:p>
      <w:pPr>
        <w:pStyle w:val="10"/>
        <w:spacing w:line="360" w:lineRule="auto"/>
        <w:ind w:left="0" w:firstLine="480" w:firstLineChars="200"/>
        <w:rPr>
          <w:color w:val="auto"/>
          <w:sz w:val="24"/>
          <w:szCs w:val="24"/>
          <w:highlight w:val="none"/>
          <w:u w:val="single"/>
          <w:lang w:eastAsia="zh-CN"/>
        </w:rPr>
      </w:pPr>
      <w:r>
        <w:rPr>
          <w:color w:val="auto"/>
          <w:sz w:val="24"/>
          <w:szCs w:val="24"/>
          <w:highlight w:val="none"/>
          <w:u w:val="single"/>
          <w:lang w:eastAsia="zh-CN"/>
        </w:rPr>
        <w:t>主持人按下列程序进行开标：</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1</w:t>
      </w:r>
      <w:r>
        <w:rPr>
          <w:rFonts w:hint="eastAsia"/>
          <w:color w:val="auto"/>
          <w:sz w:val="24"/>
          <w:szCs w:val="24"/>
          <w:highlight w:val="none"/>
          <w:u w:val="single"/>
          <w:lang w:eastAsia="zh-CN"/>
        </w:rPr>
        <w:t>）宣布开标纪律；</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2</w:t>
      </w:r>
      <w:r>
        <w:rPr>
          <w:rFonts w:hint="eastAsia"/>
          <w:color w:val="auto"/>
          <w:sz w:val="24"/>
          <w:szCs w:val="24"/>
          <w:highlight w:val="none"/>
          <w:u w:val="single"/>
          <w:lang w:eastAsia="zh-CN"/>
        </w:rPr>
        <w:t>）招标代理（招标人）登录交易平台</w:t>
      </w:r>
      <w:r>
        <w:rPr>
          <w:color w:val="auto"/>
          <w:sz w:val="24"/>
          <w:szCs w:val="24"/>
          <w:highlight w:val="none"/>
          <w:u w:val="single"/>
          <w:lang w:eastAsia="zh-CN"/>
        </w:rPr>
        <w:t>-</w:t>
      </w:r>
      <w:r>
        <w:rPr>
          <w:rFonts w:hint="eastAsia"/>
          <w:color w:val="auto"/>
          <w:sz w:val="24"/>
          <w:szCs w:val="24"/>
          <w:highlight w:val="none"/>
          <w:u w:val="single"/>
          <w:lang w:eastAsia="zh-CN"/>
        </w:rPr>
        <w:t>数字开标系统，公布在投标截止时间前递交投标文件的投标人名称；</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3</w:t>
      </w:r>
      <w:r>
        <w:rPr>
          <w:rFonts w:hint="eastAsia"/>
          <w:color w:val="auto"/>
          <w:sz w:val="24"/>
          <w:szCs w:val="24"/>
          <w:highlight w:val="none"/>
          <w:u w:val="single"/>
          <w:lang w:eastAsia="zh-CN"/>
        </w:rPr>
        <w:t>）宣布开标人、唱标人、记录人、监标人等有关人员姓名；</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4</w:t>
      </w:r>
      <w:r>
        <w:rPr>
          <w:rFonts w:hint="eastAsia"/>
          <w:color w:val="auto"/>
          <w:sz w:val="24"/>
          <w:szCs w:val="24"/>
          <w:highlight w:val="none"/>
          <w:u w:val="single"/>
          <w:lang w:eastAsia="zh-CN"/>
        </w:rPr>
        <w:t>）（</w:t>
      </w:r>
      <w:r>
        <w:rPr>
          <w:color w:val="auto"/>
          <w:sz w:val="24"/>
          <w:szCs w:val="24"/>
          <w:highlight w:val="none"/>
          <w:u w:val="single"/>
          <w:lang w:eastAsia="zh-CN"/>
        </w:rPr>
        <w:t>B</w:t>
      </w:r>
      <w:r>
        <w:rPr>
          <w:rFonts w:hint="eastAsia"/>
          <w:color w:val="auto"/>
          <w:sz w:val="24"/>
          <w:szCs w:val="24"/>
          <w:highlight w:val="none"/>
          <w:u w:val="single"/>
          <w:lang w:eastAsia="zh-CN"/>
        </w:rPr>
        <w:t>）投标人登录交易平台</w:t>
      </w:r>
      <w:r>
        <w:rPr>
          <w:color w:val="auto"/>
          <w:sz w:val="24"/>
          <w:szCs w:val="24"/>
          <w:highlight w:val="none"/>
          <w:u w:val="single"/>
          <w:lang w:eastAsia="zh-CN"/>
        </w:rPr>
        <w:t>-</w:t>
      </w:r>
      <w:r>
        <w:rPr>
          <w:rFonts w:hint="eastAsia"/>
          <w:color w:val="auto"/>
          <w:sz w:val="24"/>
          <w:szCs w:val="24"/>
          <w:highlight w:val="none"/>
          <w:u w:val="single"/>
          <w:lang w:eastAsia="zh-CN"/>
        </w:rPr>
        <w:t>数字开标系统，输入</w:t>
      </w:r>
      <w:r>
        <w:rPr>
          <w:color w:val="auto"/>
          <w:sz w:val="24"/>
          <w:szCs w:val="24"/>
          <w:highlight w:val="none"/>
          <w:u w:val="single"/>
          <w:lang w:eastAsia="zh-CN"/>
        </w:rPr>
        <w:t>CA</w:t>
      </w:r>
      <w:r>
        <w:rPr>
          <w:rFonts w:hint="eastAsia"/>
          <w:color w:val="auto"/>
          <w:sz w:val="24"/>
          <w:szCs w:val="24"/>
          <w:highlight w:val="none"/>
          <w:u w:val="single"/>
          <w:lang w:eastAsia="zh-CN"/>
        </w:rPr>
        <w:t>密码对已递交的电子投标文件进行解密，所有投标人需要在招标时设定的投标文件解密截止时间内进行解密，投标文件解密截止时间后不能再进行解密操作；</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所有投标人都已解密完成，或到了投标文件解密截止时间后，招标代理（招标人）可进行</w:t>
      </w:r>
      <w:r>
        <w:rPr>
          <w:color w:val="auto"/>
          <w:sz w:val="24"/>
          <w:szCs w:val="24"/>
          <w:highlight w:val="none"/>
          <w:u w:val="single"/>
          <w:lang w:eastAsia="zh-CN"/>
        </w:rPr>
        <w:t>“</w:t>
      </w:r>
      <w:r>
        <w:rPr>
          <w:rFonts w:hint="eastAsia"/>
          <w:color w:val="auto"/>
          <w:sz w:val="24"/>
          <w:szCs w:val="24"/>
          <w:highlight w:val="none"/>
          <w:u w:val="single"/>
          <w:lang w:eastAsia="zh-CN"/>
        </w:rPr>
        <w:t>招标人解密操作</w:t>
      </w:r>
      <w:r>
        <w:rPr>
          <w:color w:val="auto"/>
          <w:sz w:val="24"/>
          <w:szCs w:val="24"/>
          <w:highlight w:val="none"/>
          <w:u w:val="single"/>
          <w:lang w:eastAsia="zh-CN"/>
        </w:rPr>
        <w:t>”</w:t>
      </w:r>
      <w:r>
        <w:rPr>
          <w:rFonts w:hint="eastAsia"/>
          <w:color w:val="auto"/>
          <w:sz w:val="24"/>
          <w:szCs w:val="24"/>
          <w:highlight w:val="none"/>
          <w:u w:val="single"/>
          <w:lang w:eastAsia="zh-CN"/>
        </w:rPr>
        <w:t>，解密操作同样需要进行</w:t>
      </w:r>
      <w:r>
        <w:rPr>
          <w:color w:val="auto"/>
          <w:sz w:val="24"/>
          <w:szCs w:val="24"/>
          <w:highlight w:val="none"/>
          <w:u w:val="single"/>
          <w:lang w:eastAsia="zh-CN"/>
        </w:rPr>
        <w:t>CA</w:t>
      </w:r>
      <w:r>
        <w:rPr>
          <w:rFonts w:hint="eastAsia"/>
          <w:color w:val="auto"/>
          <w:sz w:val="24"/>
          <w:szCs w:val="24"/>
          <w:highlight w:val="none"/>
          <w:u w:val="single"/>
          <w:lang w:eastAsia="zh-CN"/>
        </w:rPr>
        <w:t>验证；</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投标人、招标代理（招标人）完成解密后，招标代理开启电子唱标，公布招标项目名称、投标人名称</w:t>
      </w:r>
      <w:r>
        <w:rPr>
          <w:rFonts w:hint="eastAsia"/>
          <w:strike/>
          <w:color w:val="auto"/>
          <w:sz w:val="24"/>
          <w:szCs w:val="24"/>
          <w:highlight w:val="none"/>
          <w:u w:val="single"/>
          <w:lang w:eastAsia="zh-CN"/>
        </w:rPr>
        <w:t>、投标保证金的递交情况</w:t>
      </w:r>
      <w:r>
        <w:rPr>
          <w:rFonts w:hint="eastAsia"/>
          <w:color w:val="auto"/>
          <w:sz w:val="24"/>
          <w:szCs w:val="24"/>
          <w:highlight w:val="none"/>
          <w:u w:val="single"/>
          <w:lang w:eastAsia="zh-CN"/>
        </w:rPr>
        <w:t>、投标报价、服务期限及其他内容，并记录在案；</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唱标结束后，招标代理须开启</w:t>
      </w:r>
      <w:r>
        <w:rPr>
          <w:color w:val="auto"/>
          <w:sz w:val="24"/>
          <w:szCs w:val="24"/>
          <w:highlight w:val="none"/>
          <w:u w:val="single"/>
          <w:lang w:eastAsia="zh-CN"/>
        </w:rPr>
        <w:t>“</w:t>
      </w:r>
      <w:r>
        <w:rPr>
          <w:rFonts w:hint="eastAsia"/>
          <w:color w:val="auto"/>
          <w:sz w:val="24"/>
          <w:szCs w:val="24"/>
          <w:highlight w:val="none"/>
          <w:u w:val="single"/>
          <w:lang w:eastAsia="zh-CN"/>
        </w:rPr>
        <w:t>开始异议</w:t>
      </w:r>
      <w:r>
        <w:rPr>
          <w:color w:val="auto"/>
          <w:sz w:val="24"/>
          <w:szCs w:val="24"/>
          <w:highlight w:val="none"/>
          <w:u w:val="single"/>
          <w:lang w:eastAsia="zh-CN"/>
        </w:rPr>
        <w:t>”</w:t>
      </w:r>
      <w:r>
        <w:rPr>
          <w:rFonts w:hint="eastAsia"/>
          <w:color w:val="auto"/>
          <w:sz w:val="24"/>
          <w:szCs w:val="24"/>
          <w:highlight w:val="none"/>
          <w:u w:val="single"/>
          <w:lang w:eastAsia="zh-CN"/>
        </w:rPr>
        <w:t>，开启后，投标人若需要提问的可在</w:t>
      </w:r>
      <w:r>
        <w:rPr>
          <w:color w:val="auto"/>
          <w:sz w:val="24"/>
          <w:szCs w:val="24"/>
          <w:highlight w:val="none"/>
          <w:u w:val="single"/>
          <w:lang w:eastAsia="zh-CN"/>
        </w:rPr>
        <w:t>15</w:t>
      </w:r>
      <w:r>
        <w:rPr>
          <w:rFonts w:hint="eastAsia"/>
          <w:color w:val="auto"/>
          <w:sz w:val="24"/>
          <w:szCs w:val="24"/>
          <w:highlight w:val="none"/>
          <w:u w:val="single"/>
          <w:lang w:eastAsia="zh-CN"/>
        </w:rPr>
        <w:t>分钟内进行提问，招标代理（招标人）需要回答所有的投标人提问或等待</w:t>
      </w:r>
      <w:r>
        <w:rPr>
          <w:color w:val="auto"/>
          <w:sz w:val="24"/>
          <w:szCs w:val="24"/>
          <w:highlight w:val="none"/>
          <w:u w:val="single"/>
          <w:lang w:eastAsia="zh-CN"/>
        </w:rPr>
        <w:t>15</w:t>
      </w:r>
      <w:r>
        <w:rPr>
          <w:rFonts w:hint="eastAsia"/>
          <w:color w:val="auto"/>
          <w:sz w:val="24"/>
          <w:szCs w:val="24"/>
          <w:highlight w:val="none"/>
          <w:u w:val="single"/>
          <w:lang w:eastAsia="zh-CN"/>
        </w:rPr>
        <w:t>分钟才能结束异议，若所有投标人都回复了</w:t>
      </w:r>
      <w:r>
        <w:rPr>
          <w:color w:val="auto"/>
          <w:sz w:val="24"/>
          <w:szCs w:val="24"/>
          <w:highlight w:val="none"/>
          <w:u w:val="single"/>
          <w:lang w:eastAsia="zh-CN"/>
        </w:rPr>
        <w:t>“</w:t>
      </w:r>
      <w:r>
        <w:rPr>
          <w:rFonts w:hint="eastAsia"/>
          <w:color w:val="auto"/>
          <w:sz w:val="24"/>
          <w:szCs w:val="24"/>
          <w:highlight w:val="none"/>
          <w:u w:val="single"/>
          <w:lang w:eastAsia="zh-CN"/>
        </w:rPr>
        <w:t>无异议</w:t>
      </w:r>
      <w:r>
        <w:rPr>
          <w:color w:val="auto"/>
          <w:sz w:val="24"/>
          <w:szCs w:val="24"/>
          <w:highlight w:val="none"/>
          <w:u w:val="single"/>
          <w:lang w:eastAsia="zh-CN"/>
        </w:rPr>
        <w:t>”</w:t>
      </w:r>
      <w:r>
        <w:rPr>
          <w:rFonts w:hint="eastAsia"/>
          <w:color w:val="auto"/>
          <w:sz w:val="24"/>
          <w:szCs w:val="24"/>
          <w:highlight w:val="none"/>
          <w:u w:val="single"/>
          <w:lang w:eastAsia="zh-CN"/>
        </w:rPr>
        <w:t>，招标代理（招标人）可提前结束异议；</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5</w:t>
      </w:r>
      <w:r>
        <w:rPr>
          <w:rFonts w:hint="eastAsia"/>
          <w:color w:val="auto"/>
          <w:sz w:val="24"/>
          <w:szCs w:val="24"/>
          <w:highlight w:val="none"/>
          <w:u w:val="single"/>
          <w:lang w:eastAsia="zh-CN"/>
        </w:rPr>
        <w:t>）（</w:t>
      </w:r>
      <w:r>
        <w:rPr>
          <w:color w:val="auto"/>
          <w:sz w:val="24"/>
          <w:szCs w:val="24"/>
          <w:highlight w:val="none"/>
          <w:u w:val="single"/>
          <w:lang w:eastAsia="zh-CN"/>
        </w:rPr>
        <w:t>B</w:t>
      </w:r>
      <w:r>
        <w:rPr>
          <w:rFonts w:hint="eastAsia"/>
          <w:color w:val="auto"/>
          <w:sz w:val="24"/>
          <w:szCs w:val="24"/>
          <w:highlight w:val="none"/>
          <w:u w:val="single"/>
          <w:lang w:eastAsia="zh-CN"/>
        </w:rPr>
        <w:t>）唱标环节结束后，招标代理、投标人都可以同时查看到</w:t>
      </w:r>
      <w:r>
        <w:rPr>
          <w:color w:val="auto"/>
          <w:sz w:val="24"/>
          <w:szCs w:val="24"/>
          <w:highlight w:val="none"/>
          <w:u w:val="single"/>
          <w:lang w:eastAsia="zh-CN"/>
        </w:rPr>
        <w:t>“</w:t>
      </w:r>
      <w:r>
        <w:rPr>
          <w:rFonts w:hint="eastAsia"/>
          <w:color w:val="auto"/>
          <w:sz w:val="24"/>
          <w:szCs w:val="24"/>
          <w:highlight w:val="none"/>
          <w:u w:val="single"/>
          <w:lang w:eastAsia="zh-CN"/>
        </w:rPr>
        <w:t>开标报表</w:t>
      </w:r>
      <w:r>
        <w:rPr>
          <w:color w:val="auto"/>
          <w:sz w:val="24"/>
          <w:szCs w:val="24"/>
          <w:highlight w:val="none"/>
          <w:u w:val="single"/>
          <w:lang w:eastAsia="zh-CN"/>
        </w:rPr>
        <w:t>”</w:t>
      </w:r>
      <w:r>
        <w:rPr>
          <w:rFonts w:hint="eastAsia"/>
          <w:color w:val="auto"/>
          <w:sz w:val="24"/>
          <w:szCs w:val="24"/>
          <w:highlight w:val="none"/>
          <w:u w:val="single"/>
          <w:lang w:eastAsia="zh-CN"/>
        </w:rPr>
        <w:t>；投标人代表、招标人代表、监标人、记录人等有关人员在开标记录上签字确认；若有关人员不签字的，不影响开标程序；</w:t>
      </w:r>
    </w:p>
    <w:p>
      <w:pPr>
        <w:pStyle w:val="10"/>
        <w:spacing w:line="360" w:lineRule="auto"/>
        <w:ind w:firstLine="480" w:firstLineChars="200"/>
        <w:rPr>
          <w:color w:val="auto"/>
          <w:sz w:val="24"/>
          <w:szCs w:val="24"/>
          <w:highlight w:val="none"/>
          <w:u w:val="single"/>
          <w:lang w:eastAsia="zh-CN"/>
        </w:rPr>
      </w:pPr>
      <w:r>
        <w:rPr>
          <w:rFonts w:hint="eastAsia"/>
          <w:color w:val="auto"/>
          <w:sz w:val="24"/>
          <w:szCs w:val="24"/>
          <w:highlight w:val="none"/>
          <w:u w:val="single"/>
          <w:lang w:eastAsia="zh-CN"/>
        </w:rPr>
        <w:t>（</w:t>
      </w:r>
      <w:r>
        <w:rPr>
          <w:color w:val="auto"/>
          <w:sz w:val="24"/>
          <w:szCs w:val="24"/>
          <w:highlight w:val="none"/>
          <w:u w:val="single"/>
          <w:lang w:eastAsia="zh-CN"/>
        </w:rPr>
        <w:t>6</w:t>
      </w:r>
      <w:r>
        <w:rPr>
          <w:rFonts w:hint="eastAsia"/>
          <w:color w:val="auto"/>
          <w:sz w:val="24"/>
          <w:szCs w:val="24"/>
          <w:highlight w:val="none"/>
          <w:u w:val="single"/>
          <w:lang w:eastAsia="zh-CN"/>
        </w:rPr>
        <w:t>）开标结束。</w:t>
      </w:r>
    </w:p>
    <w:p>
      <w:pPr>
        <w:pStyle w:val="10"/>
        <w:spacing w:line="360" w:lineRule="auto"/>
        <w:ind w:left="0" w:firstLine="480" w:firstLineChars="200"/>
        <w:rPr>
          <w:color w:val="auto"/>
          <w:sz w:val="24"/>
          <w:szCs w:val="24"/>
          <w:highlight w:val="none"/>
          <w:u w:val="single"/>
          <w:lang w:eastAsia="zh-CN"/>
        </w:rPr>
      </w:pPr>
      <w:r>
        <w:rPr>
          <w:color w:val="auto"/>
          <w:sz w:val="24"/>
          <w:szCs w:val="24"/>
          <w:highlight w:val="none"/>
          <w:u w:val="single"/>
          <w:lang w:eastAsia="zh-CN"/>
        </w:rPr>
        <w:t>5.2.2</w:t>
      </w:r>
      <w:r>
        <w:rPr>
          <w:rFonts w:hint="eastAsia"/>
          <w:color w:val="auto"/>
          <w:sz w:val="24"/>
          <w:szCs w:val="24"/>
          <w:highlight w:val="none"/>
          <w:u w:val="single"/>
          <w:lang w:eastAsia="zh-CN"/>
        </w:rPr>
        <w:t>投标截止时间前未完成投标文件传输的或因投标人之外的原因造成投标文件未解密的或未在投标截止时间后半小时解密的，视为投标人其撤回投标文件。因投标人原因造成投标文件未解密的，或因投标人原因解密失败且未递交电子光盘或递交的电子光盘不能读取的，视为撤销其投标文件。</w:t>
      </w:r>
    </w:p>
    <w:p>
      <w:pPr>
        <w:pStyle w:val="10"/>
        <w:spacing w:line="360" w:lineRule="auto"/>
        <w:ind w:left="0" w:firstLine="480" w:firstLineChars="200"/>
        <w:rPr>
          <w:color w:val="auto"/>
          <w:sz w:val="24"/>
          <w:szCs w:val="24"/>
          <w:highlight w:val="none"/>
          <w:u w:val="single"/>
          <w:lang w:eastAsia="zh-CN"/>
        </w:rPr>
      </w:pPr>
      <w:r>
        <w:rPr>
          <w:color w:val="auto"/>
          <w:sz w:val="24"/>
          <w:szCs w:val="24"/>
          <w:highlight w:val="none"/>
          <w:u w:val="single"/>
          <w:lang w:eastAsia="zh-CN"/>
        </w:rPr>
        <w:t>5.2.3</w:t>
      </w:r>
      <w:r>
        <w:rPr>
          <w:rFonts w:hint="eastAsia"/>
          <w:color w:val="auto"/>
          <w:sz w:val="24"/>
          <w:szCs w:val="24"/>
          <w:highlight w:val="none"/>
          <w:u w:val="single"/>
          <w:lang w:eastAsia="zh-CN"/>
        </w:rPr>
        <w:t>开标时，两个（含两个）以上的投标人加密打包投标文件电脑机器特征码一致的，不参与下一程序，并由评标委员会否决其投标。</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（1）宣布开标纪律；</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（2）公布在投标截止时间前递交投标文件的投标人名称；</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（3）宣布开标人、唱标人、记录人、监标人等有关人员姓名；</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（4）（A）检查投标文件的密封情况，按照投标人须知前附表规定的开标顺序当众开标，公布招标项目名称、投标人名称、投标保证金的递交情况、投标报价、设计服务期限及其他内容，并记录在案；</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（4）（B）投标人通过电子招标投标交易平台对已递交的电子投标文件进行解密，公布招标项目名称、投标人名称、投标保证金的递交情况、投标报价、设计服务期限及其他内容，并记录在案；</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（5）（A）投标人代表、招标人代表、监标人、记录人等有关人员在开标记录上签字确认；</w:t>
      </w:r>
    </w:p>
    <w:p>
      <w:pPr>
        <w:pStyle w:val="1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（5）（B）投标人代表、招标人代表、监标人、记录人等有关人员使用本人的电子印章在开标记录上签字确认；</w:t>
      </w:r>
    </w:p>
    <w:p>
      <w:pPr>
        <w:pStyle w:val="10"/>
        <w:spacing w:after="240" w:line="360" w:lineRule="auto"/>
        <w:ind w:left="0" w:firstLine="480" w:firstLineChars="200"/>
        <w:rPr>
          <w:color w:val="auto"/>
          <w:sz w:val="24"/>
          <w:szCs w:val="24"/>
          <w:highlight w:val="none"/>
          <w:u w:val="single"/>
          <w:lang w:eastAsia="zh-CN"/>
        </w:rPr>
      </w:pPr>
      <w:r>
        <w:rPr>
          <w:strike/>
          <w:color w:val="auto"/>
          <w:sz w:val="24"/>
          <w:szCs w:val="24"/>
          <w:highlight w:val="none"/>
          <w:u w:val="single"/>
          <w:lang w:eastAsia="zh-CN"/>
        </w:rPr>
        <w:t>（6）开标结束。</w:t>
      </w:r>
    </w:p>
    <w:p>
      <w:pPr>
        <w:pStyle w:val="5"/>
        <w:spacing w:after="240"/>
        <w:ind w:right="44"/>
        <w:rPr>
          <w:b/>
          <w:bCs/>
          <w:color w:val="auto"/>
          <w:highlight w:val="none"/>
          <w:lang w:eastAsia="zh-CN"/>
        </w:rPr>
      </w:pPr>
      <w:r>
        <w:rPr>
          <w:b/>
          <w:bCs/>
          <w:color w:val="auto"/>
          <w:highlight w:val="none"/>
          <w:lang w:eastAsia="zh-CN"/>
        </w:rPr>
        <w:t>5.3开标异议</w:t>
      </w:r>
    </w:p>
    <w:p>
      <w:pPr>
        <w:pStyle w:val="10"/>
        <w:spacing w:after="240" w:line="360" w:lineRule="auto"/>
        <w:ind w:left="0" w:firstLine="480" w:firstLineChars="200"/>
        <w:rPr>
          <w:color w:val="auto"/>
          <w:sz w:val="24"/>
          <w:szCs w:val="24"/>
          <w:highlight w:val="none"/>
          <w:u w:val="single"/>
          <w:lang w:eastAsia="zh-CN"/>
        </w:rPr>
      </w:pPr>
      <w:r>
        <w:rPr>
          <w:color w:val="auto"/>
          <w:sz w:val="24"/>
          <w:szCs w:val="24"/>
          <w:highlight w:val="none"/>
          <w:lang w:eastAsia="zh-CN"/>
        </w:rPr>
        <w:t>投标人对开标有异议的，应当在开标现场提出，招标人当场作出答复，并制作记录。</w:t>
      </w:r>
      <w:r>
        <w:rPr>
          <w:rFonts w:hint="eastAsia"/>
          <w:color w:val="auto"/>
          <w:sz w:val="24"/>
          <w:szCs w:val="24"/>
          <w:highlight w:val="none"/>
          <w:u w:val="single"/>
          <w:lang w:eastAsia="zh-CN"/>
        </w:rPr>
        <w:t>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bookmarkStart w:id="26" w:name="_Toc25137987"/>
    </w:p>
    <w:p>
      <w:pPr>
        <w:pStyle w:val="4"/>
        <w:spacing w:after="240" w:line="443" w:lineRule="exact"/>
        <w:ind w:right="44"/>
        <w:rPr>
          <w:rFonts w:ascii="宋体" w:hAnsi="宋体" w:eastAsia="宋体"/>
          <w:color w:val="auto"/>
          <w:highlight w:val="none"/>
          <w:lang w:eastAsia="zh-CN"/>
        </w:rPr>
      </w:pPr>
      <w:bookmarkStart w:id="27" w:name="_Toc142858880"/>
      <w:bookmarkStart w:id="28" w:name="_Toc143424743"/>
      <w:r>
        <w:rPr>
          <w:rFonts w:ascii="宋体" w:hAnsi="宋体" w:eastAsia="宋体"/>
          <w:color w:val="auto"/>
          <w:highlight w:val="none"/>
          <w:lang w:eastAsia="zh-CN"/>
        </w:rPr>
        <w:t>6. 评标</w:t>
      </w:r>
      <w:bookmarkEnd w:id="26"/>
      <w:bookmarkEnd w:id="27"/>
      <w:bookmarkEnd w:id="28"/>
    </w:p>
    <w:p>
      <w:pPr>
        <w:pStyle w:val="5"/>
        <w:spacing w:after="240"/>
        <w:ind w:right="44"/>
        <w:rPr>
          <w:b/>
          <w:bCs/>
          <w:color w:val="auto"/>
          <w:highlight w:val="none"/>
          <w:lang w:eastAsia="zh-CN"/>
        </w:rPr>
      </w:pPr>
      <w:r>
        <w:rPr>
          <w:b/>
          <w:bCs/>
          <w:color w:val="auto"/>
          <w:highlight w:val="none"/>
          <w:lang w:eastAsia="zh-CN"/>
        </w:rPr>
        <w:t>6.1评标委员会</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6.1.1评标</w:t>
      </w:r>
      <w:r>
        <w:rPr>
          <w:rFonts w:hint="eastAsia"/>
          <w:color w:val="auto"/>
          <w:sz w:val="24"/>
          <w:szCs w:val="24"/>
          <w:highlight w:val="none"/>
          <w:u w:val="single"/>
          <w:lang w:eastAsia="zh-CN"/>
        </w:rPr>
        <w:t>和定标</w:t>
      </w:r>
      <w:r>
        <w:rPr>
          <w:color w:val="auto"/>
          <w:sz w:val="24"/>
          <w:szCs w:val="24"/>
          <w:highlight w:val="none"/>
          <w:lang w:eastAsia="zh-CN"/>
        </w:rPr>
        <w:t>由招标人依法组建的评标委员会</w:t>
      </w:r>
      <w:r>
        <w:rPr>
          <w:rFonts w:hint="eastAsia"/>
          <w:color w:val="auto"/>
          <w:sz w:val="24"/>
          <w:szCs w:val="24"/>
          <w:highlight w:val="none"/>
          <w:u w:val="single"/>
          <w:lang w:eastAsia="zh-CN"/>
        </w:rPr>
        <w:t>和定标委员会</w:t>
      </w:r>
      <w:r>
        <w:rPr>
          <w:color w:val="auto"/>
          <w:sz w:val="24"/>
          <w:szCs w:val="24"/>
          <w:highlight w:val="none"/>
          <w:lang w:eastAsia="zh-CN"/>
        </w:rPr>
        <w:t>负责。评标委员会</w:t>
      </w:r>
      <w:r>
        <w:rPr>
          <w:rFonts w:hint="eastAsia"/>
          <w:color w:val="auto"/>
          <w:sz w:val="24"/>
          <w:szCs w:val="24"/>
          <w:highlight w:val="none"/>
          <w:u w:val="single"/>
          <w:lang w:eastAsia="zh-CN"/>
        </w:rPr>
        <w:t>和定标委员会</w:t>
      </w:r>
      <w:r>
        <w:rPr>
          <w:color w:val="auto"/>
          <w:sz w:val="24"/>
          <w:szCs w:val="24"/>
          <w:highlight w:val="none"/>
          <w:lang w:eastAsia="zh-CN"/>
        </w:rPr>
        <w:t>由招标人或其委托的招标代理机构熟悉相关业务的代表，以及有关技术、经济等方面的专家组成。</w:t>
      </w:r>
      <w:r>
        <w:rPr>
          <w:color w:val="auto"/>
          <w:sz w:val="24"/>
          <w:szCs w:val="24"/>
          <w:highlight w:val="none"/>
          <w:u w:val="single"/>
          <w:lang w:eastAsia="zh-CN"/>
        </w:rPr>
        <w:t>评标委员会成员人数以及技术、经济等方面专家的确定方式见投标人须知前附表</w:t>
      </w:r>
      <w:r>
        <w:rPr>
          <w:color w:val="auto"/>
          <w:sz w:val="24"/>
          <w:szCs w:val="24"/>
          <w:highlight w:val="none"/>
          <w:lang w:eastAsia="zh-CN"/>
        </w:rPr>
        <w:t>。</w:t>
      </w:r>
      <w:r>
        <w:rPr>
          <w:rFonts w:hint="eastAsia"/>
          <w:color w:val="auto"/>
          <w:sz w:val="24"/>
          <w:szCs w:val="24"/>
          <w:highlight w:val="none"/>
          <w:u w:val="single"/>
          <w:lang w:eastAsia="zh-CN"/>
        </w:rPr>
        <w:t>定标委员会成员由招标人内部相关经济、技术专业人员组成，也可由招标人邀请外单位人员担任。参与评标阶段工作的人员（含招标人在评标阶段委派的业主评委、参与评标阶段工作的招标人代表、招标代理工作人员、交易中心工作人员等）不得担任定标委员会成员，且不得对外透露评标阶段的相关情况（含设计方案评审情况、暗标编号等）。</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6.1.2评标委员会</w:t>
      </w:r>
      <w:r>
        <w:rPr>
          <w:rFonts w:hint="eastAsia"/>
          <w:color w:val="auto"/>
          <w:sz w:val="24"/>
          <w:szCs w:val="24"/>
          <w:highlight w:val="none"/>
          <w:u w:val="single"/>
          <w:lang w:eastAsia="zh-CN"/>
        </w:rPr>
        <w:t>和定标委员会</w:t>
      </w:r>
      <w:r>
        <w:rPr>
          <w:color w:val="auto"/>
          <w:sz w:val="24"/>
          <w:szCs w:val="24"/>
          <w:highlight w:val="none"/>
          <w:lang w:eastAsia="zh-CN"/>
        </w:rPr>
        <w:t>成员有下列情形之一的，应当回避：</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（1）投标人或投标人主要负责人的近亲属；</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（2）项目主管部门或者行政监督部门的人员；</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（3）与投标人有经济利益关系，可能影响对投标公正评审的；</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（4）曾因在招标、评标以及其他与招标投标有关活动中从事违法行为而受过行政处罚或刑事处罚的；</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（5）与投标人有其他利害关系。</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6.1.3评标过程中，评标委员会</w:t>
      </w:r>
      <w:r>
        <w:rPr>
          <w:rFonts w:hint="eastAsia"/>
          <w:color w:val="auto"/>
          <w:sz w:val="24"/>
          <w:szCs w:val="24"/>
          <w:highlight w:val="none"/>
          <w:u w:val="single"/>
          <w:lang w:eastAsia="zh-CN"/>
        </w:rPr>
        <w:t>和定标委员会</w:t>
      </w:r>
      <w:r>
        <w:rPr>
          <w:color w:val="auto"/>
          <w:sz w:val="24"/>
          <w:szCs w:val="24"/>
          <w:highlight w:val="none"/>
          <w:lang w:eastAsia="zh-CN"/>
        </w:rPr>
        <w:t>成员有回避事由、擅离职守或者因健康等原因不能继续评标的，招标人有权更换。被更换的评标委员会</w:t>
      </w:r>
      <w:r>
        <w:rPr>
          <w:rFonts w:hint="eastAsia"/>
          <w:color w:val="auto"/>
          <w:sz w:val="24"/>
          <w:szCs w:val="24"/>
          <w:highlight w:val="none"/>
          <w:u w:val="single"/>
          <w:lang w:eastAsia="zh-CN"/>
        </w:rPr>
        <w:t>和定标委员会</w:t>
      </w:r>
      <w:r>
        <w:rPr>
          <w:color w:val="auto"/>
          <w:sz w:val="24"/>
          <w:szCs w:val="24"/>
          <w:highlight w:val="none"/>
          <w:lang w:eastAsia="zh-CN"/>
        </w:rPr>
        <w:t>成员作出的评审结论无效，由更换后的评标委员会</w:t>
      </w:r>
      <w:r>
        <w:rPr>
          <w:rFonts w:hint="eastAsia"/>
          <w:color w:val="auto"/>
          <w:sz w:val="24"/>
          <w:szCs w:val="24"/>
          <w:highlight w:val="none"/>
          <w:u w:val="single"/>
          <w:lang w:eastAsia="zh-CN"/>
        </w:rPr>
        <w:t>和定标委员会</w:t>
      </w:r>
      <w:r>
        <w:rPr>
          <w:color w:val="auto"/>
          <w:sz w:val="24"/>
          <w:szCs w:val="24"/>
          <w:highlight w:val="none"/>
          <w:lang w:eastAsia="zh-CN"/>
        </w:rPr>
        <w:t>成员重新进行评审。</w:t>
      </w:r>
    </w:p>
    <w:p>
      <w:pPr>
        <w:pStyle w:val="5"/>
        <w:spacing w:after="240"/>
        <w:ind w:right="44"/>
        <w:rPr>
          <w:b/>
          <w:bCs/>
          <w:color w:val="auto"/>
          <w:highlight w:val="none"/>
          <w:lang w:eastAsia="zh-CN"/>
        </w:rPr>
      </w:pPr>
      <w:r>
        <w:rPr>
          <w:b/>
          <w:bCs/>
          <w:color w:val="auto"/>
          <w:highlight w:val="none"/>
          <w:lang w:eastAsia="zh-CN"/>
        </w:rPr>
        <w:t>6.2评标原则</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评标活动遵循公平、公正、科学和择优的原则。</w:t>
      </w:r>
    </w:p>
    <w:p>
      <w:pPr>
        <w:pStyle w:val="5"/>
        <w:spacing w:after="240"/>
        <w:ind w:right="44"/>
        <w:rPr>
          <w:b/>
          <w:bCs/>
          <w:color w:val="auto"/>
          <w:highlight w:val="none"/>
          <w:lang w:eastAsia="zh-CN"/>
        </w:rPr>
      </w:pPr>
      <w:r>
        <w:rPr>
          <w:b/>
          <w:bCs/>
          <w:color w:val="auto"/>
          <w:highlight w:val="none"/>
          <w:lang w:eastAsia="zh-CN"/>
        </w:rPr>
        <w:t>6.3评标</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6.3.1评标委员会按照第三章“评标</w:t>
      </w:r>
      <w:r>
        <w:rPr>
          <w:rFonts w:hint="eastAsia"/>
          <w:color w:val="auto"/>
          <w:sz w:val="24"/>
          <w:szCs w:val="24"/>
          <w:highlight w:val="none"/>
          <w:u w:val="single"/>
          <w:lang w:eastAsia="zh-CN"/>
        </w:rPr>
        <w:t>和定标</w:t>
      </w:r>
      <w:r>
        <w:rPr>
          <w:rFonts w:hint="eastAsia"/>
          <w:color w:val="auto"/>
          <w:sz w:val="24"/>
          <w:szCs w:val="24"/>
          <w:highlight w:val="none"/>
          <w:lang w:eastAsia="zh-CN"/>
        </w:rPr>
        <w:t>办法</w:t>
      </w:r>
      <w:r>
        <w:rPr>
          <w:color w:val="auto"/>
          <w:sz w:val="24"/>
          <w:szCs w:val="24"/>
          <w:highlight w:val="none"/>
          <w:lang w:eastAsia="zh-CN"/>
        </w:rPr>
        <w:t>”规定的方法、评审因素、标准和程序对投标文件进行评审。第三章“评标</w:t>
      </w:r>
      <w:r>
        <w:rPr>
          <w:rFonts w:hint="eastAsia"/>
          <w:color w:val="auto"/>
          <w:sz w:val="24"/>
          <w:szCs w:val="24"/>
          <w:highlight w:val="none"/>
          <w:u w:val="single"/>
          <w:lang w:eastAsia="zh-CN"/>
        </w:rPr>
        <w:t>和定标</w:t>
      </w:r>
      <w:r>
        <w:rPr>
          <w:rFonts w:hint="eastAsia"/>
          <w:color w:val="auto"/>
          <w:sz w:val="24"/>
          <w:szCs w:val="24"/>
          <w:highlight w:val="none"/>
          <w:lang w:eastAsia="zh-CN"/>
        </w:rPr>
        <w:t>办法</w:t>
      </w:r>
      <w:r>
        <w:rPr>
          <w:color w:val="auto"/>
          <w:sz w:val="24"/>
          <w:szCs w:val="24"/>
          <w:highlight w:val="none"/>
          <w:lang w:eastAsia="zh-CN"/>
        </w:rPr>
        <w:t>”没有规定的方法、评审因素和标准，不作为评标</w:t>
      </w:r>
      <w:r>
        <w:rPr>
          <w:rFonts w:hint="eastAsia"/>
          <w:color w:val="auto"/>
          <w:sz w:val="24"/>
          <w:szCs w:val="24"/>
          <w:highlight w:val="none"/>
          <w:u w:val="single"/>
          <w:lang w:eastAsia="zh-CN"/>
        </w:rPr>
        <w:t>和定标</w:t>
      </w:r>
      <w:r>
        <w:rPr>
          <w:color w:val="auto"/>
          <w:sz w:val="24"/>
          <w:szCs w:val="24"/>
          <w:highlight w:val="none"/>
          <w:lang w:eastAsia="zh-CN"/>
        </w:rPr>
        <w:t>依据。</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6.3.2评标完成后，评标委员会应当向招标人提交书面评标报告和</w:t>
      </w:r>
      <w:r>
        <w:rPr>
          <w:rFonts w:hint="eastAsia"/>
          <w:color w:val="auto"/>
          <w:sz w:val="24"/>
          <w:szCs w:val="24"/>
          <w:highlight w:val="none"/>
          <w:u w:val="single"/>
          <w:lang w:eastAsia="zh-CN"/>
        </w:rPr>
        <w:t>进入定标阶段</w:t>
      </w:r>
      <w:r>
        <w:rPr>
          <w:color w:val="auto"/>
          <w:sz w:val="24"/>
          <w:szCs w:val="24"/>
          <w:highlight w:val="none"/>
          <w:lang w:eastAsia="zh-CN"/>
        </w:rPr>
        <w:t>候选人名单。评标委员会推荐</w:t>
      </w:r>
      <w:r>
        <w:rPr>
          <w:rFonts w:hint="eastAsia"/>
          <w:color w:val="auto"/>
          <w:sz w:val="24"/>
          <w:szCs w:val="24"/>
          <w:highlight w:val="none"/>
          <w:u w:val="single"/>
          <w:lang w:eastAsia="zh-CN"/>
        </w:rPr>
        <w:t>进入定标阶段</w:t>
      </w:r>
      <w:r>
        <w:rPr>
          <w:color w:val="auto"/>
          <w:sz w:val="24"/>
          <w:szCs w:val="24"/>
          <w:highlight w:val="none"/>
          <w:lang w:eastAsia="zh-CN"/>
        </w:rPr>
        <w:t>候选人的人数见投标人须知前附表。</w:t>
      </w:r>
      <w:bookmarkStart w:id="29" w:name="_Toc25137988"/>
    </w:p>
    <w:p>
      <w:pPr>
        <w:pStyle w:val="4"/>
        <w:spacing w:after="240" w:line="443" w:lineRule="exact"/>
        <w:ind w:right="44"/>
        <w:rPr>
          <w:rFonts w:ascii="宋体" w:hAnsi="宋体" w:eastAsia="宋体"/>
          <w:color w:val="auto"/>
          <w:highlight w:val="none"/>
          <w:lang w:eastAsia="zh-CN"/>
        </w:rPr>
      </w:pPr>
      <w:bookmarkStart w:id="30" w:name="_Toc142858881"/>
      <w:bookmarkStart w:id="31" w:name="_Toc143424744"/>
      <w:r>
        <w:rPr>
          <w:rFonts w:ascii="宋体" w:hAnsi="宋体" w:eastAsia="宋体"/>
          <w:color w:val="auto"/>
          <w:highlight w:val="none"/>
          <w:lang w:eastAsia="zh-CN"/>
        </w:rPr>
        <w:t>7. 合同授予</w:t>
      </w:r>
      <w:bookmarkEnd w:id="29"/>
      <w:bookmarkEnd w:id="30"/>
      <w:bookmarkEnd w:id="31"/>
    </w:p>
    <w:p>
      <w:pPr>
        <w:pStyle w:val="5"/>
        <w:spacing w:after="240"/>
        <w:ind w:right="44"/>
        <w:rPr>
          <w:b/>
          <w:bCs/>
          <w:color w:val="auto"/>
          <w:highlight w:val="none"/>
          <w:lang w:eastAsia="zh-CN"/>
        </w:rPr>
      </w:pPr>
      <w:r>
        <w:rPr>
          <w:b/>
          <w:bCs/>
          <w:color w:val="auto"/>
          <w:highlight w:val="none"/>
          <w:lang w:eastAsia="zh-CN"/>
        </w:rPr>
        <w:t>7.1中标候选人公示</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招标人在收到评标报告之日起 3日内，按照投标人须知前附表规定的公示媒介和期限公示中标候选人，公示期不得少于3天。</w:t>
      </w:r>
    </w:p>
    <w:p>
      <w:pPr>
        <w:pStyle w:val="10"/>
        <w:spacing w:line="360" w:lineRule="auto"/>
        <w:ind w:left="0" w:firstLine="480" w:firstLineChars="200"/>
        <w:rPr>
          <w:color w:val="auto"/>
          <w:sz w:val="24"/>
          <w:szCs w:val="24"/>
          <w:highlight w:val="none"/>
          <w:u w:val="single"/>
          <w:lang w:eastAsia="zh-CN"/>
        </w:rPr>
      </w:pPr>
      <w:r>
        <w:rPr>
          <w:rFonts w:hint="eastAsia"/>
          <w:color w:val="auto"/>
          <w:sz w:val="24"/>
          <w:szCs w:val="24"/>
          <w:highlight w:val="none"/>
          <w:u w:val="single"/>
          <w:lang w:eastAsia="zh-CN"/>
        </w:rPr>
        <w:t>在产生中标候选人后，招标人将中标候选人的投标文件商务部分的电子版（报价清单、方案等涉及商业秘密的内容除外）在广州公共资源交易中心网站等法定媒介公开。</w:t>
      </w:r>
    </w:p>
    <w:p>
      <w:pPr>
        <w:pStyle w:val="5"/>
        <w:spacing w:after="240"/>
        <w:ind w:right="44"/>
        <w:rPr>
          <w:b/>
          <w:bCs/>
          <w:color w:val="auto"/>
          <w:highlight w:val="none"/>
          <w:lang w:eastAsia="zh-CN"/>
        </w:rPr>
      </w:pPr>
      <w:r>
        <w:rPr>
          <w:b/>
          <w:bCs/>
          <w:color w:val="auto"/>
          <w:highlight w:val="none"/>
          <w:lang w:eastAsia="zh-CN"/>
        </w:rPr>
        <w:t>7.2评标结果异议</w:t>
      </w:r>
    </w:p>
    <w:p>
      <w:pPr>
        <w:pStyle w:val="10"/>
        <w:spacing w:line="360" w:lineRule="auto"/>
        <w:ind w:left="0" w:firstLine="480" w:firstLineChars="200"/>
        <w:rPr>
          <w:color w:val="auto"/>
          <w:sz w:val="24"/>
          <w:szCs w:val="24"/>
          <w:highlight w:val="none"/>
          <w:u w:val="single"/>
          <w:lang w:eastAsia="zh-CN"/>
        </w:rPr>
      </w:pPr>
      <w:r>
        <w:rPr>
          <w:rFonts w:hint="eastAsia"/>
          <w:color w:val="auto"/>
          <w:sz w:val="24"/>
          <w:szCs w:val="24"/>
          <w:highlight w:val="none"/>
          <w:u w:val="single"/>
          <w:lang w:eastAsia="zh-CN"/>
        </w:rPr>
        <w:t>投标人或者其他利害关系人对评标结果有异议的，应当在合格的中标候选人公示期间提出，可以通过线下或线上的形式提出异议。线上提交的，应通过交易平台进行，招标人也应通过交易平台答复线上提交的异议。作出答复前，应当暂停招标投标活动。招标人将在收到异议之日起</w:t>
      </w:r>
      <w:r>
        <w:rPr>
          <w:color w:val="auto"/>
          <w:sz w:val="24"/>
          <w:szCs w:val="24"/>
          <w:highlight w:val="none"/>
          <w:u w:val="single"/>
          <w:lang w:eastAsia="zh-CN"/>
        </w:rPr>
        <w:t>3</w:t>
      </w:r>
      <w:r>
        <w:rPr>
          <w:rFonts w:hint="eastAsia"/>
          <w:color w:val="auto"/>
          <w:sz w:val="24"/>
          <w:szCs w:val="24"/>
          <w:highlight w:val="none"/>
          <w:u w:val="single"/>
          <w:lang w:eastAsia="zh-CN"/>
        </w:rPr>
        <w:t>日内作出答复；作出答复前，将暂停招标投标活动。</w:t>
      </w:r>
    </w:p>
    <w:p>
      <w:pPr>
        <w:pStyle w:val="5"/>
        <w:spacing w:after="240"/>
        <w:ind w:right="44"/>
        <w:rPr>
          <w:b/>
          <w:bCs/>
          <w:color w:val="auto"/>
          <w:highlight w:val="none"/>
          <w:lang w:eastAsia="zh-CN"/>
        </w:rPr>
      </w:pPr>
      <w:r>
        <w:rPr>
          <w:b/>
          <w:bCs/>
          <w:color w:val="auto"/>
          <w:highlight w:val="none"/>
          <w:lang w:eastAsia="zh-CN"/>
        </w:rPr>
        <w:t>7.3中标候选人履约能力审查</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after="240"/>
        <w:ind w:right="44"/>
        <w:rPr>
          <w:b/>
          <w:bCs/>
          <w:color w:val="auto"/>
          <w:highlight w:val="none"/>
          <w:lang w:eastAsia="zh-CN"/>
        </w:rPr>
      </w:pPr>
      <w:r>
        <w:rPr>
          <w:b/>
          <w:bCs/>
          <w:color w:val="auto"/>
          <w:highlight w:val="none"/>
          <w:lang w:eastAsia="zh-CN"/>
        </w:rPr>
        <w:t>7.4定标</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按照投标人须知前附表的规定，招标人或招标人授权的评标委员会依法确定中标人。</w:t>
      </w:r>
    </w:p>
    <w:p>
      <w:pPr>
        <w:pStyle w:val="5"/>
        <w:spacing w:after="240"/>
        <w:ind w:right="44"/>
        <w:rPr>
          <w:b/>
          <w:bCs/>
          <w:color w:val="auto"/>
          <w:highlight w:val="none"/>
          <w:lang w:eastAsia="zh-CN"/>
        </w:rPr>
      </w:pPr>
      <w:r>
        <w:rPr>
          <w:b/>
          <w:bCs/>
          <w:color w:val="auto"/>
          <w:highlight w:val="none"/>
          <w:lang w:eastAsia="zh-CN"/>
        </w:rPr>
        <w:t>7.5中标通知</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在本章第 3.3款规定的投标有效期内，招标人以书面形式向中标人发出中标通知书，同时将中标结果通知未中标的投标人。</w:t>
      </w:r>
    </w:p>
    <w:p>
      <w:pPr>
        <w:pStyle w:val="5"/>
        <w:spacing w:after="240"/>
        <w:ind w:right="44"/>
        <w:rPr>
          <w:b/>
          <w:bCs/>
          <w:color w:val="auto"/>
          <w:highlight w:val="none"/>
          <w:lang w:eastAsia="zh-CN"/>
        </w:rPr>
      </w:pPr>
      <w:r>
        <w:rPr>
          <w:b/>
          <w:bCs/>
          <w:color w:val="auto"/>
          <w:highlight w:val="none"/>
          <w:lang w:eastAsia="zh-CN"/>
        </w:rPr>
        <w:t>7.6技术成果经济补偿</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pStyle w:val="5"/>
        <w:spacing w:after="240"/>
        <w:ind w:right="44"/>
        <w:rPr>
          <w:b/>
          <w:bCs/>
          <w:color w:val="auto"/>
          <w:highlight w:val="none"/>
          <w:lang w:eastAsia="zh-CN"/>
        </w:rPr>
      </w:pPr>
      <w:r>
        <w:rPr>
          <w:b/>
          <w:bCs/>
          <w:color w:val="auto"/>
          <w:highlight w:val="none"/>
          <w:lang w:eastAsia="zh-CN"/>
        </w:rPr>
        <w:t>7.7履约保证金</w:t>
      </w:r>
    </w:p>
    <w:p>
      <w:pPr>
        <w:pStyle w:val="10"/>
        <w:spacing w:line="360" w:lineRule="auto"/>
        <w:ind w:left="0" w:firstLine="480" w:firstLineChars="200"/>
        <w:rPr>
          <w:strike/>
          <w:color w:val="auto"/>
          <w:sz w:val="24"/>
          <w:szCs w:val="24"/>
          <w:highlight w:val="none"/>
          <w:lang w:eastAsia="zh-CN"/>
        </w:rPr>
      </w:pPr>
      <w:r>
        <w:rPr>
          <w:color w:val="auto"/>
          <w:sz w:val="24"/>
          <w:szCs w:val="24"/>
          <w:highlight w:val="none"/>
          <w:lang w:eastAsia="zh-CN"/>
        </w:rPr>
        <w:t>7.7.1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w:t>
      </w:r>
      <w:r>
        <w:rPr>
          <w:strike/>
          <w:color w:val="auto"/>
          <w:sz w:val="24"/>
          <w:szCs w:val="24"/>
          <w:highlight w:val="none"/>
          <w:lang w:eastAsia="zh-CN"/>
        </w:rPr>
        <w:t>联合体中标的，其履约保证金以联合体各方或者联合体中牵头人的名义提交。</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7.7.2中标人不能按本章第 7.7.1项要求提交履约保证金的，视为放弃中标，</w:t>
      </w:r>
      <w:r>
        <w:rPr>
          <w:strike/>
          <w:color w:val="auto"/>
          <w:sz w:val="24"/>
          <w:szCs w:val="24"/>
          <w:highlight w:val="none"/>
          <w:lang w:eastAsia="zh-CN"/>
        </w:rPr>
        <w:t>其投标保证金不予退还，</w:t>
      </w:r>
      <w:r>
        <w:rPr>
          <w:color w:val="auto"/>
          <w:sz w:val="24"/>
          <w:szCs w:val="24"/>
          <w:highlight w:val="none"/>
          <w:lang w:eastAsia="zh-CN"/>
        </w:rPr>
        <w:t>给招标人造成的损失</w:t>
      </w:r>
      <w:r>
        <w:rPr>
          <w:strike/>
          <w:color w:val="auto"/>
          <w:sz w:val="24"/>
          <w:szCs w:val="24"/>
          <w:highlight w:val="none"/>
          <w:lang w:eastAsia="zh-CN"/>
        </w:rPr>
        <w:t>超过投标保证金数额的</w:t>
      </w:r>
      <w:r>
        <w:rPr>
          <w:color w:val="auto"/>
          <w:sz w:val="24"/>
          <w:szCs w:val="24"/>
          <w:highlight w:val="none"/>
          <w:lang w:eastAsia="zh-CN"/>
        </w:rPr>
        <w:t>，中标人还应当</w:t>
      </w:r>
      <w:r>
        <w:rPr>
          <w:strike/>
          <w:color w:val="auto"/>
          <w:sz w:val="24"/>
          <w:szCs w:val="24"/>
          <w:highlight w:val="none"/>
          <w:lang w:eastAsia="zh-CN"/>
        </w:rPr>
        <w:t>对超过部分</w:t>
      </w:r>
      <w:r>
        <w:rPr>
          <w:color w:val="auto"/>
          <w:sz w:val="24"/>
          <w:szCs w:val="24"/>
          <w:highlight w:val="none"/>
          <w:lang w:eastAsia="zh-CN"/>
        </w:rPr>
        <w:t>予以赔偿。</w:t>
      </w:r>
    </w:p>
    <w:p>
      <w:pPr>
        <w:pStyle w:val="5"/>
        <w:spacing w:after="240"/>
        <w:ind w:right="44"/>
        <w:rPr>
          <w:b/>
          <w:bCs/>
          <w:color w:val="auto"/>
          <w:highlight w:val="none"/>
          <w:lang w:eastAsia="zh-CN"/>
        </w:rPr>
      </w:pPr>
      <w:r>
        <w:rPr>
          <w:b/>
          <w:bCs/>
          <w:color w:val="auto"/>
          <w:highlight w:val="none"/>
          <w:lang w:eastAsia="zh-CN"/>
        </w:rPr>
        <w:t>7.8签订合同</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7.8.1招标人和中标人应当在中标通知书发出之日起 30日内，根据招标文件和中标人的投标文件订立书面合同。中标人无正当理由拒签合同，在签订合同时向招标人提出附加条件，或者不按照招标文件要求提交履约保证金的，招标人有权取消其中标资格</w:t>
      </w:r>
      <w:r>
        <w:rPr>
          <w:strike/>
          <w:color w:val="auto"/>
          <w:sz w:val="24"/>
          <w:szCs w:val="24"/>
          <w:highlight w:val="none"/>
          <w:lang w:eastAsia="zh-CN"/>
        </w:rPr>
        <w:t>，其投标保证金不予退还</w:t>
      </w:r>
      <w:r>
        <w:rPr>
          <w:color w:val="auto"/>
          <w:sz w:val="24"/>
          <w:szCs w:val="24"/>
          <w:highlight w:val="none"/>
          <w:lang w:eastAsia="zh-CN"/>
        </w:rPr>
        <w:t>；给招标人造成的损失</w:t>
      </w:r>
      <w:r>
        <w:rPr>
          <w:strike/>
          <w:color w:val="auto"/>
          <w:sz w:val="24"/>
          <w:szCs w:val="24"/>
          <w:highlight w:val="none"/>
          <w:lang w:eastAsia="zh-CN"/>
        </w:rPr>
        <w:t>超过投标保证金数额</w:t>
      </w:r>
      <w:r>
        <w:rPr>
          <w:color w:val="auto"/>
          <w:sz w:val="24"/>
          <w:szCs w:val="24"/>
          <w:highlight w:val="none"/>
          <w:lang w:eastAsia="zh-CN"/>
        </w:rPr>
        <w:t>的，中标人还应当对超过部分予以赔偿。</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7.8.2发出中标通知书后，招标人无正当理由拒签合同，或者在签订合同时向中标人提出附加条件的，</w:t>
      </w:r>
      <w:r>
        <w:rPr>
          <w:strike/>
          <w:color w:val="auto"/>
          <w:sz w:val="24"/>
          <w:szCs w:val="24"/>
          <w:highlight w:val="none"/>
          <w:lang w:eastAsia="zh-CN"/>
        </w:rPr>
        <w:t>招标人向中标人退还投标保证金；</w:t>
      </w:r>
      <w:r>
        <w:rPr>
          <w:color w:val="auto"/>
          <w:sz w:val="24"/>
          <w:szCs w:val="24"/>
          <w:highlight w:val="none"/>
          <w:lang w:eastAsia="zh-CN"/>
        </w:rPr>
        <w:t>给中标人造成损失的，还应当赔偿损失。</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7.8.3联合体中标的，联合体各方应当共同与招标人签订合同，就中标项目向招标人承担连带责任。</w:t>
      </w:r>
      <w:bookmarkStart w:id="32" w:name="_Toc25137989"/>
    </w:p>
    <w:p>
      <w:pPr>
        <w:pStyle w:val="4"/>
        <w:spacing w:after="240" w:line="443" w:lineRule="exact"/>
        <w:ind w:right="44"/>
        <w:rPr>
          <w:rFonts w:ascii="宋体" w:hAnsi="宋体" w:eastAsia="宋体"/>
          <w:color w:val="auto"/>
          <w:highlight w:val="none"/>
          <w:lang w:eastAsia="zh-CN"/>
        </w:rPr>
      </w:pPr>
      <w:bookmarkStart w:id="33" w:name="_Toc143424745"/>
      <w:bookmarkStart w:id="34" w:name="_Toc142858882"/>
      <w:r>
        <w:rPr>
          <w:rFonts w:ascii="宋体" w:hAnsi="宋体" w:eastAsia="宋体"/>
          <w:color w:val="auto"/>
          <w:highlight w:val="none"/>
          <w:lang w:eastAsia="zh-CN"/>
        </w:rPr>
        <w:t>8.纪律和监督</w:t>
      </w:r>
      <w:bookmarkEnd w:id="32"/>
      <w:bookmarkEnd w:id="33"/>
      <w:bookmarkEnd w:id="34"/>
    </w:p>
    <w:p>
      <w:pPr>
        <w:pStyle w:val="5"/>
        <w:spacing w:after="240"/>
        <w:ind w:right="44"/>
        <w:rPr>
          <w:b/>
          <w:bCs/>
          <w:color w:val="auto"/>
          <w:highlight w:val="none"/>
          <w:lang w:eastAsia="zh-CN"/>
        </w:rPr>
      </w:pPr>
      <w:r>
        <w:rPr>
          <w:b/>
          <w:bCs/>
          <w:color w:val="auto"/>
          <w:highlight w:val="none"/>
          <w:lang w:eastAsia="zh-CN"/>
        </w:rPr>
        <w:t>8.1对招标人的纪律要求</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招标人不得泄露招标投标活动中应当保密的情况和资料，不得与投标人串通损害国家利益、社会公共利益或者他人合法权益。</w:t>
      </w:r>
    </w:p>
    <w:p>
      <w:pPr>
        <w:pStyle w:val="5"/>
        <w:spacing w:after="240"/>
        <w:ind w:right="44"/>
        <w:rPr>
          <w:b/>
          <w:bCs/>
          <w:color w:val="auto"/>
          <w:highlight w:val="none"/>
          <w:lang w:eastAsia="zh-CN"/>
        </w:rPr>
      </w:pPr>
      <w:r>
        <w:rPr>
          <w:b/>
          <w:bCs/>
          <w:color w:val="auto"/>
          <w:highlight w:val="none"/>
          <w:lang w:eastAsia="zh-CN"/>
        </w:rPr>
        <w:t>8.2对投标人的纪律要求</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after="240"/>
        <w:ind w:right="44"/>
        <w:rPr>
          <w:b/>
          <w:bCs/>
          <w:color w:val="auto"/>
          <w:highlight w:val="none"/>
          <w:lang w:eastAsia="zh-CN"/>
        </w:rPr>
      </w:pPr>
      <w:r>
        <w:rPr>
          <w:b/>
          <w:bCs/>
          <w:color w:val="auto"/>
          <w:highlight w:val="none"/>
          <w:lang w:eastAsia="zh-CN"/>
        </w:rPr>
        <w:t>8.3对评标委员会成员的纪律要求</w:t>
      </w:r>
    </w:p>
    <w:p>
      <w:pPr>
        <w:pStyle w:val="10"/>
        <w:spacing w:after="240" w:line="360" w:lineRule="auto"/>
        <w:ind w:left="0" w:firstLine="480" w:firstLineChars="200"/>
        <w:rPr>
          <w:color w:val="auto"/>
          <w:sz w:val="24"/>
          <w:szCs w:val="24"/>
          <w:highlight w:val="none"/>
          <w:lang w:eastAsia="zh-CN"/>
        </w:rPr>
      </w:pPr>
      <w:r>
        <w:rPr>
          <w:color w:val="auto"/>
          <w:sz w:val="24"/>
          <w:szCs w:val="24"/>
          <w:highlight w:val="none"/>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after="240"/>
        <w:ind w:right="44"/>
        <w:rPr>
          <w:b/>
          <w:bCs/>
          <w:color w:val="auto"/>
          <w:highlight w:val="none"/>
          <w:lang w:eastAsia="zh-CN"/>
        </w:rPr>
      </w:pPr>
      <w:r>
        <w:rPr>
          <w:b/>
          <w:bCs/>
          <w:color w:val="auto"/>
          <w:highlight w:val="none"/>
          <w:lang w:eastAsia="zh-CN"/>
        </w:rPr>
        <w:t>8.4对与评标活动有关的工作人员的纪律要求</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spacing w:after="240"/>
        <w:ind w:right="44"/>
        <w:rPr>
          <w:b/>
          <w:bCs/>
          <w:color w:val="auto"/>
          <w:highlight w:val="none"/>
          <w:lang w:eastAsia="zh-CN"/>
        </w:rPr>
      </w:pPr>
      <w:r>
        <w:rPr>
          <w:b/>
          <w:bCs/>
          <w:color w:val="auto"/>
          <w:highlight w:val="none"/>
          <w:lang w:eastAsia="zh-CN"/>
        </w:rPr>
        <w:t>8.5投诉</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8.5.1投标人或者其他利害关系人认为招标投标活动不符合法律、行政法规规定的，可以自知道或者应当知道之日起10日内向有关行政监督部门投诉。投诉应当有明确的请求和必要的证明材料。</w:t>
      </w:r>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8.5.2投标人或者其他利害关系人对招标文件、开标和评标结果提出投诉的，应当按照投标人须知第2.4款、第5.3款和第7.2款的规定先向招标人提出异议。异议答复期间不计算在第8.5.1项规定的期限内。</w:t>
      </w:r>
      <w:bookmarkStart w:id="35" w:name="_Toc25137990"/>
    </w:p>
    <w:p>
      <w:pPr>
        <w:pStyle w:val="4"/>
        <w:spacing w:after="240" w:line="443" w:lineRule="exact"/>
        <w:ind w:right="44"/>
        <w:rPr>
          <w:rFonts w:ascii="宋体" w:hAnsi="宋体" w:eastAsia="宋体"/>
          <w:color w:val="auto"/>
          <w:highlight w:val="none"/>
          <w:lang w:eastAsia="zh-CN"/>
        </w:rPr>
      </w:pPr>
      <w:bookmarkStart w:id="36" w:name="_Toc143424746"/>
      <w:bookmarkStart w:id="37" w:name="_Toc142858883"/>
      <w:r>
        <w:rPr>
          <w:rFonts w:ascii="宋体" w:hAnsi="宋体" w:eastAsia="宋体"/>
          <w:color w:val="auto"/>
          <w:highlight w:val="none"/>
          <w:lang w:eastAsia="zh-CN"/>
        </w:rPr>
        <w:t>9. 是否采用电子招标投标</w:t>
      </w:r>
      <w:bookmarkEnd w:id="35"/>
      <w:bookmarkEnd w:id="36"/>
      <w:bookmarkEnd w:id="37"/>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本招标项目是否采用电子招标投标方式，见投标人须知前附表。</w:t>
      </w:r>
      <w:bookmarkStart w:id="38" w:name="_Toc25137991"/>
    </w:p>
    <w:p>
      <w:pPr>
        <w:pStyle w:val="4"/>
        <w:spacing w:after="240" w:line="443" w:lineRule="exact"/>
        <w:ind w:right="44"/>
        <w:rPr>
          <w:rFonts w:ascii="宋体" w:hAnsi="宋体" w:eastAsia="宋体"/>
          <w:color w:val="auto"/>
          <w:highlight w:val="none"/>
          <w:lang w:eastAsia="zh-CN"/>
        </w:rPr>
      </w:pPr>
      <w:bookmarkStart w:id="39" w:name="_Toc143424747"/>
      <w:bookmarkStart w:id="40" w:name="_Toc142858884"/>
      <w:r>
        <w:rPr>
          <w:rFonts w:ascii="宋体" w:hAnsi="宋体" w:eastAsia="宋体"/>
          <w:color w:val="auto"/>
          <w:highlight w:val="none"/>
          <w:lang w:eastAsia="zh-CN"/>
        </w:rPr>
        <w:t>10. 需要补充的其他内容</w:t>
      </w:r>
      <w:bookmarkEnd w:id="38"/>
      <w:bookmarkEnd w:id="39"/>
      <w:bookmarkEnd w:id="40"/>
    </w:p>
    <w:p>
      <w:pPr>
        <w:pStyle w:val="10"/>
        <w:spacing w:line="360" w:lineRule="auto"/>
        <w:ind w:left="0" w:firstLine="480" w:firstLineChars="200"/>
        <w:rPr>
          <w:color w:val="auto"/>
          <w:sz w:val="24"/>
          <w:szCs w:val="24"/>
          <w:highlight w:val="none"/>
          <w:lang w:eastAsia="zh-CN"/>
        </w:rPr>
      </w:pPr>
      <w:r>
        <w:rPr>
          <w:color w:val="auto"/>
          <w:sz w:val="24"/>
          <w:szCs w:val="24"/>
          <w:highlight w:val="none"/>
          <w:lang w:eastAsia="zh-CN"/>
        </w:rPr>
        <w:t>需要补充的其他内容：见投标人须知前附表。</w:t>
      </w:r>
    </w:p>
    <w:p>
      <w:pPr>
        <w:pStyle w:val="10"/>
        <w:spacing w:line="360" w:lineRule="auto"/>
        <w:ind w:left="0" w:firstLine="480" w:firstLineChars="200"/>
        <w:rPr>
          <w:color w:val="auto"/>
          <w:sz w:val="24"/>
          <w:szCs w:val="24"/>
          <w:highlight w:val="none"/>
          <w:lang w:eastAsia="zh-CN"/>
        </w:rPr>
        <w:sectPr>
          <w:footerReference r:id="rId3" w:type="default"/>
          <w:pgSz w:w="11907" w:h="16839"/>
          <w:pgMar w:top="1440" w:right="1440" w:bottom="1440" w:left="1440" w:header="0" w:footer="919" w:gutter="0"/>
          <w:cols w:space="720" w:num="1"/>
        </w:sectPr>
      </w:pPr>
    </w:p>
    <w:p>
      <w:pPr>
        <w:pStyle w:val="5"/>
        <w:spacing w:line="363" w:lineRule="exact"/>
        <w:ind w:left="357"/>
        <w:rPr>
          <w:b/>
          <w:bCs/>
          <w:color w:val="auto"/>
          <w:highlight w:val="none"/>
          <w:lang w:eastAsia="zh-CN"/>
        </w:rPr>
      </w:pPr>
      <w:r>
        <w:rPr>
          <w:b/>
          <w:bCs/>
          <w:color w:val="auto"/>
          <w:highlight w:val="none"/>
          <w:lang w:eastAsia="zh-CN"/>
        </w:rPr>
        <w:t>附件一：开标记录表</w:t>
      </w:r>
    </w:p>
    <w:p>
      <w:pPr>
        <w:rPr>
          <w:rFonts w:ascii="宋体" w:hAnsi="宋体" w:eastAsia="宋体" w:cs="宋体"/>
          <w:color w:val="auto"/>
          <w:sz w:val="20"/>
          <w:szCs w:val="20"/>
          <w:highlight w:val="none"/>
          <w:lang w:eastAsia="zh-CN"/>
        </w:rPr>
      </w:pPr>
    </w:p>
    <w:p>
      <w:pPr>
        <w:spacing w:before="9"/>
        <w:rPr>
          <w:rFonts w:ascii="宋体" w:hAnsi="宋体" w:eastAsia="宋体" w:cs="宋体"/>
          <w:color w:val="auto"/>
          <w:sz w:val="23"/>
          <w:szCs w:val="23"/>
          <w:highlight w:val="none"/>
          <w:lang w:eastAsia="zh-CN"/>
        </w:rPr>
      </w:pPr>
    </w:p>
    <w:p>
      <w:pPr>
        <w:spacing w:before="14"/>
        <w:ind w:left="3238" w:right="3137"/>
        <w:jc w:val="center"/>
        <w:rPr>
          <w:rFonts w:ascii="宋体" w:hAnsi="宋体" w:eastAsia="宋体" w:cs="宋体"/>
          <w:b/>
          <w:bCs/>
          <w:color w:val="auto"/>
          <w:sz w:val="28"/>
          <w:szCs w:val="28"/>
          <w:highlight w:val="none"/>
          <w:lang w:eastAsia="zh-CN"/>
        </w:rPr>
      </w:pPr>
      <w:r>
        <w:rPr>
          <w:rFonts w:ascii="宋体" w:hAnsi="宋体" w:eastAsia="宋体" w:cs="宋体"/>
          <w:b/>
          <w:bCs/>
          <w:color w:val="auto"/>
          <w:sz w:val="28"/>
          <w:szCs w:val="28"/>
          <w:highlight w:val="none"/>
          <w:lang w:eastAsia="zh-CN"/>
        </w:rPr>
        <w:t>开标记录表</w:t>
      </w:r>
    </w:p>
    <w:p>
      <w:pPr>
        <w:pStyle w:val="10"/>
        <w:tabs>
          <w:tab w:val="left" w:pos="3614"/>
          <w:tab w:val="left" w:pos="4768"/>
          <w:tab w:val="left" w:pos="5923"/>
          <w:tab w:val="left" w:pos="7078"/>
          <w:tab w:val="left" w:pos="8233"/>
        </w:tabs>
        <w:ind w:left="0"/>
        <w:rPr>
          <w:color w:val="auto"/>
          <w:highlight w:val="none"/>
        </w:rPr>
      </w:pPr>
      <w:r>
        <w:rPr>
          <w:color w:val="auto"/>
          <w:spacing w:val="-1"/>
          <w:highlight w:val="none"/>
        </w:rPr>
        <w:t>开标时间：</w:t>
      </w:r>
      <w:r>
        <w:rPr>
          <w:color w:val="auto"/>
          <w:spacing w:val="-1"/>
          <w:highlight w:val="none"/>
          <w:u w:val="single" w:color="000000"/>
        </w:rPr>
        <w:tab/>
      </w:r>
      <w:r>
        <w:rPr>
          <w:color w:val="auto"/>
          <w:highlight w:val="none"/>
        </w:rPr>
        <w:t>年</w:t>
      </w:r>
      <w:r>
        <w:rPr>
          <w:color w:val="auto"/>
          <w:highlight w:val="none"/>
          <w:u w:val="single" w:color="000000"/>
        </w:rPr>
        <w:tab/>
      </w:r>
      <w:r>
        <w:rPr>
          <w:color w:val="auto"/>
          <w:highlight w:val="none"/>
        </w:rPr>
        <w:t>月</w:t>
      </w:r>
      <w:r>
        <w:rPr>
          <w:color w:val="auto"/>
          <w:highlight w:val="none"/>
          <w:u w:val="single" w:color="000000"/>
        </w:rPr>
        <w:tab/>
      </w:r>
      <w:r>
        <w:rPr>
          <w:color w:val="auto"/>
          <w:highlight w:val="none"/>
        </w:rPr>
        <w:t>日</w:t>
      </w:r>
      <w:r>
        <w:rPr>
          <w:color w:val="auto"/>
          <w:highlight w:val="none"/>
          <w:u w:val="single" w:color="000000"/>
        </w:rPr>
        <w:tab/>
      </w:r>
      <w:r>
        <w:rPr>
          <w:color w:val="auto"/>
          <w:highlight w:val="none"/>
        </w:rPr>
        <w:t>时</w:t>
      </w:r>
      <w:r>
        <w:rPr>
          <w:color w:val="auto"/>
          <w:highlight w:val="none"/>
          <w:u w:val="single" w:color="000000"/>
        </w:rPr>
        <w:tab/>
      </w:r>
      <w:r>
        <w:rPr>
          <w:color w:val="auto"/>
          <w:highlight w:val="none"/>
        </w:rPr>
        <w:t>分</w:t>
      </w:r>
    </w:p>
    <w:p>
      <w:pPr>
        <w:spacing w:before="2"/>
        <w:rPr>
          <w:rFonts w:ascii="宋体" w:hAnsi="宋体" w:eastAsia="宋体" w:cs="宋体"/>
          <w:color w:val="auto"/>
          <w:sz w:val="13"/>
          <w:szCs w:val="13"/>
          <w:highlight w:val="none"/>
        </w:rPr>
      </w:pPr>
    </w:p>
    <w:tbl>
      <w:tblPr>
        <w:tblStyle w:val="25"/>
        <w:tblW w:w="5000" w:type="pct"/>
        <w:tblInd w:w="0" w:type="dxa"/>
        <w:tblLayout w:type="autofit"/>
        <w:tblCellMar>
          <w:top w:w="0" w:type="dxa"/>
          <w:left w:w="0" w:type="dxa"/>
          <w:bottom w:w="0" w:type="dxa"/>
          <w:right w:w="0" w:type="dxa"/>
        </w:tblCellMar>
      </w:tblPr>
      <w:tblGrid>
        <w:gridCol w:w="793"/>
        <w:gridCol w:w="1251"/>
        <w:gridCol w:w="1218"/>
        <w:gridCol w:w="1220"/>
        <w:gridCol w:w="1218"/>
        <w:gridCol w:w="1220"/>
        <w:gridCol w:w="872"/>
        <w:gridCol w:w="1218"/>
      </w:tblGrid>
      <w:tr>
        <w:tblPrEx>
          <w:tblCellMar>
            <w:top w:w="0" w:type="dxa"/>
            <w:left w:w="0" w:type="dxa"/>
            <w:bottom w:w="0" w:type="dxa"/>
            <w:right w:w="0" w:type="dxa"/>
          </w:tblCellMar>
        </w:tblPrEx>
        <w:trPr>
          <w:trHeight w:val="1010" w:hRule="exact"/>
        </w:trPr>
        <w:tc>
          <w:tcPr>
            <w:tcW w:w="440"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序号</w:t>
            </w:r>
          </w:p>
        </w:tc>
        <w:tc>
          <w:tcPr>
            <w:tcW w:w="694"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投标人</w:t>
            </w:r>
          </w:p>
        </w:tc>
        <w:tc>
          <w:tcPr>
            <w:tcW w:w="676"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密封情况</w:t>
            </w:r>
          </w:p>
        </w:tc>
        <w:tc>
          <w:tcPr>
            <w:tcW w:w="677"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投标保证金</w:t>
            </w:r>
          </w:p>
        </w:tc>
        <w:tc>
          <w:tcPr>
            <w:tcW w:w="676"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投标报价（元）</w:t>
            </w:r>
          </w:p>
        </w:tc>
        <w:tc>
          <w:tcPr>
            <w:tcW w:w="677"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项目负责人</w:t>
            </w:r>
          </w:p>
        </w:tc>
        <w:tc>
          <w:tcPr>
            <w:tcW w:w="484"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备注</w:t>
            </w:r>
          </w:p>
        </w:tc>
        <w:tc>
          <w:tcPr>
            <w:tcW w:w="675" w:type="pct"/>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color w:val="auto"/>
                <w:highlight w:val="none"/>
              </w:rPr>
              <w:t>投标人代表签名</w:t>
            </w:r>
          </w:p>
        </w:tc>
      </w:tr>
      <w:tr>
        <w:tblPrEx>
          <w:tblCellMar>
            <w:top w:w="0" w:type="dxa"/>
            <w:left w:w="0" w:type="dxa"/>
            <w:bottom w:w="0" w:type="dxa"/>
            <w:right w:w="0" w:type="dxa"/>
          </w:tblCellMar>
        </w:tblPrEx>
        <w:trPr>
          <w:trHeight w:val="509"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11"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09"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11"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09"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11"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09"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11"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11"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11"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09" w:hRule="exac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48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509" w:hRule="exact"/>
        </w:trPr>
        <w:tc>
          <w:tcPr>
            <w:tcW w:w="1810"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r>
              <w:rPr>
                <w:rFonts w:ascii="宋体" w:hAnsi="宋体" w:eastAsia="宋体" w:cs="宋体"/>
                <w:color w:val="auto"/>
                <w:sz w:val="21"/>
                <w:szCs w:val="21"/>
                <w:highlight w:val="none"/>
              </w:rPr>
              <w:t>最高投标限价：</w:t>
            </w:r>
          </w:p>
        </w:tc>
        <w:tc>
          <w:tcPr>
            <w:tcW w:w="3190" w:type="pct"/>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1"/>
                <w:szCs w:val="21"/>
                <w:highlight w:val="none"/>
              </w:rPr>
            </w:pPr>
          </w:p>
        </w:tc>
      </w:tr>
    </w:tbl>
    <w:p>
      <w:pPr>
        <w:rPr>
          <w:rFonts w:ascii="宋体" w:hAnsi="宋体" w:eastAsia="宋体" w:cs="宋体"/>
          <w:color w:val="auto"/>
          <w:sz w:val="20"/>
          <w:szCs w:val="20"/>
          <w:highlight w:val="none"/>
        </w:rPr>
      </w:pPr>
    </w:p>
    <w:p>
      <w:pPr>
        <w:rPr>
          <w:rFonts w:ascii="宋体" w:hAnsi="宋体" w:eastAsia="宋体" w:cs="宋体"/>
          <w:color w:val="auto"/>
          <w:sz w:val="20"/>
          <w:szCs w:val="20"/>
          <w:highlight w:val="none"/>
        </w:rPr>
      </w:pPr>
    </w:p>
    <w:p>
      <w:pPr>
        <w:pStyle w:val="10"/>
        <w:tabs>
          <w:tab w:val="left" w:pos="2264"/>
          <w:tab w:val="left" w:pos="3057"/>
          <w:tab w:val="left" w:pos="4679"/>
          <w:tab w:val="left" w:pos="5366"/>
          <w:tab w:val="left" w:pos="6989"/>
        </w:tabs>
        <w:ind w:left="0"/>
        <w:rPr>
          <w:color w:val="auto"/>
          <w:highlight w:val="none"/>
          <w:lang w:eastAsia="zh-CN"/>
        </w:rPr>
      </w:pPr>
      <w:r>
        <w:rPr>
          <w:color w:val="auto"/>
          <w:spacing w:val="-2"/>
          <w:highlight w:val="none"/>
          <w:lang w:eastAsia="zh-CN"/>
        </w:rPr>
        <w:t>招标人代表：</w:t>
      </w:r>
      <w:r>
        <w:rPr>
          <w:color w:val="auto"/>
          <w:spacing w:val="-2"/>
          <w:highlight w:val="none"/>
          <w:u w:val="single" w:color="000000"/>
          <w:lang w:eastAsia="zh-CN"/>
        </w:rPr>
        <w:tab/>
      </w:r>
      <w:r>
        <w:rPr>
          <w:color w:val="auto"/>
          <w:spacing w:val="-2"/>
          <w:highlight w:val="none"/>
          <w:lang w:eastAsia="zh-CN"/>
        </w:rPr>
        <w:tab/>
      </w:r>
      <w:r>
        <w:rPr>
          <w:color w:val="auto"/>
          <w:spacing w:val="-2"/>
          <w:highlight w:val="none"/>
          <w:lang w:eastAsia="zh-CN"/>
        </w:rPr>
        <w:t>记录人：</w:t>
      </w:r>
      <w:r>
        <w:rPr>
          <w:color w:val="auto"/>
          <w:spacing w:val="-2"/>
          <w:highlight w:val="none"/>
          <w:u w:val="single" w:color="000000"/>
          <w:lang w:eastAsia="zh-CN"/>
        </w:rPr>
        <w:tab/>
      </w:r>
      <w:r>
        <w:rPr>
          <w:color w:val="auto"/>
          <w:spacing w:val="-2"/>
          <w:highlight w:val="none"/>
          <w:lang w:eastAsia="zh-CN"/>
        </w:rPr>
        <w:tab/>
      </w:r>
      <w:r>
        <w:rPr>
          <w:color w:val="auto"/>
          <w:spacing w:val="-2"/>
          <w:highlight w:val="none"/>
          <w:lang w:eastAsia="zh-CN"/>
        </w:rPr>
        <w:t>监标人：</w:t>
      </w:r>
      <w:r>
        <w:rPr>
          <w:color w:val="auto"/>
          <w:highlight w:val="none"/>
          <w:u w:val="single" w:color="000000"/>
          <w:lang w:eastAsia="zh-CN"/>
        </w:rPr>
        <w:tab/>
      </w:r>
    </w:p>
    <w:p>
      <w:pPr>
        <w:rPr>
          <w:rFonts w:ascii="宋体" w:hAnsi="宋体" w:eastAsia="宋体"/>
          <w:color w:val="auto"/>
          <w:sz w:val="27"/>
          <w:szCs w:val="27"/>
          <w:highlight w:val="none"/>
          <w:lang w:eastAsia="zh-CN"/>
        </w:rPr>
      </w:pPr>
    </w:p>
    <w:p>
      <w:pPr>
        <w:pStyle w:val="10"/>
        <w:tabs>
          <w:tab w:val="left" w:pos="736"/>
          <w:tab w:val="left" w:pos="1682"/>
          <w:tab w:val="left" w:pos="2626"/>
        </w:tabs>
        <w:ind w:left="0"/>
        <w:jc w:val="right"/>
        <w:rPr>
          <w:color w:val="auto"/>
          <w:highlight w:val="none"/>
          <w:lang w:eastAsia="zh-CN"/>
        </w:rPr>
      </w:pPr>
      <w:r>
        <w:rPr>
          <w:color w:val="auto"/>
          <w:highlight w:val="none"/>
          <w:u w:val="single" w:color="000000"/>
          <w:lang w:eastAsia="zh-CN"/>
        </w:rPr>
        <w:tab/>
      </w:r>
      <w:r>
        <w:rPr>
          <w:color w:val="auto"/>
          <w:highlight w:val="none"/>
          <w:lang w:eastAsia="zh-CN"/>
        </w:rPr>
        <w:t>年</w:t>
      </w:r>
      <w:r>
        <w:rPr>
          <w:color w:val="auto"/>
          <w:highlight w:val="none"/>
          <w:u w:val="single" w:color="000000"/>
          <w:lang w:eastAsia="zh-CN"/>
        </w:rPr>
        <w:tab/>
      </w:r>
      <w:r>
        <w:rPr>
          <w:color w:val="auto"/>
          <w:spacing w:val="-3"/>
          <w:highlight w:val="none"/>
          <w:lang w:eastAsia="zh-CN"/>
        </w:rPr>
        <w:t>月</w:t>
      </w:r>
      <w:r>
        <w:rPr>
          <w:color w:val="auto"/>
          <w:spacing w:val="-3"/>
          <w:highlight w:val="none"/>
          <w:u w:val="single" w:color="000000"/>
          <w:lang w:eastAsia="zh-CN"/>
        </w:rPr>
        <w:tab/>
      </w:r>
      <w:r>
        <w:rPr>
          <w:color w:val="auto"/>
          <w:highlight w:val="none"/>
          <w:lang w:eastAsia="zh-CN"/>
        </w:rPr>
        <w:t>日</w:t>
      </w:r>
    </w:p>
    <w:p>
      <w:pPr>
        <w:pStyle w:val="10"/>
        <w:tabs>
          <w:tab w:val="left" w:pos="736"/>
          <w:tab w:val="left" w:pos="1682"/>
          <w:tab w:val="left" w:pos="2626"/>
        </w:tabs>
        <w:ind w:left="0"/>
        <w:rPr>
          <w:b/>
          <w:color w:val="auto"/>
          <w:highlight w:val="none"/>
          <w:u w:val="single"/>
          <w:lang w:eastAsia="zh-CN"/>
        </w:rPr>
      </w:pPr>
      <w:r>
        <w:rPr>
          <w:rFonts w:hint="eastAsia"/>
          <w:b/>
          <w:color w:val="auto"/>
          <w:highlight w:val="none"/>
          <w:u w:val="single"/>
          <w:lang w:eastAsia="zh-CN"/>
        </w:rPr>
        <w:t>本表仅供参考，具体以开标时的开标记录表为准。</w:t>
      </w:r>
    </w:p>
    <w:p>
      <w:pPr>
        <w:pStyle w:val="5"/>
        <w:spacing w:line="363" w:lineRule="exact"/>
        <w:ind w:left="357"/>
        <w:rPr>
          <w:b/>
          <w:bCs/>
          <w:color w:val="auto"/>
          <w:highlight w:val="none"/>
          <w:lang w:eastAsia="zh-CN"/>
        </w:rPr>
      </w:pPr>
      <w:r>
        <w:rPr>
          <w:color w:val="auto"/>
          <w:highlight w:val="none"/>
          <w:lang w:eastAsia="zh-CN"/>
        </w:rPr>
        <w:br w:type="page"/>
      </w:r>
      <w:r>
        <w:rPr>
          <w:b/>
          <w:bCs/>
          <w:color w:val="auto"/>
          <w:highlight w:val="none"/>
          <w:lang w:eastAsia="zh-CN"/>
        </w:rPr>
        <w:t>附件二：问题澄清通知</w:t>
      </w: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spacing w:before="4"/>
        <w:rPr>
          <w:rFonts w:ascii="宋体" w:hAnsi="宋体" w:eastAsia="宋体" w:cs="宋体"/>
          <w:color w:val="auto"/>
          <w:sz w:val="17"/>
          <w:szCs w:val="17"/>
          <w:highlight w:val="none"/>
          <w:lang w:eastAsia="zh-CN"/>
        </w:rPr>
      </w:pPr>
    </w:p>
    <w:p>
      <w:pPr>
        <w:spacing w:before="14" w:line="360" w:lineRule="auto"/>
        <w:ind w:right="13"/>
        <w:jc w:val="center"/>
        <w:rPr>
          <w:rFonts w:ascii="宋体" w:hAnsi="宋体" w:eastAsia="宋体" w:cs="宋体"/>
          <w:color w:val="auto"/>
          <w:sz w:val="28"/>
          <w:szCs w:val="28"/>
          <w:highlight w:val="none"/>
          <w:lang w:eastAsia="zh-CN"/>
        </w:rPr>
      </w:pPr>
      <w:r>
        <w:rPr>
          <w:rFonts w:ascii="宋体" w:hAnsi="宋体" w:eastAsia="宋体" w:cs="宋体"/>
          <w:b/>
          <w:bCs/>
          <w:color w:val="auto"/>
          <w:sz w:val="28"/>
          <w:szCs w:val="28"/>
          <w:highlight w:val="none"/>
          <w:lang w:eastAsia="zh-CN"/>
        </w:rPr>
        <w:t>问题澄清通知</w:t>
      </w:r>
    </w:p>
    <w:p>
      <w:pPr>
        <w:pStyle w:val="10"/>
        <w:tabs>
          <w:tab w:val="left" w:pos="5671"/>
          <w:tab w:val="left" w:pos="6617"/>
          <w:tab w:val="left" w:pos="7560"/>
        </w:tabs>
        <w:spacing w:line="360" w:lineRule="auto"/>
        <w:ind w:left="0"/>
        <w:jc w:val="center"/>
        <w:rPr>
          <w:color w:val="auto"/>
          <w:sz w:val="24"/>
          <w:szCs w:val="24"/>
          <w:highlight w:val="none"/>
          <w:lang w:eastAsia="zh-CN"/>
        </w:rPr>
      </w:pPr>
      <w:r>
        <w:rPr>
          <w:rFonts w:hint="eastAsia"/>
          <w:color w:val="auto"/>
          <w:sz w:val="24"/>
          <w:szCs w:val="24"/>
          <w:highlight w:val="none"/>
          <w:lang w:eastAsia="zh-CN"/>
        </w:rPr>
        <w:t>（按广州公共资源交易中心格式）</w:t>
      </w:r>
    </w:p>
    <w:p>
      <w:pPr>
        <w:pStyle w:val="5"/>
        <w:spacing w:line="363" w:lineRule="exact"/>
        <w:ind w:left="357"/>
        <w:rPr>
          <w:b/>
          <w:bCs/>
          <w:color w:val="auto"/>
          <w:highlight w:val="none"/>
          <w:lang w:eastAsia="zh-CN"/>
        </w:rPr>
      </w:pPr>
      <w:r>
        <w:rPr>
          <w:color w:val="auto"/>
          <w:sz w:val="24"/>
          <w:szCs w:val="24"/>
          <w:highlight w:val="none"/>
          <w:lang w:eastAsia="zh-CN"/>
        </w:rPr>
        <w:br w:type="page"/>
      </w:r>
      <w:r>
        <w:rPr>
          <w:b/>
          <w:bCs/>
          <w:color w:val="auto"/>
          <w:highlight w:val="none"/>
          <w:lang w:eastAsia="zh-CN"/>
        </w:rPr>
        <w:t>附件三：问题的澄清</w:t>
      </w: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spacing w:before="168" w:line="360" w:lineRule="auto"/>
        <w:ind w:right="16"/>
        <w:jc w:val="center"/>
        <w:rPr>
          <w:rFonts w:ascii="宋体" w:hAnsi="宋体" w:eastAsia="宋体" w:cs="宋体"/>
          <w:b/>
          <w:bCs/>
          <w:color w:val="auto"/>
          <w:sz w:val="28"/>
          <w:szCs w:val="28"/>
          <w:highlight w:val="none"/>
          <w:lang w:eastAsia="zh-CN"/>
        </w:rPr>
      </w:pPr>
      <w:r>
        <w:rPr>
          <w:rFonts w:ascii="宋体" w:hAnsi="宋体" w:eastAsia="宋体" w:cs="宋体"/>
          <w:b/>
          <w:bCs/>
          <w:color w:val="auto"/>
          <w:sz w:val="28"/>
          <w:szCs w:val="28"/>
          <w:highlight w:val="none"/>
          <w:lang w:eastAsia="zh-CN"/>
        </w:rPr>
        <w:t>问题的澄清</w:t>
      </w:r>
    </w:p>
    <w:p>
      <w:pPr>
        <w:pStyle w:val="10"/>
        <w:tabs>
          <w:tab w:val="left" w:pos="5671"/>
          <w:tab w:val="left" w:pos="6617"/>
          <w:tab w:val="left" w:pos="7560"/>
        </w:tabs>
        <w:spacing w:line="360" w:lineRule="auto"/>
        <w:ind w:left="0"/>
        <w:jc w:val="center"/>
        <w:rPr>
          <w:color w:val="auto"/>
          <w:sz w:val="24"/>
          <w:szCs w:val="24"/>
          <w:highlight w:val="none"/>
          <w:lang w:eastAsia="zh-CN"/>
        </w:rPr>
      </w:pPr>
      <w:r>
        <w:rPr>
          <w:rFonts w:hint="eastAsia"/>
          <w:color w:val="auto"/>
          <w:sz w:val="24"/>
          <w:szCs w:val="24"/>
          <w:highlight w:val="none"/>
          <w:lang w:eastAsia="zh-CN"/>
        </w:rPr>
        <w:t>（按广州公共资源交易中心格式）</w:t>
      </w:r>
    </w:p>
    <w:p>
      <w:pPr>
        <w:pStyle w:val="5"/>
        <w:spacing w:line="363" w:lineRule="exact"/>
        <w:ind w:left="357"/>
        <w:rPr>
          <w:b/>
          <w:bCs/>
          <w:color w:val="auto"/>
          <w:highlight w:val="none"/>
          <w:lang w:eastAsia="zh-CN"/>
        </w:rPr>
      </w:pPr>
      <w:r>
        <w:rPr>
          <w:color w:val="auto"/>
          <w:sz w:val="24"/>
          <w:szCs w:val="24"/>
          <w:highlight w:val="none"/>
          <w:lang w:eastAsia="zh-CN"/>
        </w:rPr>
        <w:br w:type="page"/>
      </w:r>
      <w:r>
        <w:rPr>
          <w:b/>
          <w:bCs/>
          <w:color w:val="auto"/>
          <w:highlight w:val="none"/>
          <w:lang w:eastAsia="zh-CN"/>
        </w:rPr>
        <w:t>附件四：中标通知书</w:t>
      </w: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pStyle w:val="10"/>
        <w:tabs>
          <w:tab w:val="left" w:pos="5671"/>
          <w:tab w:val="left" w:pos="6617"/>
          <w:tab w:val="left" w:pos="7560"/>
        </w:tabs>
        <w:ind w:left="0"/>
        <w:jc w:val="center"/>
        <w:rPr>
          <w:color w:val="auto"/>
          <w:sz w:val="24"/>
          <w:szCs w:val="24"/>
          <w:highlight w:val="none"/>
          <w:lang w:eastAsia="zh-CN"/>
        </w:rPr>
      </w:pPr>
      <w:r>
        <w:rPr>
          <w:rFonts w:hint="eastAsia"/>
          <w:color w:val="auto"/>
          <w:sz w:val="24"/>
          <w:szCs w:val="24"/>
          <w:highlight w:val="none"/>
          <w:lang w:eastAsia="zh-CN"/>
        </w:rPr>
        <w:t>（按广州公共资源交易中心格式）</w:t>
      </w:r>
    </w:p>
    <w:p>
      <w:pPr>
        <w:pStyle w:val="2"/>
        <w:spacing w:after="240"/>
        <w:jc w:val="center"/>
        <w:rPr>
          <w:rFonts w:ascii="宋体" w:hAnsi="宋体" w:eastAsia="宋体"/>
          <w:color w:val="auto"/>
          <w:highlight w:val="none"/>
          <w:lang w:eastAsia="zh-CN"/>
        </w:rPr>
      </w:pPr>
      <w:r>
        <w:rPr>
          <w:color w:val="auto"/>
          <w:sz w:val="24"/>
          <w:szCs w:val="24"/>
          <w:highlight w:val="none"/>
          <w:lang w:eastAsia="zh-CN"/>
        </w:rPr>
        <w:br w:type="page"/>
      </w:r>
      <w:bookmarkStart w:id="41" w:name="_Toc143424748"/>
      <w:bookmarkStart w:id="42" w:name="_Toc142858885"/>
      <w:bookmarkStart w:id="43" w:name="_Toc25137992"/>
      <w:r>
        <w:rPr>
          <w:rFonts w:ascii="宋体" w:hAnsi="宋体" w:eastAsia="宋体"/>
          <w:color w:val="auto"/>
          <w:highlight w:val="none"/>
          <w:lang w:eastAsia="zh-CN"/>
        </w:rPr>
        <w:t>第三章</w:t>
      </w:r>
      <w:r>
        <w:rPr>
          <w:rFonts w:hint="eastAsia" w:ascii="宋体" w:hAnsi="宋体" w:eastAsia="宋体"/>
          <w:color w:val="auto"/>
          <w:highlight w:val="none"/>
          <w:lang w:val="en-US" w:eastAsia="zh-CN"/>
        </w:rPr>
        <w:t xml:space="preserve"> </w:t>
      </w:r>
      <w:r>
        <w:rPr>
          <w:rFonts w:ascii="宋体" w:hAnsi="宋体" w:eastAsia="宋体"/>
          <w:color w:val="auto"/>
          <w:highlight w:val="none"/>
          <w:lang w:eastAsia="zh-CN"/>
        </w:rPr>
        <w:t>评标办法（</w:t>
      </w:r>
      <w:r>
        <w:rPr>
          <w:rFonts w:hint="eastAsia" w:ascii="宋体" w:hAnsi="宋体" w:eastAsia="宋体"/>
          <w:color w:val="auto"/>
          <w:highlight w:val="none"/>
          <w:lang w:eastAsia="zh-CN"/>
        </w:rPr>
        <w:t>评定分离评标办法）</w:t>
      </w:r>
      <w:bookmarkEnd w:id="41"/>
      <w:bookmarkEnd w:id="42"/>
      <w:bookmarkEnd w:id="43"/>
    </w:p>
    <w:p>
      <w:pPr>
        <w:pStyle w:val="4"/>
        <w:ind w:left="120"/>
        <w:jc w:val="center"/>
        <w:rPr>
          <w:rFonts w:ascii="宋体" w:hAnsi="宋体" w:eastAsia="宋体"/>
          <w:color w:val="auto"/>
          <w:highlight w:val="none"/>
          <w:lang w:eastAsia="zh-CN"/>
        </w:rPr>
      </w:pPr>
      <w:bookmarkStart w:id="44" w:name="_Toc25137993"/>
      <w:bookmarkStart w:id="45" w:name="_Toc143424749"/>
      <w:bookmarkStart w:id="46" w:name="_Toc142858886"/>
      <w:r>
        <w:rPr>
          <w:rFonts w:ascii="宋体" w:hAnsi="宋体" w:eastAsia="宋体"/>
          <w:color w:val="auto"/>
          <w:highlight w:val="none"/>
        </w:rPr>
        <w:t>评标办法前附表</w:t>
      </w:r>
      <w:bookmarkEnd w:id="44"/>
      <w:bookmarkEnd w:id="45"/>
      <w:bookmarkEnd w:id="46"/>
    </w:p>
    <w:tbl>
      <w:tblPr>
        <w:tblStyle w:val="25"/>
        <w:tblW w:w="9037" w:type="dxa"/>
        <w:tblInd w:w="0" w:type="dxa"/>
        <w:tblLayout w:type="fixed"/>
        <w:tblCellMar>
          <w:top w:w="0" w:type="dxa"/>
          <w:left w:w="0" w:type="dxa"/>
          <w:bottom w:w="0" w:type="dxa"/>
          <w:right w:w="0" w:type="dxa"/>
        </w:tblCellMar>
      </w:tblPr>
      <w:tblGrid>
        <w:gridCol w:w="625"/>
        <w:gridCol w:w="1213"/>
        <w:gridCol w:w="1701"/>
        <w:gridCol w:w="5498"/>
      </w:tblGrid>
      <w:tr>
        <w:tblPrEx>
          <w:tblCellMar>
            <w:top w:w="0" w:type="dxa"/>
            <w:left w:w="0" w:type="dxa"/>
            <w:bottom w:w="0" w:type="dxa"/>
            <w:right w:w="0" w:type="dxa"/>
          </w:tblCellMar>
        </w:tblPrEx>
        <w:tc>
          <w:tcPr>
            <w:tcW w:w="1838" w:type="dxa"/>
            <w:gridSpan w:val="2"/>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条款号</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评审因素</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评审标准</w:t>
            </w:r>
          </w:p>
        </w:tc>
      </w:tr>
      <w:tr>
        <w:tblPrEx>
          <w:tblCellMar>
            <w:top w:w="0" w:type="dxa"/>
            <w:left w:w="0" w:type="dxa"/>
            <w:bottom w:w="0" w:type="dxa"/>
            <w:right w:w="0" w:type="dxa"/>
          </w:tblCellMar>
        </w:tblPrEx>
        <w:tc>
          <w:tcPr>
            <w:tcW w:w="625"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1</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评标方法</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u w:val="single"/>
              </w:rPr>
              <w:t>进入定标阶段</w:t>
            </w:r>
            <w:r>
              <w:rPr>
                <w:rFonts w:hint="eastAsia"/>
                <w:color w:val="auto"/>
                <w:highlight w:val="none"/>
              </w:rPr>
              <w:t>候选人排序方法</w:t>
            </w:r>
          </w:p>
        </w:tc>
        <w:tc>
          <w:tcPr>
            <w:tcW w:w="549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ight="206" w:rightChars="94"/>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本次评标采用评定分离评标办法；</w:t>
            </w:r>
          </w:p>
          <w:p>
            <w:pPr>
              <w:spacing w:line="360" w:lineRule="auto"/>
              <w:ind w:left="220" w:leftChars="100" w:right="206" w:rightChars="94"/>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评标阶段采用综合评估法。评标委员会对满足招标文件实质性要求的投标文件，按照本章规定的评分标准进行打分，并按得分由高到低顺序推荐前六名进入定标阶段，综合评分相等的，以投标报价(如有)低的优先；投标报价也相等的，以设计方案得分高的优先；如果设计方案得分也相等，以商务得分高的优先；如仍存在相同情况，则对具有相同情况的投标人，按定标阶段入围人数规定，由评标委员会采用记名投票的方式，确定进入定标阶段的中标候选人。</w:t>
            </w:r>
          </w:p>
          <w:p>
            <w:pPr>
              <w:spacing w:line="360" w:lineRule="auto"/>
              <w:ind w:left="220" w:leftChars="100" w:right="206" w:rightChars="94"/>
              <w:jc w:val="both"/>
              <w:rPr>
                <w:rFonts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定标阶段采用“直接票决定标法”。定标委员会对各合格的入围候选人进行审查。定标委员会根据定标因素进行记名投票，推荐中标人。</w:t>
            </w:r>
          </w:p>
        </w:tc>
      </w:tr>
      <w:tr>
        <w:tblPrEx>
          <w:tblCellMar>
            <w:top w:w="0" w:type="dxa"/>
            <w:left w:w="0" w:type="dxa"/>
            <w:bottom w:w="0" w:type="dxa"/>
            <w:right w:w="0" w:type="dxa"/>
          </w:tblCellMar>
        </w:tblPrEx>
        <w:tc>
          <w:tcPr>
            <w:tcW w:w="625" w:type="dxa"/>
            <w:vMerge w:val="restar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2.1.1</w:t>
            </w:r>
          </w:p>
        </w:tc>
        <w:tc>
          <w:tcPr>
            <w:tcW w:w="1213" w:type="dxa"/>
            <w:vMerge w:val="restart"/>
            <w:tcBorders>
              <w:top w:val="single" w:color="000000" w:sz="4" w:space="0"/>
              <w:left w:val="single" w:color="000000" w:sz="4" w:space="0"/>
              <w:right w:val="single" w:color="000000" w:sz="4" w:space="0"/>
            </w:tcBorders>
            <w:vAlign w:val="center"/>
          </w:tcPr>
          <w:p>
            <w:pPr>
              <w:pStyle w:val="40"/>
              <w:rPr>
                <w:color w:val="auto"/>
                <w:highlight w:val="none"/>
              </w:rPr>
            </w:pPr>
            <w:r>
              <w:rPr>
                <w:rFonts w:hint="eastAsia"/>
                <w:color w:val="auto"/>
                <w:highlight w:val="none"/>
              </w:rPr>
              <w:t>形式评审标准</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与营业执照、资质证书一致</w:t>
            </w:r>
          </w:p>
        </w:tc>
      </w:tr>
      <w:tr>
        <w:tblPrEx>
          <w:tblCellMar>
            <w:top w:w="0" w:type="dxa"/>
            <w:left w:w="0" w:type="dxa"/>
            <w:bottom w:w="0" w:type="dxa"/>
            <w:right w:w="0" w:type="dxa"/>
          </w:tblCellMar>
        </w:tblPrEx>
        <w:tc>
          <w:tcPr>
            <w:tcW w:w="625"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投标书签字盖章</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有法定代表人、委托代理人及项目负责人签字</w:t>
            </w:r>
            <w:r>
              <w:rPr>
                <w:rFonts w:hint="eastAsia"/>
                <w:b/>
                <w:color w:val="auto"/>
                <w:highlight w:val="none"/>
                <w:u w:val="single"/>
              </w:rPr>
              <w:t>（或盖章）</w:t>
            </w:r>
            <w:r>
              <w:rPr>
                <w:rFonts w:hint="eastAsia"/>
                <w:color w:val="auto"/>
                <w:highlight w:val="none"/>
              </w:rPr>
              <w:t>或加盖单位章。</w:t>
            </w:r>
          </w:p>
        </w:tc>
      </w:tr>
      <w:tr>
        <w:tblPrEx>
          <w:tblCellMar>
            <w:top w:w="0" w:type="dxa"/>
            <w:left w:w="0" w:type="dxa"/>
            <w:bottom w:w="0" w:type="dxa"/>
            <w:right w:w="0" w:type="dxa"/>
          </w:tblCellMar>
        </w:tblPrEx>
        <w:tc>
          <w:tcPr>
            <w:tcW w:w="625"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投标书投标文件格式</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投标书格式符合第六章“投标文件格式”的规定。</w:t>
            </w:r>
          </w:p>
        </w:tc>
      </w:tr>
      <w:tr>
        <w:tblPrEx>
          <w:tblCellMar>
            <w:top w:w="0" w:type="dxa"/>
            <w:left w:w="0" w:type="dxa"/>
            <w:bottom w:w="0" w:type="dxa"/>
            <w:right w:w="0" w:type="dxa"/>
          </w:tblCellMar>
        </w:tblPrEx>
        <w:tc>
          <w:tcPr>
            <w:tcW w:w="625"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联合体投标人</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本项目不接受联合体投标。</w:t>
            </w:r>
          </w:p>
        </w:tc>
      </w:tr>
      <w:tr>
        <w:tblPrEx>
          <w:tblCellMar>
            <w:top w:w="0" w:type="dxa"/>
            <w:left w:w="0" w:type="dxa"/>
            <w:bottom w:w="0" w:type="dxa"/>
            <w:right w:w="0" w:type="dxa"/>
          </w:tblCellMar>
        </w:tblPrEx>
        <w:tc>
          <w:tcPr>
            <w:tcW w:w="625"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备选投标方案</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不允许。</w:t>
            </w:r>
          </w:p>
        </w:tc>
      </w:tr>
      <w:tr>
        <w:tblPrEx>
          <w:tblCellMar>
            <w:top w:w="0" w:type="dxa"/>
            <w:left w:w="0" w:type="dxa"/>
            <w:bottom w:w="0" w:type="dxa"/>
            <w:right w:w="0" w:type="dxa"/>
          </w:tblCellMar>
        </w:tblPrEx>
        <w:tc>
          <w:tcPr>
            <w:tcW w:w="625" w:type="dxa"/>
            <w:vMerge w:val="continue"/>
            <w:tcBorders>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投标人机器码</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投标人与其他投标人加密打包投标文件电脑机器特征码一致的（以广州公共资源交易中心评标系统的检索信息为准）将被否决。</w:t>
            </w:r>
          </w:p>
        </w:tc>
      </w:tr>
      <w:tr>
        <w:tblPrEx>
          <w:tblCellMar>
            <w:top w:w="0" w:type="dxa"/>
            <w:left w:w="0" w:type="dxa"/>
            <w:bottom w:w="0" w:type="dxa"/>
            <w:right w:w="0" w:type="dxa"/>
          </w:tblCellMar>
        </w:tblPrEx>
        <w:tc>
          <w:tcPr>
            <w:tcW w:w="625" w:type="dxa"/>
            <w:vMerge w:val="restart"/>
            <w:tcBorders>
              <w:top w:val="single" w:color="auto" w:sz="4" w:space="0"/>
              <w:left w:val="single" w:color="auto" w:sz="4" w:space="0"/>
              <w:bottom w:val="single" w:color="auto" w:sz="4" w:space="0"/>
              <w:right w:val="single" w:color="auto" w:sz="4" w:space="0"/>
            </w:tcBorders>
            <w:vAlign w:val="center"/>
          </w:tcPr>
          <w:p>
            <w:pPr>
              <w:pStyle w:val="40"/>
              <w:rPr>
                <w:color w:val="auto"/>
                <w:highlight w:val="none"/>
              </w:rPr>
            </w:pPr>
            <w:r>
              <w:rPr>
                <w:rFonts w:hint="eastAsia"/>
                <w:color w:val="auto"/>
                <w:highlight w:val="none"/>
              </w:rPr>
              <w:t>2.1.2</w:t>
            </w: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pStyle w:val="40"/>
              <w:rPr>
                <w:color w:val="auto"/>
                <w:highlight w:val="none"/>
              </w:rPr>
            </w:pPr>
            <w:r>
              <w:rPr>
                <w:rFonts w:hint="eastAsia"/>
                <w:color w:val="auto"/>
                <w:highlight w:val="none"/>
              </w:rPr>
              <w:t>资格评审标准</w:t>
            </w: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合同履约纠纷</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与招标人过去3年内无合同履约纠纷，没有不得参加投标的情形。（以投标人声明为评审依据）。</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pStyle w:val="40"/>
              <w:rPr>
                <w:color w:val="auto"/>
                <w:highlight w:val="none"/>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pStyle w:val="40"/>
              <w:rPr>
                <w:color w:val="auto"/>
                <w:highlight w:val="none"/>
              </w:rPr>
            </w:pP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资质要求</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符合第二章“投标人须知”第1.4.1项规定</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外国或香港、澳门、台湾的企业</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外国或澳门、台湾的设计企业必须选择一家符合上述条件的企业进行合作设计。香港企业如不单独参加投标，也必须选择一家符合上述条件的企业进行合作设计。（需提供合作协议书，格式自定）</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信用档案</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投标人已在广州市住房和城乡建设局建立企业信用档案，拟委派的项目负责人须是本企业信用档案中的在册人员。</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项目负责人</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符合第二章“投标人须知”第1.4.1项规定</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信誉要求</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投标人未被列入拖欠农民工工资失信联合惩戒对象名单（本项投标人无需提供资料，按广州公共资源交易中心交易系统比对结果进行评审。）</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vMerge w:val="restart"/>
            <w:tcBorders>
              <w:top w:val="single" w:color="000000" w:sz="4" w:space="0"/>
              <w:left w:val="single" w:color="auto" w:sz="4" w:space="0"/>
              <w:right w:val="single" w:color="000000" w:sz="4" w:space="0"/>
            </w:tcBorders>
            <w:vAlign w:val="center"/>
          </w:tcPr>
          <w:p>
            <w:pPr>
              <w:pStyle w:val="40"/>
              <w:rPr>
                <w:color w:val="auto"/>
                <w:highlight w:val="none"/>
              </w:rPr>
            </w:pPr>
            <w:r>
              <w:rPr>
                <w:rFonts w:hint="eastAsia"/>
                <w:color w:val="auto"/>
                <w:highlight w:val="none"/>
              </w:rPr>
              <w:t>其他要求</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投标人不存在招标文件第二章“投标人须知”第1.4.3项规定的任何一种情形（以投标人声明为评审依据）。</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vMerge w:val="continue"/>
            <w:tcBorders>
              <w:left w:val="single" w:color="auto" w:sz="4" w:space="0"/>
              <w:bottom w:val="single" w:color="000000" w:sz="4" w:space="0"/>
              <w:right w:val="single" w:color="000000" w:sz="4" w:space="0"/>
            </w:tcBorders>
            <w:vAlign w:val="center"/>
          </w:tcPr>
          <w:p>
            <w:pPr>
              <w:pStyle w:val="40"/>
              <w:rPr>
                <w:color w:val="auto"/>
                <w:highlight w:val="none"/>
              </w:rPr>
            </w:pP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投标人未出现以下情形：与本项目其它投标人的单位负责人为同一人或者存在控股、管理关系的（以投标人声明为评审依据）。</w:t>
            </w:r>
          </w:p>
        </w:tc>
      </w:tr>
      <w:tr>
        <w:tblPrEx>
          <w:tblCellMar>
            <w:top w:w="0" w:type="dxa"/>
            <w:left w:w="0" w:type="dxa"/>
            <w:bottom w:w="0" w:type="dxa"/>
            <w:right w:w="0" w:type="dxa"/>
          </w:tblCellMar>
        </w:tblPrEx>
        <w:tc>
          <w:tcPr>
            <w:tcW w:w="625"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auto"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联合体投标人</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本项目不接受联合体投标。</w:t>
            </w:r>
          </w:p>
        </w:tc>
      </w:tr>
      <w:tr>
        <w:tblPrEx>
          <w:tblCellMar>
            <w:top w:w="0" w:type="dxa"/>
            <w:left w:w="0" w:type="dxa"/>
            <w:bottom w:w="0" w:type="dxa"/>
            <w:right w:w="0" w:type="dxa"/>
          </w:tblCellMar>
        </w:tblPrEx>
        <w:tc>
          <w:tcPr>
            <w:tcW w:w="625" w:type="dxa"/>
            <w:vMerge w:val="restart"/>
            <w:tcBorders>
              <w:top w:val="single" w:color="auto"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2.1.3</w:t>
            </w:r>
          </w:p>
          <w:p>
            <w:pPr>
              <w:pStyle w:val="40"/>
              <w:rPr>
                <w:color w:val="auto"/>
                <w:highlight w:val="none"/>
              </w:rPr>
            </w:pPr>
            <w:r>
              <w:rPr>
                <w:rFonts w:hint="eastAsia"/>
                <w:color w:val="auto"/>
                <w:highlight w:val="none"/>
              </w:rPr>
              <w:t>（1）</w:t>
            </w:r>
          </w:p>
        </w:tc>
        <w:tc>
          <w:tcPr>
            <w:tcW w:w="1213" w:type="dxa"/>
            <w:vMerge w:val="restart"/>
            <w:tcBorders>
              <w:top w:val="single" w:color="auto"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响应性评审标准</w:t>
            </w:r>
          </w:p>
          <w:p>
            <w:pPr>
              <w:pStyle w:val="40"/>
              <w:rPr>
                <w:color w:val="auto"/>
                <w:highlight w:val="none"/>
              </w:rPr>
            </w:pPr>
            <w:r>
              <w:rPr>
                <w:rFonts w:hint="eastAsia"/>
                <w:color w:val="auto"/>
                <w:highlight w:val="none"/>
              </w:rPr>
              <w:t>（商务文件）</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投标报价</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符合第二章“投标人须知”第3.2款规定</w:t>
            </w:r>
          </w:p>
        </w:tc>
      </w:tr>
      <w:tr>
        <w:tblPrEx>
          <w:tblCellMar>
            <w:top w:w="0" w:type="dxa"/>
            <w:left w:w="0" w:type="dxa"/>
            <w:bottom w:w="0" w:type="dxa"/>
            <w:right w:w="0" w:type="dxa"/>
          </w:tblCellMar>
        </w:tblPrEx>
        <w:tc>
          <w:tcPr>
            <w:tcW w:w="625"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设计服务期限</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符合第二章“投标人须知”第1.3.2项规定</w:t>
            </w:r>
          </w:p>
        </w:tc>
      </w:tr>
      <w:tr>
        <w:tblPrEx>
          <w:tblCellMar>
            <w:top w:w="0" w:type="dxa"/>
            <w:left w:w="0" w:type="dxa"/>
            <w:bottom w:w="0" w:type="dxa"/>
            <w:right w:w="0" w:type="dxa"/>
          </w:tblCellMar>
        </w:tblPrEx>
        <w:tc>
          <w:tcPr>
            <w:tcW w:w="625"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质量标准</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符合第二章“投标人须知”第1.3.3项规定</w:t>
            </w:r>
          </w:p>
        </w:tc>
      </w:tr>
      <w:tr>
        <w:tblPrEx>
          <w:tblCellMar>
            <w:top w:w="0" w:type="dxa"/>
            <w:left w:w="0" w:type="dxa"/>
            <w:bottom w:w="0" w:type="dxa"/>
            <w:right w:w="0" w:type="dxa"/>
          </w:tblCellMar>
        </w:tblPrEx>
        <w:tc>
          <w:tcPr>
            <w:tcW w:w="625"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投标有效期</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符合第二章“投标人须知”第3.3.1项规定</w:t>
            </w:r>
          </w:p>
        </w:tc>
      </w:tr>
      <w:tr>
        <w:tblPrEx>
          <w:tblCellMar>
            <w:top w:w="0" w:type="dxa"/>
            <w:left w:w="0" w:type="dxa"/>
            <w:bottom w:w="0" w:type="dxa"/>
            <w:right w:w="0" w:type="dxa"/>
          </w:tblCellMar>
        </w:tblPrEx>
        <w:tc>
          <w:tcPr>
            <w:tcW w:w="625"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串通投标情形</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17" w:leftChars="99" w:firstLine="0" w:firstLineChars="0"/>
              <w:jc w:val="left"/>
              <w:rPr>
                <w:color w:val="auto"/>
                <w:highlight w:val="none"/>
              </w:rPr>
            </w:pPr>
            <w:r>
              <w:rPr>
                <w:rFonts w:hint="eastAsia"/>
                <w:color w:val="auto"/>
                <w:highlight w:val="none"/>
              </w:rPr>
              <w:t>不存在串通投标情形（串通投标情形以《广东省实施&lt;中华人民共和国招标投标法&gt;办法》第十六条的规定为准）。</w:t>
            </w:r>
          </w:p>
        </w:tc>
      </w:tr>
      <w:tr>
        <w:tblPrEx>
          <w:tblCellMar>
            <w:top w:w="0" w:type="dxa"/>
            <w:left w:w="0" w:type="dxa"/>
            <w:bottom w:w="0" w:type="dxa"/>
            <w:right w:w="0" w:type="dxa"/>
          </w:tblCellMar>
        </w:tblPrEx>
        <w:tc>
          <w:tcPr>
            <w:tcW w:w="625" w:type="dxa"/>
            <w:vMerge w:val="restart"/>
            <w:tcBorders>
              <w:top w:val="single" w:color="auto"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2.1.3</w:t>
            </w:r>
          </w:p>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p>
        </w:tc>
        <w:tc>
          <w:tcPr>
            <w:tcW w:w="1213" w:type="dxa"/>
            <w:vMerge w:val="restart"/>
            <w:tcBorders>
              <w:top w:val="single" w:color="auto"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响应性评审标准</w:t>
            </w:r>
          </w:p>
          <w:p>
            <w:pPr>
              <w:spacing w:line="36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（技术文件）</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串通投标情形</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不存在串通投标情形（串通投标情形以《广东省实施&lt;中华人民共和国招标投标法&gt;办法》第十六条的规定为准）。</w:t>
            </w:r>
          </w:p>
        </w:tc>
      </w:tr>
      <w:tr>
        <w:tblPrEx>
          <w:tblCellMar>
            <w:top w:w="0" w:type="dxa"/>
            <w:left w:w="0" w:type="dxa"/>
            <w:bottom w:w="0" w:type="dxa"/>
            <w:right w:w="0" w:type="dxa"/>
          </w:tblCellMar>
        </w:tblPrEx>
        <w:tc>
          <w:tcPr>
            <w:tcW w:w="625"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213"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技术文件暗标要求</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技术标中未能辨认出投标人或其专业技术人员的身份。未在设计方案上标注或做任何可以辨认投标人及专业技术人员身份的名称、印章、商标、图形等记认符号。</w:t>
            </w:r>
          </w:p>
        </w:tc>
      </w:tr>
      <w:tr>
        <w:tblPrEx>
          <w:tblCellMar>
            <w:top w:w="0" w:type="dxa"/>
            <w:left w:w="0" w:type="dxa"/>
            <w:bottom w:w="0" w:type="dxa"/>
            <w:right w:w="0" w:type="dxa"/>
          </w:tblCellMar>
        </w:tblPrEx>
        <w:tc>
          <w:tcPr>
            <w:tcW w:w="1838" w:type="dxa"/>
            <w:gridSpan w:val="2"/>
            <w:tcBorders>
              <w:top w:val="single" w:color="auto"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条款号</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条款内容</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编列内容</w:t>
            </w:r>
          </w:p>
        </w:tc>
      </w:tr>
      <w:tr>
        <w:tblPrEx>
          <w:tblCellMar>
            <w:top w:w="0" w:type="dxa"/>
            <w:left w:w="0" w:type="dxa"/>
            <w:bottom w:w="0" w:type="dxa"/>
            <w:right w:w="0" w:type="dxa"/>
          </w:tblCellMar>
        </w:tblPrEx>
        <w:tc>
          <w:tcPr>
            <w:tcW w:w="1838" w:type="dxa"/>
            <w:gridSpan w:val="2"/>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2.2.1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分值构成</w:t>
            </w:r>
          </w:p>
          <w:p>
            <w:pPr>
              <w:pStyle w:val="40"/>
              <w:rPr>
                <w:color w:val="auto"/>
                <w:highlight w:val="none"/>
              </w:rPr>
            </w:pPr>
            <w:r>
              <w:rPr>
                <w:rFonts w:hint="eastAsia"/>
                <w:color w:val="auto"/>
                <w:highlight w:val="none"/>
              </w:rPr>
              <w:t>(总分100分)</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商务文件（资信业绩部分）：100分（权重40%）</w:t>
            </w:r>
          </w:p>
          <w:p>
            <w:pPr>
              <w:pStyle w:val="40"/>
              <w:ind w:left="220" w:leftChars="100" w:firstLine="0" w:firstLineChars="0"/>
              <w:jc w:val="left"/>
              <w:rPr>
                <w:color w:val="auto"/>
                <w:highlight w:val="none"/>
              </w:rPr>
            </w:pPr>
            <w:r>
              <w:rPr>
                <w:rFonts w:hint="eastAsia"/>
                <w:color w:val="auto"/>
                <w:highlight w:val="none"/>
              </w:rPr>
              <w:t>技术文件（设计方案部分）：100分（权重60%）</w:t>
            </w:r>
          </w:p>
          <w:p>
            <w:pPr>
              <w:pStyle w:val="40"/>
              <w:ind w:left="220" w:leftChars="100" w:firstLine="0" w:firstLineChars="0"/>
              <w:jc w:val="left"/>
              <w:rPr>
                <w:color w:val="auto"/>
                <w:highlight w:val="none"/>
                <w:u w:val="single"/>
              </w:rPr>
            </w:pPr>
            <w:r>
              <w:rPr>
                <w:rFonts w:hint="eastAsia"/>
                <w:color w:val="auto"/>
                <w:highlight w:val="none"/>
              </w:rPr>
              <w:t>投标人的综合得分（满分100分）＝商务文件得分×40％+技术文件得分×60％</w:t>
            </w:r>
          </w:p>
        </w:tc>
      </w:tr>
      <w:tr>
        <w:tblPrEx>
          <w:tblCellMar>
            <w:top w:w="0" w:type="dxa"/>
            <w:left w:w="0" w:type="dxa"/>
            <w:bottom w:w="0" w:type="dxa"/>
            <w:right w:w="0" w:type="dxa"/>
          </w:tblCellMar>
        </w:tblPrEx>
        <w:trPr>
          <w:trHeight w:val="1014" w:hRule="atLeast"/>
        </w:trPr>
        <w:tc>
          <w:tcPr>
            <w:tcW w:w="1838" w:type="dxa"/>
            <w:gridSpan w:val="2"/>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2.2.2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评标基准价计算方法</w:t>
            </w:r>
          </w:p>
        </w:tc>
        <w:tc>
          <w:tcPr>
            <w:tcW w:w="549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ight="206" w:rightChars="94"/>
              <w:jc w:val="both"/>
              <w:rPr>
                <w:rFonts w:ascii="宋体" w:hAnsi="宋体" w:eastAsia="宋体" w:cs="宋体"/>
                <w:strike/>
                <w:color w:val="auto"/>
                <w:sz w:val="21"/>
                <w:szCs w:val="21"/>
                <w:highlight w:val="none"/>
                <w:lang w:eastAsia="zh-CN"/>
              </w:rPr>
            </w:pPr>
            <w:r>
              <w:rPr>
                <w:rFonts w:hint="eastAsia" w:ascii="宋体" w:hAnsi="宋体" w:eastAsia="宋体" w:cs="宋体"/>
                <w:strike/>
                <w:color w:val="auto"/>
                <w:sz w:val="21"/>
                <w:szCs w:val="21"/>
                <w:highlight w:val="none"/>
                <w:lang w:eastAsia="zh-CN"/>
              </w:rPr>
              <w:t>（1）当通过形式评审、资格评审、响应性评审且投标总报价处于计算评标基准价的有效投标价范围内的有效投标人大于或等于5家时，去掉一个最高价和一个最低价，取余下有效报价的算术平均值作为报价基准价。（保留小数点后二位，第三位小数四舍五入）</w:t>
            </w:r>
          </w:p>
          <w:p>
            <w:pPr>
              <w:spacing w:line="360" w:lineRule="auto"/>
              <w:ind w:left="220" w:leftChars="100" w:right="206" w:rightChars="94"/>
              <w:jc w:val="both"/>
              <w:rPr>
                <w:rFonts w:ascii="宋体" w:hAnsi="宋体" w:eastAsia="宋体" w:cs="宋体"/>
                <w:strike/>
                <w:color w:val="auto"/>
                <w:sz w:val="21"/>
                <w:szCs w:val="21"/>
                <w:highlight w:val="none"/>
                <w:lang w:eastAsia="zh-CN"/>
              </w:rPr>
            </w:pPr>
            <w:r>
              <w:rPr>
                <w:rFonts w:hint="eastAsia" w:ascii="宋体" w:hAnsi="宋体" w:eastAsia="宋体" w:cs="宋体"/>
                <w:strike/>
                <w:color w:val="auto"/>
                <w:sz w:val="21"/>
                <w:szCs w:val="21"/>
                <w:highlight w:val="none"/>
                <w:lang w:eastAsia="zh-CN"/>
              </w:rPr>
              <w:t>（2）当通过形式评审、资格评审、响应性评审且投标总报价处于计算评标基准价的有效投标价范围内的有效投标人小于5家时，取所有入围有效报价的算术平均值的作为报价基准价（保留小数点后二位，第三位小数四舍五入）</w:t>
            </w:r>
          </w:p>
          <w:p>
            <w:pPr>
              <w:spacing w:line="360" w:lineRule="auto"/>
              <w:ind w:left="220" w:leftChars="100" w:right="206" w:rightChars="94"/>
              <w:jc w:val="both"/>
              <w:rPr>
                <w:rFonts w:ascii="宋体" w:hAnsi="宋体" w:eastAsia="宋体" w:cs="宋体"/>
                <w:strike/>
                <w:color w:val="auto"/>
                <w:sz w:val="21"/>
                <w:szCs w:val="21"/>
                <w:highlight w:val="none"/>
                <w:lang w:eastAsia="zh-CN"/>
              </w:rPr>
            </w:pPr>
            <w:r>
              <w:rPr>
                <w:rFonts w:hint="eastAsia" w:ascii="宋体" w:hAnsi="宋体" w:eastAsia="宋体" w:cs="宋体"/>
                <w:strike/>
                <w:color w:val="auto"/>
                <w:sz w:val="21"/>
                <w:szCs w:val="21"/>
                <w:highlight w:val="none"/>
                <w:lang w:eastAsia="zh-CN"/>
              </w:rPr>
              <w:t>（3）计算评标基准价的有效投标价范围为[最高投标限价总价×95%，最高投标限价总价]，超过此范围的投标总报价不参与评标基准价的计算。用于计算评标基准价的投标总报价均为经算术复核后的投标总报价。</w:t>
            </w:r>
          </w:p>
        </w:tc>
      </w:tr>
      <w:tr>
        <w:tblPrEx>
          <w:tblCellMar>
            <w:top w:w="0" w:type="dxa"/>
            <w:left w:w="0" w:type="dxa"/>
            <w:bottom w:w="0" w:type="dxa"/>
            <w:right w:w="0" w:type="dxa"/>
          </w:tblCellMar>
        </w:tblPrEx>
        <w:tc>
          <w:tcPr>
            <w:tcW w:w="1838" w:type="dxa"/>
            <w:gridSpan w:val="2"/>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2.2.3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投标报价的偏差率计算公式</w:t>
            </w:r>
          </w:p>
        </w:tc>
        <w:tc>
          <w:tcPr>
            <w:tcW w:w="549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20" w:leftChars="100" w:right="206" w:rightChars="94"/>
              <w:jc w:val="both"/>
              <w:rPr>
                <w:rFonts w:ascii="宋体" w:hAnsi="宋体" w:eastAsia="宋体" w:cs="宋体"/>
                <w:strike/>
                <w:color w:val="auto"/>
                <w:sz w:val="21"/>
                <w:szCs w:val="21"/>
                <w:highlight w:val="none"/>
                <w:lang w:eastAsia="zh-CN"/>
              </w:rPr>
            </w:pPr>
            <w:r>
              <w:rPr>
                <w:rFonts w:hint="eastAsia" w:ascii="宋体" w:hAnsi="宋体" w:eastAsia="宋体" w:cs="宋体"/>
                <w:strike/>
                <w:color w:val="auto"/>
                <w:sz w:val="21"/>
                <w:szCs w:val="21"/>
                <w:highlight w:val="none"/>
                <w:lang w:eastAsia="zh-CN"/>
              </w:rPr>
              <w:t>偏差率=100% ×|（投标人有效投标总报价-评标基准价）|/评标基准价（偏差率以四舍五入保留2位小数点，报价偏差率不足1%的，按直线内插法计算投标报价得分）</w:t>
            </w:r>
          </w:p>
        </w:tc>
      </w:tr>
      <w:tr>
        <w:tblPrEx>
          <w:tblCellMar>
            <w:top w:w="0" w:type="dxa"/>
            <w:left w:w="0" w:type="dxa"/>
            <w:bottom w:w="0" w:type="dxa"/>
            <w:right w:w="0" w:type="dxa"/>
          </w:tblCellMar>
        </w:tblPrEx>
        <w:tc>
          <w:tcPr>
            <w:tcW w:w="1838" w:type="dxa"/>
            <w:gridSpan w:val="2"/>
            <w:tcBorders>
              <w:top w:val="single" w:color="000000"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条款号</w:t>
            </w:r>
          </w:p>
        </w:tc>
        <w:tc>
          <w:tcPr>
            <w:tcW w:w="1701" w:type="dxa"/>
            <w:tcBorders>
              <w:top w:val="single" w:color="000000"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评分因素</w:t>
            </w:r>
          </w:p>
        </w:tc>
        <w:tc>
          <w:tcPr>
            <w:tcW w:w="5498" w:type="dxa"/>
            <w:tcBorders>
              <w:top w:val="single" w:color="000000" w:sz="4" w:space="0"/>
              <w:left w:val="single" w:color="000000" w:sz="4" w:space="0"/>
              <w:bottom w:val="single" w:color="auto" w:sz="4" w:space="0"/>
              <w:right w:val="single" w:color="000000" w:sz="4" w:space="0"/>
            </w:tcBorders>
            <w:vAlign w:val="center"/>
          </w:tcPr>
          <w:p>
            <w:pPr>
              <w:pStyle w:val="40"/>
              <w:rPr>
                <w:color w:val="auto"/>
                <w:highlight w:val="none"/>
              </w:rPr>
            </w:pPr>
            <w:r>
              <w:rPr>
                <w:rFonts w:hint="eastAsia"/>
                <w:color w:val="auto"/>
                <w:highlight w:val="none"/>
              </w:rPr>
              <w:t>评分标准</w:t>
            </w:r>
          </w:p>
        </w:tc>
      </w:tr>
      <w:tr>
        <w:tblPrEx>
          <w:tblCellMar>
            <w:top w:w="0" w:type="dxa"/>
            <w:left w:w="0" w:type="dxa"/>
            <w:bottom w:w="0" w:type="dxa"/>
            <w:right w:w="0" w:type="dxa"/>
          </w:tblCellMar>
        </w:tblPrEx>
        <w:trPr>
          <w:trHeight w:val="90" w:hRule="atLeast"/>
        </w:trPr>
        <w:tc>
          <w:tcPr>
            <w:tcW w:w="625" w:type="dxa"/>
            <w:vMerge w:val="restart"/>
            <w:tcBorders>
              <w:top w:val="single" w:color="auto" w:sz="4" w:space="0"/>
              <w:left w:val="single" w:color="auto" w:sz="4" w:space="0"/>
              <w:right w:val="single" w:color="auto" w:sz="4" w:space="0"/>
            </w:tcBorders>
            <w:vAlign w:val="center"/>
          </w:tcPr>
          <w:p>
            <w:pPr>
              <w:pStyle w:val="40"/>
              <w:rPr>
                <w:color w:val="auto"/>
                <w:highlight w:val="none"/>
              </w:rPr>
            </w:pPr>
            <w:r>
              <w:rPr>
                <w:rFonts w:hint="eastAsia"/>
                <w:color w:val="auto"/>
                <w:highlight w:val="none"/>
              </w:rPr>
              <w:t>2.2.4（1）</w:t>
            </w:r>
          </w:p>
        </w:tc>
        <w:tc>
          <w:tcPr>
            <w:tcW w:w="1213" w:type="dxa"/>
            <w:vMerge w:val="restart"/>
            <w:tcBorders>
              <w:top w:val="single" w:color="auto" w:sz="4" w:space="0"/>
              <w:left w:val="single" w:color="auto" w:sz="4" w:space="0"/>
              <w:right w:val="single" w:color="auto" w:sz="4" w:space="0"/>
            </w:tcBorders>
            <w:vAlign w:val="center"/>
          </w:tcPr>
          <w:p>
            <w:pPr>
              <w:pStyle w:val="40"/>
              <w:rPr>
                <w:color w:val="auto"/>
                <w:highlight w:val="none"/>
              </w:rPr>
            </w:pPr>
            <w:r>
              <w:rPr>
                <w:rFonts w:hint="eastAsia"/>
                <w:color w:val="auto"/>
                <w:highlight w:val="none"/>
              </w:rPr>
              <w:t>商务文件（资信业绩评分标准）（100分）</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企业类似业绩</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（20分）</w:t>
            </w:r>
          </w:p>
        </w:tc>
        <w:tc>
          <w:tcPr>
            <w:tcW w:w="5498" w:type="dxa"/>
            <w:tcBorders>
              <w:top w:val="single" w:color="auto" w:sz="4" w:space="0"/>
              <w:left w:val="single" w:color="auto" w:sz="4" w:space="0"/>
              <w:bottom w:val="single" w:color="auto" w:sz="4" w:space="0"/>
              <w:right w:val="single" w:color="auto" w:sz="4" w:space="0"/>
            </w:tcBorders>
            <w:vAlign w:val="center"/>
          </w:tcPr>
          <w:p>
            <w:pPr>
              <w:spacing w:line="360" w:lineRule="auto"/>
              <w:ind w:left="220" w:leftChars="100" w:right="206" w:rightChars="94"/>
              <w:rPr>
                <w:rFonts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1、设计业绩（15分)：</w:t>
            </w:r>
          </w:p>
          <w:p>
            <w:pPr>
              <w:spacing w:line="360" w:lineRule="auto"/>
              <w:ind w:left="220" w:leftChars="100" w:right="206" w:rightChars="94"/>
              <w:rPr>
                <w:rFonts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2020年1月1日至今完成过项目总投资≥27000万元或建筑面积≥39000平方米的房屋建筑工程设计业绩的，每项得2.5分，最高得15分。</w:t>
            </w:r>
          </w:p>
        </w:tc>
      </w:tr>
      <w:tr>
        <w:tblPrEx>
          <w:tblCellMar>
            <w:top w:w="0" w:type="dxa"/>
            <w:left w:w="0" w:type="dxa"/>
            <w:bottom w:w="0" w:type="dxa"/>
            <w:right w:w="0" w:type="dxa"/>
          </w:tblCellMar>
        </w:tblPrEx>
        <w:trPr>
          <w:trHeight w:val="90" w:hRule="atLeast"/>
        </w:trPr>
        <w:tc>
          <w:tcPr>
            <w:tcW w:w="625" w:type="dxa"/>
            <w:vMerge w:val="continue"/>
            <w:tcBorders>
              <w:left w:val="single" w:color="auto" w:sz="4" w:space="0"/>
              <w:right w:val="single" w:color="auto" w:sz="4" w:space="0"/>
            </w:tcBorders>
            <w:vAlign w:val="center"/>
          </w:tcPr>
          <w:p>
            <w:pPr>
              <w:pStyle w:val="40"/>
              <w:rPr>
                <w:color w:val="auto"/>
                <w:highlight w:val="none"/>
              </w:rPr>
            </w:pPr>
          </w:p>
        </w:tc>
        <w:tc>
          <w:tcPr>
            <w:tcW w:w="1213" w:type="dxa"/>
            <w:vMerge w:val="continue"/>
            <w:tcBorders>
              <w:left w:val="single" w:color="auto" w:sz="4" w:space="0"/>
              <w:right w:val="single" w:color="auto" w:sz="4" w:space="0"/>
            </w:tcBorders>
            <w:vAlign w:val="center"/>
          </w:tcPr>
          <w:p>
            <w:pPr>
              <w:pStyle w:val="40"/>
              <w:rPr>
                <w:color w:val="auto"/>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b w:val="0"/>
                <w:color w:val="auto"/>
                <w:kern w:val="0"/>
                <w:sz w:val="21"/>
                <w:szCs w:val="21"/>
                <w:highlight w:val="none"/>
              </w:rPr>
            </w:pPr>
          </w:p>
        </w:tc>
        <w:tc>
          <w:tcPr>
            <w:tcW w:w="5498" w:type="dxa"/>
            <w:tcBorders>
              <w:top w:val="single" w:color="auto" w:sz="4" w:space="0"/>
              <w:left w:val="single" w:color="auto" w:sz="4" w:space="0"/>
              <w:bottom w:val="single" w:color="auto" w:sz="4" w:space="0"/>
              <w:right w:val="single" w:color="auto" w:sz="4" w:space="0"/>
            </w:tcBorders>
            <w:vAlign w:val="center"/>
          </w:tcPr>
          <w:p>
            <w:pPr>
              <w:spacing w:line="360" w:lineRule="auto"/>
              <w:ind w:left="220" w:leftChars="100" w:right="206" w:rightChars="94"/>
              <w:rPr>
                <w:rFonts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2、BIM业绩（5分）：</w:t>
            </w:r>
          </w:p>
          <w:p>
            <w:pPr>
              <w:spacing w:line="360" w:lineRule="auto"/>
              <w:ind w:left="220" w:leftChars="100" w:right="206" w:rightChars="94"/>
              <w:rPr>
                <w:rFonts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2020年1月1日至今完成过单项BIM服务合同（或设计工作中包含BIM服务内容）且建筑面积≥27000平方米的建筑工程BIM业绩的，每项得2.5分，最高得5分。</w:t>
            </w:r>
          </w:p>
        </w:tc>
      </w:tr>
      <w:tr>
        <w:tblPrEx>
          <w:tblCellMar>
            <w:top w:w="0" w:type="dxa"/>
            <w:left w:w="0" w:type="dxa"/>
            <w:bottom w:w="0" w:type="dxa"/>
            <w:right w:w="0" w:type="dxa"/>
          </w:tblCellMar>
        </w:tblPrEx>
        <w:tc>
          <w:tcPr>
            <w:tcW w:w="625" w:type="dxa"/>
            <w:vMerge w:val="continue"/>
            <w:tcBorders>
              <w:left w:val="single" w:color="auto" w:sz="4" w:space="0"/>
              <w:right w:val="single" w:color="auto" w:sz="4" w:space="0"/>
            </w:tcBorders>
            <w:vAlign w:val="center"/>
          </w:tcPr>
          <w:p>
            <w:pPr>
              <w:pStyle w:val="40"/>
              <w:rPr>
                <w:color w:val="auto"/>
                <w:highlight w:val="none"/>
              </w:rPr>
            </w:pPr>
          </w:p>
        </w:tc>
        <w:tc>
          <w:tcPr>
            <w:tcW w:w="1213" w:type="dxa"/>
            <w:vMerge w:val="continue"/>
            <w:tcBorders>
              <w:left w:val="single" w:color="auto" w:sz="4" w:space="0"/>
              <w:right w:val="single" w:color="auto" w:sz="4" w:space="0"/>
            </w:tcBorders>
            <w:vAlign w:val="center"/>
          </w:tcPr>
          <w:p>
            <w:pPr>
              <w:pStyle w:val="40"/>
              <w:rPr>
                <w:color w:val="auto"/>
                <w:highlight w:val="none"/>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企业业绩获奖</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（30分）</w:t>
            </w:r>
          </w:p>
        </w:tc>
        <w:tc>
          <w:tcPr>
            <w:tcW w:w="5498" w:type="dxa"/>
            <w:tcBorders>
              <w:top w:val="single" w:color="auto" w:sz="4" w:space="0"/>
              <w:left w:val="single" w:color="auto" w:sz="4" w:space="0"/>
              <w:bottom w:val="single" w:color="auto" w:sz="4" w:space="0"/>
              <w:right w:val="single" w:color="auto" w:sz="4" w:space="0"/>
            </w:tcBorders>
            <w:vAlign w:val="center"/>
          </w:tcPr>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1、设计获奖（20分）：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2020年1月1日</w:t>
            </w:r>
            <w:r>
              <w:rPr>
                <w:rFonts w:hint="eastAsia" w:ascii="宋体" w:hAnsi="宋体" w:eastAsia="宋体" w:cs="宋体"/>
                <w:color w:val="auto"/>
                <w:sz w:val="21"/>
                <w:szCs w:val="21"/>
                <w:highlight w:val="none"/>
                <w:lang w:eastAsia="zh-CN"/>
              </w:rPr>
              <w:t>至今房屋建筑工程设计业绩获奖情况：</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（1）获得国家级设计奖项，每项得5分，本小项最多得20分；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（2）获得省级设计奖项，每项得2.5分，本小项最多得10分；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（3）获得副省级设计奖项，每项得1.25分，本小项最多得5分。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注：本小项合计最多得20分。</w:t>
            </w:r>
          </w:p>
        </w:tc>
      </w:tr>
      <w:tr>
        <w:tblPrEx>
          <w:tblCellMar>
            <w:top w:w="0" w:type="dxa"/>
            <w:left w:w="0" w:type="dxa"/>
            <w:bottom w:w="0" w:type="dxa"/>
            <w:right w:w="0" w:type="dxa"/>
          </w:tblCellMar>
        </w:tblPrEx>
        <w:tc>
          <w:tcPr>
            <w:tcW w:w="625" w:type="dxa"/>
            <w:vMerge w:val="continue"/>
            <w:tcBorders>
              <w:left w:val="single" w:color="auto" w:sz="4" w:space="0"/>
              <w:right w:val="single" w:color="auto" w:sz="4" w:space="0"/>
            </w:tcBorders>
            <w:vAlign w:val="center"/>
          </w:tcPr>
          <w:p>
            <w:pPr>
              <w:pStyle w:val="40"/>
              <w:rPr>
                <w:color w:val="auto"/>
                <w:highlight w:val="none"/>
              </w:rPr>
            </w:pPr>
          </w:p>
        </w:tc>
        <w:tc>
          <w:tcPr>
            <w:tcW w:w="1213" w:type="dxa"/>
            <w:vMerge w:val="continue"/>
            <w:tcBorders>
              <w:left w:val="single" w:color="auto" w:sz="4" w:space="0"/>
              <w:right w:val="single" w:color="auto" w:sz="4" w:space="0"/>
            </w:tcBorders>
            <w:vAlign w:val="center"/>
          </w:tcPr>
          <w:p>
            <w:pPr>
              <w:pStyle w:val="40"/>
              <w:rPr>
                <w:color w:val="auto"/>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b w:val="0"/>
                <w:color w:val="auto"/>
                <w:kern w:val="0"/>
                <w:sz w:val="21"/>
                <w:szCs w:val="21"/>
                <w:highlight w:val="none"/>
              </w:rPr>
            </w:pPr>
          </w:p>
        </w:tc>
        <w:tc>
          <w:tcPr>
            <w:tcW w:w="5498" w:type="dxa"/>
            <w:tcBorders>
              <w:top w:val="single" w:color="auto" w:sz="4" w:space="0"/>
              <w:left w:val="single" w:color="auto" w:sz="4" w:space="0"/>
              <w:bottom w:val="single" w:color="auto" w:sz="4" w:space="0"/>
              <w:right w:val="single" w:color="auto" w:sz="4" w:space="0"/>
            </w:tcBorders>
            <w:vAlign w:val="center"/>
          </w:tcPr>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2、创新奖（10分）：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（1）BIM获奖（5分）</w:t>
            </w:r>
          </w:p>
          <w:p>
            <w:pPr>
              <w:pStyle w:val="7"/>
              <w:spacing w:line="360" w:lineRule="auto"/>
              <w:ind w:left="220" w:leftChars="100" w:right="206" w:rightChars="94" w:firstLine="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2020年1月1日至今获得的建筑工程类副省级（含以上）BIM应用项目奖项，得2.5分，最多得5分。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（2）科学技术类奖项（5分）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曾获得副省级（或以上）人民政府或建设行政主管部门或行业协会颁发的房建类科学技术类奖项，得5分，没有的得0分；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注：本小项合计最多得10分。</w:t>
            </w:r>
          </w:p>
        </w:tc>
      </w:tr>
      <w:tr>
        <w:tblPrEx>
          <w:tblCellMar>
            <w:top w:w="0" w:type="dxa"/>
            <w:left w:w="0" w:type="dxa"/>
            <w:bottom w:w="0" w:type="dxa"/>
            <w:right w:w="0" w:type="dxa"/>
          </w:tblCellMar>
        </w:tblPrEx>
        <w:tc>
          <w:tcPr>
            <w:tcW w:w="625" w:type="dxa"/>
            <w:vMerge w:val="continue"/>
            <w:tcBorders>
              <w:left w:val="single" w:color="auto" w:sz="4" w:space="0"/>
              <w:right w:val="single" w:color="auto" w:sz="4" w:space="0"/>
            </w:tcBorders>
            <w:vAlign w:val="center"/>
          </w:tcPr>
          <w:p>
            <w:pPr>
              <w:pStyle w:val="40"/>
              <w:rPr>
                <w:color w:val="auto"/>
                <w:highlight w:val="none"/>
              </w:rPr>
            </w:pPr>
          </w:p>
        </w:tc>
        <w:tc>
          <w:tcPr>
            <w:tcW w:w="1213" w:type="dxa"/>
            <w:vMerge w:val="continue"/>
            <w:tcBorders>
              <w:left w:val="single" w:color="auto" w:sz="4" w:space="0"/>
              <w:right w:val="single" w:color="auto" w:sz="4" w:space="0"/>
            </w:tcBorders>
            <w:vAlign w:val="center"/>
          </w:tcPr>
          <w:p>
            <w:pPr>
              <w:pStyle w:val="40"/>
              <w:rPr>
                <w:color w:val="auto"/>
                <w:highlight w:val="none"/>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kern w:val="1"/>
                <w:sz w:val="21"/>
                <w:szCs w:val="21"/>
                <w:highlight w:val="none"/>
                <w:lang w:val="zh-CN" w:eastAsia="zh-CN"/>
              </w:rPr>
            </w:pPr>
            <w:r>
              <w:rPr>
                <w:rFonts w:hint="eastAsia" w:ascii="宋体" w:hAnsi="宋体" w:eastAsia="宋体" w:cs="宋体"/>
                <w:color w:val="auto"/>
                <w:kern w:val="1"/>
                <w:sz w:val="21"/>
                <w:szCs w:val="21"/>
                <w:highlight w:val="none"/>
                <w:lang w:val="zh-CN" w:eastAsia="zh-CN"/>
              </w:rPr>
              <w:t>人员配备及技术水平（</w:t>
            </w:r>
            <w:r>
              <w:rPr>
                <w:rFonts w:hint="eastAsia" w:ascii="宋体" w:hAnsi="宋体" w:eastAsia="宋体" w:cs="宋体"/>
                <w:color w:val="auto"/>
                <w:kern w:val="1"/>
                <w:sz w:val="21"/>
                <w:szCs w:val="21"/>
                <w:highlight w:val="none"/>
                <w:lang w:eastAsia="zh-CN"/>
              </w:rPr>
              <w:t>40</w:t>
            </w:r>
            <w:r>
              <w:rPr>
                <w:rFonts w:hint="eastAsia" w:ascii="宋体" w:hAnsi="宋体" w:eastAsia="宋体" w:cs="宋体"/>
                <w:color w:val="auto"/>
                <w:kern w:val="1"/>
                <w:sz w:val="21"/>
                <w:szCs w:val="21"/>
                <w:highlight w:val="none"/>
                <w:lang w:val="zh-CN" w:eastAsia="zh-CN"/>
              </w:rPr>
              <w:t>分）</w:t>
            </w:r>
          </w:p>
        </w:tc>
        <w:tc>
          <w:tcPr>
            <w:tcW w:w="5498" w:type="dxa"/>
            <w:tcBorders>
              <w:top w:val="single" w:color="auto" w:sz="4" w:space="0"/>
              <w:left w:val="single" w:color="auto" w:sz="4" w:space="0"/>
              <w:bottom w:val="single" w:color="auto" w:sz="4" w:space="0"/>
              <w:right w:val="single" w:color="auto" w:sz="4" w:space="0"/>
            </w:tcBorders>
            <w:vAlign w:val="center"/>
          </w:tcPr>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1、项目负责人设计经历及业务能力（25分）：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（1）拟派的项目负责人具有教授级高级工程师得10分；具有副高级工程师职称的，得5分。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注：本项最多得10分。</w:t>
            </w:r>
          </w:p>
          <w:p>
            <w:pPr>
              <w:pStyle w:val="7"/>
              <w:spacing w:line="360" w:lineRule="auto"/>
              <w:ind w:left="220" w:leftChars="100" w:firstLine="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（2）自2020年1月1日至今担任项目负责人，完成过项目总投资≥27000万元或建筑面积≥39000平方米的房屋建筑工程设计业绩的，得5分，本小项最高得5分。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（3）2020年1月1日至今，参与设计的房建项目获得过国家级设计奖项的，每提供1个，得5分；获得过省级（含副省级）设计奖项的，每提供1个，得2.5分；注：本项最高得10分。</w:t>
            </w:r>
          </w:p>
          <w:p>
            <w:pPr>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（所提供的投入人员必须为投标单位人员，以提供的</w:t>
            </w:r>
            <w:r>
              <w:rPr>
                <w:rFonts w:hint="eastAsia" w:ascii="宋体" w:hAnsi="宋体" w:eastAsia="宋体" w:cs="宋体"/>
                <w:color w:val="auto"/>
                <w:sz w:val="21"/>
                <w:szCs w:val="21"/>
                <w:highlight w:val="none"/>
                <w:lang w:eastAsia="zh-CN"/>
              </w:rPr>
              <w:t>2024年2月</w:t>
            </w:r>
            <w:r>
              <w:rPr>
                <w:rFonts w:hint="eastAsia" w:ascii="宋体" w:hAnsi="宋体" w:eastAsia="宋体" w:cs="宋体"/>
                <w:color w:val="auto"/>
                <w:sz w:val="21"/>
                <w:szCs w:val="21"/>
                <w:highlight w:val="none"/>
                <w:lang w:eastAsia="zh-CN"/>
              </w:rPr>
              <w:t>社保证明为准，若已达到法定退休年龄已办理退休手续且继续聘任的，可以用退休证加返聘证明扫描件代替社保证明）。</w:t>
            </w:r>
          </w:p>
        </w:tc>
      </w:tr>
      <w:tr>
        <w:tblPrEx>
          <w:tblCellMar>
            <w:top w:w="0" w:type="dxa"/>
            <w:left w:w="0" w:type="dxa"/>
            <w:bottom w:w="0" w:type="dxa"/>
            <w:right w:w="0" w:type="dxa"/>
          </w:tblCellMar>
        </w:tblPrEx>
        <w:tc>
          <w:tcPr>
            <w:tcW w:w="625" w:type="dxa"/>
            <w:vMerge w:val="continue"/>
            <w:tcBorders>
              <w:left w:val="single" w:color="auto" w:sz="4" w:space="0"/>
              <w:right w:val="single" w:color="auto" w:sz="4" w:space="0"/>
            </w:tcBorders>
            <w:vAlign w:val="center"/>
          </w:tcPr>
          <w:p>
            <w:pPr>
              <w:pStyle w:val="40"/>
              <w:rPr>
                <w:color w:val="auto"/>
                <w:highlight w:val="none"/>
              </w:rPr>
            </w:pPr>
          </w:p>
        </w:tc>
        <w:tc>
          <w:tcPr>
            <w:tcW w:w="1213" w:type="dxa"/>
            <w:vMerge w:val="continue"/>
            <w:tcBorders>
              <w:left w:val="single" w:color="auto" w:sz="4" w:space="0"/>
              <w:right w:val="single" w:color="auto" w:sz="4" w:space="0"/>
            </w:tcBorders>
            <w:vAlign w:val="center"/>
          </w:tcPr>
          <w:p>
            <w:pPr>
              <w:pStyle w:val="40"/>
              <w:rPr>
                <w:color w:val="auto"/>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eastAsia="宋体" w:cs="宋体"/>
                <w:color w:val="auto"/>
                <w:sz w:val="21"/>
                <w:szCs w:val="21"/>
                <w:highlight w:val="none"/>
                <w:lang w:eastAsia="zh-CN"/>
              </w:rPr>
            </w:pPr>
          </w:p>
        </w:tc>
        <w:tc>
          <w:tcPr>
            <w:tcW w:w="54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2、各专业负责人设计经历及业务能力（15分）：</w:t>
            </w:r>
          </w:p>
          <w:p>
            <w:pPr>
              <w:autoSpaceDE w:val="0"/>
              <w:autoSpaceDN w:val="0"/>
              <w:adjustRightInd w:val="0"/>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（1）各专业负责人（建筑、结构、给排水、电气、暖通、工程造价、室内装修）；每有1名具有教授级高级工程师得5分；</w:t>
            </w:r>
          </w:p>
          <w:p>
            <w:pPr>
              <w:autoSpaceDE w:val="0"/>
              <w:autoSpaceDN w:val="0"/>
              <w:adjustRightInd w:val="0"/>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注：本小项最多得15分。</w:t>
            </w:r>
          </w:p>
          <w:p>
            <w:pPr>
              <w:autoSpaceDE w:val="0"/>
              <w:autoSpaceDN w:val="0"/>
              <w:adjustRightInd w:val="0"/>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（所提供的投入人员必须为投标单位人员，以提供的</w:t>
            </w:r>
            <w:r>
              <w:rPr>
                <w:rFonts w:hint="eastAsia" w:ascii="宋体" w:hAnsi="宋体" w:eastAsia="宋体" w:cs="宋体"/>
                <w:color w:val="auto"/>
                <w:sz w:val="21"/>
                <w:szCs w:val="21"/>
                <w:highlight w:val="none"/>
                <w:lang w:eastAsia="zh-CN"/>
              </w:rPr>
              <w:t>2024年2月</w:t>
            </w:r>
            <w:r>
              <w:rPr>
                <w:rFonts w:hint="eastAsia" w:ascii="宋体" w:hAnsi="宋体" w:eastAsia="宋体" w:cs="宋体"/>
                <w:color w:val="auto"/>
                <w:sz w:val="21"/>
                <w:szCs w:val="21"/>
                <w:highlight w:val="none"/>
                <w:lang w:eastAsia="zh-CN"/>
              </w:rPr>
              <w:t>社保证明为准，若已达到法定退休年龄已办理退休手续且继续聘任的，可以用退休证加返聘证明扫描件代替社保证明）。</w:t>
            </w:r>
          </w:p>
        </w:tc>
      </w:tr>
      <w:tr>
        <w:tblPrEx>
          <w:tblCellMar>
            <w:top w:w="0" w:type="dxa"/>
            <w:left w:w="0" w:type="dxa"/>
            <w:bottom w:w="0" w:type="dxa"/>
            <w:right w:w="0" w:type="dxa"/>
          </w:tblCellMar>
        </w:tblPrEx>
        <w:tc>
          <w:tcPr>
            <w:tcW w:w="625" w:type="dxa"/>
            <w:vMerge w:val="continue"/>
            <w:tcBorders>
              <w:left w:val="single" w:color="auto" w:sz="4" w:space="0"/>
              <w:bottom w:val="single" w:color="auto" w:sz="4" w:space="0"/>
              <w:right w:val="single" w:color="auto" w:sz="4" w:space="0"/>
            </w:tcBorders>
            <w:vAlign w:val="center"/>
          </w:tcPr>
          <w:p>
            <w:pPr>
              <w:pStyle w:val="40"/>
              <w:rPr>
                <w:color w:val="auto"/>
                <w:highlight w:val="none"/>
              </w:rPr>
            </w:pPr>
          </w:p>
        </w:tc>
        <w:tc>
          <w:tcPr>
            <w:tcW w:w="1213" w:type="dxa"/>
            <w:vMerge w:val="continue"/>
            <w:tcBorders>
              <w:left w:val="single" w:color="auto" w:sz="4" w:space="0"/>
              <w:bottom w:val="single" w:color="auto" w:sz="4" w:space="0"/>
              <w:right w:val="single" w:color="auto" w:sz="4" w:space="0"/>
            </w:tcBorders>
            <w:vAlign w:val="center"/>
          </w:tcPr>
          <w:p>
            <w:pPr>
              <w:pStyle w:val="40"/>
              <w:rPr>
                <w:color w:val="auto"/>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信誉</w:t>
            </w:r>
          </w:p>
          <w:p>
            <w:pPr>
              <w:autoSpaceDE w:val="0"/>
              <w:autoSpaceDN w:val="0"/>
              <w:adjustRightInd w:val="0"/>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（10分）</w:t>
            </w:r>
          </w:p>
        </w:tc>
        <w:tc>
          <w:tcPr>
            <w:tcW w:w="54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同时具备ISO系列质量管理体系、环境管理体系和职业健康安全管理体系认证证书的得5分；仅具备其中两个体系认证证书的得3分；仅具备其中一个体系认证证书的得1分；不具备前述体系认证证书的不得分。管理体系认证证书须在有效期内。</w:t>
            </w:r>
          </w:p>
          <w:p>
            <w:pPr>
              <w:autoSpaceDE w:val="0"/>
              <w:autoSpaceDN w:val="0"/>
              <w:adjustRightInd w:val="0"/>
              <w:spacing w:line="360" w:lineRule="auto"/>
              <w:ind w:left="220" w:leftChars="100" w:right="206" w:rightChars="94"/>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截止2022（含2022）年度，连续取得“纳税信用A级纳税人”3年或以上的（必须包括2022年），得5分；连续取得“纳税信用A级纳税人”2年的（必须包括2022年），得3分；仅2022年取得“纳税信用A级纳税人”的，得1分；其它情况不得分。</w:t>
            </w:r>
          </w:p>
        </w:tc>
      </w:tr>
      <w:tr>
        <w:tblPrEx>
          <w:tblCellMar>
            <w:top w:w="0" w:type="dxa"/>
            <w:left w:w="0" w:type="dxa"/>
            <w:bottom w:w="0" w:type="dxa"/>
            <w:right w:w="0" w:type="dxa"/>
          </w:tblCellMar>
        </w:tblPrEx>
        <w:trPr>
          <w:trHeight w:val="1037" w:hRule="atLeast"/>
        </w:trPr>
        <w:tc>
          <w:tcPr>
            <w:tcW w:w="625" w:type="dxa"/>
            <w:vMerge w:val="restart"/>
            <w:tcBorders>
              <w:top w:val="single" w:color="auto" w:sz="4" w:space="0"/>
              <w:left w:val="single" w:color="000000" w:sz="4" w:space="0"/>
              <w:bottom w:val="nil"/>
              <w:right w:val="single" w:color="000000" w:sz="4" w:space="0"/>
            </w:tcBorders>
            <w:vAlign w:val="center"/>
          </w:tcPr>
          <w:p>
            <w:pPr>
              <w:pStyle w:val="40"/>
              <w:rPr>
                <w:color w:val="auto"/>
                <w:highlight w:val="none"/>
              </w:rPr>
            </w:pPr>
            <w:r>
              <w:rPr>
                <w:rFonts w:hint="eastAsia"/>
                <w:color w:val="auto"/>
                <w:highlight w:val="none"/>
              </w:rPr>
              <w:t>2.2.4（2）</w:t>
            </w:r>
          </w:p>
        </w:tc>
        <w:tc>
          <w:tcPr>
            <w:tcW w:w="1213" w:type="dxa"/>
            <w:vMerge w:val="restart"/>
            <w:tcBorders>
              <w:top w:val="single" w:color="auto" w:sz="4" w:space="0"/>
              <w:left w:val="single" w:color="000000" w:sz="4" w:space="0"/>
              <w:bottom w:val="nil"/>
              <w:right w:val="single" w:color="000000" w:sz="4" w:space="0"/>
            </w:tcBorders>
            <w:vAlign w:val="center"/>
          </w:tcPr>
          <w:p>
            <w:pPr>
              <w:pStyle w:val="40"/>
              <w:rPr>
                <w:color w:val="auto"/>
                <w:highlight w:val="none"/>
              </w:rPr>
            </w:pPr>
            <w:r>
              <w:rPr>
                <w:rFonts w:hint="eastAsia"/>
                <w:color w:val="auto"/>
                <w:highlight w:val="none"/>
              </w:rPr>
              <w:t>技术文件（设计方案评分标准）（100分）</w:t>
            </w:r>
          </w:p>
        </w:tc>
        <w:tc>
          <w:tcPr>
            <w:tcW w:w="1701" w:type="dxa"/>
            <w:tcBorders>
              <w:top w:val="single" w:color="auto" w:sz="4" w:space="0"/>
              <w:left w:val="single" w:color="000000" w:sz="4" w:space="0"/>
              <w:bottom w:val="single" w:color="auto"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设计概念</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（10）</w:t>
            </w:r>
          </w:p>
        </w:tc>
        <w:tc>
          <w:tcPr>
            <w:tcW w:w="5498" w:type="dxa"/>
            <w:tcBorders>
              <w:top w:val="single" w:color="auto" w:sz="4" w:space="0"/>
              <w:left w:val="single" w:color="000000" w:sz="4" w:space="0"/>
              <w:bottom w:val="single" w:color="auto"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结合项目定位，符合可行性研究报告要求，提出先进独特的设计概念，方案符合招标人要求，对项目建设规模、用地现状、周边规划等问题把握准确。</w:t>
            </w:r>
          </w:p>
          <w:p>
            <w:pPr>
              <w:pStyle w:val="7"/>
              <w:spacing w:line="360" w:lineRule="auto"/>
              <w:ind w:left="220" w:leftChars="100" w:right="206" w:rightChars="94" w:firstLineChars="200"/>
              <w:rPr>
                <w:rFonts w:ascii="宋体" w:hAnsi="宋体" w:cs="宋体"/>
                <w:color w:val="auto"/>
                <w:sz w:val="21"/>
                <w:szCs w:val="21"/>
                <w:highlight w:val="none"/>
              </w:rPr>
            </w:pPr>
            <w:r>
              <w:rPr>
                <w:rFonts w:hint="eastAsia" w:ascii="宋体" w:hAnsi="宋体" w:cs="宋体"/>
                <w:b w:val="0"/>
                <w:color w:val="auto"/>
                <w:kern w:val="0"/>
                <w:sz w:val="21"/>
                <w:szCs w:val="21"/>
                <w:highlight w:val="none"/>
              </w:rPr>
              <w:t>建筑体现出绿色建筑的风格特点。结合本地气候特点，考虑布局和空间组织，达到舒适度和节能兼顾。考虑自然光、自然风利用。考虑节能材料和可再生能源技术，降低碳排放。</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pStyle w:val="7"/>
              <w:spacing w:line="360" w:lineRule="auto"/>
              <w:ind w:left="220" w:leftChars="100" w:right="206" w:rightChars="94" w:firstLineChars="200"/>
              <w:rPr>
                <w:rFonts w:ascii="宋体" w:hAnsi="宋体" w:cs="宋体"/>
                <w:color w:val="auto"/>
                <w:sz w:val="21"/>
                <w:szCs w:val="21"/>
                <w:highlight w:val="none"/>
              </w:rPr>
            </w:pPr>
            <w:r>
              <w:rPr>
                <w:rFonts w:hint="eastAsia" w:ascii="宋体" w:hAnsi="宋体" w:cs="宋体"/>
                <w:b w:val="0"/>
                <w:color w:val="auto"/>
                <w:kern w:val="0"/>
                <w:sz w:val="21"/>
                <w:szCs w:val="21"/>
                <w:highlight w:val="none"/>
              </w:rPr>
              <w:t>一般［7，5.5）分    较差［5.5，4］分</w:t>
            </w:r>
          </w:p>
        </w:tc>
      </w:tr>
      <w:tr>
        <w:tblPrEx>
          <w:tblCellMar>
            <w:top w:w="0" w:type="dxa"/>
            <w:left w:w="0" w:type="dxa"/>
            <w:bottom w:w="0" w:type="dxa"/>
            <w:right w:w="0" w:type="dxa"/>
          </w:tblCellMar>
        </w:tblPrEx>
        <w:trPr>
          <w:trHeight w:val="1037"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auto"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建筑设计</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（10分）</w:t>
            </w:r>
          </w:p>
        </w:tc>
        <w:tc>
          <w:tcPr>
            <w:tcW w:w="5498" w:type="dxa"/>
            <w:tcBorders>
              <w:top w:val="single" w:color="auto"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strike/>
                <w:color w:val="auto"/>
                <w:kern w:val="0"/>
                <w:sz w:val="21"/>
                <w:szCs w:val="21"/>
                <w:highlight w:val="none"/>
              </w:rPr>
            </w:pPr>
            <w:r>
              <w:rPr>
                <w:rFonts w:hint="eastAsia" w:ascii="宋体" w:hAnsi="宋体" w:cs="宋体"/>
                <w:b w:val="0"/>
                <w:color w:val="auto"/>
                <w:kern w:val="0"/>
                <w:sz w:val="21"/>
                <w:szCs w:val="21"/>
                <w:highlight w:val="none"/>
              </w:rPr>
              <w:t>总体布局符合可行性研究报告要求，科学、合理、技术、先进、智能、可持续发展，遵循土方平衡、生态保护的设计策略。</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一般［7，5.5）分    较差［5.5，4］分</w:t>
            </w:r>
          </w:p>
        </w:tc>
      </w:tr>
      <w:tr>
        <w:tblPrEx>
          <w:tblCellMar>
            <w:top w:w="0" w:type="dxa"/>
            <w:left w:w="0" w:type="dxa"/>
            <w:bottom w:w="0" w:type="dxa"/>
            <w:right w:w="0" w:type="dxa"/>
          </w:tblCellMar>
        </w:tblPrEx>
        <w:trPr>
          <w:trHeight w:val="1037"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造型及立面、建筑概念图</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（10分）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color w:val="auto"/>
                <w:sz w:val="21"/>
                <w:szCs w:val="21"/>
                <w:highlight w:val="none"/>
              </w:rPr>
            </w:pPr>
            <w:r>
              <w:rPr>
                <w:rFonts w:hint="eastAsia" w:ascii="宋体" w:hAnsi="宋体" w:cs="宋体"/>
                <w:b w:val="0"/>
                <w:color w:val="auto"/>
                <w:kern w:val="0"/>
                <w:sz w:val="21"/>
                <w:szCs w:val="21"/>
                <w:highlight w:val="none"/>
              </w:rPr>
              <w:t>建筑形式逻辑清晰、虚实对比处理恰当，建筑造型设计风格自然，造型及空间注重有机灵活组合，架构良好的环境空间。建筑造型既要展现建筑的特点，又要达到庄严简朴的效果，与周边环境协调。</w:t>
            </w:r>
          </w:p>
          <w:p>
            <w:pPr>
              <w:pStyle w:val="45"/>
              <w:spacing w:line="360" w:lineRule="auto"/>
              <w:ind w:left="220" w:leftChars="100" w:right="206" w:rightChars="94" w:firstLine="420" w:firstLineChars="200"/>
              <w:rPr>
                <w:color w:val="auto"/>
                <w:sz w:val="21"/>
                <w:szCs w:val="21"/>
                <w:highlight w:val="none"/>
              </w:rPr>
            </w:pPr>
            <w:r>
              <w:rPr>
                <w:rFonts w:hint="eastAsia"/>
                <w:color w:val="auto"/>
                <w:sz w:val="21"/>
                <w:szCs w:val="21"/>
                <w:highlight w:val="none"/>
                <w:lang w:val="en-US" w:eastAsia="zh-CN" w:bidi="ar-SA"/>
              </w:rPr>
              <w:t>概念图体现建筑创意空间处理合理，立面造型比例尺度和谐，周围环境协调，能够体现建筑风格。概念图设计包含规划分析图、鸟瞰图、透视图、平立剖面图、交通分析图等关键设计效果；效果图表达准确、整体性强，必要细节展示清晰。</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rPr>
          <w:trHeight w:val="699"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规划与交通</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（10分）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符合规划设计条件，符合可行性研究报告要求及设计规范，交通流线非常清晰，交通动线畅通合理，充分遵循人车分流、闹静分离的原则，充分保证道路交通组织的合理性，交通组织沿外围形成畅通车行环道，高效快捷联系各个功能区，地下车库合理规划行车路线和停车区域，车位数量应满足规划条件需求，结合项目三个地块用地性质、功能布局和周边现状，实现24小时人、车、物的交通流动保障。</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rPr>
          <w:trHeight w:val="1037"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功能组织及交互空间（10分）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功能组织完备，符合可行性研究报告要求，根据项目特点设计，要求工作、实践、生活、管理对外交流等功能完善。空间布局合理，动静分区、各种流线组织清晰合理，充分考虑主楼与附属楼之间的连接通道（大型设备仪器运转需求等）设计。立项有明确表述的按立项描述设计。</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rPr>
          <w:trHeight w:val="1037"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设计重点、难点分析及解决措施</w:t>
            </w:r>
          </w:p>
          <w:p>
            <w:pPr>
              <w:pStyle w:val="7"/>
              <w:ind w:firstLine="0"/>
              <w:jc w:val="center"/>
              <w:rPr>
                <w:rFonts w:ascii="宋体" w:hAnsi="宋体" w:cs="宋体"/>
                <w:b w:val="0"/>
                <w:strike/>
                <w:color w:val="auto"/>
                <w:kern w:val="0"/>
                <w:sz w:val="21"/>
                <w:szCs w:val="21"/>
                <w:highlight w:val="none"/>
              </w:rPr>
            </w:pPr>
            <w:r>
              <w:rPr>
                <w:rFonts w:hint="eastAsia" w:ascii="宋体" w:hAnsi="宋体" w:cs="宋体"/>
                <w:b w:val="0"/>
                <w:color w:val="auto"/>
                <w:kern w:val="0"/>
                <w:sz w:val="21"/>
                <w:szCs w:val="21"/>
                <w:highlight w:val="none"/>
              </w:rPr>
              <w:t>（10分）</w:t>
            </w:r>
          </w:p>
        </w:tc>
        <w:tc>
          <w:tcPr>
            <w:tcW w:w="5498" w:type="dxa"/>
            <w:tcBorders>
              <w:top w:val="single" w:color="000000" w:sz="4" w:space="0"/>
              <w:left w:val="single" w:color="000000" w:sz="4" w:space="0"/>
              <w:bottom w:val="single" w:color="000000" w:sz="4" w:space="0"/>
              <w:right w:val="single" w:color="000000" w:sz="4" w:space="0"/>
            </w:tcBorders>
          </w:tcPr>
          <w:p>
            <w:pPr>
              <w:spacing w:line="360" w:lineRule="auto"/>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w:t>
            </w:r>
            <w:r>
              <w:rPr>
                <w:rFonts w:hint="eastAsia" w:ascii="宋体" w:hAnsi="宋体" w:cs="宋体"/>
                <w:color w:val="auto"/>
                <w:sz w:val="21"/>
                <w:szCs w:val="21"/>
                <w:highlight w:val="none"/>
                <w:lang w:eastAsia="zh-CN"/>
              </w:rPr>
              <w:t>可行性研究报告要求，</w:t>
            </w:r>
            <w:r>
              <w:rPr>
                <w:rFonts w:hint="eastAsia" w:ascii="宋体" w:hAnsi="宋体" w:eastAsia="宋体" w:cs="宋体"/>
                <w:color w:val="auto"/>
                <w:sz w:val="21"/>
                <w:szCs w:val="21"/>
                <w:highlight w:val="none"/>
                <w:lang w:eastAsia="zh-CN"/>
              </w:rPr>
              <w:t>充分分析本项目设计的重点、难点，针对本项目设计的重点、难点，提出针对性的、切实可行的解决措施。</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spacing w:line="360" w:lineRule="auto"/>
              <w:ind w:firstLine="630" w:firstLineChars="300"/>
              <w:rPr>
                <w:rFonts w:ascii="宋体" w:hAnsi="宋体" w:eastAsia="宋体" w:cs="宋体"/>
                <w:strike/>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rPr>
          <w:trHeight w:val="1037"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景观设计（10分）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景观设计与整个建筑风格有机结合，符合可行性研究报告要求，景观绿化设计充分理解整体规划，布置准确合理，设点充分满足使用需求，配套完整，重视景观建设与周边环境的融合，对室外绿化环境，增加树木种植和植被面积，增加屋顶绿化设施，同时适当配置景观休闲设施，使之艺术化，特色化，使之即能发挥其环境效益，又能产生良好的景观效果及满足工作活动需求。</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rPr>
          <w:trHeight w:val="1037"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投资控制措施</w:t>
            </w:r>
          </w:p>
          <w:p>
            <w:pPr>
              <w:pStyle w:val="7"/>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w:t>
            </w:r>
            <w:r>
              <w:rPr>
                <w:rFonts w:ascii="宋体" w:hAnsi="宋体" w:cs="宋体"/>
                <w:b w:val="0"/>
                <w:color w:val="auto"/>
                <w:kern w:val="0"/>
                <w:sz w:val="21"/>
                <w:szCs w:val="21"/>
                <w:highlight w:val="none"/>
              </w:rPr>
              <w:t>10</w:t>
            </w:r>
            <w:r>
              <w:rPr>
                <w:rFonts w:hint="eastAsia" w:ascii="宋体" w:hAnsi="宋体" w:cs="宋体"/>
                <w:b w:val="0"/>
                <w:color w:val="auto"/>
                <w:kern w:val="0"/>
                <w:sz w:val="21"/>
                <w:szCs w:val="21"/>
                <w:highlight w:val="none"/>
              </w:rPr>
              <w:t>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根据可行性研究报告要求，投资控制措施体现遵循功能适用、标准合理、经济合理的原则开展设计，在投资限额目标的基础上结合项目设计内容进一步分解投资，明确投资控制主要指标，在编制设计概算时逐步细化落实。措施合理。</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rPr>
          <w:trHeight w:val="416"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auto"/>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装修设计</w:t>
            </w:r>
          </w:p>
          <w:p>
            <w:pPr>
              <w:pStyle w:val="7"/>
              <w:spacing w:line="360" w:lineRule="auto"/>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w:t>
            </w:r>
            <w:r>
              <w:rPr>
                <w:rFonts w:ascii="宋体" w:hAnsi="宋体" w:cs="宋体"/>
                <w:b w:val="0"/>
                <w:color w:val="auto"/>
                <w:kern w:val="0"/>
                <w:sz w:val="21"/>
                <w:szCs w:val="21"/>
                <w:highlight w:val="none"/>
              </w:rPr>
              <w:t>10</w:t>
            </w:r>
            <w:r>
              <w:rPr>
                <w:rFonts w:hint="eastAsia" w:ascii="宋体" w:hAnsi="宋体" w:cs="宋体"/>
                <w:b w:val="0"/>
                <w:color w:val="auto"/>
                <w:kern w:val="0"/>
                <w:sz w:val="21"/>
                <w:szCs w:val="21"/>
                <w:highlight w:val="none"/>
              </w:rPr>
              <w:t>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装修设计符合工程可行性研究报告的相关要求，造型设计遵循简约大方、美观独特的空间效果和建筑形象，注重空间的阳光感、流动感、体量感，清晰、细腻、精致、简洁，视觉效果良好。在细部处理上充分体现材质的轻重、粗细、虚实的对比。</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一般［7，5.5）分    较差［5.5，4］分</w:t>
            </w:r>
          </w:p>
        </w:tc>
      </w:tr>
      <w:tr>
        <w:tblPrEx>
          <w:tblCellMar>
            <w:top w:w="0" w:type="dxa"/>
            <w:left w:w="0" w:type="dxa"/>
            <w:bottom w:w="0" w:type="dxa"/>
            <w:right w:w="0" w:type="dxa"/>
          </w:tblCellMar>
        </w:tblPrEx>
        <w:trPr>
          <w:trHeight w:val="416" w:hRule="atLeast"/>
        </w:trPr>
        <w:tc>
          <w:tcPr>
            <w:tcW w:w="625"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213" w:type="dxa"/>
            <w:vMerge w:val="continue"/>
            <w:tcBorders>
              <w:top w:val="nil"/>
              <w:left w:val="single" w:color="000000" w:sz="4" w:space="0"/>
              <w:bottom w:val="nil"/>
              <w:right w:val="single" w:color="000000" w:sz="4" w:space="0"/>
            </w:tcBorders>
            <w:vAlign w:val="center"/>
          </w:tcPr>
          <w:p>
            <w:pPr>
              <w:pStyle w:val="40"/>
              <w:rPr>
                <w:color w:val="auto"/>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auto"/>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绿色科技</w:t>
            </w:r>
          </w:p>
          <w:p>
            <w:pPr>
              <w:pStyle w:val="7"/>
              <w:spacing w:line="360" w:lineRule="auto"/>
              <w:ind w:firstLine="0"/>
              <w:jc w:val="center"/>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（10分）</w:t>
            </w:r>
          </w:p>
        </w:tc>
        <w:tc>
          <w:tcPr>
            <w:tcW w:w="5498" w:type="dxa"/>
            <w:tcBorders>
              <w:top w:val="single" w:color="000000" w:sz="4" w:space="0"/>
              <w:left w:val="single" w:color="000000" w:sz="4" w:space="0"/>
              <w:bottom w:val="single" w:color="000000" w:sz="4" w:space="0"/>
              <w:right w:val="single" w:color="000000" w:sz="4" w:space="0"/>
            </w:tcBorders>
          </w:tcPr>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建筑设计遵循绿色的要求，符合可行性研究报告要求，以可持续发展为主导思想，注重建筑节能设计，充分考虑自然通风与采光，尽量减少建筑物的能耗，充分结合建筑绿色科技的四项新技术（即新技术、新材料、新设备、新工艺），以及融合建筑绿色科技的信息化、数据化、智能化；有效降低后续运营维护成本。使内外环境有机结合。</w:t>
            </w:r>
          </w:p>
          <w:p>
            <w:pPr>
              <w:pStyle w:val="7"/>
              <w:spacing w:line="360" w:lineRule="auto"/>
              <w:ind w:left="220" w:leftChars="100" w:right="206" w:rightChars="94" w:firstLineChars="200"/>
              <w:rPr>
                <w:rFonts w:ascii="宋体" w:hAnsi="宋体" w:cs="宋体"/>
                <w:b w:val="0"/>
                <w:color w:val="auto"/>
                <w:kern w:val="0"/>
                <w:sz w:val="21"/>
                <w:szCs w:val="21"/>
                <w:highlight w:val="none"/>
              </w:rPr>
            </w:pPr>
            <w:r>
              <w:rPr>
                <w:rFonts w:hint="eastAsia" w:ascii="宋体" w:hAnsi="宋体" w:cs="宋体"/>
                <w:b w:val="0"/>
                <w:color w:val="auto"/>
                <w:kern w:val="0"/>
                <w:sz w:val="21"/>
                <w:szCs w:val="21"/>
                <w:highlight w:val="none"/>
              </w:rPr>
              <w:t>好［10，8.5）分    较好［8.5，7）分</w:t>
            </w:r>
          </w:p>
          <w:p>
            <w:pPr>
              <w:spacing w:line="360" w:lineRule="auto"/>
              <w:ind w:left="220" w:leftChars="100" w:right="206" w:rightChars="94" w:firstLine="420" w:firstLineChars="200"/>
              <w:rPr>
                <w:rFonts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一般［7，5.5）分    较差［5.5，4］分</w:t>
            </w:r>
          </w:p>
        </w:tc>
      </w:tr>
      <w:tr>
        <w:tblPrEx>
          <w:tblCellMar>
            <w:top w:w="0" w:type="dxa"/>
            <w:left w:w="0" w:type="dxa"/>
            <w:bottom w:w="0" w:type="dxa"/>
            <w:right w:w="0" w:type="dxa"/>
          </w:tblCellMar>
        </w:tblPrEx>
        <w:tc>
          <w:tcPr>
            <w:tcW w:w="625" w:type="dxa"/>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3.2</w:t>
            </w:r>
          </w:p>
        </w:tc>
        <w:tc>
          <w:tcPr>
            <w:tcW w:w="2914" w:type="dxa"/>
            <w:gridSpan w:val="2"/>
            <w:tcBorders>
              <w:top w:val="single" w:color="000000" w:sz="4" w:space="0"/>
              <w:left w:val="single" w:color="000000" w:sz="4" w:space="0"/>
              <w:bottom w:val="single" w:color="000000" w:sz="4" w:space="0"/>
              <w:right w:val="single" w:color="000000" w:sz="4" w:space="0"/>
            </w:tcBorders>
            <w:vAlign w:val="center"/>
          </w:tcPr>
          <w:p>
            <w:pPr>
              <w:pStyle w:val="40"/>
              <w:rPr>
                <w:color w:val="auto"/>
                <w:highlight w:val="none"/>
              </w:rPr>
            </w:pPr>
            <w:r>
              <w:rPr>
                <w:rFonts w:hint="eastAsia"/>
                <w:color w:val="auto"/>
                <w:highlight w:val="none"/>
              </w:rPr>
              <w:t>详细评审</w:t>
            </w:r>
          </w:p>
        </w:tc>
        <w:tc>
          <w:tcPr>
            <w:tcW w:w="5498" w:type="dxa"/>
            <w:tcBorders>
              <w:top w:val="single" w:color="000000" w:sz="4" w:space="0"/>
              <w:left w:val="single" w:color="000000" w:sz="4" w:space="0"/>
              <w:bottom w:val="single" w:color="000000" w:sz="4" w:space="0"/>
              <w:right w:val="single" w:color="000000" w:sz="4" w:space="0"/>
            </w:tcBorders>
            <w:vAlign w:val="center"/>
          </w:tcPr>
          <w:p>
            <w:pPr>
              <w:pStyle w:val="40"/>
              <w:ind w:left="220" w:leftChars="100" w:firstLine="0" w:firstLineChars="0"/>
              <w:jc w:val="left"/>
              <w:rPr>
                <w:color w:val="auto"/>
                <w:highlight w:val="none"/>
              </w:rPr>
            </w:pPr>
            <w:r>
              <w:rPr>
                <w:rFonts w:hint="eastAsia"/>
                <w:color w:val="auto"/>
                <w:highlight w:val="none"/>
              </w:rPr>
              <w:t>3.2.1评标委员会按本章第 2.2款规定的量化因素和分值进行打分，并计算出综合评估得分。</w:t>
            </w:r>
          </w:p>
          <w:p>
            <w:pPr>
              <w:pStyle w:val="40"/>
              <w:ind w:left="220" w:leftChars="100" w:firstLine="0" w:firstLineChars="0"/>
              <w:jc w:val="left"/>
              <w:rPr>
                <w:color w:val="auto"/>
                <w:highlight w:val="none"/>
              </w:rPr>
            </w:pPr>
            <w:r>
              <w:rPr>
                <w:rFonts w:hint="eastAsia"/>
                <w:color w:val="auto"/>
                <w:highlight w:val="none"/>
              </w:rPr>
              <w:t>（1）按本章第2.2.4（1）目规定的评审因素和分值对通过形式、资格、响应性评审（商务文件）的投标人的投标文件进行商务文件（资信业绩）评分计算出得分；</w:t>
            </w:r>
          </w:p>
          <w:p>
            <w:pPr>
              <w:pStyle w:val="40"/>
              <w:ind w:left="220" w:leftChars="100" w:firstLine="0" w:firstLineChars="0"/>
              <w:jc w:val="left"/>
              <w:rPr>
                <w:color w:val="auto"/>
                <w:highlight w:val="none"/>
              </w:rPr>
            </w:pPr>
            <w:r>
              <w:rPr>
                <w:rFonts w:hint="eastAsia"/>
                <w:color w:val="auto"/>
                <w:highlight w:val="none"/>
              </w:rPr>
              <w:t>（2）按本章第2.2.4（2）目规定的评审因素和分值对通过响应性评审（技术文件）的投标人的投标文件进行技术文件（设计方案)评分计算出得分；</w:t>
            </w:r>
          </w:p>
          <w:p>
            <w:pPr>
              <w:pStyle w:val="40"/>
              <w:ind w:left="220" w:leftChars="100" w:firstLine="0" w:firstLineChars="0"/>
              <w:jc w:val="left"/>
              <w:rPr>
                <w:color w:val="auto"/>
                <w:highlight w:val="none"/>
              </w:rPr>
            </w:pPr>
            <w:r>
              <w:rPr>
                <w:rFonts w:hint="eastAsia"/>
                <w:color w:val="auto"/>
                <w:highlight w:val="none"/>
              </w:rPr>
              <w:t>（3）评标委员会揭晓投标人身份。</w:t>
            </w:r>
          </w:p>
          <w:p>
            <w:pPr>
              <w:pStyle w:val="40"/>
              <w:ind w:left="220" w:leftChars="100" w:firstLine="0" w:firstLineChars="0"/>
              <w:jc w:val="left"/>
              <w:rPr>
                <w:color w:val="auto"/>
                <w:highlight w:val="none"/>
              </w:rPr>
            </w:pPr>
            <w:r>
              <w:rPr>
                <w:rFonts w:hint="eastAsia"/>
                <w:color w:val="auto"/>
                <w:highlight w:val="none"/>
              </w:rPr>
              <w:t>（4）评标委员会按只有通过初步评审的投标人的投标文件方可进入下一阶段评审的评审原则，在揭晓投标人身份后，根据初步评审结果，否决未通过初步评审的投标人的投标，取消其得分，且不再进入得分汇总阶段。</w:t>
            </w:r>
          </w:p>
          <w:p>
            <w:pPr>
              <w:pStyle w:val="40"/>
              <w:ind w:left="220" w:leftChars="100" w:firstLine="0" w:firstLineChars="0"/>
              <w:jc w:val="left"/>
              <w:rPr>
                <w:color w:val="auto"/>
                <w:highlight w:val="none"/>
              </w:rPr>
            </w:pPr>
            <w:r>
              <w:rPr>
                <w:rFonts w:hint="eastAsia"/>
                <w:color w:val="auto"/>
                <w:highlight w:val="none"/>
              </w:rPr>
              <w:t>3.2.2评分分值计算保留小数点后两位，小数点后第三位“四舍五入”。</w:t>
            </w:r>
          </w:p>
        </w:tc>
      </w:tr>
    </w:tbl>
    <w:p>
      <w:pPr>
        <w:spacing w:before="240" w:line="400" w:lineRule="exact"/>
        <w:rPr>
          <w:rFonts w:ascii="宋体" w:hAnsi="宋体" w:eastAsia="宋体"/>
          <w:b/>
          <w:bCs/>
          <w:color w:val="auto"/>
          <w:sz w:val="21"/>
          <w:szCs w:val="21"/>
          <w:highlight w:val="none"/>
          <w:lang w:eastAsia="zh-CN"/>
        </w:rPr>
      </w:pPr>
      <w:bookmarkStart w:id="47" w:name="_Hlk106266746"/>
      <w:bookmarkStart w:id="48" w:name="_Toc25137994"/>
      <w:bookmarkStart w:id="49" w:name="_Toc143424750"/>
      <w:bookmarkStart w:id="50" w:name="_Toc142858887"/>
      <w:r>
        <w:rPr>
          <w:rFonts w:hint="eastAsia" w:ascii="宋体" w:hAnsi="宋体" w:eastAsia="宋体"/>
          <w:b/>
          <w:bCs/>
          <w:color w:val="auto"/>
          <w:sz w:val="21"/>
          <w:szCs w:val="21"/>
          <w:highlight w:val="none"/>
          <w:lang w:eastAsia="zh-CN"/>
        </w:rPr>
        <w:t>注：1、设计业绩要求：</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1</w:t>
      </w:r>
      <w:r>
        <w:rPr>
          <w:rFonts w:hint="eastAsia" w:ascii="宋体" w:hAnsi="宋体" w:eastAsia="宋体"/>
          <w:color w:val="auto"/>
          <w:sz w:val="21"/>
          <w:szCs w:val="21"/>
          <w:highlight w:val="none"/>
          <w:lang w:eastAsia="zh-CN"/>
        </w:rPr>
        <w:t>）设计业绩须同时提供中标通知书（或免招标证明文件）、合同关键页、初步设计批复或施工图审查合格证明文件等证明文件，</w:t>
      </w:r>
      <w:r>
        <w:rPr>
          <w:rFonts w:hint="eastAsia" w:ascii="宋体" w:hAnsi="宋体" w:eastAsia="宋体"/>
          <w:b/>
          <w:bCs/>
          <w:color w:val="auto"/>
          <w:sz w:val="21"/>
          <w:szCs w:val="21"/>
          <w:highlight w:val="none"/>
          <w:lang w:eastAsia="zh-CN"/>
        </w:rPr>
        <w:t>证明文件以清晰扫描件方式提供并加盖投标人电子印章</w:t>
      </w:r>
      <w:r>
        <w:rPr>
          <w:rFonts w:hint="eastAsia" w:ascii="宋体" w:hAnsi="宋体" w:eastAsia="宋体"/>
          <w:color w:val="auto"/>
          <w:sz w:val="21"/>
          <w:szCs w:val="21"/>
          <w:highlight w:val="none"/>
          <w:lang w:eastAsia="zh-CN"/>
        </w:rPr>
        <w:t>。</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业绩时间以初步设计批复或施工图审查合格证明文件载明时间为准；项目总投资的证明文件可以是合同中有列明的可作为证明文件，如合同未列明的，可提交列明总投资金额的《项目建议书批文》或《可行性研究报告批文》或《企业投资项目备案证》作为证明材料；建筑面积以合同内容或初步设计批复文件或施工图审查合格证明文件作为证明材料。</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3</w:t>
      </w:r>
      <w:r>
        <w:rPr>
          <w:rFonts w:hint="eastAsia" w:ascii="宋体" w:hAnsi="宋体" w:eastAsia="宋体"/>
          <w:color w:val="auto"/>
          <w:sz w:val="21"/>
          <w:szCs w:val="21"/>
          <w:highlight w:val="none"/>
          <w:lang w:eastAsia="zh-CN"/>
        </w:rPr>
        <w:t>）如前述证明材料不能直接反映评分要求的特征和必要信息的，不计得分。</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4</w:t>
      </w:r>
      <w:r>
        <w:rPr>
          <w:rFonts w:hint="eastAsia" w:ascii="宋体" w:hAnsi="宋体" w:eastAsia="宋体"/>
          <w:color w:val="auto"/>
          <w:sz w:val="21"/>
          <w:szCs w:val="21"/>
          <w:highlight w:val="none"/>
          <w:lang w:eastAsia="zh-CN"/>
        </w:rPr>
        <w:t>）不符合上述条件或未提供上述资料的不得分。</w:t>
      </w:r>
    </w:p>
    <w:p>
      <w:pPr>
        <w:spacing w:line="400" w:lineRule="exact"/>
        <w:rPr>
          <w:rFonts w:ascii="宋体" w:hAnsi="宋体" w:eastAsia="宋体"/>
          <w:b/>
          <w:bCs/>
          <w:color w:val="auto"/>
          <w:sz w:val="21"/>
          <w:szCs w:val="21"/>
          <w:highlight w:val="none"/>
          <w:lang w:eastAsia="zh-CN"/>
        </w:rPr>
      </w:pPr>
      <w:r>
        <w:rPr>
          <w:rFonts w:ascii="宋体" w:hAnsi="宋体" w:eastAsia="宋体"/>
          <w:b/>
          <w:bCs/>
          <w:color w:val="auto"/>
          <w:sz w:val="21"/>
          <w:szCs w:val="21"/>
          <w:highlight w:val="none"/>
          <w:lang w:eastAsia="zh-CN"/>
        </w:rPr>
        <w:t>2</w:t>
      </w:r>
      <w:r>
        <w:rPr>
          <w:rFonts w:hint="eastAsia" w:ascii="宋体" w:hAnsi="宋体" w:eastAsia="宋体"/>
          <w:b/>
          <w:bCs/>
          <w:color w:val="auto"/>
          <w:sz w:val="21"/>
          <w:szCs w:val="21"/>
          <w:highlight w:val="none"/>
          <w:lang w:eastAsia="zh-CN"/>
        </w:rPr>
        <w:t>、BIM业绩要求：</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1</w:t>
      </w: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业绩认定证明材料需提供项目合同关键页、经项目业主盖章确认的已完成</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工作内容证明或</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工作内容履约情况证明或</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工作内容验收证明文件，</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工作内容证明文件至少包含已完成了初步设计阶段</w:t>
      </w:r>
      <w:r>
        <w:rPr>
          <w:rFonts w:hint="eastAsia" w:ascii="宋体" w:hAnsi="宋体" w:eastAsia="宋体"/>
          <w:b/>
          <w:bCs/>
          <w:color w:val="auto"/>
          <w:sz w:val="21"/>
          <w:szCs w:val="21"/>
          <w:highlight w:val="none"/>
          <w:lang w:eastAsia="zh-CN"/>
        </w:rPr>
        <w:t>，证明文件以清晰扫描件方式提供并加盖投标人电子印章</w:t>
      </w:r>
      <w:r>
        <w:rPr>
          <w:rFonts w:hint="eastAsia" w:ascii="宋体" w:hAnsi="宋体" w:eastAsia="宋体"/>
          <w:color w:val="auto"/>
          <w:sz w:val="21"/>
          <w:szCs w:val="21"/>
          <w:highlight w:val="none"/>
          <w:lang w:eastAsia="zh-CN"/>
        </w:rPr>
        <w:t>。注：已完成</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工作内容证明或</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工作内容履约情况证明或</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工作内容验收证明文件。必须经项目业主盖章，如投标人所提供的上述文件只有投标人盖章无项目业主盖章则不予以认可。</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）提供的合同中须明确含有</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工作内容和相应项目建筑面积，如合同内容不明确，应提供其他能体现</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工作内容和建筑面积的补充证明材料。业绩认定时间以合同签订时间为准。</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3</w:t>
      </w:r>
      <w:r>
        <w:rPr>
          <w:rFonts w:hint="eastAsia" w:ascii="宋体" w:hAnsi="宋体" w:eastAsia="宋体"/>
          <w:color w:val="auto"/>
          <w:sz w:val="21"/>
          <w:szCs w:val="21"/>
          <w:highlight w:val="none"/>
          <w:lang w:eastAsia="zh-CN"/>
        </w:rPr>
        <w:t>）不符合上述条件或未提供上述资料的不得分。</w:t>
      </w:r>
    </w:p>
    <w:p>
      <w:pPr>
        <w:spacing w:line="400" w:lineRule="exact"/>
        <w:rPr>
          <w:rFonts w:ascii="宋体" w:hAnsi="宋体" w:eastAsia="宋体"/>
          <w:b/>
          <w:bCs/>
          <w:color w:val="auto"/>
          <w:sz w:val="21"/>
          <w:szCs w:val="21"/>
          <w:highlight w:val="none"/>
          <w:lang w:eastAsia="zh-CN"/>
        </w:rPr>
      </w:pPr>
      <w:r>
        <w:rPr>
          <w:rFonts w:ascii="宋体" w:hAnsi="宋体" w:eastAsia="宋体"/>
          <w:b/>
          <w:bCs/>
          <w:color w:val="auto"/>
          <w:sz w:val="21"/>
          <w:szCs w:val="21"/>
          <w:highlight w:val="none"/>
          <w:lang w:eastAsia="zh-CN"/>
        </w:rPr>
        <w:t>3</w:t>
      </w:r>
      <w:r>
        <w:rPr>
          <w:rFonts w:hint="eastAsia" w:ascii="宋体" w:hAnsi="宋体" w:eastAsia="宋体"/>
          <w:b/>
          <w:bCs/>
          <w:color w:val="auto"/>
          <w:sz w:val="21"/>
          <w:szCs w:val="21"/>
          <w:highlight w:val="none"/>
          <w:lang w:eastAsia="zh-CN"/>
        </w:rPr>
        <w:t>、设计获奖要求：</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1</w:t>
      </w:r>
      <w:r>
        <w:rPr>
          <w:rFonts w:hint="eastAsia" w:ascii="宋体" w:hAnsi="宋体" w:eastAsia="宋体"/>
          <w:color w:val="auto"/>
          <w:sz w:val="21"/>
          <w:szCs w:val="21"/>
          <w:highlight w:val="none"/>
          <w:lang w:eastAsia="zh-CN"/>
        </w:rPr>
        <w:t>）设计奖项是指：国家级设计奖项是指由住建部颁发的全国优秀工程勘察设计奖、中国勘察设计协会颁发的全国优秀工程勘察设计行业奖或行业优秀勘察设计奖、国务院颁发的国家科学技术奖、住建部的华夏建设科学技术奖励委员会颁发的华夏建设科学技术奖。省级奖项指由省级建设行政主管部门、省级工程勘察设计行业协会颁发的省级优秀勘察设计奖、省级人民政府颁发的省科学技术奖；副省级奖项指由副省级建设行政主管部门或副省级工程勘察设计行业协会颁发的“优秀工程勘察设计奖”、副省级人民政府颁发的科学技术奖。</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）对同一工程项目按最高奖项计取，不重复计取。时间以获奖证书上的颁发日期为准。</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3</w:t>
      </w:r>
      <w:r>
        <w:rPr>
          <w:rFonts w:hint="eastAsia" w:ascii="宋体" w:hAnsi="宋体" w:eastAsia="宋体"/>
          <w:color w:val="auto"/>
          <w:sz w:val="21"/>
          <w:szCs w:val="21"/>
          <w:highlight w:val="none"/>
          <w:lang w:eastAsia="zh-CN"/>
        </w:rPr>
        <w:t>）获奖业绩需提供项目获奖证书和合同关键页原件清晰扫描件并加盖投标单位电子印章。</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4</w:t>
      </w:r>
      <w:r>
        <w:rPr>
          <w:rFonts w:hint="eastAsia" w:ascii="宋体" w:hAnsi="宋体" w:eastAsia="宋体"/>
          <w:color w:val="auto"/>
          <w:sz w:val="21"/>
          <w:szCs w:val="21"/>
          <w:highlight w:val="none"/>
          <w:lang w:eastAsia="zh-CN"/>
        </w:rPr>
        <w:t>）不符合上述条件或未提供上述资料的不得分。</w:t>
      </w:r>
    </w:p>
    <w:p>
      <w:pPr>
        <w:spacing w:line="400" w:lineRule="exact"/>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4、</w:t>
      </w:r>
      <w:r>
        <w:rPr>
          <w:rFonts w:ascii="宋体" w:hAnsi="宋体" w:eastAsia="宋体"/>
          <w:b/>
          <w:bCs/>
          <w:color w:val="auto"/>
          <w:sz w:val="21"/>
          <w:szCs w:val="21"/>
          <w:highlight w:val="none"/>
          <w:lang w:eastAsia="zh-CN"/>
        </w:rPr>
        <w:t>BIM</w:t>
      </w:r>
      <w:r>
        <w:rPr>
          <w:rFonts w:hint="eastAsia" w:ascii="宋体" w:hAnsi="宋体" w:eastAsia="宋体"/>
          <w:b/>
          <w:bCs/>
          <w:color w:val="auto"/>
          <w:sz w:val="21"/>
          <w:szCs w:val="21"/>
          <w:highlight w:val="none"/>
          <w:lang w:eastAsia="zh-CN"/>
        </w:rPr>
        <w:t>获奖要求：</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1</w:t>
      </w:r>
      <w:r>
        <w:rPr>
          <w:rFonts w:hint="eastAsia" w:ascii="宋体" w:hAnsi="宋体" w:eastAsia="宋体"/>
          <w:color w:val="auto"/>
          <w:sz w:val="21"/>
          <w:szCs w:val="21"/>
          <w:highlight w:val="none"/>
          <w:lang w:eastAsia="zh-CN"/>
        </w:rPr>
        <w:t>）国家级奖项是指由中国勘察设计协会主办的“创新杯”建筑模型（</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）应用大赛、中国图学学会主办的“龙图杯”全国</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（建筑信息模型）大赛、中国建筑业协会颁发的</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项目奖项；省级、副省级奖项是指各省、副省级工程勘察设计行业协会颁发的</w:t>
      </w: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项目奖项。</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同一项目业绩获奖的按最高奖项计取，同一等级奖项不同类别或不同颁发机构的，仅计取一次，须提供获奖证书和合同关键页原件清晰扫描件并加盖投标单位电子印章，时间以获奖证书时间为准，如获奖证书上没有具体日期的，以住建部门或协会公布奖项评选结果的通知日期为准。</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3</w:t>
      </w:r>
      <w:r>
        <w:rPr>
          <w:rFonts w:hint="eastAsia" w:ascii="宋体" w:hAnsi="宋体" w:eastAsia="宋体"/>
          <w:color w:val="auto"/>
          <w:sz w:val="21"/>
          <w:szCs w:val="21"/>
          <w:highlight w:val="none"/>
          <w:lang w:eastAsia="zh-CN"/>
        </w:rPr>
        <w:t>）不符合上述条件或未提供上述资料的不得分。</w:t>
      </w:r>
    </w:p>
    <w:p>
      <w:pPr>
        <w:spacing w:line="400" w:lineRule="exact"/>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5、科学技术奖项要求：</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须提交获奖证书原件扫描件，国家级奖项是指由国务院或住建部或行业协会（行业协会须在民政部门备案）颁发的国家级房建类科学技术进步奖或房建类科学技术奖。省级获奖是指由省级人民政府或建设行政主管部门或行业协会（行业协会须在民政部门备案）颁发的房建类科学技术进步奖或房建类科学技术奖。副省级获奖是指由副省级人民政府或建设行政主管部门或行业协会（行业协会须在民政部门备案）颁发的房建类科学技术进步奖或房建类科学技术奖。若获奖证书未体现属于“房建类”，投标人须提供科学技术成果鉴定证书或其他能证明为“房建类”奖项的证明材料扫描件。不符合上述条件或未按要求提供资料的不得分。</w:t>
      </w:r>
    </w:p>
    <w:p>
      <w:pPr>
        <w:spacing w:line="400" w:lineRule="exact"/>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6、</w:t>
      </w:r>
      <w:bookmarkEnd w:id="47"/>
      <w:r>
        <w:rPr>
          <w:rFonts w:hint="eastAsia" w:ascii="宋体" w:hAnsi="宋体" w:eastAsia="宋体"/>
          <w:b/>
          <w:bCs/>
          <w:color w:val="auto"/>
          <w:sz w:val="21"/>
          <w:szCs w:val="21"/>
          <w:highlight w:val="none"/>
          <w:lang w:eastAsia="zh-CN"/>
        </w:rPr>
        <w:t>项目负责人资历要求</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1</w:t>
      </w:r>
      <w:r>
        <w:rPr>
          <w:rFonts w:hint="eastAsia" w:ascii="宋体" w:hAnsi="宋体" w:eastAsia="宋体"/>
          <w:color w:val="auto"/>
          <w:sz w:val="21"/>
          <w:szCs w:val="21"/>
          <w:highlight w:val="none"/>
          <w:lang w:eastAsia="zh-CN"/>
        </w:rPr>
        <w:t>）需提供拟派人员的职称证、注册证（如有）的证书原件清晰扫描件。</w:t>
      </w:r>
    </w:p>
    <w:p>
      <w:pPr>
        <w:spacing w:line="400" w:lineRule="exact"/>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设计业绩须同时提供合同关键页、施工图审查合格证明文件作为证明文件。业绩时间以施工图审查合格证明文件载明的时间为准。如果合同或施工图审查单位出具的施工图审查合格证明文件均不能证明本项目投标拟派项目负责人担任该设计业绩的项目负责人或设计负责人，即没有显示相关人员姓名及职务，必须另行提供有效证明文件证明。项目总投资证明文件：合同中有列明的可作为证明文件，如合同未列明的，可提供列明总投资金额的《项目建议书批文》或《可行性研究报告批文》或《企业投资项目备案证》作为证明文件。建筑面积证明文件：如合同或施工图审查合格证明文件均不能证明建筑面积的，可提供经业主确认的可证明业绩建筑面积的其他证明文件。</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设计奖项是指：国家级设计奖项是指由住建部颁发的全国优秀工程勘察设计奖、中国勘察设计协会颁发的全国优秀工程勘察设计行业奖或行业优秀勘察设计奖、国务院颁发的国家科学技术奖、住建部的华夏建设科学技术奖励委员会颁发的华夏建设科学技术奖。省级奖项指由省级建设行政主管部门、省级工程勘察设计行业协会颁发的省级优秀勘察设计奖、省级人民政府颁发的省科学技术奖。</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4</w:t>
      </w:r>
      <w:r>
        <w:rPr>
          <w:rFonts w:hint="eastAsia" w:ascii="宋体" w:hAnsi="宋体" w:eastAsia="宋体"/>
          <w:color w:val="auto"/>
          <w:sz w:val="21"/>
          <w:szCs w:val="21"/>
          <w:highlight w:val="none"/>
          <w:lang w:eastAsia="zh-CN"/>
        </w:rPr>
        <w:t>）对同一工程项目按最高奖项计取，不重复计取；时间以获奖证书上的颁发日期为准。</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5</w:t>
      </w:r>
      <w:r>
        <w:rPr>
          <w:rFonts w:hint="eastAsia" w:ascii="宋体" w:hAnsi="宋体" w:eastAsia="宋体"/>
          <w:color w:val="auto"/>
          <w:sz w:val="21"/>
          <w:szCs w:val="21"/>
          <w:highlight w:val="none"/>
          <w:lang w:eastAsia="zh-CN"/>
        </w:rPr>
        <w:t>）获奖业绩需提供项目获奖证书和合同关键页原件清晰扫描件并加盖投标单位电子印章；</w:t>
      </w:r>
      <w:r>
        <w:rPr>
          <w:rFonts w:hint="eastAsia" w:ascii="宋体" w:hAnsi="宋体" w:eastAsia="宋体"/>
          <w:color w:val="auto"/>
          <w:sz w:val="21"/>
          <w:szCs w:val="21"/>
          <w:highlight w:val="none"/>
          <w:lang w:eastAsia="zh-CN"/>
        </w:rPr>
        <w:t>如果合同或获奖证书不能证明项目负责人的名字，可提供能证明项目负责人名字的初步设计批复或施工图审查单位出具的施工图审查合格书，如上述都不能证明项目负责人的名字，则必须另行提供有效证明文件证明。</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6</w:t>
      </w:r>
      <w:r>
        <w:rPr>
          <w:rFonts w:hint="eastAsia" w:ascii="宋体" w:hAnsi="宋体" w:eastAsia="宋体"/>
          <w:color w:val="auto"/>
          <w:sz w:val="21"/>
          <w:szCs w:val="21"/>
          <w:highlight w:val="none"/>
          <w:lang w:eastAsia="zh-CN"/>
        </w:rPr>
        <w:t>）不符合上述条件或未提供上述资料的不得分。</w:t>
      </w:r>
    </w:p>
    <w:p>
      <w:pPr>
        <w:spacing w:line="400" w:lineRule="exact"/>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7、人员配备及技术水平</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1</w:t>
      </w:r>
      <w:r>
        <w:rPr>
          <w:rFonts w:hint="eastAsia" w:ascii="宋体" w:hAnsi="宋体" w:eastAsia="宋体"/>
          <w:color w:val="auto"/>
          <w:sz w:val="21"/>
          <w:szCs w:val="21"/>
          <w:highlight w:val="none"/>
          <w:lang w:eastAsia="zh-CN"/>
        </w:rPr>
        <w:t>）需提供拟派人员的职称证、注册证（如有）的证书原件清晰扫描件。</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）项目管理团队的各专业设计负责人不可兼任，每专业仅计算一人得分，一个专业配置多人仅计算第一人得分。</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（3）需提供</w:t>
      </w:r>
      <w:r>
        <w:rPr>
          <w:rFonts w:ascii="宋体" w:hAnsi="宋体" w:eastAsia="宋体"/>
          <w:color w:val="auto"/>
          <w:sz w:val="21"/>
          <w:szCs w:val="21"/>
          <w:highlight w:val="none"/>
          <w:lang w:eastAsia="zh-CN"/>
        </w:rPr>
        <w:t>202</w:t>
      </w:r>
      <w:r>
        <w:rPr>
          <w:rFonts w:hint="eastAsia" w:ascii="宋体" w:hAnsi="宋体" w:eastAsia="宋体"/>
          <w:color w:val="auto"/>
          <w:sz w:val="21"/>
          <w:szCs w:val="21"/>
          <w:highlight w:val="none"/>
          <w:lang w:eastAsia="zh-CN"/>
        </w:rPr>
        <w:t>4年2月</w:t>
      </w:r>
      <w:r>
        <w:rPr>
          <w:rFonts w:hint="eastAsia" w:ascii="宋体" w:hAnsi="宋体" w:eastAsia="宋体"/>
          <w:color w:val="auto"/>
          <w:sz w:val="21"/>
          <w:szCs w:val="21"/>
          <w:highlight w:val="none"/>
          <w:lang w:eastAsia="zh-CN"/>
        </w:rPr>
        <w:t>在投标单位参保的社保缴纳记录证明扫描件并加盖投标人电子印章。社保缴纳期限包含疫情期的，若当地政府部门允许企业在疫情期间缓缴社会保险费且投标人未缴纳的，投标人可提供当地政府部门允许缓缴社保的相关文件作为缴纳社保的证明，中标后需提供投标文件中人员的社保补缴情况相关证明报招标人核实。若已达到法定退休年龄已办理退休手续且继续聘任的，可以用退休证加返聘证明扫描件代替社保证明。</w:t>
      </w:r>
    </w:p>
    <w:p>
      <w:pPr>
        <w:spacing w:line="400" w:lineRule="exac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（4）不符合上述条件或未提供上述资料的不得分。</w:t>
      </w:r>
    </w:p>
    <w:p>
      <w:pPr>
        <w:spacing w:line="400" w:lineRule="exact"/>
        <w:rPr>
          <w:rFonts w:ascii="宋体" w:hAnsi="宋体" w:eastAsia="宋体"/>
          <w:color w:val="auto"/>
          <w:sz w:val="21"/>
          <w:szCs w:val="21"/>
          <w:highlight w:val="none"/>
          <w:lang w:eastAsia="zh-CN"/>
        </w:rPr>
      </w:pPr>
      <w:r>
        <w:rPr>
          <w:rFonts w:hint="eastAsia" w:ascii="宋体" w:hAnsi="宋体" w:eastAsia="宋体"/>
          <w:b/>
          <w:color w:val="auto"/>
          <w:sz w:val="21"/>
          <w:szCs w:val="21"/>
          <w:highlight w:val="none"/>
          <w:lang w:eastAsia="zh-CN"/>
        </w:rPr>
        <w:t>8</w:t>
      </w:r>
      <w:r>
        <w:rPr>
          <w:rFonts w:hint="eastAsia" w:ascii="宋体" w:hAnsi="宋体" w:eastAsia="宋体" w:cs="宋体"/>
          <w:b/>
          <w:color w:val="auto"/>
          <w:sz w:val="21"/>
          <w:szCs w:val="21"/>
          <w:highlight w:val="none"/>
          <w:lang w:eastAsia="zh-CN"/>
        </w:rPr>
        <w:t>、</w:t>
      </w:r>
      <w:r>
        <w:rPr>
          <w:rFonts w:ascii="宋体" w:hAnsi="宋体" w:eastAsia="宋体" w:cs="宋体"/>
          <w:b/>
          <w:color w:val="auto"/>
          <w:sz w:val="21"/>
          <w:szCs w:val="21"/>
          <w:highlight w:val="none"/>
          <w:lang w:eastAsia="zh-CN"/>
        </w:rPr>
        <w:t>ISO</w:t>
      </w:r>
      <w:r>
        <w:rPr>
          <w:rFonts w:hint="eastAsia" w:ascii="宋体" w:hAnsi="宋体" w:eastAsia="宋体" w:cs="宋体"/>
          <w:b/>
          <w:color w:val="auto"/>
          <w:sz w:val="21"/>
          <w:szCs w:val="21"/>
          <w:highlight w:val="none"/>
          <w:lang w:eastAsia="zh-CN"/>
        </w:rPr>
        <w:t>系列管理体系认证：</w:t>
      </w:r>
      <w:r>
        <w:rPr>
          <w:rFonts w:hint="eastAsia" w:ascii="宋体" w:hAnsi="宋体" w:eastAsia="宋体" w:cs="宋体"/>
          <w:color w:val="auto"/>
          <w:sz w:val="21"/>
          <w:szCs w:val="21"/>
          <w:highlight w:val="none"/>
          <w:lang w:eastAsia="zh-CN"/>
        </w:rPr>
        <w:t>须提交管理体系认证证书原件清晰扫描件并加盖投标单位电子印章，认证证书须在有效期内。不符合上述条件或未提供上述资料的不得分。</w:t>
      </w:r>
    </w:p>
    <w:p>
      <w:pPr>
        <w:spacing w:line="400" w:lineRule="exact"/>
        <w:rPr>
          <w:rFonts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lang w:eastAsia="zh-CN"/>
        </w:rPr>
        <w:t>9、纳税信用</w:t>
      </w:r>
      <w:r>
        <w:rPr>
          <w:rFonts w:ascii="宋体" w:hAnsi="宋体" w:eastAsia="宋体" w:cs="宋体"/>
          <w:b/>
          <w:color w:val="auto"/>
          <w:sz w:val="21"/>
          <w:szCs w:val="21"/>
          <w:highlight w:val="none"/>
          <w:lang w:eastAsia="zh-CN"/>
        </w:rPr>
        <w:t>A</w:t>
      </w:r>
      <w:r>
        <w:rPr>
          <w:rFonts w:hint="eastAsia" w:ascii="宋体" w:hAnsi="宋体" w:eastAsia="宋体" w:cs="宋体"/>
          <w:b/>
          <w:color w:val="auto"/>
          <w:sz w:val="21"/>
          <w:szCs w:val="21"/>
          <w:highlight w:val="none"/>
          <w:lang w:eastAsia="zh-CN"/>
        </w:rPr>
        <w:t>级纳税人：</w:t>
      </w:r>
      <w:r>
        <w:rPr>
          <w:rFonts w:hint="eastAsia" w:ascii="宋体" w:hAnsi="宋体" w:eastAsia="宋体" w:cs="宋体"/>
          <w:color w:val="auto"/>
          <w:sz w:val="21"/>
          <w:szCs w:val="21"/>
          <w:highlight w:val="none"/>
          <w:lang w:eastAsia="zh-CN"/>
        </w:rPr>
        <w:t>须提供企业纳税信用等级证书原件清晰扫描件并加盖投标单位电子印章，或提供税务部门官网的查询结果网页截图或税务部门提供的相关证明文件并加盖投标单位电子印章。</w:t>
      </w:r>
      <w:r>
        <w:rPr>
          <w:rFonts w:ascii="宋体" w:hAnsi="宋体" w:eastAsia="宋体" w:cs="宋体"/>
          <w:color w:val="auto"/>
          <w:sz w:val="21"/>
          <w:szCs w:val="21"/>
          <w:highlight w:val="none"/>
          <w:lang w:eastAsia="zh-CN"/>
        </w:rPr>
        <w:t>A</w:t>
      </w:r>
      <w:r>
        <w:rPr>
          <w:rFonts w:hint="eastAsia" w:ascii="宋体" w:hAnsi="宋体" w:eastAsia="宋体" w:cs="宋体"/>
          <w:color w:val="auto"/>
          <w:sz w:val="21"/>
          <w:szCs w:val="21"/>
          <w:highlight w:val="none"/>
          <w:lang w:eastAsia="zh-CN"/>
        </w:rPr>
        <w:t>级纳税人只计算投标人自身，不计算投标人的分公司和子公司。时间以证书上注明的公示评价（评定）年度为准；不符合上述条件或未提供上述资料的不得分。</w:t>
      </w:r>
    </w:p>
    <w:p>
      <w:pPr>
        <w:spacing w:line="400" w:lineRule="exact"/>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10、评分标准内所要求提供的证明材料（如合同、中标通知书等文件）的单位须与投标单位的名称一致，如单位名称有变更的，需提供核准变更证明文件，否则不予计分。</w:t>
      </w:r>
    </w:p>
    <w:p>
      <w:pPr>
        <w:widowControl/>
        <w:rPr>
          <w:rFonts w:ascii="宋体" w:hAnsi="宋体" w:eastAsia="宋体"/>
          <w:b/>
          <w:bCs/>
          <w:color w:val="auto"/>
          <w:sz w:val="32"/>
          <w:szCs w:val="32"/>
          <w:highlight w:val="none"/>
          <w:lang w:eastAsia="zh-CN"/>
        </w:rPr>
      </w:pPr>
      <w:r>
        <w:rPr>
          <w:rFonts w:ascii="宋体" w:hAnsi="宋体" w:eastAsia="宋体"/>
          <w:color w:val="auto"/>
          <w:highlight w:val="none"/>
          <w:lang w:eastAsia="zh-CN"/>
        </w:rPr>
        <w:br w:type="page"/>
      </w:r>
    </w:p>
    <w:p>
      <w:pPr>
        <w:pStyle w:val="4"/>
        <w:adjustRightInd w:val="0"/>
        <w:snapToGrid w:val="0"/>
        <w:spacing w:line="360" w:lineRule="auto"/>
        <w:ind w:left="0" w:right="44"/>
        <w:rPr>
          <w:rFonts w:ascii="宋体" w:hAnsi="宋体" w:eastAsia="宋体"/>
          <w:color w:val="auto"/>
          <w:highlight w:val="none"/>
          <w:lang w:eastAsia="zh-CN"/>
        </w:rPr>
      </w:pPr>
      <w:r>
        <w:rPr>
          <w:rFonts w:ascii="宋体" w:hAnsi="宋体" w:eastAsia="宋体"/>
          <w:color w:val="auto"/>
          <w:highlight w:val="none"/>
          <w:lang w:eastAsia="zh-CN"/>
        </w:rPr>
        <w:t>1. 评标方法</w:t>
      </w:r>
      <w:bookmarkEnd w:id="48"/>
      <w:bookmarkEnd w:id="49"/>
      <w:bookmarkEnd w:id="50"/>
    </w:p>
    <w:p>
      <w:pPr>
        <w:pStyle w:val="10"/>
        <w:adjustRightInd w:val="0"/>
        <w:snapToGrid w:val="0"/>
        <w:spacing w:line="360" w:lineRule="auto"/>
        <w:ind w:left="0" w:firstLine="480" w:firstLineChars="200"/>
        <w:rPr>
          <w:color w:val="auto"/>
          <w:sz w:val="24"/>
          <w:szCs w:val="24"/>
          <w:highlight w:val="none"/>
          <w:lang w:eastAsia="zh-CN"/>
        </w:rPr>
      </w:pPr>
      <w:r>
        <w:rPr>
          <w:rFonts w:hint="eastAsia"/>
          <w:color w:val="auto"/>
          <w:sz w:val="24"/>
          <w:szCs w:val="24"/>
          <w:highlight w:val="none"/>
          <w:u w:val="single"/>
          <w:lang w:eastAsia="zh-CN"/>
        </w:rPr>
        <w:t>本项目采用评定分离，评标采用“有限数量制”的评标办法</w:t>
      </w:r>
      <w:r>
        <w:rPr>
          <w:rFonts w:hint="eastAsia"/>
          <w:color w:val="auto"/>
          <w:sz w:val="24"/>
          <w:szCs w:val="24"/>
          <w:highlight w:val="none"/>
          <w:lang w:eastAsia="zh-CN"/>
        </w:rPr>
        <w:t>；注：如成功递交投标文件或通过资格审查的单位不足</w:t>
      </w:r>
      <w:r>
        <w:rPr>
          <w:color w:val="auto"/>
          <w:sz w:val="24"/>
          <w:szCs w:val="24"/>
          <w:highlight w:val="none"/>
          <w:lang w:eastAsia="zh-CN"/>
        </w:rPr>
        <w:t>6</w:t>
      </w:r>
      <w:r>
        <w:rPr>
          <w:rFonts w:hint="eastAsia"/>
          <w:color w:val="auto"/>
          <w:sz w:val="24"/>
          <w:szCs w:val="24"/>
          <w:highlight w:val="none"/>
          <w:lang w:eastAsia="zh-CN"/>
        </w:rPr>
        <w:t>家，且大于等于3家的，则均入围定标阶段，并进入商务、技术打分评审环节。</w:t>
      </w:r>
    </w:p>
    <w:p>
      <w:pPr>
        <w:pStyle w:val="10"/>
        <w:adjustRightInd w:val="0"/>
        <w:snapToGrid w:val="0"/>
        <w:spacing w:line="360" w:lineRule="auto"/>
        <w:ind w:left="0" w:firstLine="480" w:firstLineChars="200"/>
        <w:rPr>
          <w:color w:val="auto"/>
          <w:sz w:val="24"/>
          <w:szCs w:val="24"/>
          <w:highlight w:val="none"/>
          <w:lang w:eastAsia="zh-CN"/>
        </w:rPr>
      </w:pPr>
      <w:r>
        <w:rPr>
          <w:rFonts w:hint="eastAsia"/>
          <w:color w:val="auto"/>
          <w:sz w:val="24"/>
          <w:szCs w:val="24"/>
          <w:highlight w:val="none"/>
          <w:u w:val="single"/>
          <w:lang w:eastAsia="zh-CN"/>
        </w:rPr>
        <w:t>评标采用综合评估法</w:t>
      </w:r>
      <w:r>
        <w:rPr>
          <w:rFonts w:hint="eastAsia"/>
          <w:color w:val="auto"/>
          <w:sz w:val="24"/>
          <w:szCs w:val="24"/>
          <w:highlight w:val="none"/>
          <w:lang w:eastAsia="zh-CN"/>
        </w:rPr>
        <w:t>，</w:t>
      </w:r>
      <w:r>
        <w:rPr>
          <w:color w:val="auto"/>
          <w:sz w:val="24"/>
          <w:szCs w:val="24"/>
          <w:highlight w:val="none"/>
          <w:lang w:eastAsia="zh-CN"/>
        </w:rPr>
        <w:t>评标委员会对满足招标文件实质性要求的投标文件，按照本章第 2.2款规定的评分标准进行打分，并按得分由高到低顺序推荐</w:t>
      </w:r>
      <w:r>
        <w:rPr>
          <w:rFonts w:hint="eastAsia"/>
          <w:color w:val="auto"/>
          <w:sz w:val="24"/>
          <w:szCs w:val="24"/>
          <w:highlight w:val="none"/>
          <w:lang w:eastAsia="zh-CN"/>
        </w:rPr>
        <w:t>进入</w:t>
      </w:r>
      <w:r>
        <w:rPr>
          <w:rFonts w:hint="eastAsia"/>
          <w:color w:val="auto"/>
          <w:sz w:val="24"/>
          <w:szCs w:val="24"/>
          <w:highlight w:val="none"/>
          <w:u w:val="single"/>
          <w:lang w:eastAsia="zh-CN"/>
        </w:rPr>
        <w:t>定标阶段的</w:t>
      </w:r>
      <w:r>
        <w:rPr>
          <w:color w:val="auto"/>
          <w:sz w:val="24"/>
          <w:szCs w:val="24"/>
          <w:highlight w:val="none"/>
          <w:u w:val="single"/>
          <w:lang w:eastAsia="zh-CN"/>
        </w:rPr>
        <w:t>候选人</w:t>
      </w:r>
      <w:r>
        <w:rPr>
          <w:color w:val="auto"/>
          <w:sz w:val="24"/>
          <w:szCs w:val="24"/>
          <w:highlight w:val="none"/>
          <w:lang w:eastAsia="zh-CN"/>
        </w:rPr>
        <w:t>，</w:t>
      </w:r>
      <w:r>
        <w:rPr>
          <w:strike/>
          <w:color w:val="auto"/>
          <w:sz w:val="24"/>
          <w:szCs w:val="24"/>
          <w:highlight w:val="none"/>
          <w:lang w:eastAsia="zh-CN"/>
        </w:rPr>
        <w:t>或根据招标人授权直接确定中标人，但投标报价低于其成本的除外</w:t>
      </w:r>
      <w:r>
        <w:rPr>
          <w:color w:val="auto"/>
          <w:sz w:val="24"/>
          <w:szCs w:val="24"/>
          <w:highlight w:val="none"/>
          <w:lang w:eastAsia="zh-CN"/>
        </w:rPr>
        <w:t>。综合评分相等时，</w:t>
      </w:r>
      <w:r>
        <w:rPr>
          <w:rFonts w:hint="eastAsia"/>
          <w:color w:val="auto"/>
          <w:sz w:val="24"/>
          <w:szCs w:val="24"/>
          <w:highlight w:val="none"/>
          <w:lang w:eastAsia="zh-CN"/>
        </w:rPr>
        <w:t>以投标报价低的优先（如有）；投标报价也相等的，以设计方案得分高的优先；如果设计方案得分也相等，以商务得分高的优先；如仍存在相同情况，则对具有相同情况的投标人，按定标阶段入围人数规定，由评标委员会采用记名投票的方式，确定</w:t>
      </w:r>
      <w:r>
        <w:rPr>
          <w:rFonts w:hint="eastAsia"/>
          <w:color w:val="auto"/>
          <w:sz w:val="24"/>
          <w:szCs w:val="24"/>
          <w:highlight w:val="none"/>
          <w:u w:val="single"/>
          <w:lang w:eastAsia="zh-CN"/>
        </w:rPr>
        <w:t>进入定标阶段</w:t>
      </w:r>
      <w:r>
        <w:rPr>
          <w:rFonts w:hint="eastAsia"/>
          <w:color w:val="auto"/>
          <w:sz w:val="24"/>
          <w:szCs w:val="24"/>
          <w:highlight w:val="none"/>
          <w:lang w:eastAsia="zh-CN"/>
        </w:rPr>
        <w:t>的候选人。</w:t>
      </w:r>
      <w:bookmarkStart w:id="51" w:name="_Toc25137995"/>
    </w:p>
    <w:p>
      <w:pPr>
        <w:pStyle w:val="10"/>
        <w:adjustRightInd w:val="0"/>
        <w:snapToGrid w:val="0"/>
        <w:spacing w:line="360" w:lineRule="auto"/>
        <w:ind w:left="0" w:firstLine="480" w:firstLineChars="200"/>
        <w:rPr>
          <w:color w:val="auto"/>
          <w:sz w:val="24"/>
          <w:szCs w:val="24"/>
          <w:highlight w:val="none"/>
          <w:u w:val="single"/>
          <w:lang w:eastAsia="zh-CN"/>
        </w:rPr>
      </w:pPr>
      <w:r>
        <w:rPr>
          <w:rFonts w:hint="eastAsia"/>
          <w:color w:val="auto"/>
          <w:sz w:val="24"/>
          <w:szCs w:val="24"/>
          <w:highlight w:val="none"/>
          <w:u w:val="single"/>
          <w:lang w:eastAsia="zh-CN"/>
        </w:rPr>
        <w:t>定标采用“直接票决定标法”的方式择优确定中标人；定标委员会负责对进入定标阶段的候选人进行定标投票并按得票数决定中标人，但投标报价低于其成本的除外。</w:t>
      </w:r>
    </w:p>
    <w:p>
      <w:pPr>
        <w:pStyle w:val="4"/>
        <w:adjustRightInd w:val="0"/>
        <w:snapToGrid w:val="0"/>
        <w:spacing w:line="360" w:lineRule="auto"/>
        <w:ind w:right="44"/>
        <w:rPr>
          <w:rFonts w:ascii="宋体" w:hAnsi="宋体" w:eastAsia="宋体"/>
          <w:color w:val="auto"/>
          <w:highlight w:val="none"/>
          <w:lang w:eastAsia="zh-CN"/>
        </w:rPr>
      </w:pPr>
      <w:bookmarkStart w:id="52" w:name="_Toc143424751"/>
      <w:bookmarkStart w:id="53" w:name="_Toc142858888"/>
      <w:r>
        <w:rPr>
          <w:rFonts w:ascii="宋体" w:hAnsi="宋体" w:eastAsia="宋体"/>
          <w:color w:val="auto"/>
          <w:highlight w:val="none"/>
          <w:lang w:eastAsia="zh-CN"/>
        </w:rPr>
        <w:t>2. 评审标准</w:t>
      </w:r>
      <w:bookmarkEnd w:id="51"/>
      <w:bookmarkEnd w:id="52"/>
      <w:bookmarkEnd w:id="53"/>
    </w:p>
    <w:p>
      <w:pPr>
        <w:pStyle w:val="5"/>
        <w:adjustRightInd w:val="0"/>
        <w:snapToGrid w:val="0"/>
        <w:spacing w:line="360" w:lineRule="auto"/>
        <w:ind w:right="44"/>
        <w:rPr>
          <w:b/>
          <w:bCs/>
          <w:color w:val="auto"/>
          <w:highlight w:val="none"/>
          <w:lang w:eastAsia="zh-CN"/>
        </w:rPr>
      </w:pPr>
      <w:r>
        <w:rPr>
          <w:b/>
          <w:bCs/>
          <w:color w:val="auto"/>
          <w:highlight w:val="none"/>
          <w:lang w:eastAsia="zh-CN"/>
        </w:rPr>
        <w:t>2.1初步评审标准</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2.1.1形式评审标准：见评标办法前附表。</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2.1.2资格评审标准：见评标办法前附表。</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2.1.3响应性评审标准：见评标办法前附表。</w:t>
      </w:r>
    </w:p>
    <w:p>
      <w:pPr>
        <w:pStyle w:val="5"/>
        <w:adjustRightInd w:val="0"/>
        <w:snapToGrid w:val="0"/>
        <w:spacing w:line="360" w:lineRule="auto"/>
        <w:ind w:right="44"/>
        <w:rPr>
          <w:b/>
          <w:bCs/>
          <w:color w:val="auto"/>
          <w:highlight w:val="none"/>
          <w:lang w:eastAsia="zh-CN"/>
        </w:rPr>
      </w:pPr>
      <w:r>
        <w:rPr>
          <w:b/>
          <w:bCs/>
          <w:color w:val="auto"/>
          <w:highlight w:val="none"/>
          <w:lang w:eastAsia="zh-CN"/>
        </w:rPr>
        <w:t>2.2分值构成与评分标准</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2.2.1 分值构成</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（1）</w:t>
      </w:r>
      <w:r>
        <w:rPr>
          <w:rFonts w:hint="eastAsia"/>
          <w:color w:val="auto"/>
          <w:sz w:val="24"/>
          <w:szCs w:val="24"/>
          <w:highlight w:val="none"/>
          <w:lang w:eastAsia="zh-CN"/>
        </w:rPr>
        <w:t>商务文件（资信业绩）</w:t>
      </w:r>
      <w:r>
        <w:rPr>
          <w:color w:val="auto"/>
          <w:sz w:val="24"/>
          <w:szCs w:val="24"/>
          <w:highlight w:val="none"/>
          <w:lang w:eastAsia="zh-CN"/>
        </w:rPr>
        <w:t>部分：见评标办法前附表；</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w:t>
      </w:r>
      <w:r>
        <w:rPr>
          <w:rFonts w:hint="eastAsia"/>
          <w:color w:val="auto"/>
          <w:sz w:val="24"/>
          <w:szCs w:val="24"/>
          <w:highlight w:val="none"/>
          <w:u w:val="single"/>
          <w:lang w:eastAsia="zh-CN"/>
        </w:rPr>
        <w:t>技术文件（设计方案</w:t>
      </w:r>
      <w:r>
        <w:rPr>
          <w:color w:val="auto"/>
          <w:sz w:val="24"/>
          <w:szCs w:val="24"/>
          <w:highlight w:val="none"/>
          <w:u w:val="single"/>
          <w:lang w:eastAsia="zh-CN"/>
        </w:rPr>
        <w:t>)</w:t>
      </w:r>
      <w:r>
        <w:rPr>
          <w:color w:val="auto"/>
          <w:sz w:val="24"/>
          <w:szCs w:val="24"/>
          <w:highlight w:val="none"/>
          <w:lang w:eastAsia="zh-CN"/>
        </w:rPr>
        <w:t>部分：见评标办法前附表；</w:t>
      </w:r>
    </w:p>
    <w:p>
      <w:pPr>
        <w:pStyle w:val="10"/>
        <w:adjustRightInd w:val="0"/>
        <w:snapToGrid w:val="0"/>
        <w:spacing w:line="360" w:lineRule="auto"/>
        <w:ind w:left="0" w:firstLine="480" w:firstLineChars="200"/>
        <w:rPr>
          <w:color w:val="auto"/>
          <w:sz w:val="24"/>
          <w:szCs w:val="24"/>
          <w:highlight w:val="none"/>
          <w:lang w:eastAsia="zh-CN"/>
        </w:rPr>
      </w:pPr>
      <w:r>
        <w:rPr>
          <w:strike/>
          <w:color w:val="auto"/>
          <w:sz w:val="24"/>
          <w:szCs w:val="24"/>
          <w:highlight w:val="none"/>
          <w:lang w:eastAsia="zh-CN"/>
        </w:rPr>
        <w:t>（3）投标报价：见评标办法前附表；</w:t>
      </w:r>
    </w:p>
    <w:p>
      <w:pPr>
        <w:pStyle w:val="10"/>
        <w:adjustRightInd w:val="0"/>
        <w:snapToGrid w:val="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（4）其他评分因素：见评标办法前附表。</w:t>
      </w:r>
    </w:p>
    <w:p>
      <w:pPr>
        <w:pStyle w:val="10"/>
        <w:adjustRightInd w:val="0"/>
        <w:snapToGrid w:val="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2.2.2评标基准价计算</w:t>
      </w:r>
    </w:p>
    <w:p>
      <w:pPr>
        <w:pStyle w:val="10"/>
        <w:adjustRightInd w:val="0"/>
        <w:snapToGrid w:val="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评标基准价计算方法：见评标办法前附表。</w:t>
      </w:r>
    </w:p>
    <w:p>
      <w:pPr>
        <w:pStyle w:val="10"/>
        <w:adjustRightInd w:val="0"/>
        <w:snapToGrid w:val="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2.2.3投标报价的偏差率计算</w:t>
      </w:r>
    </w:p>
    <w:p>
      <w:pPr>
        <w:pStyle w:val="10"/>
        <w:adjustRightInd w:val="0"/>
        <w:snapToGrid w:val="0"/>
        <w:spacing w:line="360" w:lineRule="auto"/>
        <w:ind w:left="0" w:firstLine="480" w:firstLineChars="200"/>
        <w:rPr>
          <w:strike/>
          <w:color w:val="auto"/>
          <w:sz w:val="24"/>
          <w:szCs w:val="24"/>
          <w:highlight w:val="none"/>
          <w:u w:val="single"/>
          <w:lang w:eastAsia="zh-CN"/>
        </w:rPr>
      </w:pPr>
      <w:r>
        <w:rPr>
          <w:strike/>
          <w:color w:val="auto"/>
          <w:sz w:val="24"/>
          <w:szCs w:val="24"/>
          <w:highlight w:val="none"/>
          <w:u w:val="single"/>
          <w:lang w:eastAsia="zh-CN"/>
        </w:rPr>
        <w:t>投标报价的偏差率计算公式：见评标办法前附表。</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2.2.4评分标准</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（1）</w:t>
      </w:r>
      <w:r>
        <w:rPr>
          <w:rFonts w:hint="eastAsia"/>
          <w:color w:val="auto"/>
          <w:sz w:val="24"/>
          <w:szCs w:val="24"/>
          <w:highlight w:val="none"/>
          <w:lang w:eastAsia="zh-CN"/>
        </w:rPr>
        <w:t>商务文件（资信业绩）</w:t>
      </w:r>
      <w:r>
        <w:rPr>
          <w:color w:val="auto"/>
          <w:sz w:val="24"/>
          <w:szCs w:val="24"/>
          <w:highlight w:val="none"/>
          <w:lang w:eastAsia="zh-CN"/>
        </w:rPr>
        <w:t>评分标准：见评标办法前附表；</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w:t>
      </w:r>
      <w:r>
        <w:rPr>
          <w:rFonts w:hint="eastAsia"/>
          <w:color w:val="auto"/>
          <w:sz w:val="24"/>
          <w:szCs w:val="24"/>
          <w:highlight w:val="none"/>
          <w:u w:val="single"/>
          <w:lang w:eastAsia="zh-CN"/>
        </w:rPr>
        <w:t>技术文件（设计方案</w:t>
      </w:r>
      <w:r>
        <w:rPr>
          <w:color w:val="auto"/>
          <w:sz w:val="24"/>
          <w:szCs w:val="24"/>
          <w:highlight w:val="none"/>
          <w:u w:val="single"/>
          <w:lang w:eastAsia="zh-CN"/>
        </w:rPr>
        <w:t>)</w:t>
      </w:r>
      <w:r>
        <w:rPr>
          <w:color w:val="auto"/>
          <w:sz w:val="24"/>
          <w:szCs w:val="24"/>
          <w:highlight w:val="none"/>
          <w:lang w:eastAsia="zh-CN"/>
        </w:rPr>
        <w:t>评分标准：见评标办法前附表；</w:t>
      </w:r>
    </w:p>
    <w:p>
      <w:pPr>
        <w:pStyle w:val="10"/>
        <w:adjustRightInd w:val="0"/>
        <w:snapToGrid w:val="0"/>
        <w:spacing w:line="360" w:lineRule="auto"/>
        <w:ind w:left="0" w:firstLine="480" w:firstLineChars="200"/>
        <w:rPr>
          <w:color w:val="auto"/>
          <w:sz w:val="24"/>
          <w:szCs w:val="24"/>
          <w:highlight w:val="none"/>
          <w:lang w:eastAsia="zh-CN"/>
        </w:rPr>
      </w:pPr>
      <w:r>
        <w:rPr>
          <w:strike/>
          <w:color w:val="auto"/>
          <w:sz w:val="24"/>
          <w:szCs w:val="24"/>
          <w:highlight w:val="none"/>
          <w:lang w:eastAsia="zh-CN"/>
        </w:rPr>
        <w:t>（3）投标报价评分标准：见评标办法前附表；</w:t>
      </w:r>
    </w:p>
    <w:p>
      <w:pPr>
        <w:pStyle w:val="10"/>
        <w:adjustRightInd w:val="0"/>
        <w:snapToGrid w:val="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（4）其他因素评分标准：见评标办法前附表。</w:t>
      </w:r>
      <w:bookmarkStart w:id="54" w:name="_Toc25137996"/>
    </w:p>
    <w:p>
      <w:pPr>
        <w:pStyle w:val="4"/>
        <w:adjustRightInd w:val="0"/>
        <w:snapToGrid w:val="0"/>
        <w:spacing w:line="360" w:lineRule="auto"/>
        <w:ind w:right="44"/>
        <w:rPr>
          <w:rFonts w:ascii="宋体" w:hAnsi="宋体" w:eastAsia="宋体"/>
          <w:color w:val="auto"/>
          <w:highlight w:val="none"/>
          <w:lang w:eastAsia="zh-CN"/>
        </w:rPr>
      </w:pPr>
      <w:bookmarkStart w:id="55" w:name="_Toc142858889"/>
      <w:bookmarkStart w:id="56" w:name="_Toc143424752"/>
      <w:r>
        <w:rPr>
          <w:rFonts w:ascii="宋体" w:hAnsi="宋体" w:eastAsia="宋体"/>
          <w:color w:val="auto"/>
          <w:highlight w:val="none"/>
          <w:lang w:eastAsia="zh-CN"/>
        </w:rPr>
        <w:t>3. 评标</w:t>
      </w:r>
      <w:r>
        <w:rPr>
          <w:rFonts w:hint="eastAsia" w:ascii="宋体" w:hAnsi="宋体" w:eastAsia="宋体"/>
          <w:color w:val="auto"/>
          <w:highlight w:val="none"/>
          <w:lang w:eastAsia="zh-CN"/>
        </w:rPr>
        <w:t>、定标程</w:t>
      </w:r>
      <w:r>
        <w:rPr>
          <w:rFonts w:ascii="宋体" w:hAnsi="宋体" w:eastAsia="宋体"/>
          <w:color w:val="auto"/>
          <w:highlight w:val="none"/>
          <w:lang w:eastAsia="zh-CN"/>
        </w:rPr>
        <w:t>序</w:t>
      </w:r>
      <w:bookmarkEnd w:id="54"/>
      <w:bookmarkEnd w:id="55"/>
      <w:bookmarkEnd w:id="56"/>
    </w:p>
    <w:p>
      <w:pPr>
        <w:pStyle w:val="5"/>
        <w:adjustRightInd w:val="0"/>
        <w:snapToGrid w:val="0"/>
        <w:spacing w:line="360" w:lineRule="auto"/>
        <w:ind w:right="44"/>
        <w:rPr>
          <w:b/>
          <w:bCs/>
          <w:color w:val="auto"/>
          <w:highlight w:val="none"/>
          <w:lang w:eastAsia="zh-CN"/>
        </w:rPr>
      </w:pPr>
      <w:r>
        <w:rPr>
          <w:b/>
          <w:bCs/>
          <w:color w:val="auto"/>
          <w:highlight w:val="none"/>
          <w:lang w:eastAsia="zh-CN"/>
        </w:rPr>
        <w:t>3.1 初步评审</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3.1.1评标委员会可以要求投标人提交第二章“投标人须知”规定的有关证明和证件的原件，以便核验。评标委员会依据本章第 2.1款规定的标准对投标文件进行初步评审。有一项不符合评审标准的，评标委员会应当否决其投标。</w:t>
      </w:r>
      <w:r>
        <w:rPr>
          <w:rFonts w:hint="eastAsia"/>
          <w:color w:val="auto"/>
          <w:sz w:val="24"/>
          <w:szCs w:val="24"/>
          <w:highlight w:val="none"/>
          <w:u w:val="single"/>
          <w:lang w:eastAsia="zh-CN"/>
        </w:rPr>
        <w:t>评标委员会发现投标文件中含义不明确、对同类问题表述不一致、有明显文字和计算错误的，应当要求投标人作必要的澄清、说明后再判定投标人是否通过初步评审，不得直接否决投标。</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3.1.2投标人有以下情形之一的，评标委员会应当否决其投标：</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（1）投标文件没有对招标文件的实质性要求和条件作出响应，或者对招标文件的偏差超出招标文件规定的偏差范围或最高项数；</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（2）有串通投标、弄虚作假、行贿等违法行为。</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3.1.3投标报价有算术错误及其他错误的，评标委员会按以下原则要求投标人对投标报价进行修正，并要求投标人书面澄清确认。投标人拒不澄清确认的，评标委员会应当否决其投标：</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（1）投标文件中的大写金额与小写金额不一致的，以大写金额为准；</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（2）总价金额与单价金额不一致的，以单价金额为准，但单价金额小数点有明显错误的除外。</w:t>
      </w:r>
    </w:p>
    <w:p>
      <w:pPr>
        <w:pStyle w:val="10"/>
        <w:adjustRightInd w:val="0"/>
        <w:snapToGrid w:val="0"/>
        <w:spacing w:line="360" w:lineRule="auto"/>
        <w:ind w:firstLine="480" w:firstLineChars="200"/>
        <w:rPr>
          <w:color w:val="auto"/>
          <w:sz w:val="24"/>
          <w:szCs w:val="24"/>
          <w:highlight w:val="none"/>
          <w:lang w:eastAsia="zh-CN"/>
        </w:rPr>
      </w:pPr>
      <w:r>
        <w:rPr>
          <w:color w:val="auto"/>
          <w:sz w:val="24"/>
          <w:szCs w:val="24"/>
          <w:highlight w:val="none"/>
          <w:u w:val="single"/>
          <w:lang w:eastAsia="zh-CN"/>
        </w:rPr>
        <w:t>3.1.4 只有通过初步评审的投标人才能进入下一阶段详细评审。当通过初步评审的有效投标人不足三名时，招标人应当依法重新组织招标。在进行形式评审、资格评审、响应性评审过程中，若评委意见不一致时，则按少数服从多数的原则，决定该投标人是否通过相应阶段的评审，进入下一阶段评审。</w:t>
      </w:r>
    </w:p>
    <w:p>
      <w:pPr>
        <w:pStyle w:val="5"/>
        <w:adjustRightInd w:val="0"/>
        <w:snapToGrid w:val="0"/>
        <w:spacing w:line="360" w:lineRule="auto"/>
        <w:ind w:right="44"/>
        <w:rPr>
          <w:b/>
          <w:bCs/>
          <w:color w:val="auto"/>
          <w:highlight w:val="none"/>
          <w:lang w:eastAsia="zh-CN"/>
        </w:rPr>
      </w:pPr>
      <w:r>
        <w:rPr>
          <w:b/>
          <w:bCs/>
          <w:color w:val="auto"/>
          <w:highlight w:val="none"/>
          <w:lang w:eastAsia="zh-CN"/>
        </w:rPr>
        <w:t>3.2 详细评审</w:t>
      </w:r>
    </w:p>
    <w:p>
      <w:pPr>
        <w:pStyle w:val="10"/>
        <w:adjustRightInd w:val="0"/>
        <w:snapToGrid w:val="0"/>
        <w:spacing w:line="360" w:lineRule="auto"/>
        <w:ind w:firstLine="480" w:firstLineChars="200"/>
        <w:rPr>
          <w:color w:val="auto"/>
          <w:sz w:val="24"/>
          <w:szCs w:val="24"/>
          <w:highlight w:val="none"/>
          <w:u w:val="single"/>
          <w:lang w:eastAsia="zh-CN"/>
        </w:rPr>
      </w:pPr>
      <w:r>
        <w:rPr>
          <w:color w:val="auto"/>
          <w:sz w:val="24"/>
          <w:szCs w:val="24"/>
          <w:highlight w:val="none"/>
          <w:u w:val="single"/>
          <w:lang w:eastAsia="zh-CN"/>
        </w:rPr>
        <w:t>3.2.1</w:t>
      </w:r>
      <w:r>
        <w:rPr>
          <w:rFonts w:hint="eastAsia" w:cs="宋体"/>
          <w:color w:val="auto"/>
          <w:sz w:val="24"/>
          <w:szCs w:val="24"/>
          <w:highlight w:val="none"/>
          <w:u w:val="single"/>
          <w:lang w:eastAsia="zh-CN"/>
        </w:rPr>
        <w:t>评标委员会按本章第</w:t>
      </w:r>
      <w:r>
        <w:rPr>
          <w:color w:val="auto"/>
          <w:sz w:val="24"/>
          <w:szCs w:val="24"/>
          <w:highlight w:val="none"/>
          <w:u w:val="single"/>
          <w:lang w:eastAsia="zh-CN"/>
        </w:rPr>
        <w:t xml:space="preserve"> 2.2</w:t>
      </w:r>
      <w:r>
        <w:rPr>
          <w:rFonts w:hint="eastAsia" w:cs="宋体"/>
          <w:color w:val="auto"/>
          <w:sz w:val="24"/>
          <w:szCs w:val="24"/>
          <w:highlight w:val="none"/>
          <w:u w:val="single"/>
          <w:lang w:eastAsia="zh-CN"/>
        </w:rPr>
        <w:t>款规定的量化因素和分值进行打分，并计算出综合评估得分。</w:t>
      </w:r>
    </w:p>
    <w:p>
      <w:pPr>
        <w:pStyle w:val="10"/>
        <w:adjustRightInd w:val="0"/>
        <w:snapToGrid w:val="0"/>
        <w:spacing w:line="360" w:lineRule="auto"/>
        <w:ind w:firstLine="480" w:firstLineChars="200"/>
        <w:rPr>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1</w:t>
      </w:r>
      <w:r>
        <w:rPr>
          <w:rFonts w:hint="eastAsia" w:cs="宋体"/>
          <w:color w:val="auto"/>
          <w:sz w:val="24"/>
          <w:szCs w:val="24"/>
          <w:highlight w:val="none"/>
          <w:u w:val="single"/>
          <w:lang w:eastAsia="zh-CN"/>
        </w:rPr>
        <w:t>）按本章第</w:t>
      </w:r>
      <w:r>
        <w:rPr>
          <w:rFonts w:cs="宋体"/>
          <w:color w:val="auto"/>
          <w:sz w:val="24"/>
          <w:szCs w:val="24"/>
          <w:highlight w:val="none"/>
          <w:u w:val="single"/>
          <w:lang w:eastAsia="zh-CN"/>
        </w:rPr>
        <w:t>2.2.4</w:t>
      </w:r>
      <w:r>
        <w:rPr>
          <w:rFonts w:hint="eastAsia" w:cs="宋体"/>
          <w:color w:val="auto"/>
          <w:sz w:val="24"/>
          <w:szCs w:val="24"/>
          <w:highlight w:val="none"/>
          <w:u w:val="single"/>
          <w:lang w:eastAsia="zh-CN"/>
        </w:rPr>
        <w:t>（</w:t>
      </w:r>
      <w:r>
        <w:rPr>
          <w:rFonts w:cs="宋体"/>
          <w:color w:val="auto"/>
          <w:sz w:val="24"/>
          <w:szCs w:val="24"/>
          <w:highlight w:val="none"/>
          <w:u w:val="single"/>
          <w:lang w:eastAsia="zh-CN"/>
        </w:rPr>
        <w:t>1</w:t>
      </w:r>
      <w:r>
        <w:rPr>
          <w:rFonts w:hint="eastAsia" w:cs="宋体"/>
          <w:color w:val="auto"/>
          <w:sz w:val="24"/>
          <w:szCs w:val="24"/>
          <w:highlight w:val="none"/>
          <w:u w:val="single"/>
          <w:lang w:eastAsia="zh-CN"/>
        </w:rPr>
        <w:t>）目规定的评审因素和分值对通过形式、资格、响应性评审（商务文件）的投标人的投标文件进行商务文件（资信业绩）评分计算出得分；</w:t>
      </w:r>
    </w:p>
    <w:p>
      <w:pPr>
        <w:pStyle w:val="10"/>
        <w:adjustRightInd w:val="0"/>
        <w:snapToGrid w:val="0"/>
        <w:spacing w:line="360" w:lineRule="auto"/>
        <w:ind w:firstLine="480" w:firstLineChars="200"/>
        <w:rPr>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2</w:t>
      </w:r>
      <w:r>
        <w:rPr>
          <w:rFonts w:hint="eastAsia" w:cs="宋体"/>
          <w:color w:val="auto"/>
          <w:sz w:val="24"/>
          <w:szCs w:val="24"/>
          <w:highlight w:val="none"/>
          <w:u w:val="single"/>
          <w:lang w:eastAsia="zh-CN"/>
        </w:rPr>
        <w:t>）按本章第</w:t>
      </w:r>
      <w:r>
        <w:rPr>
          <w:rFonts w:cs="宋体"/>
          <w:color w:val="auto"/>
          <w:sz w:val="24"/>
          <w:szCs w:val="24"/>
          <w:highlight w:val="none"/>
          <w:u w:val="single"/>
          <w:lang w:eastAsia="zh-CN"/>
        </w:rPr>
        <w:t>2.2.4</w:t>
      </w:r>
      <w:r>
        <w:rPr>
          <w:rFonts w:hint="eastAsia" w:cs="宋体"/>
          <w:color w:val="auto"/>
          <w:sz w:val="24"/>
          <w:szCs w:val="24"/>
          <w:highlight w:val="none"/>
          <w:u w:val="single"/>
          <w:lang w:eastAsia="zh-CN"/>
        </w:rPr>
        <w:t>（</w:t>
      </w:r>
      <w:r>
        <w:rPr>
          <w:rFonts w:cs="宋体"/>
          <w:color w:val="auto"/>
          <w:sz w:val="24"/>
          <w:szCs w:val="24"/>
          <w:highlight w:val="none"/>
          <w:u w:val="single"/>
          <w:lang w:eastAsia="zh-CN"/>
        </w:rPr>
        <w:t>2</w:t>
      </w:r>
      <w:r>
        <w:rPr>
          <w:rFonts w:hint="eastAsia" w:cs="宋体"/>
          <w:color w:val="auto"/>
          <w:sz w:val="24"/>
          <w:szCs w:val="24"/>
          <w:highlight w:val="none"/>
          <w:u w:val="single"/>
          <w:lang w:eastAsia="zh-CN"/>
        </w:rPr>
        <w:t>）目规定的评审因素和分值对通过响应性评审（技术文件）的投标人的投标文件进行技术文件（设计方案</w:t>
      </w:r>
      <w:r>
        <w:rPr>
          <w:rFonts w:cs="宋体"/>
          <w:color w:val="auto"/>
          <w:sz w:val="24"/>
          <w:szCs w:val="24"/>
          <w:highlight w:val="none"/>
          <w:u w:val="single"/>
          <w:lang w:eastAsia="zh-CN"/>
        </w:rPr>
        <w:t>)</w:t>
      </w:r>
      <w:r>
        <w:rPr>
          <w:rFonts w:hint="eastAsia" w:cs="宋体"/>
          <w:color w:val="auto"/>
          <w:sz w:val="24"/>
          <w:szCs w:val="24"/>
          <w:highlight w:val="none"/>
          <w:u w:val="single"/>
          <w:lang w:eastAsia="zh-CN"/>
        </w:rPr>
        <w:t>评分计算出得分；</w:t>
      </w:r>
    </w:p>
    <w:p>
      <w:pPr>
        <w:pStyle w:val="10"/>
        <w:adjustRightInd w:val="0"/>
        <w:snapToGrid w:val="0"/>
        <w:spacing w:line="360" w:lineRule="auto"/>
        <w:ind w:firstLine="480" w:firstLineChars="200"/>
        <w:rPr>
          <w:rFonts w:cs="宋体"/>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3</w:t>
      </w:r>
      <w:r>
        <w:rPr>
          <w:rFonts w:hint="eastAsia" w:cs="宋体"/>
          <w:color w:val="auto"/>
          <w:sz w:val="24"/>
          <w:szCs w:val="24"/>
          <w:highlight w:val="none"/>
          <w:u w:val="single"/>
          <w:lang w:eastAsia="zh-CN"/>
        </w:rPr>
        <w:t>）评标委员会揭晓投标人身份。</w:t>
      </w:r>
    </w:p>
    <w:p>
      <w:pPr>
        <w:pStyle w:val="10"/>
        <w:adjustRightInd w:val="0"/>
        <w:snapToGrid w:val="0"/>
        <w:spacing w:line="360" w:lineRule="auto"/>
        <w:ind w:firstLine="480" w:firstLineChars="200"/>
        <w:rPr>
          <w:rFonts w:cs="宋体"/>
          <w:color w:val="auto"/>
          <w:sz w:val="24"/>
          <w:szCs w:val="24"/>
          <w:highlight w:val="none"/>
          <w:u w:val="single"/>
          <w:lang w:eastAsia="zh-CN"/>
        </w:rPr>
      </w:pPr>
      <w:r>
        <w:rPr>
          <w:rFonts w:hint="eastAsia" w:cs="宋体"/>
          <w:color w:val="auto"/>
          <w:sz w:val="24"/>
          <w:szCs w:val="24"/>
          <w:highlight w:val="none"/>
          <w:u w:val="single"/>
          <w:lang w:eastAsia="zh-CN"/>
        </w:rPr>
        <w:t>（</w:t>
      </w:r>
      <w:r>
        <w:rPr>
          <w:color w:val="auto"/>
          <w:sz w:val="24"/>
          <w:szCs w:val="24"/>
          <w:highlight w:val="none"/>
          <w:u w:val="single"/>
          <w:lang w:eastAsia="zh-CN"/>
        </w:rPr>
        <w:t>4</w:t>
      </w:r>
      <w:r>
        <w:rPr>
          <w:rFonts w:hint="eastAsia" w:cs="宋体"/>
          <w:color w:val="auto"/>
          <w:sz w:val="24"/>
          <w:szCs w:val="24"/>
          <w:highlight w:val="none"/>
          <w:u w:val="single"/>
          <w:lang w:eastAsia="zh-CN"/>
        </w:rPr>
        <w:t>）评标委员会按只有通过初步评审的投标人的投标文件方可进入下一阶段评审的评审原则，在揭晓投标人身份后，根据初步评审结果，否决未通过初步评审的投标人的投标，取消其得分，且不再进入得分汇总阶段。</w:t>
      </w:r>
    </w:p>
    <w:p>
      <w:pPr>
        <w:pStyle w:val="10"/>
        <w:adjustRightInd w:val="0"/>
        <w:snapToGrid w:val="0"/>
        <w:spacing w:line="360" w:lineRule="auto"/>
        <w:ind w:firstLine="480" w:firstLineChars="200"/>
        <w:rPr>
          <w:color w:val="auto"/>
          <w:sz w:val="24"/>
          <w:szCs w:val="24"/>
          <w:highlight w:val="none"/>
          <w:u w:val="single"/>
          <w:lang w:eastAsia="zh-CN"/>
        </w:rPr>
      </w:pPr>
      <w:r>
        <w:rPr>
          <w:color w:val="auto"/>
          <w:sz w:val="24"/>
          <w:szCs w:val="24"/>
          <w:highlight w:val="none"/>
          <w:u w:val="single"/>
          <w:lang w:eastAsia="zh-CN"/>
        </w:rPr>
        <w:t>3.2.2</w:t>
      </w:r>
      <w:r>
        <w:rPr>
          <w:rFonts w:hint="eastAsia" w:cs="宋体"/>
          <w:color w:val="auto"/>
          <w:sz w:val="24"/>
          <w:szCs w:val="24"/>
          <w:highlight w:val="none"/>
          <w:u w:val="single"/>
          <w:lang w:eastAsia="zh-CN"/>
        </w:rPr>
        <w:t>评分分值计算保留小数点后两位，小数点后第三位</w:t>
      </w:r>
      <w:r>
        <w:rPr>
          <w:rFonts w:cs="Calibri"/>
          <w:color w:val="auto"/>
          <w:sz w:val="24"/>
          <w:szCs w:val="24"/>
          <w:highlight w:val="none"/>
          <w:u w:val="single"/>
          <w:lang w:eastAsia="zh-CN"/>
        </w:rPr>
        <w:t>“</w:t>
      </w:r>
      <w:r>
        <w:rPr>
          <w:rFonts w:hint="eastAsia" w:cs="宋体"/>
          <w:color w:val="auto"/>
          <w:sz w:val="24"/>
          <w:szCs w:val="24"/>
          <w:highlight w:val="none"/>
          <w:u w:val="single"/>
          <w:lang w:eastAsia="zh-CN"/>
        </w:rPr>
        <w:t>四舍五入</w:t>
      </w:r>
      <w:r>
        <w:rPr>
          <w:rFonts w:cs="Calibri"/>
          <w:color w:val="auto"/>
          <w:sz w:val="24"/>
          <w:szCs w:val="24"/>
          <w:highlight w:val="none"/>
          <w:u w:val="single"/>
          <w:lang w:eastAsia="zh-CN"/>
        </w:rPr>
        <w:t>”</w:t>
      </w:r>
      <w:r>
        <w:rPr>
          <w:rFonts w:hint="eastAsia" w:cs="宋体"/>
          <w:color w:val="auto"/>
          <w:sz w:val="24"/>
          <w:szCs w:val="24"/>
          <w:highlight w:val="none"/>
          <w:u w:val="single"/>
          <w:lang w:eastAsia="zh-CN"/>
        </w:rPr>
        <w:t>。</w:t>
      </w:r>
    </w:p>
    <w:p>
      <w:pPr>
        <w:pStyle w:val="10"/>
        <w:adjustRightInd w:val="0"/>
        <w:snapToGrid w:val="0"/>
        <w:spacing w:line="360" w:lineRule="auto"/>
        <w:ind w:left="0" w:firstLine="480" w:firstLineChars="200"/>
        <w:rPr>
          <w:color w:val="auto"/>
          <w:sz w:val="24"/>
          <w:szCs w:val="24"/>
          <w:highlight w:val="none"/>
          <w:u w:val="single"/>
          <w:lang w:eastAsia="zh-CN"/>
        </w:rPr>
      </w:pPr>
      <w:r>
        <w:rPr>
          <w:color w:val="auto"/>
          <w:sz w:val="24"/>
          <w:szCs w:val="24"/>
          <w:highlight w:val="none"/>
          <w:u w:val="single"/>
          <w:lang w:eastAsia="zh-CN"/>
        </w:rPr>
        <w:t>3.2.3</w:t>
      </w:r>
      <w:r>
        <w:rPr>
          <w:rFonts w:hint="eastAsia" w:cs="宋体"/>
          <w:color w:val="auto"/>
          <w:sz w:val="24"/>
          <w:szCs w:val="24"/>
          <w:highlight w:val="none"/>
          <w:u w:val="single"/>
          <w:lang w:eastAsia="zh-CN"/>
        </w:rPr>
        <w:t>权重分配：</w:t>
      </w:r>
      <w:r>
        <w:rPr>
          <w:rFonts w:hint="eastAsia"/>
          <w:color w:val="auto"/>
          <w:sz w:val="24"/>
          <w:szCs w:val="24"/>
          <w:highlight w:val="none"/>
          <w:u w:val="single"/>
          <w:lang w:eastAsia="zh-CN"/>
        </w:rPr>
        <w:t>商务文件（资信业绩部分）：100分（权重40%），技术文件（设计方案部分）：100分（权重60%）；</w:t>
      </w:r>
    </w:p>
    <w:p>
      <w:pPr>
        <w:pStyle w:val="10"/>
        <w:adjustRightInd w:val="0"/>
        <w:snapToGrid w:val="0"/>
        <w:spacing w:line="360" w:lineRule="auto"/>
        <w:ind w:left="0" w:firstLine="480" w:firstLineChars="200"/>
        <w:rPr>
          <w:color w:val="auto"/>
          <w:sz w:val="24"/>
          <w:szCs w:val="24"/>
          <w:highlight w:val="none"/>
          <w:u w:val="single"/>
          <w:lang w:eastAsia="zh-CN"/>
        </w:rPr>
      </w:pPr>
      <w:r>
        <w:rPr>
          <w:rFonts w:hint="eastAsia"/>
          <w:color w:val="auto"/>
          <w:sz w:val="24"/>
          <w:szCs w:val="24"/>
          <w:highlight w:val="none"/>
          <w:u w:val="single"/>
          <w:lang w:eastAsia="zh-CN"/>
        </w:rPr>
        <w:t>投标人的综合得分（满分100分）＝商务文件得分×40％+技术文件得分×60％</w:t>
      </w:r>
    </w:p>
    <w:p>
      <w:pPr>
        <w:pStyle w:val="10"/>
        <w:adjustRightInd w:val="0"/>
        <w:snapToGrid w:val="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3.2.1评标委员会按本章第 2.2款规定的量化因素和分值进行打分，并计算出综合评估得分。</w:t>
      </w:r>
    </w:p>
    <w:p>
      <w:pPr>
        <w:pStyle w:val="10"/>
        <w:adjustRightInd w:val="0"/>
        <w:snapToGrid w:val="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（1）按本章第2.2.4（1）目规定的评审因素和分值对资信业绩部分计算出得分A；</w:t>
      </w:r>
    </w:p>
    <w:p>
      <w:pPr>
        <w:pStyle w:val="10"/>
        <w:adjustRightInd w:val="0"/>
        <w:snapToGrid w:val="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（2）按本章第2.2.4（2）目规定的评审因素和分值对勘察设计方案部分计算出得分B；</w:t>
      </w:r>
    </w:p>
    <w:p>
      <w:pPr>
        <w:pStyle w:val="10"/>
        <w:adjustRightInd w:val="0"/>
        <w:snapToGrid w:val="0"/>
        <w:spacing w:line="360" w:lineRule="auto"/>
        <w:ind w:left="0" w:firstLine="480" w:firstLineChars="200"/>
        <w:rPr>
          <w:strike/>
          <w:color w:val="auto"/>
          <w:sz w:val="24"/>
          <w:szCs w:val="24"/>
          <w:highlight w:val="none"/>
          <w:lang w:eastAsia="zh-CN"/>
        </w:rPr>
      </w:pPr>
      <w:r>
        <w:rPr>
          <w:strike/>
          <w:color w:val="auto"/>
          <w:sz w:val="24"/>
          <w:szCs w:val="24"/>
          <w:highlight w:val="none"/>
          <w:lang w:eastAsia="zh-CN"/>
        </w:rPr>
        <w:t>（3）按本章第2.2.4（3）目规定的评审因素和分值对投标报价计算出得分C；</w:t>
      </w:r>
    </w:p>
    <w:p>
      <w:pPr>
        <w:pStyle w:val="10"/>
        <w:adjustRightInd w:val="0"/>
        <w:snapToGrid w:val="0"/>
        <w:spacing w:line="360" w:lineRule="auto"/>
        <w:ind w:left="1" w:firstLine="480" w:firstLineChars="200"/>
        <w:rPr>
          <w:strike/>
          <w:color w:val="auto"/>
          <w:sz w:val="24"/>
          <w:szCs w:val="24"/>
          <w:highlight w:val="none"/>
          <w:lang w:eastAsia="zh-CN"/>
        </w:rPr>
      </w:pPr>
      <w:r>
        <w:rPr>
          <w:strike/>
          <w:color w:val="auto"/>
          <w:sz w:val="24"/>
          <w:szCs w:val="24"/>
          <w:highlight w:val="none"/>
          <w:lang w:eastAsia="zh-CN"/>
        </w:rPr>
        <w:t>（4）按本章第2.2.4（4）目规定的评审因素和分值对其他部分计算出得分D。</w:t>
      </w:r>
    </w:p>
    <w:p>
      <w:pPr>
        <w:pStyle w:val="10"/>
        <w:adjustRightInd w:val="0"/>
        <w:snapToGrid w:val="0"/>
        <w:spacing w:line="360" w:lineRule="auto"/>
        <w:ind w:left="1" w:firstLine="480" w:firstLineChars="200"/>
        <w:rPr>
          <w:strike/>
          <w:color w:val="auto"/>
          <w:sz w:val="24"/>
          <w:szCs w:val="24"/>
          <w:highlight w:val="none"/>
          <w:lang w:eastAsia="zh-CN"/>
        </w:rPr>
      </w:pPr>
      <w:r>
        <w:rPr>
          <w:strike/>
          <w:color w:val="auto"/>
          <w:sz w:val="24"/>
          <w:szCs w:val="24"/>
          <w:highlight w:val="none"/>
          <w:lang w:eastAsia="zh-CN"/>
        </w:rPr>
        <w:t>3.2.2评分分值计算保留小数点后两位，小数点后第三位“四舍五入”。</w:t>
      </w:r>
    </w:p>
    <w:p>
      <w:pPr>
        <w:pStyle w:val="10"/>
        <w:adjustRightInd w:val="0"/>
        <w:snapToGrid w:val="0"/>
        <w:spacing w:line="360" w:lineRule="auto"/>
        <w:ind w:left="0" w:firstLine="480" w:firstLineChars="200"/>
        <w:rPr>
          <w:color w:val="auto"/>
          <w:sz w:val="24"/>
          <w:szCs w:val="24"/>
          <w:highlight w:val="none"/>
          <w:lang w:eastAsia="zh-CN"/>
        </w:rPr>
      </w:pPr>
      <w:r>
        <w:rPr>
          <w:strike/>
          <w:color w:val="auto"/>
          <w:sz w:val="24"/>
          <w:szCs w:val="24"/>
          <w:highlight w:val="none"/>
          <w:lang w:eastAsia="zh-CN"/>
        </w:rPr>
        <w:t>3.2.3投标人得分=A+B+C+D。</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adjustRightInd w:val="0"/>
        <w:snapToGrid w:val="0"/>
        <w:spacing w:line="360" w:lineRule="auto"/>
        <w:ind w:right="44"/>
        <w:rPr>
          <w:b/>
          <w:bCs/>
          <w:color w:val="auto"/>
          <w:highlight w:val="none"/>
          <w:lang w:eastAsia="zh-CN"/>
        </w:rPr>
      </w:pPr>
      <w:r>
        <w:rPr>
          <w:b/>
          <w:bCs/>
          <w:color w:val="auto"/>
          <w:highlight w:val="none"/>
          <w:lang w:eastAsia="zh-CN"/>
        </w:rPr>
        <w:t>3.3  投标文件的澄清</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3.3.2澄清、说明或补正不得超出投标文件的范围且不得改变投标文件的实质性内容，并构成投标文件的组成部分。</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3.3.3评标委员会对投标人提交的澄清、说明或补正有疑问的，可以要求投标人进一步澄清、说明或补正，直至满足评标委员会的要求。</w:t>
      </w:r>
    </w:p>
    <w:p>
      <w:pPr>
        <w:pStyle w:val="5"/>
        <w:adjustRightInd w:val="0"/>
        <w:snapToGrid w:val="0"/>
        <w:spacing w:line="360" w:lineRule="auto"/>
        <w:ind w:right="44"/>
        <w:rPr>
          <w:b/>
          <w:bCs/>
          <w:color w:val="auto"/>
          <w:highlight w:val="none"/>
          <w:lang w:eastAsia="zh-CN"/>
        </w:rPr>
      </w:pPr>
      <w:r>
        <w:rPr>
          <w:b/>
          <w:bCs/>
          <w:color w:val="auto"/>
          <w:highlight w:val="none"/>
          <w:lang w:eastAsia="zh-CN"/>
        </w:rPr>
        <w:t>3.4 评标结果</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3.4.1除第二章“投标人须知”前附表授权直接确定中标人外，评标委员会按照得分由高到低的顺序推荐</w:t>
      </w:r>
      <w:r>
        <w:rPr>
          <w:rFonts w:hint="eastAsia"/>
          <w:color w:val="auto"/>
          <w:sz w:val="24"/>
          <w:szCs w:val="24"/>
          <w:highlight w:val="none"/>
          <w:u w:val="single"/>
          <w:lang w:eastAsia="zh-CN"/>
        </w:rPr>
        <w:t>进入定标阶段</w:t>
      </w:r>
      <w:r>
        <w:rPr>
          <w:color w:val="auto"/>
          <w:sz w:val="24"/>
          <w:szCs w:val="24"/>
          <w:highlight w:val="none"/>
          <w:lang w:eastAsia="zh-CN"/>
        </w:rPr>
        <w:t>候选人，</w:t>
      </w:r>
      <w:r>
        <w:rPr>
          <w:rFonts w:hint="eastAsia"/>
          <w:color w:val="auto"/>
          <w:sz w:val="24"/>
          <w:szCs w:val="24"/>
          <w:highlight w:val="none"/>
          <w:lang w:eastAsia="zh-CN"/>
        </w:rPr>
        <w:t>不</w:t>
      </w:r>
      <w:r>
        <w:rPr>
          <w:color w:val="auto"/>
          <w:sz w:val="24"/>
          <w:szCs w:val="24"/>
          <w:highlight w:val="none"/>
          <w:lang w:eastAsia="zh-CN"/>
        </w:rPr>
        <w:t>排序。</w:t>
      </w:r>
    </w:p>
    <w:p>
      <w:pPr>
        <w:pStyle w:val="10"/>
        <w:adjustRightInd w:val="0"/>
        <w:snapToGrid w:val="0"/>
        <w:spacing w:line="360" w:lineRule="auto"/>
        <w:ind w:left="0" w:firstLine="480" w:firstLineChars="200"/>
        <w:rPr>
          <w:color w:val="auto"/>
          <w:sz w:val="24"/>
          <w:szCs w:val="24"/>
          <w:highlight w:val="none"/>
          <w:lang w:eastAsia="zh-CN"/>
        </w:rPr>
      </w:pPr>
      <w:r>
        <w:rPr>
          <w:color w:val="auto"/>
          <w:sz w:val="24"/>
          <w:szCs w:val="24"/>
          <w:highlight w:val="none"/>
          <w:lang w:eastAsia="zh-CN"/>
        </w:rPr>
        <w:t>3.4.2评标委员会完成评标后，应当向招标人提交书面评标报告</w:t>
      </w:r>
      <w:r>
        <w:rPr>
          <w:color w:val="auto"/>
          <w:sz w:val="24"/>
          <w:szCs w:val="24"/>
          <w:highlight w:val="none"/>
          <w:u w:val="single"/>
          <w:lang w:eastAsia="zh-CN"/>
        </w:rPr>
        <w:t>和</w:t>
      </w:r>
      <w:r>
        <w:rPr>
          <w:rFonts w:hint="eastAsia"/>
          <w:color w:val="auto"/>
          <w:sz w:val="24"/>
          <w:szCs w:val="24"/>
          <w:highlight w:val="none"/>
          <w:u w:val="single"/>
          <w:lang w:eastAsia="zh-CN"/>
        </w:rPr>
        <w:t>进入定标阶段</w:t>
      </w:r>
      <w:r>
        <w:rPr>
          <w:color w:val="auto"/>
          <w:sz w:val="24"/>
          <w:szCs w:val="24"/>
          <w:highlight w:val="none"/>
          <w:lang w:eastAsia="zh-CN"/>
        </w:rPr>
        <w:t>候选人名单。</w:t>
      </w:r>
      <w:bookmarkStart w:id="57" w:name="_Toc25137997"/>
    </w:p>
    <w:p>
      <w:pPr>
        <w:pStyle w:val="5"/>
        <w:adjustRightInd w:val="0"/>
        <w:snapToGrid w:val="0"/>
        <w:spacing w:line="360" w:lineRule="auto"/>
        <w:ind w:left="0" w:right="44"/>
        <w:rPr>
          <w:b/>
          <w:bCs/>
          <w:color w:val="auto"/>
          <w:highlight w:val="none"/>
          <w:lang w:eastAsia="zh-CN"/>
        </w:rPr>
      </w:pPr>
      <w:r>
        <w:rPr>
          <w:rFonts w:hint="eastAsia"/>
          <w:b/>
          <w:bCs/>
          <w:color w:val="auto"/>
          <w:highlight w:val="none"/>
          <w:lang w:eastAsia="zh-CN"/>
        </w:rPr>
        <w:t>3</w:t>
      </w:r>
      <w:r>
        <w:rPr>
          <w:b/>
          <w:bCs/>
          <w:color w:val="auto"/>
          <w:highlight w:val="none"/>
          <w:lang w:eastAsia="zh-CN"/>
        </w:rPr>
        <w:t>.5</w:t>
      </w:r>
      <w:r>
        <w:rPr>
          <w:rFonts w:hint="eastAsia"/>
          <w:b/>
          <w:bCs/>
          <w:color w:val="auto"/>
          <w:highlight w:val="none"/>
          <w:lang w:eastAsia="zh-CN"/>
        </w:rPr>
        <w:t>定标</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ascii="宋体" w:hAnsi="宋体" w:eastAsia="宋体"/>
          <w:color w:val="auto"/>
          <w:highlight w:val="none"/>
          <w:shd w:val="clear" w:color="auto" w:fill="FFFFFF"/>
        </w:rPr>
        <w:t>3.5.</w:t>
      </w:r>
      <w:r>
        <w:rPr>
          <w:rFonts w:hint="eastAsia" w:ascii="宋体" w:hAnsi="宋体" w:eastAsia="宋体"/>
          <w:color w:val="auto"/>
          <w:highlight w:val="none"/>
          <w:shd w:val="clear" w:color="auto" w:fill="FFFFFF"/>
        </w:rPr>
        <w:t>1.中标候选人公示结束后，招标人按以下规定组建定标委员会，在评标委员会推荐的合格中标候选人中确定中标人：</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（1）定标由招标人依法组建的定标委员会负责，成员数量为5人或以上单数。</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（2）招标人应当组建监督小组对定标过程进行见证监督。</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w:t>
      </w:r>
      <w:r>
        <w:rPr>
          <w:rFonts w:ascii="宋体" w:hAnsi="宋体" w:eastAsia="宋体"/>
          <w:color w:val="auto"/>
          <w:highlight w:val="none"/>
          <w:shd w:val="clear" w:color="auto" w:fill="FFFFFF"/>
        </w:rPr>
        <w:t>3</w:t>
      </w:r>
      <w:r>
        <w:rPr>
          <w:rFonts w:hint="eastAsia" w:ascii="宋体" w:hAnsi="宋体" w:eastAsia="宋体"/>
          <w:color w:val="auto"/>
          <w:highlight w:val="none"/>
          <w:shd w:val="clear" w:color="auto" w:fill="FFFFFF"/>
        </w:rPr>
        <w:t>）</w:t>
      </w:r>
      <w:r>
        <w:rPr>
          <w:rFonts w:hint="eastAsia" w:ascii="宋体" w:hAnsi="宋体" w:eastAsia="宋体"/>
          <w:b/>
          <w:bCs/>
          <w:color w:val="auto"/>
          <w:highlight w:val="none"/>
          <w:u w:val="single"/>
          <w:shd w:val="clear" w:color="auto" w:fill="FFFFFF"/>
        </w:rPr>
        <w:t>定标委员会成员不得参与评标阶段工作（包括但不限于评标组织、评标评审工作）及定标前期准备工作</w:t>
      </w:r>
      <w:r>
        <w:rPr>
          <w:rFonts w:hint="eastAsia" w:ascii="宋体" w:hAnsi="宋体" w:eastAsia="宋体"/>
          <w:color w:val="auto"/>
          <w:highlight w:val="none"/>
          <w:shd w:val="clear" w:color="auto" w:fill="FFFFFF"/>
        </w:rPr>
        <w:t>。</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ascii="宋体" w:hAnsi="宋体" w:eastAsia="宋体"/>
          <w:color w:val="auto"/>
          <w:highlight w:val="none"/>
          <w:shd w:val="clear" w:color="auto" w:fill="FFFFFF"/>
        </w:rPr>
        <w:t>3.5.</w:t>
      </w:r>
      <w:r>
        <w:rPr>
          <w:rFonts w:hint="eastAsia" w:ascii="宋体" w:hAnsi="宋体" w:eastAsia="宋体"/>
          <w:color w:val="auto"/>
          <w:highlight w:val="none"/>
          <w:shd w:val="clear" w:color="auto" w:fill="FFFFFF"/>
        </w:rPr>
        <w:t>2.定标时间和地点</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招标人在合格的中标候选人公示结束后10个工作日内在广州公共资源交易中心举行定标会议，招标人按规定程序在投标人须知的时间和地点完成定标工作。</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ascii="宋体" w:hAnsi="宋体" w:eastAsia="宋体"/>
          <w:color w:val="auto"/>
          <w:highlight w:val="none"/>
          <w:shd w:val="clear" w:color="auto" w:fill="FFFFFF"/>
        </w:rPr>
        <w:t>3.5.</w:t>
      </w:r>
      <w:r>
        <w:rPr>
          <w:rFonts w:hint="eastAsia" w:ascii="宋体" w:hAnsi="宋体" w:eastAsia="宋体"/>
          <w:color w:val="auto"/>
          <w:highlight w:val="none"/>
          <w:shd w:val="clear" w:color="auto" w:fill="FFFFFF"/>
        </w:rPr>
        <w:t>3.定标规则</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本项目采用 “直接票决定标法”定标方法如下：</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（1）定标委员会对各合格的入围候选人进行审查。</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（2）定标投票开始后，定标委员会应推荐一人为定标委员会组长，主持当次定标会议。</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（3）定标委员会</w:t>
      </w:r>
      <w:r>
        <w:rPr>
          <w:rFonts w:hint="eastAsia" w:ascii="宋体" w:hAnsi="宋体" w:eastAsia="宋体"/>
          <w:b/>
          <w:bCs/>
          <w:color w:val="auto"/>
          <w:highlight w:val="none"/>
          <w:u w:val="single"/>
          <w:shd w:val="clear" w:color="auto" w:fill="FFFFFF"/>
        </w:rPr>
        <w:t>成员</w:t>
      </w:r>
      <w:r>
        <w:rPr>
          <w:rFonts w:hint="eastAsia" w:ascii="宋体" w:hAnsi="宋体" w:eastAsia="宋体"/>
          <w:color w:val="auto"/>
          <w:highlight w:val="none"/>
          <w:shd w:val="clear" w:color="auto" w:fill="FFFFFF"/>
        </w:rPr>
        <w:t>根据定标因素</w:t>
      </w:r>
      <w:r>
        <w:rPr>
          <w:rFonts w:hint="eastAsia" w:ascii="宋体" w:hAnsi="宋体" w:eastAsia="宋体"/>
          <w:b/>
          <w:bCs/>
          <w:color w:val="auto"/>
          <w:highlight w:val="none"/>
          <w:u w:val="single"/>
          <w:shd w:val="clear" w:color="auto" w:fill="FFFFFF"/>
        </w:rPr>
        <w:t>对各中标候选人提供的定标文件分别撰写评语，并</w:t>
      </w:r>
      <w:r>
        <w:rPr>
          <w:rFonts w:hint="eastAsia" w:ascii="宋体" w:hAnsi="宋体" w:eastAsia="宋体"/>
          <w:color w:val="auto"/>
          <w:highlight w:val="none"/>
          <w:shd w:val="clear" w:color="auto" w:fill="FFFFFF"/>
        </w:rPr>
        <w:t>进行记名投票，</w:t>
      </w:r>
      <w:r>
        <w:rPr>
          <w:rFonts w:hint="eastAsia" w:ascii="宋体" w:hAnsi="宋体" w:eastAsia="宋体"/>
          <w:b/>
          <w:bCs/>
          <w:color w:val="auto"/>
          <w:highlight w:val="none"/>
          <w:u w:val="single"/>
          <w:shd w:val="clear" w:color="auto" w:fill="FFFFFF"/>
        </w:rPr>
        <w:t>汇总票数，揭晓进入定标阶段的中标候选人身份，按选票情况</w:t>
      </w:r>
      <w:r>
        <w:rPr>
          <w:rFonts w:hint="eastAsia" w:ascii="宋体" w:hAnsi="宋体" w:eastAsia="宋体"/>
          <w:color w:val="auto"/>
          <w:highlight w:val="none"/>
          <w:shd w:val="clear" w:color="auto" w:fill="FFFFFF"/>
        </w:rPr>
        <w:t>推荐中标人，定标因素如下：</w:t>
      </w:r>
    </w:p>
    <w:tbl>
      <w:tblPr>
        <w:tblStyle w:val="25"/>
        <w:tblW w:w="895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48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09" w:type="dxa"/>
            <w:noWrap/>
            <w:vAlign w:val="center"/>
          </w:tcPr>
          <w:p>
            <w:pPr>
              <w:pStyle w:val="50"/>
              <w:adjustRightInd w:val="0"/>
              <w:snapToGrid w:val="0"/>
              <w:rPr>
                <w:rFonts w:ascii="宋体" w:hAnsi="宋体"/>
                <w:b w:val="0"/>
                <w:color w:val="auto"/>
                <w:sz w:val="24"/>
                <w:highlight w:val="none"/>
              </w:rPr>
            </w:pPr>
            <w:r>
              <w:rPr>
                <w:rFonts w:hint="eastAsia" w:ascii="宋体" w:hAnsi="宋体"/>
                <w:b w:val="0"/>
                <w:color w:val="auto"/>
                <w:sz w:val="24"/>
                <w:highlight w:val="none"/>
              </w:rPr>
              <w:t>序号</w:t>
            </w:r>
          </w:p>
        </w:tc>
        <w:tc>
          <w:tcPr>
            <w:tcW w:w="1485" w:type="dxa"/>
            <w:noWrap/>
            <w:vAlign w:val="center"/>
          </w:tcPr>
          <w:p>
            <w:pPr>
              <w:pStyle w:val="50"/>
              <w:adjustRightInd w:val="0"/>
              <w:snapToGrid w:val="0"/>
              <w:rPr>
                <w:rFonts w:ascii="宋体" w:hAnsi="宋体"/>
                <w:b w:val="0"/>
                <w:color w:val="auto"/>
                <w:sz w:val="24"/>
                <w:highlight w:val="none"/>
              </w:rPr>
            </w:pPr>
            <w:r>
              <w:rPr>
                <w:rFonts w:hint="eastAsia" w:ascii="宋体" w:hAnsi="宋体"/>
                <w:b w:val="0"/>
                <w:color w:val="auto"/>
                <w:sz w:val="24"/>
                <w:highlight w:val="none"/>
              </w:rPr>
              <w:t>内容</w:t>
            </w:r>
          </w:p>
        </w:tc>
        <w:tc>
          <w:tcPr>
            <w:tcW w:w="6665" w:type="dxa"/>
            <w:noWrap/>
            <w:vAlign w:val="center"/>
          </w:tcPr>
          <w:p>
            <w:pPr>
              <w:pStyle w:val="50"/>
              <w:adjustRightInd w:val="0"/>
              <w:snapToGrid w:val="0"/>
              <w:rPr>
                <w:rFonts w:ascii="宋体" w:hAnsi="宋体"/>
                <w:b w:val="0"/>
                <w:color w:val="auto"/>
                <w:sz w:val="24"/>
                <w:highlight w:val="none"/>
              </w:rPr>
            </w:pPr>
            <w:r>
              <w:rPr>
                <w:rFonts w:hint="eastAsia" w:ascii="宋体" w:hAnsi="宋体"/>
                <w:b w:val="0"/>
                <w:color w:val="auto"/>
                <w:sz w:val="24"/>
                <w:highlight w:val="none"/>
              </w:rPr>
              <w:t>定标因素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09" w:type="dxa"/>
            <w:noWrap/>
            <w:vAlign w:val="center"/>
          </w:tcPr>
          <w:p>
            <w:pPr>
              <w:pStyle w:val="50"/>
              <w:adjustRightInd w:val="0"/>
              <w:snapToGrid w:val="0"/>
              <w:spacing w:line="360" w:lineRule="auto"/>
              <w:rPr>
                <w:rFonts w:ascii="宋体" w:hAnsi="宋体"/>
                <w:b w:val="0"/>
                <w:color w:val="auto"/>
                <w:sz w:val="24"/>
                <w:highlight w:val="none"/>
              </w:rPr>
            </w:pPr>
            <w:r>
              <w:rPr>
                <w:rFonts w:ascii="宋体" w:hAnsi="宋体"/>
                <w:b w:val="0"/>
                <w:color w:val="auto"/>
                <w:sz w:val="24"/>
                <w:highlight w:val="none"/>
              </w:rPr>
              <w:t>1</w:t>
            </w:r>
          </w:p>
        </w:tc>
        <w:tc>
          <w:tcPr>
            <w:tcW w:w="1485" w:type="dxa"/>
            <w:noWrap/>
            <w:vAlign w:val="center"/>
          </w:tcPr>
          <w:p>
            <w:pPr>
              <w:pStyle w:val="50"/>
              <w:adjustRightInd w:val="0"/>
              <w:snapToGrid w:val="0"/>
              <w:spacing w:line="360" w:lineRule="auto"/>
              <w:rPr>
                <w:rFonts w:ascii="宋体" w:hAnsi="宋体"/>
                <w:b w:val="0"/>
                <w:color w:val="auto"/>
                <w:sz w:val="24"/>
                <w:highlight w:val="none"/>
              </w:rPr>
            </w:pPr>
            <w:r>
              <w:rPr>
                <w:rFonts w:hint="eastAsia" w:ascii="宋体" w:hAnsi="宋体"/>
                <w:b w:val="0"/>
                <w:color w:val="auto"/>
                <w:sz w:val="24"/>
                <w:highlight w:val="none"/>
              </w:rPr>
              <w:t>方案因素</w:t>
            </w:r>
          </w:p>
        </w:tc>
        <w:tc>
          <w:tcPr>
            <w:tcW w:w="6665" w:type="dxa"/>
            <w:noWrap/>
            <w:vAlign w:val="center"/>
          </w:tcPr>
          <w:p>
            <w:pPr>
              <w:pStyle w:val="50"/>
              <w:adjustRightInd w:val="0"/>
              <w:snapToGrid w:val="0"/>
              <w:spacing w:line="360" w:lineRule="auto"/>
              <w:jc w:val="both"/>
              <w:rPr>
                <w:rFonts w:ascii="宋体" w:hAnsi="宋体"/>
                <w:b w:val="0"/>
                <w:color w:val="auto"/>
                <w:sz w:val="24"/>
                <w:highlight w:val="none"/>
              </w:rPr>
            </w:pPr>
            <w:r>
              <w:rPr>
                <w:rFonts w:hint="eastAsia" w:ascii="宋体" w:hAnsi="宋体"/>
                <w:b w:val="0"/>
                <w:color w:val="auto"/>
                <w:sz w:val="24"/>
                <w:highlight w:val="none"/>
              </w:rPr>
              <w:t>结合广东省计量科学研究院知识城检测基地项目设计理念、项目需求、使用功能、配套设施、经济、美观等因素进行评审。</w:t>
            </w:r>
          </w:p>
        </w:tc>
      </w:tr>
    </w:tbl>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ascii="宋体" w:hAnsi="宋体" w:eastAsia="宋体"/>
          <w:color w:val="auto"/>
          <w:highlight w:val="none"/>
          <w:shd w:val="clear" w:color="auto" w:fill="FFFFFF"/>
        </w:rPr>
        <w:t>3.5.</w:t>
      </w:r>
      <w:r>
        <w:rPr>
          <w:rFonts w:hint="eastAsia" w:ascii="宋体" w:hAnsi="宋体" w:eastAsia="宋体"/>
          <w:color w:val="auto"/>
          <w:highlight w:val="none"/>
          <w:shd w:val="clear" w:color="auto" w:fill="FFFFFF"/>
        </w:rPr>
        <w:t>4.定标程序</w:t>
      </w:r>
    </w:p>
    <w:p>
      <w:pPr>
        <w:pStyle w:val="23"/>
        <w:adjustRightInd w:val="0"/>
        <w:snapToGrid w:val="0"/>
        <w:spacing w:line="360" w:lineRule="auto"/>
        <w:ind w:firstLine="484" w:firstLineChars="202"/>
        <w:rPr>
          <w:rFonts w:ascii="宋体" w:hAnsi="宋体" w:eastAsia="宋体"/>
          <w:b/>
          <w:bCs/>
          <w:color w:val="auto"/>
          <w:highlight w:val="none"/>
          <w:u w:val="single"/>
          <w:shd w:val="clear" w:color="auto" w:fill="FFFFFF"/>
        </w:rPr>
      </w:pPr>
      <w:r>
        <w:rPr>
          <w:rFonts w:hint="eastAsia" w:ascii="宋体" w:hAnsi="宋体" w:eastAsia="宋体"/>
          <w:b/>
          <w:bCs/>
          <w:color w:val="auto"/>
          <w:highlight w:val="none"/>
          <w:u w:val="single"/>
          <w:shd w:val="clear" w:color="auto" w:fill="FFFFFF"/>
        </w:rPr>
        <w:t>特别提示：参与评标阶段工作的人员（含招标人在评标阶段委派的业主评委，参与评标阶段工作的招标人代表、招标代理工作人员、交易中心工作人员等）不得担任定标委员会成员，且不得对外透露评标阶段的相关情况（含设计方案评审情况、暗标编号等）。</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（1）定标辅助文件为评标阶段的评标报告、投标人提交的定标资料。</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（2）投票规则：定标委员会根据定标因素对进入定标阶段的</w:t>
      </w:r>
      <w:r>
        <w:rPr>
          <w:rFonts w:ascii="宋体" w:hAnsi="宋体" w:eastAsia="宋体"/>
          <w:color w:val="auto"/>
          <w:highlight w:val="none"/>
          <w:shd w:val="clear" w:color="auto" w:fill="FFFFFF"/>
        </w:rPr>
        <w:t>6</w:t>
      </w:r>
      <w:r>
        <w:rPr>
          <w:rFonts w:hint="eastAsia" w:ascii="宋体" w:hAnsi="宋体" w:eastAsia="宋体"/>
          <w:color w:val="auto"/>
          <w:highlight w:val="none"/>
          <w:shd w:val="clear" w:color="auto" w:fill="FFFFFF"/>
        </w:rPr>
        <w:t>名</w:t>
      </w:r>
      <w:r>
        <w:rPr>
          <w:rFonts w:hint="eastAsia" w:ascii="宋体" w:hAnsi="宋体" w:eastAsia="宋体"/>
          <w:b/>
          <w:bCs/>
          <w:color w:val="auto"/>
          <w:highlight w:val="none"/>
          <w:u w:val="single"/>
          <w:shd w:val="clear" w:color="auto" w:fill="FFFFFF"/>
        </w:rPr>
        <w:t>（不足6名的，以实际中标候选人数量为准）</w:t>
      </w:r>
      <w:r>
        <w:rPr>
          <w:rFonts w:hint="eastAsia" w:ascii="宋体" w:hAnsi="宋体" w:eastAsia="宋体"/>
          <w:color w:val="auto"/>
          <w:highlight w:val="none"/>
          <w:shd w:val="clear" w:color="auto" w:fill="FFFFFF"/>
        </w:rPr>
        <w:t>合格的中标候选人</w:t>
      </w:r>
      <w:r>
        <w:rPr>
          <w:rFonts w:hint="eastAsia" w:ascii="宋体" w:hAnsi="宋体" w:eastAsia="宋体"/>
          <w:b/>
          <w:bCs/>
          <w:color w:val="auto"/>
          <w:highlight w:val="none"/>
          <w:u w:val="single"/>
          <w:shd w:val="clear" w:color="auto" w:fill="FFFFFF"/>
        </w:rPr>
        <w:t>提供的定标文件撰写评语，及</w:t>
      </w:r>
      <w:r>
        <w:rPr>
          <w:rFonts w:hint="eastAsia" w:ascii="宋体" w:hAnsi="宋体" w:eastAsia="宋体"/>
          <w:color w:val="auto"/>
          <w:highlight w:val="none"/>
          <w:shd w:val="clear" w:color="auto" w:fill="FFFFFF"/>
        </w:rPr>
        <w:t>进行综合比较并投票，定标委员会根据进入定标阶段的中标候选人数量情况，分别采取以下方式：</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A、当进入定标阶段人数为</w:t>
      </w:r>
      <w:r>
        <w:rPr>
          <w:rFonts w:ascii="宋体" w:hAnsi="宋体" w:eastAsia="宋体"/>
          <w:color w:val="auto"/>
          <w:highlight w:val="none"/>
          <w:shd w:val="clear" w:color="auto" w:fill="FFFFFF"/>
        </w:rPr>
        <w:t>4至6人</w:t>
      </w:r>
      <w:r>
        <w:rPr>
          <w:rFonts w:hint="eastAsia" w:ascii="宋体" w:hAnsi="宋体" w:eastAsia="宋体"/>
          <w:color w:val="auto"/>
          <w:highlight w:val="none"/>
          <w:shd w:val="clear" w:color="auto" w:fill="FFFFFF"/>
        </w:rPr>
        <w:t>时，根据定标因素，对进入定标阶段的所有中标候选人进行综合比较并投票选取3名中标候选人入围第二轮。定标委员会进行投票，每位定标委员可投3票，每位定标委员对同一中标候选人只能投</w:t>
      </w:r>
      <w:r>
        <w:rPr>
          <w:rFonts w:ascii="宋体" w:hAnsi="宋体" w:eastAsia="宋体"/>
          <w:color w:val="auto"/>
          <w:highlight w:val="none"/>
          <w:shd w:val="clear" w:color="auto" w:fill="FFFFFF"/>
        </w:rPr>
        <w:t>1票，得票数排名前</w:t>
      </w:r>
      <w:r>
        <w:rPr>
          <w:rFonts w:hint="eastAsia" w:ascii="宋体" w:hAnsi="宋体" w:eastAsia="宋体"/>
          <w:color w:val="auto"/>
          <w:highlight w:val="none"/>
          <w:shd w:val="clear" w:color="auto" w:fill="FFFFFF"/>
        </w:rPr>
        <w:t>3名的中候选人入围第二轮，定标委员会对入围第二轮投票的中标候选人，根据定标因素进行再次综合比较后进行投票，每位定标委员只有</w:t>
      </w:r>
      <w:r>
        <w:rPr>
          <w:rFonts w:ascii="宋体" w:hAnsi="宋体" w:eastAsia="宋体"/>
          <w:color w:val="auto"/>
          <w:highlight w:val="none"/>
          <w:shd w:val="clear" w:color="auto" w:fill="FFFFFF"/>
        </w:rPr>
        <w:t>1票表决权（即每位定标委员只能对其中一家中标候选人投票），得票数最多的中标候选人为中标人。</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B、当进入定标阶段人数为</w:t>
      </w:r>
      <w:r>
        <w:rPr>
          <w:rFonts w:ascii="宋体" w:hAnsi="宋体" w:eastAsia="宋体"/>
          <w:color w:val="auto"/>
          <w:highlight w:val="none"/>
          <w:shd w:val="clear" w:color="auto" w:fill="FFFFFF"/>
        </w:rPr>
        <w:t>3人</w:t>
      </w:r>
      <w:r>
        <w:rPr>
          <w:rFonts w:hint="eastAsia" w:ascii="宋体" w:hAnsi="宋体" w:eastAsia="宋体"/>
          <w:color w:val="auto"/>
          <w:highlight w:val="none"/>
          <w:shd w:val="clear" w:color="auto" w:fill="FFFFFF"/>
        </w:rPr>
        <w:t>时，定标委员会直接根据定标因素进行综合比较后进行投票，每位定标委员只有</w:t>
      </w:r>
      <w:r>
        <w:rPr>
          <w:rFonts w:ascii="宋体" w:hAnsi="宋体" w:eastAsia="宋体"/>
          <w:color w:val="auto"/>
          <w:highlight w:val="none"/>
          <w:shd w:val="clear" w:color="auto" w:fill="FFFFFF"/>
        </w:rPr>
        <w:t>1票表决权（即每位定标委员只能对其中一家中标候选人投票），得票数最多的中标候选人为中标人。</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注：每轮投票若出现票数相同且无法决出入围第二轮名单或无法决出中标人时，对票数相同的中标候选人再进行一次或多次的附加投票，直至确定入围第二轮名单或确定中标人。</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w:t>
      </w:r>
      <w:r>
        <w:rPr>
          <w:rFonts w:ascii="宋体" w:hAnsi="宋体" w:eastAsia="宋体"/>
          <w:color w:val="auto"/>
          <w:highlight w:val="none"/>
          <w:shd w:val="clear" w:color="auto" w:fill="FFFFFF"/>
        </w:rPr>
        <w:t>3</w:t>
      </w:r>
      <w:r>
        <w:rPr>
          <w:rFonts w:hint="eastAsia" w:ascii="宋体" w:hAnsi="宋体" w:eastAsia="宋体"/>
          <w:color w:val="auto"/>
          <w:highlight w:val="none"/>
          <w:shd w:val="clear" w:color="auto" w:fill="FFFFFF"/>
        </w:rPr>
        <w:t>）定标委员会中的各定标委员应独立投票，可以弃权，当弃权票数达到定标委员会人数50%或以上时，本次定标会无效，招标人重新组建定标委员会或重新招标。</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w:t>
      </w:r>
      <w:r>
        <w:rPr>
          <w:rFonts w:ascii="宋体" w:hAnsi="宋体" w:eastAsia="宋体"/>
          <w:color w:val="auto"/>
          <w:highlight w:val="none"/>
          <w:shd w:val="clear" w:color="auto" w:fill="FFFFFF"/>
        </w:rPr>
        <w:t>4</w:t>
      </w:r>
      <w:r>
        <w:rPr>
          <w:rFonts w:hint="eastAsia" w:ascii="宋体" w:hAnsi="宋体" w:eastAsia="宋体"/>
          <w:color w:val="auto"/>
          <w:highlight w:val="none"/>
          <w:shd w:val="clear" w:color="auto" w:fill="FFFFFF"/>
        </w:rPr>
        <w:t>）定标委员会</w:t>
      </w:r>
      <w:r>
        <w:rPr>
          <w:rFonts w:hint="eastAsia" w:ascii="宋体" w:hAnsi="宋体" w:eastAsia="宋体"/>
          <w:b/>
          <w:bCs/>
          <w:color w:val="auto"/>
          <w:highlight w:val="none"/>
          <w:u w:val="single"/>
          <w:shd w:val="clear" w:color="auto" w:fill="FFFFFF"/>
        </w:rPr>
        <w:t>揭晓进入定标阶段的中标候选人身份，</w:t>
      </w:r>
      <w:r>
        <w:rPr>
          <w:rFonts w:hint="eastAsia" w:ascii="宋体" w:hAnsi="宋体" w:eastAsia="宋体"/>
          <w:color w:val="auto"/>
          <w:highlight w:val="none"/>
          <w:shd w:val="clear" w:color="auto" w:fill="FFFFFF"/>
        </w:rPr>
        <w:t>根据选票情况确定中标人。</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w:t>
      </w:r>
      <w:r>
        <w:rPr>
          <w:rFonts w:ascii="宋体" w:hAnsi="宋体" w:eastAsia="宋体"/>
          <w:color w:val="auto"/>
          <w:highlight w:val="none"/>
          <w:shd w:val="clear" w:color="auto" w:fill="FFFFFF"/>
        </w:rPr>
        <w:t>5</w:t>
      </w:r>
      <w:r>
        <w:rPr>
          <w:rFonts w:hint="eastAsia" w:ascii="宋体" w:hAnsi="宋体" w:eastAsia="宋体"/>
          <w:color w:val="auto"/>
          <w:highlight w:val="none"/>
          <w:shd w:val="clear" w:color="auto" w:fill="FFFFFF"/>
        </w:rPr>
        <w:t>）编写定标报告，定标委员会全体确认后签署定标报告。</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w:t>
      </w:r>
      <w:r>
        <w:rPr>
          <w:rFonts w:ascii="宋体" w:hAnsi="宋体" w:eastAsia="宋体"/>
          <w:color w:val="auto"/>
          <w:highlight w:val="none"/>
          <w:shd w:val="clear" w:color="auto" w:fill="FFFFFF"/>
        </w:rPr>
        <w:t>6</w:t>
      </w:r>
      <w:r>
        <w:rPr>
          <w:rFonts w:hint="eastAsia" w:ascii="宋体" w:hAnsi="宋体" w:eastAsia="宋体"/>
          <w:color w:val="auto"/>
          <w:highlight w:val="none"/>
          <w:shd w:val="clear" w:color="auto" w:fill="FFFFFF"/>
        </w:rPr>
        <w:t>）招标人（招标代理）与中标人签订合同或办理施工许可前，如发现中标人委派的项目负责人不符合任职要求，则招标人有权取消其中标人资格或解除合同，从其他合格的中标候选人中采用原定标办法，由原定标委员会确定中标人，招标人也可以重新招标。</w:t>
      </w:r>
    </w:p>
    <w:p>
      <w:pPr>
        <w:pStyle w:val="23"/>
        <w:adjustRightInd w:val="0"/>
        <w:snapToGrid w:val="0"/>
        <w:spacing w:line="360" w:lineRule="auto"/>
        <w:ind w:firstLine="484" w:firstLineChars="202"/>
        <w:rPr>
          <w:rFonts w:ascii="宋体" w:hAnsi="宋体" w:eastAsia="宋体"/>
          <w:color w:val="auto"/>
          <w:highlight w:val="none"/>
          <w:shd w:val="clear" w:color="auto" w:fill="FFFFFF"/>
        </w:rPr>
      </w:pPr>
      <w:r>
        <w:rPr>
          <w:rFonts w:hint="eastAsia" w:ascii="宋体" w:hAnsi="宋体" w:eastAsia="宋体"/>
          <w:color w:val="auto"/>
          <w:highlight w:val="none"/>
          <w:shd w:val="clear" w:color="auto" w:fill="FFFFFF"/>
        </w:rPr>
        <w:t>（</w:t>
      </w:r>
      <w:r>
        <w:rPr>
          <w:rFonts w:ascii="宋体" w:hAnsi="宋体" w:eastAsia="宋体"/>
          <w:color w:val="auto"/>
          <w:highlight w:val="none"/>
          <w:shd w:val="clear" w:color="auto" w:fill="FFFFFF"/>
        </w:rPr>
        <w:t>7</w:t>
      </w:r>
      <w:r>
        <w:rPr>
          <w:rFonts w:hint="eastAsia" w:ascii="宋体" w:hAnsi="宋体" w:eastAsia="宋体"/>
          <w:color w:val="auto"/>
          <w:highlight w:val="none"/>
          <w:shd w:val="clear" w:color="auto" w:fill="FFFFFF"/>
        </w:rPr>
        <w:t>）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pPr>
        <w:adjustRightInd w:val="0"/>
        <w:snapToGrid w:val="0"/>
        <w:spacing w:line="360" w:lineRule="auto"/>
        <w:ind w:firstLine="480" w:firstLineChars="200"/>
        <w:rPr>
          <w:rFonts w:ascii="仿宋_GB2312" w:eastAsia="宋体"/>
          <w:color w:val="auto"/>
          <w:kern w:val="2"/>
          <w:sz w:val="32"/>
          <w:szCs w:val="20"/>
          <w:highlight w:val="none"/>
          <w:lang w:eastAsia="zh-CN"/>
        </w:rPr>
      </w:pPr>
      <w:r>
        <w:rPr>
          <w:rFonts w:hint="eastAsia" w:ascii="宋体" w:hAnsi="宋体" w:eastAsia="宋体"/>
          <w:color w:val="auto"/>
          <w:sz w:val="24"/>
          <w:szCs w:val="24"/>
          <w:highlight w:val="none"/>
          <w:shd w:val="clear" w:color="auto" w:fill="FFFFFF"/>
          <w:lang w:eastAsia="zh-CN"/>
        </w:rPr>
        <w:t>（</w:t>
      </w:r>
      <w:r>
        <w:rPr>
          <w:rFonts w:ascii="宋体" w:hAnsi="宋体" w:eastAsia="宋体"/>
          <w:color w:val="auto"/>
          <w:sz w:val="24"/>
          <w:szCs w:val="24"/>
          <w:highlight w:val="none"/>
          <w:shd w:val="clear" w:color="auto" w:fill="FFFFFF"/>
          <w:lang w:eastAsia="zh-CN"/>
        </w:rPr>
        <w:t>8</w:t>
      </w:r>
      <w:r>
        <w:rPr>
          <w:rFonts w:hint="eastAsia" w:ascii="宋体" w:hAnsi="宋体" w:eastAsia="宋体"/>
          <w:color w:val="auto"/>
          <w:sz w:val="24"/>
          <w:szCs w:val="24"/>
          <w:highlight w:val="none"/>
          <w:shd w:val="clear" w:color="auto" w:fill="FFFFFF"/>
          <w:lang w:eastAsia="zh-CN"/>
        </w:rPr>
        <w:t>）</w:t>
      </w:r>
      <w:r>
        <w:rPr>
          <w:rFonts w:hint="eastAsia" w:ascii="宋体" w:hAnsi="宋体" w:eastAsia="宋体" w:cs="微软雅黑"/>
          <w:color w:val="auto"/>
          <w:sz w:val="24"/>
          <w:szCs w:val="24"/>
          <w:highlight w:val="none"/>
          <w:shd w:val="clear" w:color="auto" w:fill="FFFFFF"/>
          <w:lang w:eastAsia="zh-CN"/>
        </w:rPr>
        <w:t>中标人放弃中标、因不可抗力不能履行合同、不按照招标文件要求提交履约保证金，或者被查实存在影响中标结果的违法行为等不符合法定情形，不符合中标条件的，招标人可以从其他合格的中标候选人中采用原定标办法，由原定标委员会确定中标人，也可以重新招标。</w:t>
      </w:r>
    </w:p>
    <w:p>
      <w:pPr>
        <w:pStyle w:val="5"/>
        <w:adjustRightInd w:val="0"/>
        <w:snapToGrid w:val="0"/>
        <w:spacing w:line="360" w:lineRule="auto"/>
        <w:ind w:right="44"/>
        <w:rPr>
          <w:b/>
          <w:bCs/>
          <w:color w:val="auto"/>
          <w:highlight w:val="none"/>
          <w:lang w:eastAsia="zh-CN"/>
        </w:rPr>
      </w:pPr>
      <w:r>
        <w:rPr>
          <w:rFonts w:hint="eastAsia"/>
          <w:color w:val="auto"/>
          <w:highlight w:val="none"/>
          <w:lang w:eastAsia="zh-CN"/>
        </w:rPr>
        <w:br w:type="page"/>
      </w:r>
      <w:r>
        <w:rPr>
          <w:rFonts w:hint="eastAsia"/>
          <w:b/>
          <w:bCs/>
          <w:color w:val="auto"/>
          <w:highlight w:val="none"/>
          <w:lang w:eastAsia="zh-CN"/>
        </w:rPr>
        <w:t>3</w:t>
      </w:r>
      <w:r>
        <w:rPr>
          <w:b/>
          <w:bCs/>
          <w:color w:val="auto"/>
          <w:highlight w:val="none"/>
          <w:lang w:eastAsia="zh-CN"/>
        </w:rPr>
        <w:t>.6</w:t>
      </w:r>
      <w:r>
        <w:rPr>
          <w:rFonts w:hint="eastAsia"/>
          <w:b/>
          <w:bCs/>
          <w:color w:val="auto"/>
          <w:highlight w:val="none"/>
          <w:lang w:eastAsia="zh-CN"/>
        </w:rPr>
        <w:t>定标表格</w:t>
      </w:r>
      <w:bookmarkStart w:id="58" w:name="_Toc142858890"/>
    </w:p>
    <w:p>
      <w:pPr>
        <w:pStyle w:val="51"/>
        <w:snapToGrid w:val="0"/>
        <w:spacing w:line="360" w:lineRule="auto"/>
        <w:rPr>
          <w:rFonts w:ascii="宋体" w:hAnsi="宋体" w:eastAsia="宋体"/>
          <w:color w:val="auto"/>
          <w:highlight w:val="none"/>
        </w:rPr>
      </w:pPr>
      <w:r>
        <w:rPr>
          <w:rFonts w:hint="eastAsia" w:ascii="宋体" w:hAnsi="宋体" w:eastAsia="宋体"/>
          <w:color w:val="auto"/>
          <w:highlight w:val="none"/>
        </w:rPr>
        <w:t>（本页发给定标委员会成员，投票结束时收回）</w:t>
      </w:r>
      <w:bookmarkEnd w:id="58"/>
    </w:p>
    <w:p>
      <w:pPr>
        <w:pStyle w:val="13"/>
        <w:adjustRightInd w:val="0"/>
        <w:snapToGrid w:val="0"/>
        <w:spacing w:line="360" w:lineRule="auto"/>
        <w:jc w:val="center"/>
        <w:rPr>
          <w:rFonts w:hAnsi="宋体"/>
          <w:color w:val="auto"/>
          <w:sz w:val="32"/>
          <w:szCs w:val="32"/>
          <w:highlight w:val="none"/>
        </w:rPr>
      </w:pPr>
      <w:r>
        <w:rPr>
          <w:rFonts w:hint="eastAsia" w:hAnsi="宋体"/>
          <w:color w:val="auto"/>
          <w:sz w:val="32"/>
          <w:szCs w:val="32"/>
          <w:highlight w:val="none"/>
        </w:rPr>
        <w:t>定标评语</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项目名称：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0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olor w:val="auto"/>
                <w:szCs w:val="21"/>
                <w:highlight w:val="none"/>
                <w:lang w:eastAsia="zh-CN"/>
              </w:rPr>
            </w:pPr>
            <w:r>
              <w:rPr>
                <w:rFonts w:hint="eastAsia" w:ascii="宋体" w:hAnsi="宋体"/>
                <w:color w:val="auto"/>
                <w:szCs w:val="21"/>
                <w:highlight w:val="none"/>
                <w:lang w:eastAsia="zh-CN"/>
              </w:rPr>
              <w:t>方案编号</w:t>
            </w:r>
          </w:p>
        </w:tc>
        <w:tc>
          <w:tcPr>
            <w:tcW w:w="670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评语（针对</w:t>
            </w:r>
            <w:r>
              <w:rPr>
                <w:rFonts w:hint="eastAsia"/>
                <w:color w:val="auto"/>
                <w:highlight w:val="none"/>
                <w:lang w:eastAsia="zh-CN"/>
              </w:rPr>
              <w:t>方案因素撰写评语</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2098" w:type="dxa"/>
            <w:tcBorders>
              <w:left w:val="single" w:color="auto" w:sz="4" w:space="0"/>
              <w:right w:val="single" w:color="auto" w:sz="4" w:space="0"/>
            </w:tcBorders>
            <w:noWrap/>
            <w:vAlign w:val="center"/>
          </w:tcPr>
          <w:p>
            <w:pPr>
              <w:adjustRightInd w:val="0"/>
              <w:snapToGrid w:val="0"/>
              <w:spacing w:line="360" w:lineRule="auto"/>
              <w:jc w:val="center"/>
              <w:rPr>
                <w:rFonts w:ascii="宋体" w:hAnsi="宋体"/>
                <w:color w:val="auto"/>
                <w:szCs w:val="21"/>
                <w:highlight w:val="none"/>
                <w:lang w:eastAsia="zh-CN"/>
              </w:rPr>
            </w:pPr>
          </w:p>
        </w:tc>
        <w:tc>
          <w:tcPr>
            <w:tcW w:w="670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2098" w:type="dxa"/>
            <w:tcBorders>
              <w:left w:val="single" w:color="auto" w:sz="4" w:space="0"/>
              <w:right w:val="single" w:color="auto" w:sz="4" w:space="0"/>
            </w:tcBorders>
            <w:noWrap/>
            <w:vAlign w:val="center"/>
          </w:tcPr>
          <w:p>
            <w:pPr>
              <w:widowControl/>
              <w:adjustRightInd w:val="0"/>
              <w:snapToGrid w:val="0"/>
              <w:spacing w:line="360" w:lineRule="auto"/>
              <w:rPr>
                <w:rFonts w:ascii="宋体" w:hAnsi="宋体"/>
                <w:color w:val="auto"/>
                <w:szCs w:val="21"/>
                <w:highlight w:val="none"/>
                <w:lang w:eastAsia="zh-CN"/>
              </w:rPr>
            </w:pPr>
          </w:p>
        </w:tc>
        <w:tc>
          <w:tcPr>
            <w:tcW w:w="670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2098" w:type="dxa"/>
            <w:tcBorders>
              <w:left w:val="single" w:color="auto" w:sz="4" w:space="0"/>
              <w:right w:val="single" w:color="auto" w:sz="4" w:space="0"/>
            </w:tcBorders>
            <w:noWrap/>
            <w:vAlign w:val="center"/>
          </w:tcPr>
          <w:p>
            <w:pPr>
              <w:widowControl/>
              <w:adjustRightInd w:val="0"/>
              <w:snapToGrid w:val="0"/>
              <w:spacing w:line="360" w:lineRule="auto"/>
              <w:rPr>
                <w:rFonts w:ascii="宋体" w:hAnsi="宋体"/>
                <w:color w:val="auto"/>
                <w:szCs w:val="21"/>
                <w:highlight w:val="none"/>
                <w:lang w:eastAsia="zh-CN"/>
              </w:rPr>
            </w:pPr>
          </w:p>
        </w:tc>
        <w:tc>
          <w:tcPr>
            <w:tcW w:w="670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2098" w:type="dxa"/>
            <w:tcBorders>
              <w:left w:val="single" w:color="auto" w:sz="4" w:space="0"/>
              <w:right w:val="single" w:color="auto" w:sz="4" w:space="0"/>
            </w:tcBorders>
            <w:noWrap/>
            <w:vAlign w:val="center"/>
          </w:tcPr>
          <w:p>
            <w:pPr>
              <w:widowControl/>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p>
        </w:tc>
        <w:tc>
          <w:tcPr>
            <w:tcW w:w="670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color w:val="auto"/>
                <w:highlight w:val="none"/>
              </w:rPr>
            </w:pPr>
          </w:p>
        </w:tc>
      </w:tr>
    </w:tbl>
    <w:p>
      <w:pPr>
        <w:adjustRightInd w:val="0"/>
        <w:snapToGrid w:val="0"/>
        <w:spacing w:line="360" w:lineRule="auto"/>
        <w:ind w:firstLine="440" w:firstLineChars="200"/>
        <w:rPr>
          <w:rFonts w:ascii="宋体" w:hAnsi="宋体"/>
          <w:color w:val="auto"/>
          <w:highlight w:val="none"/>
        </w:rPr>
      </w:pPr>
    </w:p>
    <w:p>
      <w:pPr>
        <w:adjustRightInd w:val="0"/>
        <w:snapToGrid w:val="0"/>
        <w:spacing w:line="360" w:lineRule="auto"/>
        <w:rPr>
          <w:rFonts w:ascii="宋体" w:hAnsi="宋体"/>
          <w:color w:val="auto"/>
          <w:szCs w:val="21"/>
          <w:highlight w:val="none"/>
        </w:rPr>
      </w:pPr>
    </w:p>
    <w:p>
      <w:pPr>
        <w:pStyle w:val="23"/>
        <w:adjustRightInd w:val="0"/>
        <w:snapToGrid w:val="0"/>
        <w:spacing w:line="360" w:lineRule="auto"/>
        <w:rPr>
          <w:color w:val="auto"/>
          <w:szCs w:val="21"/>
          <w:highlight w:val="none"/>
        </w:rPr>
      </w:pPr>
      <w:r>
        <w:rPr>
          <w:rFonts w:hint="eastAsia"/>
          <w:color w:val="auto"/>
          <w:szCs w:val="21"/>
          <w:highlight w:val="none"/>
        </w:rPr>
        <w:t>定标委员签名：</w:t>
      </w:r>
      <w:r>
        <w:rPr>
          <w:rFonts w:hint="eastAsia"/>
          <w:color w:val="auto"/>
          <w:szCs w:val="21"/>
          <w:highlight w:val="none"/>
          <w:lang w:val="en-US" w:eastAsia="zh-CN"/>
        </w:rPr>
        <w:t xml:space="preserve">               </w:t>
      </w:r>
      <w:r>
        <w:rPr>
          <w:rFonts w:hint="eastAsia"/>
          <w:color w:val="auto"/>
          <w:szCs w:val="21"/>
          <w:highlight w:val="none"/>
        </w:rPr>
        <w:t>日期：</w:t>
      </w:r>
      <w:r>
        <w:rPr>
          <w:rFonts w:hint="eastAsia"/>
          <w:color w:val="auto"/>
          <w:szCs w:val="21"/>
          <w:highlight w:val="none"/>
          <w:lang w:val="en-US" w:eastAsia="zh-CN"/>
        </w:rPr>
        <w:t xml:space="preserve">  </w:t>
      </w:r>
      <w:r>
        <w:rPr>
          <w:rFonts w:hint="eastAsia"/>
          <w:color w:val="auto"/>
          <w:szCs w:val="21"/>
          <w:highlight w:val="none"/>
        </w:rPr>
        <w:t>年</w:t>
      </w:r>
      <w:r>
        <w:rPr>
          <w:rFonts w:hint="eastAsia"/>
          <w:color w:val="auto"/>
          <w:szCs w:val="21"/>
          <w:highlight w:val="none"/>
          <w:lang w:val="en-US" w:eastAsia="zh-CN"/>
        </w:rPr>
        <w:t xml:space="preserve">  </w:t>
      </w:r>
      <w:r>
        <w:rPr>
          <w:rFonts w:hint="eastAsia"/>
          <w:color w:val="auto"/>
          <w:szCs w:val="21"/>
          <w:highlight w:val="none"/>
        </w:rPr>
        <w:t>月</w:t>
      </w:r>
      <w:r>
        <w:rPr>
          <w:rFonts w:hint="eastAsia"/>
          <w:color w:val="auto"/>
          <w:szCs w:val="21"/>
          <w:highlight w:val="none"/>
          <w:lang w:val="en-US" w:eastAsia="zh-CN"/>
        </w:rPr>
        <w:t xml:space="preserve">  </w:t>
      </w:r>
      <w:r>
        <w:rPr>
          <w:rFonts w:hint="eastAsia"/>
          <w:color w:val="auto"/>
          <w:szCs w:val="21"/>
          <w:highlight w:val="none"/>
        </w:rPr>
        <w:t>日</w:t>
      </w:r>
    </w:p>
    <w:p>
      <w:pPr>
        <w:pStyle w:val="13"/>
        <w:adjustRightInd w:val="0"/>
        <w:snapToGrid w:val="0"/>
        <w:spacing w:line="360" w:lineRule="auto"/>
        <w:jc w:val="left"/>
        <w:rPr>
          <w:rFonts w:hAnsi="宋体"/>
          <w:color w:val="auto"/>
          <w:sz w:val="32"/>
          <w:szCs w:val="32"/>
          <w:highlight w:val="none"/>
          <w:lang w:eastAsia="zh-CN"/>
        </w:rPr>
      </w:pPr>
      <w:r>
        <w:rPr>
          <w:rFonts w:hint="eastAsia" w:hAnsi="宋体"/>
          <w:color w:val="auto"/>
          <w:sz w:val="32"/>
          <w:szCs w:val="32"/>
          <w:highlight w:val="none"/>
          <w:lang w:eastAsia="zh-CN"/>
        </w:rPr>
        <w:br w:type="page"/>
      </w:r>
      <w:r>
        <w:rPr>
          <w:rFonts w:hint="eastAsia" w:hAnsi="宋体"/>
          <w:color w:val="auto"/>
          <w:highlight w:val="none"/>
          <w:lang w:eastAsia="zh-CN"/>
        </w:rPr>
        <w:t>（本页发给定标委员会成员，投票结束时收回）</w:t>
      </w:r>
    </w:p>
    <w:p>
      <w:pPr>
        <w:pStyle w:val="13"/>
        <w:adjustRightInd w:val="0"/>
        <w:snapToGrid w:val="0"/>
        <w:spacing w:line="360" w:lineRule="auto"/>
        <w:jc w:val="center"/>
        <w:rPr>
          <w:rFonts w:hAnsi="宋体"/>
          <w:color w:val="auto"/>
          <w:sz w:val="32"/>
          <w:szCs w:val="32"/>
          <w:highlight w:val="none"/>
        </w:rPr>
      </w:pPr>
      <w:r>
        <w:rPr>
          <w:rFonts w:hint="eastAsia" w:hAnsi="宋体"/>
          <w:color w:val="auto"/>
          <w:sz w:val="32"/>
          <w:szCs w:val="32"/>
          <w:highlight w:val="none"/>
        </w:rPr>
        <w:t>投票表格</w:t>
      </w:r>
    </w:p>
    <w:p>
      <w:pPr>
        <w:adjustRightInd w:val="0"/>
        <w:snapToGrid w:val="0"/>
        <w:spacing w:line="360" w:lineRule="auto"/>
        <w:ind w:firstLine="360" w:firstLineChars="150"/>
        <w:rPr>
          <w:rFonts w:ascii="宋体" w:hAnsi="宋体" w:eastAsia="宋体"/>
          <w:color w:val="auto"/>
          <w:sz w:val="24"/>
          <w:szCs w:val="24"/>
          <w:highlight w:val="none"/>
        </w:rPr>
      </w:pPr>
      <w:r>
        <w:rPr>
          <w:rFonts w:hint="eastAsia" w:ascii="宋体" w:hAnsi="宋体" w:eastAsia="宋体" w:cs="微软雅黑"/>
          <w:color w:val="auto"/>
          <w:sz w:val="24"/>
          <w:szCs w:val="24"/>
          <w:highlight w:val="none"/>
        </w:rPr>
        <w:t>项目名称：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483"/>
        <w:gridCol w:w="2729"/>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88" w:type="dxa"/>
            <w:tcBorders>
              <w:top w:val="double" w:color="auto" w:sz="4" w:space="0"/>
              <w:left w:val="double" w:color="auto" w:sz="4" w:space="0"/>
              <w:bottom w:val="double" w:color="auto" w:sz="4" w:space="0"/>
              <w:right w:val="single" w:color="auto" w:sz="4" w:space="0"/>
            </w:tcBorders>
            <w:noWrap/>
            <w:vAlign w:val="center"/>
          </w:tcPr>
          <w:p>
            <w:pPr>
              <w:adjustRightInd w:val="0"/>
              <w:snapToGrid w:val="0"/>
              <w:spacing w:line="360" w:lineRule="auto"/>
              <w:jc w:val="center"/>
              <w:rPr>
                <w:rFonts w:ascii="宋体" w:hAnsi="宋体"/>
                <w:color w:val="auto"/>
                <w:highlight w:val="none"/>
              </w:rPr>
            </w:pPr>
            <w:r>
              <w:rPr>
                <w:rFonts w:hint="eastAsia" w:ascii="微软雅黑" w:hAnsi="微软雅黑" w:eastAsia="微软雅黑" w:cs="微软雅黑"/>
                <w:color w:val="auto"/>
                <w:highlight w:val="none"/>
              </w:rPr>
              <w:t>第</w:t>
            </w:r>
            <w:r>
              <w:rPr>
                <w:rFonts w:hint="eastAsia" w:ascii="微软雅黑" w:hAnsi="微软雅黑" w:eastAsia="微软雅黑" w:cs="微软雅黑"/>
                <w:color w:val="auto"/>
                <w:highlight w:val="none"/>
                <w:lang w:val="en-US" w:eastAsia="zh-CN"/>
              </w:rPr>
              <w:t xml:space="preserve"> </w:t>
            </w:r>
            <w:r>
              <w:rPr>
                <w:rFonts w:hint="eastAsia" w:ascii="微软雅黑" w:hAnsi="微软雅黑" w:eastAsia="微软雅黑" w:cs="微软雅黑"/>
                <w:color w:val="auto"/>
                <w:highlight w:val="none"/>
              </w:rPr>
              <w:t>轮</w:t>
            </w:r>
          </w:p>
        </w:tc>
        <w:tc>
          <w:tcPr>
            <w:tcW w:w="2483" w:type="dxa"/>
            <w:tcBorders>
              <w:top w:val="double" w:color="auto" w:sz="4" w:space="0"/>
              <w:left w:val="single" w:color="auto" w:sz="4" w:space="0"/>
              <w:bottom w:val="double" w:color="auto" w:sz="4" w:space="0"/>
              <w:right w:val="single" w:color="auto" w:sz="4" w:space="0"/>
            </w:tcBorders>
            <w:noWrap/>
          </w:tcPr>
          <w:p>
            <w:pPr>
              <w:adjustRightInd w:val="0"/>
              <w:snapToGrid w:val="0"/>
              <w:spacing w:line="360" w:lineRule="auto"/>
              <w:rPr>
                <w:rFonts w:ascii="宋体" w:hAnsi="宋体"/>
                <w:color w:val="auto"/>
                <w:highlight w:val="none"/>
              </w:rPr>
            </w:pPr>
          </w:p>
        </w:tc>
        <w:tc>
          <w:tcPr>
            <w:tcW w:w="2729" w:type="dxa"/>
            <w:tcBorders>
              <w:top w:val="double" w:color="auto" w:sz="4" w:space="0"/>
              <w:left w:val="single" w:color="auto" w:sz="4" w:space="0"/>
              <w:bottom w:val="double" w:color="auto" w:sz="4" w:space="0"/>
              <w:right w:val="single" w:color="auto" w:sz="4" w:space="0"/>
            </w:tcBorders>
            <w:noWrap/>
          </w:tcPr>
          <w:p>
            <w:pPr>
              <w:adjustRightInd w:val="0"/>
              <w:snapToGrid w:val="0"/>
              <w:spacing w:line="360" w:lineRule="auto"/>
              <w:rPr>
                <w:rFonts w:ascii="宋体" w:hAnsi="宋体"/>
                <w:color w:val="auto"/>
                <w:highlight w:val="none"/>
              </w:rPr>
            </w:pPr>
          </w:p>
        </w:tc>
        <w:tc>
          <w:tcPr>
            <w:tcW w:w="2128" w:type="dxa"/>
            <w:tcBorders>
              <w:top w:val="double" w:color="auto" w:sz="4" w:space="0"/>
              <w:left w:val="single" w:color="auto" w:sz="4" w:space="0"/>
              <w:bottom w:val="double" w:color="auto" w:sz="4" w:space="0"/>
              <w:right w:val="double" w:color="auto" w:sz="4" w:space="0"/>
            </w:tcBorders>
            <w:noWrap/>
          </w:tcPr>
          <w:p>
            <w:pPr>
              <w:adjustRightInd w:val="0"/>
              <w:snapToGrid w:val="0"/>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88" w:type="dxa"/>
            <w:tcBorders>
              <w:top w:val="double" w:color="auto" w:sz="4" w:space="0"/>
              <w:left w:val="double" w:color="auto" w:sz="4" w:space="0"/>
              <w:bottom w:val="double" w:color="auto" w:sz="4" w:space="0"/>
              <w:right w:val="single" w:color="auto" w:sz="4" w:space="0"/>
            </w:tcBorders>
            <w:noWrap/>
            <w:vAlign w:val="center"/>
          </w:tcPr>
          <w:p>
            <w:pPr>
              <w:adjustRightInd w:val="0"/>
              <w:snapToGrid w:val="0"/>
              <w:spacing w:line="360" w:lineRule="auto"/>
              <w:jc w:val="center"/>
              <w:rPr>
                <w:rFonts w:ascii="宋体" w:hAnsi="宋体"/>
                <w:color w:val="auto"/>
                <w:highlight w:val="none"/>
              </w:rPr>
            </w:pPr>
            <w:r>
              <w:rPr>
                <w:rFonts w:hint="eastAsia" w:ascii="微软雅黑" w:hAnsi="微软雅黑" w:eastAsia="微软雅黑" w:cs="微软雅黑"/>
                <w:color w:val="auto"/>
                <w:highlight w:val="none"/>
              </w:rPr>
              <w:t>第</w:t>
            </w:r>
            <w:r>
              <w:rPr>
                <w:rFonts w:hint="eastAsia" w:ascii="微软雅黑" w:hAnsi="微软雅黑" w:eastAsia="微软雅黑" w:cs="微软雅黑"/>
                <w:color w:val="auto"/>
                <w:highlight w:val="none"/>
                <w:lang w:val="en-US" w:eastAsia="zh-CN"/>
              </w:rPr>
              <w:t xml:space="preserve"> </w:t>
            </w:r>
            <w:r>
              <w:rPr>
                <w:rFonts w:hint="eastAsia" w:ascii="微软雅黑" w:hAnsi="微软雅黑" w:eastAsia="微软雅黑" w:cs="微软雅黑"/>
                <w:color w:val="auto"/>
                <w:highlight w:val="none"/>
              </w:rPr>
              <w:t>轮</w:t>
            </w:r>
          </w:p>
        </w:tc>
        <w:tc>
          <w:tcPr>
            <w:tcW w:w="7340" w:type="dxa"/>
            <w:gridSpan w:val="3"/>
            <w:tcBorders>
              <w:top w:val="double" w:color="auto" w:sz="4" w:space="0"/>
              <w:left w:val="single" w:color="auto" w:sz="4" w:space="0"/>
              <w:bottom w:val="double" w:color="auto" w:sz="4" w:space="0"/>
              <w:right w:val="double" w:color="auto" w:sz="4" w:space="0"/>
            </w:tcBorders>
            <w:noWrap/>
          </w:tcPr>
          <w:p>
            <w:pPr>
              <w:adjustRightInd w:val="0"/>
              <w:snapToGrid w:val="0"/>
              <w:spacing w:line="360" w:lineRule="auto"/>
              <w:rPr>
                <w:rFonts w:ascii="宋体" w:hAnsi="宋体"/>
                <w:color w:val="auto"/>
                <w:highlight w:val="none"/>
              </w:rPr>
            </w:pPr>
          </w:p>
        </w:tc>
      </w:tr>
    </w:tbl>
    <w:p>
      <w:pPr>
        <w:adjustRightInd w:val="0"/>
        <w:snapToGrid w:val="0"/>
        <w:spacing w:line="360" w:lineRule="auto"/>
        <w:ind w:firstLine="480" w:firstLineChars="200"/>
        <w:rPr>
          <w:rFonts w:ascii="宋体" w:hAnsi="宋体" w:eastAsia="宋体" w:cs="微软雅黑"/>
          <w:color w:val="auto"/>
          <w:sz w:val="24"/>
          <w:szCs w:val="24"/>
          <w:highlight w:val="none"/>
          <w:lang w:eastAsia="zh-CN"/>
        </w:rPr>
      </w:pPr>
      <w:r>
        <w:rPr>
          <w:rFonts w:hint="eastAsia" w:ascii="宋体" w:hAnsi="宋体" w:eastAsia="宋体" w:cs="微软雅黑"/>
          <w:color w:val="auto"/>
          <w:sz w:val="24"/>
          <w:szCs w:val="24"/>
          <w:highlight w:val="none"/>
          <w:lang w:eastAsia="zh-CN"/>
        </w:rPr>
        <w:t>正式投票规则：以上表格用于正式投票，从上到下每轮投票限使用一行空格，每个空格限填一个方案编号，同一行的空格内的方案编号不得重复。每轮投票允许选择的总数即下一轮候选总数，以得票多的方案当选为下一轮投票的候选方案。遇票数相等不能确定入选下一轮的投标方案时，应进行附加投票，以确定名次。</w:t>
      </w:r>
    </w:p>
    <w:p>
      <w:pPr>
        <w:adjustRightInd w:val="0"/>
        <w:snapToGrid w:val="0"/>
        <w:spacing w:line="360" w:lineRule="auto"/>
        <w:ind w:firstLine="480" w:firstLineChars="200"/>
        <w:rPr>
          <w:rFonts w:ascii="宋体" w:hAnsi="宋体" w:eastAsia="宋体" w:cs="微软雅黑"/>
          <w:color w:val="auto"/>
          <w:sz w:val="24"/>
          <w:szCs w:val="24"/>
          <w:highlight w:val="none"/>
          <w:lang w:eastAsia="zh-CN"/>
        </w:rPr>
      </w:pPr>
      <w:r>
        <w:rPr>
          <w:rFonts w:hint="eastAsia" w:ascii="宋体" w:hAnsi="宋体" w:eastAsia="宋体" w:cs="微软雅黑"/>
          <w:color w:val="auto"/>
          <w:sz w:val="24"/>
          <w:szCs w:val="24"/>
          <w:highlight w:val="none"/>
          <w:lang w:eastAsia="zh-CN"/>
        </w:rPr>
        <w:t>若投标人数为4至</w:t>
      </w:r>
      <w:r>
        <w:rPr>
          <w:rFonts w:ascii="宋体" w:hAnsi="宋体" w:eastAsia="宋体"/>
          <w:color w:val="auto"/>
          <w:sz w:val="24"/>
          <w:szCs w:val="24"/>
          <w:highlight w:val="none"/>
          <w:lang w:eastAsia="zh-CN"/>
        </w:rPr>
        <w:t>6</w:t>
      </w:r>
      <w:r>
        <w:rPr>
          <w:rFonts w:hint="eastAsia" w:ascii="宋体" w:hAnsi="宋体" w:eastAsia="宋体" w:cs="微软雅黑"/>
          <w:color w:val="auto"/>
          <w:sz w:val="24"/>
          <w:szCs w:val="24"/>
          <w:highlight w:val="none"/>
          <w:lang w:eastAsia="zh-CN"/>
        </w:rPr>
        <w:t>人，第一轮投票从第</w:t>
      </w:r>
      <w:r>
        <w:rPr>
          <w:rFonts w:hint="eastAsia" w:ascii="宋体" w:hAnsi="宋体" w:eastAsia="宋体"/>
          <w:color w:val="auto"/>
          <w:sz w:val="24"/>
          <w:szCs w:val="24"/>
          <w:highlight w:val="none"/>
          <w:lang w:eastAsia="zh-CN"/>
        </w:rPr>
        <w:t>1</w:t>
      </w:r>
      <w:r>
        <w:rPr>
          <w:rFonts w:hint="eastAsia" w:ascii="宋体" w:hAnsi="宋体" w:eastAsia="宋体" w:cs="微软雅黑"/>
          <w:color w:val="auto"/>
          <w:sz w:val="24"/>
          <w:szCs w:val="24"/>
          <w:highlight w:val="none"/>
          <w:lang w:eastAsia="zh-CN"/>
        </w:rPr>
        <w:t>行空格开始；若投标人数为</w:t>
      </w:r>
      <w:r>
        <w:rPr>
          <w:rFonts w:ascii="宋体" w:hAnsi="宋体" w:eastAsia="宋体"/>
          <w:color w:val="auto"/>
          <w:sz w:val="24"/>
          <w:szCs w:val="24"/>
          <w:highlight w:val="none"/>
          <w:lang w:eastAsia="zh-CN"/>
        </w:rPr>
        <w:t>3</w:t>
      </w:r>
      <w:r>
        <w:rPr>
          <w:rFonts w:hint="eastAsia" w:ascii="宋体" w:hAnsi="宋体" w:eastAsia="宋体" w:cs="微软雅黑"/>
          <w:color w:val="auto"/>
          <w:sz w:val="24"/>
          <w:szCs w:val="24"/>
          <w:highlight w:val="none"/>
          <w:lang w:eastAsia="zh-CN"/>
        </w:rPr>
        <w:t>人，第一轮投票从上表第</w:t>
      </w:r>
      <w:r>
        <w:rPr>
          <w:rFonts w:hint="eastAsia" w:ascii="宋体" w:hAnsi="宋体" w:eastAsia="宋体"/>
          <w:color w:val="auto"/>
          <w:sz w:val="24"/>
          <w:szCs w:val="24"/>
          <w:highlight w:val="none"/>
          <w:lang w:eastAsia="zh-CN"/>
        </w:rPr>
        <w:t>2</w:t>
      </w:r>
      <w:r>
        <w:rPr>
          <w:rFonts w:hint="eastAsia" w:ascii="宋体" w:hAnsi="宋体" w:eastAsia="宋体" w:cs="微软雅黑"/>
          <w:color w:val="auto"/>
          <w:sz w:val="24"/>
          <w:szCs w:val="24"/>
          <w:highlight w:val="none"/>
          <w:lang w:eastAsia="zh-CN"/>
        </w:rPr>
        <w:t>行空格开始。</w:t>
      </w:r>
    </w:p>
    <w:p>
      <w:pPr>
        <w:adjustRightInd w:val="0"/>
        <w:snapToGrid w:val="0"/>
        <w:spacing w:line="360" w:lineRule="auto"/>
        <w:ind w:firstLine="480" w:firstLineChars="200"/>
        <w:rPr>
          <w:rFonts w:ascii="宋体" w:hAnsi="宋体" w:eastAsia="宋体" w:cs="微软雅黑"/>
          <w:color w:val="auto"/>
          <w:sz w:val="24"/>
          <w:szCs w:val="24"/>
          <w:highlight w:val="none"/>
          <w:lang w:eastAsia="zh-CN"/>
        </w:rPr>
      </w:pPr>
      <w:r>
        <w:rPr>
          <w:rFonts w:hint="eastAsia" w:ascii="宋体" w:hAnsi="宋体" w:eastAsia="宋体" w:cs="微软雅黑"/>
          <w:color w:val="auto"/>
          <w:sz w:val="24"/>
          <w:szCs w:val="24"/>
          <w:highlight w:val="none"/>
          <w:lang w:eastAsia="zh-CN"/>
        </w:rPr>
        <w:t>每轮正式投票允许选择投标方案总数如下：</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97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lang w:eastAsia="zh-CN"/>
              </w:rPr>
            </w:pPr>
          </w:p>
        </w:tc>
        <w:tc>
          <w:tcPr>
            <w:tcW w:w="594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lang w:eastAsia="zh-CN"/>
              </w:rPr>
            </w:pPr>
            <w:r>
              <w:rPr>
                <w:rFonts w:hint="eastAsia" w:ascii="宋体" w:hAnsi="宋体" w:cs="宋体"/>
                <w:color w:val="auto"/>
                <w:highlight w:val="none"/>
                <w:lang w:eastAsia="zh-CN"/>
              </w:rPr>
              <w:t>每轮正式投票允许选择总数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hint="eastAsia" w:ascii="宋体" w:hAnsi="宋体" w:cs="宋体"/>
                <w:color w:val="auto"/>
                <w:highlight w:val="none"/>
              </w:rPr>
              <w:t>投标人数</w:t>
            </w:r>
          </w:p>
        </w:tc>
        <w:tc>
          <w:tcPr>
            <w:tcW w:w="29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ascii="宋体" w:hAnsi="宋体" w:cs="宋体"/>
                <w:color w:val="auto"/>
                <w:highlight w:val="none"/>
              </w:rPr>
              <w:t>3</w:t>
            </w:r>
            <w:r>
              <w:rPr>
                <w:rFonts w:hint="eastAsia" w:ascii="宋体" w:hAnsi="宋体" w:eastAsia="宋体" w:cs="微软雅黑"/>
                <w:color w:val="auto"/>
                <w:highlight w:val="none"/>
              </w:rPr>
              <w:t>人</w:t>
            </w:r>
          </w:p>
        </w:tc>
        <w:tc>
          <w:tcPr>
            <w:tcW w:w="29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ascii="宋体" w:hAnsi="宋体" w:cs="宋体"/>
                <w:color w:val="auto"/>
                <w:highlight w:val="none"/>
              </w:rPr>
              <w:t>4</w:t>
            </w:r>
            <w:r>
              <w:rPr>
                <w:rFonts w:hint="eastAsia" w:ascii="宋体" w:hAnsi="宋体" w:eastAsia="宋体" w:cs="微软雅黑"/>
                <w:color w:val="auto"/>
                <w:highlight w:val="none"/>
                <w:lang w:eastAsia="zh-CN"/>
              </w:rPr>
              <w:t>至</w:t>
            </w:r>
            <w:r>
              <w:rPr>
                <w:rFonts w:ascii="宋体" w:hAnsi="宋体" w:cs="宋体"/>
                <w:color w:val="auto"/>
                <w:highlight w:val="none"/>
              </w:rPr>
              <w:t>6</w:t>
            </w:r>
            <w:r>
              <w:rPr>
                <w:rFonts w:hint="eastAsia" w:ascii="宋体" w:hAnsi="宋体" w:eastAsia="宋体" w:cs="微软雅黑"/>
                <w:color w:val="auto"/>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hint="eastAsia" w:ascii="宋体" w:hAnsi="宋体" w:cs="宋体"/>
                <w:color w:val="auto"/>
                <w:highlight w:val="none"/>
              </w:rPr>
              <w:t>第1轮</w:t>
            </w:r>
          </w:p>
        </w:tc>
        <w:tc>
          <w:tcPr>
            <w:tcW w:w="29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highlight w:val="none"/>
                <w:lang w:eastAsia="zh-CN"/>
              </w:rPr>
            </w:pPr>
            <w:r>
              <w:rPr>
                <w:rFonts w:ascii="宋体" w:hAnsi="宋体" w:cs="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ascii="宋体" w:hAnsi="宋体" w:cs="宋体"/>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hint="eastAsia" w:ascii="宋体" w:hAnsi="宋体" w:cs="宋体"/>
                <w:color w:val="auto"/>
                <w:highlight w:val="none"/>
              </w:rPr>
              <w:t>第2轮</w:t>
            </w:r>
          </w:p>
        </w:tc>
        <w:tc>
          <w:tcPr>
            <w:tcW w:w="297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highlight w:val="none"/>
                <w:lang w:eastAsia="zh-CN"/>
              </w:rPr>
            </w:pPr>
          </w:p>
        </w:tc>
        <w:tc>
          <w:tcPr>
            <w:tcW w:w="29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color w:val="auto"/>
                <w:highlight w:val="none"/>
              </w:rPr>
            </w:pPr>
            <w:r>
              <w:rPr>
                <w:rFonts w:ascii="宋体" w:hAnsi="宋体" w:cs="宋体"/>
                <w:color w:val="auto"/>
                <w:highlight w:val="none"/>
              </w:rPr>
              <w:t>1</w:t>
            </w:r>
          </w:p>
        </w:tc>
      </w:tr>
    </w:tbl>
    <w:p>
      <w:pPr>
        <w:adjustRightInd w:val="0"/>
        <w:snapToGrid w:val="0"/>
        <w:spacing w:line="360" w:lineRule="auto"/>
        <w:ind w:firstLine="48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 投票结束后，点票人员对投票人数、票数和每票应选方案总数加以核对和统计，作废的选票不得统计，并向定标委员会报告。</w:t>
      </w:r>
    </w:p>
    <w:p>
      <w:pPr>
        <w:adjustRightInd w:val="0"/>
        <w:snapToGrid w:val="0"/>
        <w:spacing w:line="360" w:lineRule="auto"/>
        <w:ind w:firstLine="48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w:t>
      </w:r>
      <w:r>
        <w:rPr>
          <w:rFonts w:hint="eastAsia" w:ascii="宋体" w:hAnsi="宋体" w:eastAsia="宋体" w:cs="微软雅黑"/>
          <w:color w:val="auto"/>
          <w:sz w:val="24"/>
          <w:szCs w:val="24"/>
          <w:highlight w:val="none"/>
          <w:lang w:eastAsia="zh-CN"/>
        </w:rPr>
        <w:t>定标委员会成员应当独立投票，自投票开始至最终排名统计结果公布期间，任何人不得非法干预、影响投票过程，不得透露、协商、改变投票结果，不得使用通信联络工具。</w:t>
      </w:r>
    </w:p>
    <w:p>
      <w:pPr>
        <w:adjustRightInd w:val="0"/>
        <w:snapToGrid w:val="0"/>
        <w:spacing w:line="360" w:lineRule="auto"/>
        <w:rPr>
          <w:rFonts w:ascii="宋体" w:hAnsi="宋体" w:eastAsia="宋体" w:cs="微软雅黑"/>
          <w:color w:val="auto"/>
          <w:sz w:val="24"/>
          <w:szCs w:val="24"/>
          <w:highlight w:val="none"/>
          <w:lang w:eastAsia="zh-CN"/>
        </w:rPr>
      </w:pPr>
    </w:p>
    <w:p>
      <w:pPr>
        <w:adjustRightInd w:val="0"/>
        <w:snapToGrid w:val="0"/>
        <w:spacing w:line="360" w:lineRule="auto"/>
        <w:rPr>
          <w:rFonts w:ascii="宋体" w:hAnsi="宋体" w:eastAsia="宋体" w:cs="微软雅黑"/>
          <w:color w:val="auto"/>
          <w:sz w:val="24"/>
          <w:szCs w:val="24"/>
          <w:highlight w:val="none"/>
          <w:lang w:eastAsia="zh-CN"/>
        </w:rPr>
      </w:pPr>
      <w:r>
        <w:rPr>
          <w:rFonts w:hint="eastAsia" w:ascii="宋体" w:hAnsi="宋体" w:eastAsia="宋体" w:cs="微软雅黑"/>
          <w:color w:val="auto"/>
          <w:sz w:val="24"/>
          <w:szCs w:val="24"/>
          <w:highlight w:val="none"/>
          <w:lang w:eastAsia="zh-CN"/>
        </w:rPr>
        <w:t>定标委员签名：</w:t>
      </w:r>
      <w:r>
        <w:rPr>
          <w:rFonts w:hint="eastAsia" w:ascii="宋体" w:hAnsi="宋体" w:eastAsia="宋体" w:cs="微软雅黑"/>
          <w:color w:val="auto"/>
          <w:sz w:val="24"/>
          <w:szCs w:val="24"/>
          <w:highlight w:val="none"/>
          <w:lang w:val="en-US" w:eastAsia="zh-CN"/>
        </w:rPr>
        <w:t xml:space="preserve">                 </w:t>
      </w:r>
      <w:r>
        <w:rPr>
          <w:rFonts w:hint="eastAsia" w:ascii="宋体" w:hAnsi="宋体" w:eastAsia="宋体" w:cs="微软雅黑"/>
          <w:color w:val="auto"/>
          <w:sz w:val="24"/>
          <w:szCs w:val="24"/>
          <w:highlight w:val="none"/>
          <w:lang w:eastAsia="zh-CN"/>
        </w:rPr>
        <w:t>日期：</w:t>
      </w:r>
      <w:r>
        <w:rPr>
          <w:rFonts w:hint="eastAsia" w:ascii="宋体" w:hAnsi="宋体" w:eastAsia="宋体" w:cs="微软雅黑"/>
          <w:color w:val="auto"/>
          <w:sz w:val="24"/>
          <w:szCs w:val="24"/>
          <w:highlight w:val="none"/>
          <w:lang w:val="en-US" w:eastAsia="zh-CN"/>
        </w:rPr>
        <w:t xml:space="preserve">  </w:t>
      </w:r>
      <w:r>
        <w:rPr>
          <w:rFonts w:hint="eastAsia" w:ascii="宋体" w:hAnsi="宋体" w:eastAsia="宋体" w:cs="微软雅黑"/>
          <w:color w:val="auto"/>
          <w:sz w:val="24"/>
          <w:szCs w:val="24"/>
          <w:highlight w:val="none"/>
          <w:lang w:eastAsia="zh-CN"/>
        </w:rPr>
        <w:t>年</w:t>
      </w:r>
      <w:r>
        <w:rPr>
          <w:rFonts w:hint="eastAsia" w:ascii="宋体" w:hAnsi="宋体" w:eastAsia="宋体" w:cs="微软雅黑"/>
          <w:color w:val="auto"/>
          <w:sz w:val="24"/>
          <w:szCs w:val="24"/>
          <w:highlight w:val="none"/>
          <w:lang w:val="en-US" w:eastAsia="zh-CN"/>
        </w:rPr>
        <w:t xml:space="preserve">  </w:t>
      </w:r>
      <w:r>
        <w:rPr>
          <w:rFonts w:hint="eastAsia" w:ascii="宋体" w:hAnsi="宋体" w:eastAsia="宋体" w:cs="微软雅黑"/>
          <w:color w:val="auto"/>
          <w:sz w:val="24"/>
          <w:szCs w:val="24"/>
          <w:highlight w:val="none"/>
          <w:lang w:eastAsia="zh-CN"/>
        </w:rPr>
        <w:t>月</w:t>
      </w:r>
      <w:r>
        <w:rPr>
          <w:rFonts w:hint="eastAsia" w:ascii="宋体" w:hAnsi="宋体" w:eastAsia="宋体" w:cs="微软雅黑"/>
          <w:color w:val="auto"/>
          <w:sz w:val="24"/>
          <w:szCs w:val="24"/>
          <w:highlight w:val="none"/>
          <w:lang w:val="en-US" w:eastAsia="zh-CN"/>
        </w:rPr>
        <w:t xml:space="preserve">  </w:t>
      </w:r>
      <w:r>
        <w:rPr>
          <w:rFonts w:hint="eastAsia" w:ascii="宋体" w:hAnsi="宋体" w:eastAsia="宋体" w:cs="微软雅黑"/>
          <w:color w:val="auto"/>
          <w:sz w:val="24"/>
          <w:szCs w:val="24"/>
          <w:highlight w:val="none"/>
          <w:lang w:eastAsia="zh-CN"/>
        </w:rPr>
        <w:t>日</w:t>
      </w:r>
    </w:p>
    <w:p>
      <w:pPr>
        <w:widowControl/>
        <w:adjustRightInd w:val="0"/>
        <w:snapToGrid w:val="0"/>
        <w:spacing w:line="360" w:lineRule="auto"/>
        <w:rPr>
          <w:rFonts w:ascii="宋体" w:hAnsi="宋体" w:cs="宋体"/>
          <w:color w:val="auto"/>
          <w:sz w:val="32"/>
          <w:szCs w:val="32"/>
          <w:highlight w:val="none"/>
          <w:lang w:eastAsia="zh-CN"/>
        </w:rPr>
      </w:pPr>
    </w:p>
    <w:p>
      <w:pPr>
        <w:adjustRightInd w:val="0"/>
        <w:snapToGrid w:val="0"/>
        <w:spacing w:line="360" w:lineRule="auto"/>
        <w:jc w:val="center"/>
        <w:rPr>
          <w:rFonts w:ascii="宋体" w:hAnsi="宋体"/>
          <w:color w:val="auto"/>
          <w:sz w:val="32"/>
          <w:szCs w:val="32"/>
          <w:highlight w:val="none"/>
          <w:lang w:eastAsia="zh-CN"/>
        </w:rPr>
      </w:pPr>
      <w:r>
        <w:rPr>
          <w:rFonts w:hint="eastAsia" w:ascii="宋体" w:hAnsi="宋体" w:cs="宋体"/>
          <w:color w:val="auto"/>
          <w:sz w:val="32"/>
          <w:szCs w:val="32"/>
          <w:highlight w:val="none"/>
          <w:lang w:eastAsia="zh-CN"/>
        </w:rPr>
        <w:br w:type="page"/>
      </w:r>
      <w:r>
        <w:rPr>
          <w:rFonts w:hint="eastAsia" w:ascii="宋体" w:hAnsi="宋体" w:cs="宋体"/>
          <w:color w:val="auto"/>
          <w:sz w:val="32"/>
          <w:szCs w:val="32"/>
          <w:highlight w:val="none"/>
          <w:lang w:eastAsia="zh-CN"/>
        </w:rPr>
        <w:t>附加投票表格</w:t>
      </w:r>
    </w:p>
    <w:p>
      <w:pPr>
        <w:pStyle w:val="52"/>
        <w:adjustRightInd w:val="0"/>
        <w:snapToGrid w:val="0"/>
        <w:spacing w:line="360" w:lineRule="auto"/>
        <w:jc w:val="center"/>
        <w:rPr>
          <w:rFonts w:ascii="宋体" w:hAnsi="宋体" w:cs="宋体"/>
          <w:color w:val="auto"/>
          <w:sz w:val="24"/>
          <w:szCs w:val="24"/>
          <w:highlight w:val="none"/>
        </w:rPr>
      </w:pPr>
      <w:r>
        <w:rPr>
          <w:rFonts w:ascii="宋体" w:hAnsi="宋体" w:cs="宋体"/>
          <w:color w:val="auto"/>
          <w:sz w:val="24"/>
          <w:szCs w:val="24"/>
          <w:highlight w:val="none"/>
        </w:rPr>
        <w:t>(第   轮第   次)</w:t>
      </w:r>
    </w:p>
    <w:p>
      <w:pPr>
        <w:adjustRightInd w:val="0"/>
        <w:snapToGrid w:val="0"/>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项目名称：</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0"/>
        <w:gridCol w:w="220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中标候选人</w:t>
            </w:r>
          </w:p>
        </w:tc>
        <w:tc>
          <w:tcPr>
            <w:tcW w:w="19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p>
        </w:tc>
        <w:tc>
          <w:tcPr>
            <w:tcW w:w="220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p>
        </w:tc>
        <w:tc>
          <w:tcPr>
            <w:tcW w:w="220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票决意见</w:t>
            </w:r>
          </w:p>
        </w:tc>
        <w:tc>
          <w:tcPr>
            <w:tcW w:w="19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p>
        </w:tc>
        <w:tc>
          <w:tcPr>
            <w:tcW w:w="220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p>
        </w:tc>
        <w:tc>
          <w:tcPr>
            <w:tcW w:w="220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eastAsia="宋体" w:cs="宋体"/>
                <w:color w:val="auto"/>
                <w:sz w:val="24"/>
                <w:szCs w:val="24"/>
                <w:highlight w:val="none"/>
              </w:rPr>
            </w:pPr>
          </w:p>
        </w:tc>
      </w:tr>
    </w:tbl>
    <w:p>
      <w:pPr>
        <w:pStyle w:val="52"/>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w:t>
      </w:r>
      <w:r>
        <w:rPr>
          <w:rFonts w:ascii="宋体" w:hAnsi="宋体" w:cs="宋体"/>
          <w:color w:val="auto"/>
          <w:sz w:val="24"/>
          <w:szCs w:val="24"/>
          <w:highlight w:val="none"/>
        </w:rPr>
        <w:t>1）本表用于投票出现票数相同的情况。</w:t>
      </w:r>
      <w:r>
        <w:rPr>
          <w:rFonts w:hint="eastAsia" w:ascii="宋体" w:hAnsi="宋体" w:cs="宋体"/>
          <w:color w:val="auto"/>
          <w:sz w:val="24"/>
          <w:szCs w:val="24"/>
          <w:highlight w:val="none"/>
        </w:rPr>
        <w:t>每轮投票若出现票数相同且无法决出入围第二轮名单或无法决出中标人时，对票数相同的中标候选人再进行一次或多次的附加投票，直至确定入围第二轮名单或确定中标人。</w:t>
      </w:r>
    </w:p>
    <w:p>
      <w:pPr>
        <w:pStyle w:val="52"/>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2）由定标委员会成员进行附加投票，票决意见分别为“投票”或“不投票”，各定标委员会成员只有1票表决权（即只能对其中一名</w:t>
      </w:r>
      <w:r>
        <w:rPr>
          <w:rFonts w:hint="eastAsia" w:ascii="宋体" w:hAnsi="宋体" w:cs="宋体"/>
          <w:color w:val="auto"/>
          <w:sz w:val="24"/>
          <w:szCs w:val="24"/>
          <w:highlight w:val="none"/>
        </w:rPr>
        <w:t>中标候选人“投票”），票决意见为“投票”的，用“○”表示；票决意见为“不投票”，用“×”表示。</w:t>
      </w:r>
    </w:p>
    <w:p>
      <w:pPr>
        <w:adjustRightInd w:val="0"/>
        <w:snapToGrid w:val="0"/>
        <w:spacing w:line="360" w:lineRule="auto"/>
        <w:ind w:firstLine="480"/>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lang w:eastAsia="zh-CN"/>
        </w:rPr>
        <w:t>3）定标委员会成员应当独立投票，自投票开始至最终排名统计结果公布期间，任何人不得非法干预、影响投票过程，不得透露、协商、改变投票结果，不得使用通信联络工具。</w:t>
      </w:r>
    </w:p>
    <w:p>
      <w:pPr>
        <w:adjustRightInd w:val="0"/>
        <w:snapToGrid w:val="0"/>
        <w:spacing w:line="360" w:lineRule="auto"/>
        <w:rPr>
          <w:rFonts w:ascii="宋体" w:hAnsi="宋体" w:eastAsia="宋体" w:cs="宋体"/>
          <w:color w:val="auto"/>
          <w:sz w:val="24"/>
          <w:szCs w:val="24"/>
          <w:highlight w:val="none"/>
          <w:lang w:eastAsia="zh-CN"/>
        </w:rPr>
      </w:pPr>
    </w:p>
    <w:p>
      <w:pPr>
        <w:adjustRightInd w:val="0"/>
        <w:snapToGrid w:val="0"/>
        <w:spacing w:line="360" w:lineRule="auto"/>
        <w:ind w:firstLine="480"/>
        <w:rPr>
          <w:rFonts w:ascii="宋体" w:hAnsi="宋体"/>
          <w:color w:val="auto"/>
          <w:szCs w:val="21"/>
          <w:highlight w:val="none"/>
          <w:lang w:eastAsia="zh-CN"/>
        </w:rPr>
      </w:pPr>
    </w:p>
    <w:p>
      <w:pPr>
        <w:adjustRightInd w:val="0"/>
        <w:snapToGrid w:val="0"/>
        <w:spacing w:line="360" w:lineRule="auto"/>
        <w:ind w:firstLine="330" w:firstLineChars="150"/>
        <w:rPr>
          <w:rFonts w:ascii="宋体" w:hAnsi="宋体" w:cs="宋体"/>
          <w:color w:val="auto"/>
          <w:szCs w:val="21"/>
          <w:highlight w:val="none"/>
          <w:lang w:eastAsia="zh-CN"/>
        </w:rPr>
      </w:pPr>
    </w:p>
    <w:p>
      <w:pPr>
        <w:adjustRightInd w:val="0"/>
        <w:snapToGrid w:val="0"/>
        <w:spacing w:line="360" w:lineRule="auto"/>
        <w:ind w:firstLine="330" w:firstLineChars="150"/>
        <w:rPr>
          <w:rFonts w:ascii="宋体" w:hAnsi="宋体"/>
          <w:color w:val="auto"/>
          <w:szCs w:val="21"/>
          <w:highlight w:val="none"/>
          <w:lang w:eastAsia="zh-CN"/>
        </w:rPr>
      </w:pPr>
      <w:r>
        <w:rPr>
          <w:rFonts w:hint="eastAsia" w:ascii="宋体" w:hAnsi="宋体" w:cs="宋体"/>
          <w:color w:val="auto"/>
          <w:szCs w:val="21"/>
          <w:highlight w:val="none"/>
          <w:lang w:eastAsia="zh-CN"/>
        </w:rPr>
        <w:t>定标委员签名：</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日期：</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日</w:t>
      </w:r>
    </w:p>
    <w:p>
      <w:pPr>
        <w:pStyle w:val="7"/>
        <w:adjustRightInd w:val="0"/>
        <w:snapToGrid w:val="0"/>
        <w:spacing w:line="360" w:lineRule="auto"/>
        <w:ind w:firstLine="0"/>
        <w:rPr>
          <w:b w:val="0"/>
          <w:color w:val="auto"/>
          <w:highlight w:val="none"/>
        </w:rPr>
      </w:pPr>
    </w:p>
    <w:p>
      <w:pPr>
        <w:pStyle w:val="51"/>
        <w:snapToGrid w:val="0"/>
        <w:spacing w:line="360" w:lineRule="auto"/>
        <w:rPr>
          <w:rFonts w:ascii="宋体" w:hAnsi="宋体" w:eastAsia="宋体"/>
          <w:color w:val="auto"/>
          <w:highlight w:val="none"/>
        </w:rPr>
        <w:sectPr>
          <w:pgSz w:w="11906" w:h="16838"/>
          <w:pgMar w:top="1440" w:right="1466" w:bottom="1440" w:left="1440" w:header="851" w:footer="992" w:gutter="0"/>
          <w:cols w:space="720" w:num="1"/>
          <w:docGrid w:type="linesAndChars" w:linePitch="312" w:charSpace="0"/>
        </w:sectPr>
      </w:pPr>
    </w:p>
    <w:p>
      <w:pPr>
        <w:adjustRightInd w:val="0"/>
        <w:snapToGrid w:val="0"/>
        <w:spacing w:line="360" w:lineRule="auto"/>
        <w:jc w:val="center"/>
        <w:rPr>
          <w:rFonts w:ascii="宋体" w:hAnsi="宋体"/>
          <w:color w:val="auto"/>
          <w:sz w:val="28"/>
          <w:szCs w:val="28"/>
          <w:highlight w:val="none"/>
          <w:lang w:eastAsia="zh-CN"/>
        </w:rPr>
      </w:pPr>
      <w:r>
        <w:rPr>
          <w:rFonts w:hint="eastAsia" w:ascii="宋体" w:hAnsi="宋体"/>
          <w:color w:val="auto"/>
          <w:sz w:val="28"/>
          <w:szCs w:val="28"/>
          <w:highlight w:val="none"/>
          <w:lang w:eastAsia="zh-CN"/>
        </w:rPr>
        <w:t>投票汇总表格</w:t>
      </w:r>
    </w:p>
    <w:p>
      <w:pPr>
        <w:adjustRightInd w:val="0"/>
        <w:snapToGrid w:val="0"/>
        <w:spacing w:line="360"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项目名称：</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日    期：       年    月    日</w:t>
      </w:r>
    </w:p>
    <w:tbl>
      <w:tblPr>
        <w:tblStyle w:val="25"/>
        <w:tblW w:w="52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756"/>
        <w:gridCol w:w="1536"/>
        <w:gridCol w:w="3296"/>
        <w:gridCol w:w="1756"/>
        <w:gridCol w:w="876"/>
        <w:gridCol w:w="3296"/>
        <w:gridCol w:w="219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759"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中标候选人名称</w:t>
            </w:r>
          </w:p>
        </w:tc>
        <w:tc>
          <w:tcPr>
            <w:tcW w:w="421"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第一轮得票数</w:t>
            </w:r>
          </w:p>
        </w:tc>
        <w:tc>
          <w:tcPr>
            <w:tcW w:w="708" w:type="pct"/>
            <w:noWrap/>
            <w:vAlign w:val="center"/>
          </w:tcPr>
          <w:p>
            <w:pPr>
              <w:adjustRightInd w:val="0"/>
              <w:snapToGrid w:val="0"/>
              <w:spacing w:line="360"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第一轮第  次附加投票（如有）</w:t>
            </w:r>
          </w:p>
        </w:tc>
        <w:tc>
          <w:tcPr>
            <w:tcW w:w="50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是否进入第二轮</w:t>
            </w:r>
          </w:p>
        </w:tc>
        <w:tc>
          <w:tcPr>
            <w:tcW w:w="571"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第二轮</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得票数</w:t>
            </w:r>
          </w:p>
        </w:tc>
        <w:tc>
          <w:tcPr>
            <w:tcW w:w="765" w:type="pct"/>
            <w:noWrap/>
            <w:vAlign w:val="center"/>
          </w:tcPr>
          <w:p>
            <w:pPr>
              <w:adjustRightInd w:val="0"/>
              <w:snapToGrid w:val="0"/>
              <w:spacing w:line="360"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第二轮第  次附加投票（如有）</w:t>
            </w:r>
          </w:p>
        </w:tc>
        <w:tc>
          <w:tcPr>
            <w:tcW w:w="494"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是否被确认为中标人</w:t>
            </w:r>
          </w:p>
        </w:tc>
        <w:tc>
          <w:tcPr>
            <w:tcW w:w="387"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59" w:type="pct"/>
            <w:noWrap/>
          </w:tcPr>
          <w:p>
            <w:pPr>
              <w:adjustRightInd w:val="0"/>
              <w:snapToGrid w:val="0"/>
              <w:spacing w:line="360" w:lineRule="auto"/>
              <w:jc w:val="center"/>
              <w:rPr>
                <w:rFonts w:ascii="宋体" w:hAnsi="宋体" w:cs="宋体"/>
                <w:color w:val="auto"/>
                <w:szCs w:val="21"/>
                <w:highlight w:val="none"/>
              </w:rPr>
            </w:pPr>
          </w:p>
        </w:tc>
        <w:tc>
          <w:tcPr>
            <w:tcW w:w="421" w:type="pct"/>
            <w:noWrap/>
            <w:vAlign w:val="center"/>
          </w:tcPr>
          <w:p>
            <w:pPr>
              <w:adjustRightInd w:val="0"/>
              <w:snapToGrid w:val="0"/>
              <w:spacing w:line="360" w:lineRule="auto"/>
              <w:jc w:val="center"/>
              <w:rPr>
                <w:rFonts w:ascii="宋体" w:hAnsi="宋体" w:cs="宋体"/>
                <w:color w:val="auto"/>
                <w:szCs w:val="21"/>
                <w:highlight w:val="none"/>
              </w:rPr>
            </w:pPr>
          </w:p>
        </w:tc>
        <w:tc>
          <w:tcPr>
            <w:tcW w:w="708" w:type="pct"/>
            <w:noWrap/>
          </w:tcPr>
          <w:p>
            <w:pPr>
              <w:adjustRightInd w:val="0"/>
              <w:snapToGrid w:val="0"/>
              <w:spacing w:line="360" w:lineRule="auto"/>
              <w:jc w:val="center"/>
              <w:rPr>
                <w:rFonts w:ascii="宋体" w:hAnsi="宋体" w:cs="宋体"/>
                <w:color w:val="auto"/>
                <w:szCs w:val="21"/>
                <w:highlight w:val="none"/>
              </w:rPr>
            </w:pPr>
          </w:p>
        </w:tc>
        <w:tc>
          <w:tcPr>
            <w:tcW w:w="500" w:type="pct"/>
            <w:noWrap/>
          </w:tcPr>
          <w:p>
            <w:pPr>
              <w:adjustRightInd w:val="0"/>
              <w:snapToGrid w:val="0"/>
              <w:spacing w:line="360" w:lineRule="auto"/>
              <w:jc w:val="center"/>
              <w:rPr>
                <w:rFonts w:ascii="宋体" w:hAnsi="宋体" w:cs="宋体"/>
                <w:color w:val="auto"/>
                <w:szCs w:val="21"/>
                <w:highlight w:val="none"/>
              </w:rPr>
            </w:pPr>
          </w:p>
        </w:tc>
        <w:tc>
          <w:tcPr>
            <w:tcW w:w="571" w:type="pct"/>
            <w:noWrap/>
          </w:tcPr>
          <w:p>
            <w:pPr>
              <w:adjustRightInd w:val="0"/>
              <w:snapToGrid w:val="0"/>
              <w:spacing w:line="360" w:lineRule="auto"/>
              <w:jc w:val="center"/>
              <w:rPr>
                <w:rFonts w:ascii="宋体" w:hAnsi="宋体" w:cs="宋体"/>
                <w:color w:val="auto"/>
                <w:szCs w:val="21"/>
                <w:highlight w:val="none"/>
              </w:rPr>
            </w:pPr>
          </w:p>
        </w:tc>
        <w:tc>
          <w:tcPr>
            <w:tcW w:w="765" w:type="pct"/>
            <w:noWrap/>
          </w:tcPr>
          <w:p>
            <w:pPr>
              <w:adjustRightInd w:val="0"/>
              <w:snapToGrid w:val="0"/>
              <w:spacing w:line="360" w:lineRule="auto"/>
              <w:jc w:val="center"/>
              <w:rPr>
                <w:rFonts w:ascii="宋体" w:hAnsi="宋体" w:cs="宋体"/>
                <w:color w:val="auto"/>
                <w:szCs w:val="21"/>
                <w:highlight w:val="none"/>
              </w:rPr>
            </w:pPr>
          </w:p>
        </w:tc>
        <w:tc>
          <w:tcPr>
            <w:tcW w:w="494" w:type="pct"/>
            <w:noWrap/>
          </w:tcPr>
          <w:p>
            <w:pPr>
              <w:adjustRightInd w:val="0"/>
              <w:snapToGrid w:val="0"/>
              <w:spacing w:line="360" w:lineRule="auto"/>
              <w:jc w:val="center"/>
              <w:rPr>
                <w:rFonts w:ascii="宋体" w:hAnsi="宋体" w:cs="宋体"/>
                <w:color w:val="auto"/>
                <w:szCs w:val="21"/>
                <w:highlight w:val="none"/>
              </w:rPr>
            </w:pPr>
          </w:p>
        </w:tc>
        <w:tc>
          <w:tcPr>
            <w:tcW w:w="387" w:type="pct"/>
            <w:noWrap/>
          </w:tcPr>
          <w:p>
            <w:pPr>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59" w:type="pct"/>
            <w:noWrap/>
          </w:tcPr>
          <w:p>
            <w:pPr>
              <w:adjustRightInd w:val="0"/>
              <w:snapToGrid w:val="0"/>
              <w:spacing w:line="360" w:lineRule="auto"/>
              <w:jc w:val="center"/>
              <w:rPr>
                <w:rFonts w:ascii="宋体" w:hAnsi="宋体" w:cs="宋体"/>
                <w:color w:val="auto"/>
                <w:szCs w:val="21"/>
                <w:highlight w:val="none"/>
              </w:rPr>
            </w:pPr>
          </w:p>
        </w:tc>
        <w:tc>
          <w:tcPr>
            <w:tcW w:w="421" w:type="pct"/>
            <w:noWrap/>
            <w:vAlign w:val="center"/>
          </w:tcPr>
          <w:p>
            <w:pPr>
              <w:adjustRightInd w:val="0"/>
              <w:snapToGrid w:val="0"/>
              <w:spacing w:line="360" w:lineRule="auto"/>
              <w:jc w:val="center"/>
              <w:rPr>
                <w:rFonts w:ascii="宋体" w:hAnsi="宋体" w:cs="宋体"/>
                <w:color w:val="auto"/>
                <w:szCs w:val="21"/>
                <w:highlight w:val="none"/>
              </w:rPr>
            </w:pPr>
          </w:p>
        </w:tc>
        <w:tc>
          <w:tcPr>
            <w:tcW w:w="708" w:type="pct"/>
            <w:noWrap/>
          </w:tcPr>
          <w:p>
            <w:pPr>
              <w:adjustRightInd w:val="0"/>
              <w:snapToGrid w:val="0"/>
              <w:spacing w:line="360" w:lineRule="auto"/>
              <w:jc w:val="center"/>
              <w:rPr>
                <w:rFonts w:ascii="宋体" w:hAnsi="宋体" w:cs="宋体"/>
                <w:color w:val="auto"/>
                <w:szCs w:val="21"/>
                <w:highlight w:val="none"/>
              </w:rPr>
            </w:pPr>
          </w:p>
        </w:tc>
        <w:tc>
          <w:tcPr>
            <w:tcW w:w="500" w:type="pct"/>
            <w:noWrap/>
          </w:tcPr>
          <w:p>
            <w:pPr>
              <w:adjustRightInd w:val="0"/>
              <w:snapToGrid w:val="0"/>
              <w:spacing w:line="360" w:lineRule="auto"/>
              <w:jc w:val="center"/>
              <w:rPr>
                <w:rFonts w:ascii="宋体" w:hAnsi="宋体" w:cs="宋体"/>
                <w:color w:val="auto"/>
                <w:szCs w:val="21"/>
                <w:highlight w:val="none"/>
              </w:rPr>
            </w:pPr>
          </w:p>
        </w:tc>
        <w:tc>
          <w:tcPr>
            <w:tcW w:w="571" w:type="pct"/>
            <w:noWrap/>
          </w:tcPr>
          <w:p>
            <w:pPr>
              <w:adjustRightInd w:val="0"/>
              <w:snapToGrid w:val="0"/>
              <w:spacing w:line="360" w:lineRule="auto"/>
              <w:jc w:val="center"/>
              <w:rPr>
                <w:rFonts w:ascii="宋体" w:hAnsi="宋体" w:cs="宋体"/>
                <w:color w:val="auto"/>
                <w:szCs w:val="21"/>
                <w:highlight w:val="none"/>
              </w:rPr>
            </w:pPr>
          </w:p>
        </w:tc>
        <w:tc>
          <w:tcPr>
            <w:tcW w:w="765" w:type="pct"/>
            <w:noWrap/>
          </w:tcPr>
          <w:p>
            <w:pPr>
              <w:adjustRightInd w:val="0"/>
              <w:snapToGrid w:val="0"/>
              <w:spacing w:line="360" w:lineRule="auto"/>
              <w:jc w:val="center"/>
              <w:rPr>
                <w:rFonts w:ascii="宋体" w:hAnsi="宋体" w:cs="宋体"/>
                <w:color w:val="auto"/>
                <w:szCs w:val="21"/>
                <w:highlight w:val="none"/>
              </w:rPr>
            </w:pPr>
          </w:p>
        </w:tc>
        <w:tc>
          <w:tcPr>
            <w:tcW w:w="494" w:type="pct"/>
            <w:noWrap/>
          </w:tcPr>
          <w:p>
            <w:pPr>
              <w:adjustRightInd w:val="0"/>
              <w:snapToGrid w:val="0"/>
              <w:spacing w:line="360" w:lineRule="auto"/>
              <w:jc w:val="center"/>
              <w:rPr>
                <w:rFonts w:ascii="宋体" w:hAnsi="宋体" w:cs="宋体"/>
                <w:color w:val="auto"/>
                <w:szCs w:val="21"/>
                <w:highlight w:val="none"/>
              </w:rPr>
            </w:pPr>
          </w:p>
        </w:tc>
        <w:tc>
          <w:tcPr>
            <w:tcW w:w="387" w:type="pct"/>
            <w:noWrap/>
          </w:tcPr>
          <w:p>
            <w:pPr>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59" w:type="pct"/>
            <w:noWrap/>
          </w:tcPr>
          <w:p>
            <w:pPr>
              <w:adjustRightInd w:val="0"/>
              <w:snapToGrid w:val="0"/>
              <w:spacing w:line="360" w:lineRule="auto"/>
              <w:jc w:val="center"/>
              <w:rPr>
                <w:rFonts w:ascii="宋体" w:hAnsi="宋体" w:cs="宋体"/>
                <w:color w:val="auto"/>
                <w:szCs w:val="21"/>
                <w:highlight w:val="none"/>
              </w:rPr>
            </w:pPr>
          </w:p>
        </w:tc>
        <w:tc>
          <w:tcPr>
            <w:tcW w:w="421" w:type="pct"/>
            <w:noWrap/>
            <w:vAlign w:val="center"/>
          </w:tcPr>
          <w:p>
            <w:pPr>
              <w:adjustRightInd w:val="0"/>
              <w:snapToGrid w:val="0"/>
              <w:spacing w:line="360" w:lineRule="auto"/>
              <w:jc w:val="center"/>
              <w:rPr>
                <w:rFonts w:ascii="宋体" w:hAnsi="宋体" w:cs="宋体"/>
                <w:color w:val="auto"/>
                <w:szCs w:val="21"/>
                <w:highlight w:val="none"/>
              </w:rPr>
            </w:pPr>
          </w:p>
        </w:tc>
        <w:tc>
          <w:tcPr>
            <w:tcW w:w="708" w:type="pct"/>
            <w:noWrap/>
          </w:tcPr>
          <w:p>
            <w:pPr>
              <w:adjustRightInd w:val="0"/>
              <w:snapToGrid w:val="0"/>
              <w:spacing w:line="360" w:lineRule="auto"/>
              <w:jc w:val="center"/>
              <w:rPr>
                <w:rFonts w:ascii="宋体" w:hAnsi="宋体" w:cs="宋体"/>
                <w:color w:val="auto"/>
                <w:szCs w:val="21"/>
                <w:highlight w:val="none"/>
              </w:rPr>
            </w:pPr>
          </w:p>
        </w:tc>
        <w:tc>
          <w:tcPr>
            <w:tcW w:w="500" w:type="pct"/>
            <w:noWrap/>
          </w:tcPr>
          <w:p>
            <w:pPr>
              <w:adjustRightInd w:val="0"/>
              <w:snapToGrid w:val="0"/>
              <w:spacing w:line="360" w:lineRule="auto"/>
              <w:jc w:val="center"/>
              <w:rPr>
                <w:rFonts w:ascii="宋体" w:hAnsi="宋体" w:cs="宋体"/>
                <w:color w:val="auto"/>
                <w:szCs w:val="21"/>
                <w:highlight w:val="none"/>
              </w:rPr>
            </w:pPr>
          </w:p>
        </w:tc>
        <w:tc>
          <w:tcPr>
            <w:tcW w:w="571" w:type="pct"/>
            <w:noWrap/>
          </w:tcPr>
          <w:p>
            <w:pPr>
              <w:adjustRightInd w:val="0"/>
              <w:snapToGrid w:val="0"/>
              <w:spacing w:line="360" w:lineRule="auto"/>
              <w:jc w:val="center"/>
              <w:rPr>
                <w:rFonts w:ascii="宋体" w:hAnsi="宋体" w:cs="宋体"/>
                <w:color w:val="auto"/>
                <w:szCs w:val="21"/>
                <w:highlight w:val="none"/>
              </w:rPr>
            </w:pPr>
          </w:p>
        </w:tc>
        <w:tc>
          <w:tcPr>
            <w:tcW w:w="765" w:type="pct"/>
            <w:noWrap/>
          </w:tcPr>
          <w:p>
            <w:pPr>
              <w:adjustRightInd w:val="0"/>
              <w:snapToGrid w:val="0"/>
              <w:spacing w:line="360" w:lineRule="auto"/>
              <w:jc w:val="center"/>
              <w:rPr>
                <w:rFonts w:ascii="宋体" w:hAnsi="宋体" w:cs="宋体"/>
                <w:color w:val="auto"/>
                <w:szCs w:val="21"/>
                <w:highlight w:val="none"/>
              </w:rPr>
            </w:pPr>
          </w:p>
        </w:tc>
        <w:tc>
          <w:tcPr>
            <w:tcW w:w="494" w:type="pct"/>
            <w:noWrap/>
          </w:tcPr>
          <w:p>
            <w:pPr>
              <w:adjustRightInd w:val="0"/>
              <w:snapToGrid w:val="0"/>
              <w:spacing w:line="360" w:lineRule="auto"/>
              <w:jc w:val="center"/>
              <w:rPr>
                <w:rFonts w:ascii="宋体" w:hAnsi="宋体" w:cs="宋体"/>
                <w:color w:val="auto"/>
                <w:szCs w:val="21"/>
                <w:highlight w:val="none"/>
              </w:rPr>
            </w:pPr>
          </w:p>
        </w:tc>
        <w:tc>
          <w:tcPr>
            <w:tcW w:w="387" w:type="pct"/>
            <w:noWrap/>
          </w:tcPr>
          <w:p>
            <w:pPr>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59" w:type="pct"/>
            <w:noWrap/>
          </w:tcPr>
          <w:p>
            <w:pPr>
              <w:adjustRightInd w:val="0"/>
              <w:snapToGrid w:val="0"/>
              <w:spacing w:line="360" w:lineRule="auto"/>
              <w:jc w:val="center"/>
              <w:rPr>
                <w:rFonts w:ascii="宋体" w:hAnsi="宋体" w:cs="宋体"/>
                <w:color w:val="auto"/>
                <w:szCs w:val="21"/>
                <w:highlight w:val="none"/>
              </w:rPr>
            </w:pPr>
          </w:p>
        </w:tc>
        <w:tc>
          <w:tcPr>
            <w:tcW w:w="421" w:type="pct"/>
            <w:noWrap/>
            <w:vAlign w:val="center"/>
          </w:tcPr>
          <w:p>
            <w:pPr>
              <w:adjustRightInd w:val="0"/>
              <w:snapToGrid w:val="0"/>
              <w:spacing w:line="360" w:lineRule="auto"/>
              <w:jc w:val="center"/>
              <w:rPr>
                <w:rFonts w:ascii="宋体" w:hAnsi="宋体" w:cs="宋体"/>
                <w:color w:val="auto"/>
                <w:szCs w:val="21"/>
                <w:highlight w:val="none"/>
              </w:rPr>
            </w:pPr>
          </w:p>
        </w:tc>
        <w:tc>
          <w:tcPr>
            <w:tcW w:w="708" w:type="pct"/>
            <w:noWrap/>
          </w:tcPr>
          <w:p>
            <w:pPr>
              <w:adjustRightInd w:val="0"/>
              <w:snapToGrid w:val="0"/>
              <w:spacing w:line="360" w:lineRule="auto"/>
              <w:jc w:val="center"/>
              <w:rPr>
                <w:rFonts w:ascii="宋体" w:hAnsi="宋体" w:cs="宋体"/>
                <w:color w:val="auto"/>
                <w:szCs w:val="21"/>
                <w:highlight w:val="none"/>
              </w:rPr>
            </w:pPr>
          </w:p>
        </w:tc>
        <w:tc>
          <w:tcPr>
            <w:tcW w:w="500" w:type="pct"/>
            <w:noWrap/>
          </w:tcPr>
          <w:p>
            <w:pPr>
              <w:adjustRightInd w:val="0"/>
              <w:snapToGrid w:val="0"/>
              <w:spacing w:line="360" w:lineRule="auto"/>
              <w:jc w:val="center"/>
              <w:rPr>
                <w:rFonts w:ascii="宋体" w:hAnsi="宋体" w:cs="宋体"/>
                <w:color w:val="auto"/>
                <w:szCs w:val="21"/>
                <w:highlight w:val="none"/>
              </w:rPr>
            </w:pPr>
          </w:p>
        </w:tc>
        <w:tc>
          <w:tcPr>
            <w:tcW w:w="571" w:type="pct"/>
            <w:noWrap/>
          </w:tcPr>
          <w:p>
            <w:pPr>
              <w:adjustRightInd w:val="0"/>
              <w:snapToGrid w:val="0"/>
              <w:spacing w:line="360" w:lineRule="auto"/>
              <w:jc w:val="center"/>
              <w:rPr>
                <w:rFonts w:ascii="宋体" w:hAnsi="宋体" w:cs="宋体"/>
                <w:color w:val="auto"/>
                <w:szCs w:val="21"/>
                <w:highlight w:val="none"/>
              </w:rPr>
            </w:pPr>
          </w:p>
        </w:tc>
        <w:tc>
          <w:tcPr>
            <w:tcW w:w="765" w:type="pct"/>
            <w:noWrap/>
          </w:tcPr>
          <w:p>
            <w:pPr>
              <w:adjustRightInd w:val="0"/>
              <w:snapToGrid w:val="0"/>
              <w:spacing w:line="360" w:lineRule="auto"/>
              <w:jc w:val="center"/>
              <w:rPr>
                <w:rFonts w:ascii="宋体" w:hAnsi="宋体" w:cs="宋体"/>
                <w:color w:val="auto"/>
                <w:szCs w:val="21"/>
                <w:highlight w:val="none"/>
              </w:rPr>
            </w:pPr>
          </w:p>
        </w:tc>
        <w:tc>
          <w:tcPr>
            <w:tcW w:w="494" w:type="pct"/>
            <w:noWrap/>
          </w:tcPr>
          <w:p>
            <w:pPr>
              <w:adjustRightInd w:val="0"/>
              <w:snapToGrid w:val="0"/>
              <w:spacing w:line="360" w:lineRule="auto"/>
              <w:jc w:val="center"/>
              <w:rPr>
                <w:rFonts w:ascii="宋体" w:hAnsi="宋体" w:cs="宋体"/>
                <w:color w:val="auto"/>
                <w:szCs w:val="21"/>
                <w:highlight w:val="none"/>
              </w:rPr>
            </w:pPr>
          </w:p>
        </w:tc>
        <w:tc>
          <w:tcPr>
            <w:tcW w:w="387" w:type="pct"/>
            <w:noWrap/>
          </w:tcPr>
          <w:p>
            <w:pPr>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59" w:type="pct"/>
            <w:noWrap/>
          </w:tcPr>
          <w:p>
            <w:pPr>
              <w:adjustRightInd w:val="0"/>
              <w:snapToGrid w:val="0"/>
              <w:spacing w:line="360" w:lineRule="auto"/>
              <w:jc w:val="center"/>
              <w:rPr>
                <w:rFonts w:ascii="宋体" w:hAnsi="宋体" w:cs="宋体"/>
                <w:color w:val="auto"/>
                <w:szCs w:val="21"/>
                <w:highlight w:val="none"/>
              </w:rPr>
            </w:pPr>
          </w:p>
        </w:tc>
        <w:tc>
          <w:tcPr>
            <w:tcW w:w="421" w:type="pct"/>
            <w:noWrap/>
            <w:vAlign w:val="center"/>
          </w:tcPr>
          <w:p>
            <w:pPr>
              <w:adjustRightInd w:val="0"/>
              <w:snapToGrid w:val="0"/>
              <w:spacing w:line="360" w:lineRule="auto"/>
              <w:jc w:val="center"/>
              <w:rPr>
                <w:rFonts w:ascii="宋体" w:hAnsi="宋体" w:cs="宋体"/>
                <w:color w:val="auto"/>
                <w:szCs w:val="21"/>
                <w:highlight w:val="none"/>
              </w:rPr>
            </w:pPr>
          </w:p>
        </w:tc>
        <w:tc>
          <w:tcPr>
            <w:tcW w:w="708" w:type="pct"/>
            <w:noWrap/>
          </w:tcPr>
          <w:p>
            <w:pPr>
              <w:adjustRightInd w:val="0"/>
              <w:snapToGrid w:val="0"/>
              <w:spacing w:line="360" w:lineRule="auto"/>
              <w:jc w:val="center"/>
              <w:rPr>
                <w:rFonts w:ascii="宋体" w:hAnsi="宋体" w:cs="宋体"/>
                <w:color w:val="auto"/>
                <w:szCs w:val="21"/>
                <w:highlight w:val="none"/>
              </w:rPr>
            </w:pPr>
          </w:p>
        </w:tc>
        <w:tc>
          <w:tcPr>
            <w:tcW w:w="500" w:type="pct"/>
            <w:noWrap/>
          </w:tcPr>
          <w:p>
            <w:pPr>
              <w:adjustRightInd w:val="0"/>
              <w:snapToGrid w:val="0"/>
              <w:spacing w:line="360" w:lineRule="auto"/>
              <w:jc w:val="center"/>
              <w:rPr>
                <w:rFonts w:ascii="宋体" w:hAnsi="宋体" w:cs="宋体"/>
                <w:color w:val="auto"/>
                <w:szCs w:val="21"/>
                <w:highlight w:val="none"/>
              </w:rPr>
            </w:pPr>
          </w:p>
        </w:tc>
        <w:tc>
          <w:tcPr>
            <w:tcW w:w="571" w:type="pct"/>
            <w:noWrap/>
          </w:tcPr>
          <w:p>
            <w:pPr>
              <w:adjustRightInd w:val="0"/>
              <w:snapToGrid w:val="0"/>
              <w:spacing w:line="360" w:lineRule="auto"/>
              <w:jc w:val="center"/>
              <w:rPr>
                <w:rFonts w:ascii="宋体" w:hAnsi="宋体" w:cs="宋体"/>
                <w:color w:val="auto"/>
                <w:szCs w:val="21"/>
                <w:highlight w:val="none"/>
              </w:rPr>
            </w:pPr>
          </w:p>
        </w:tc>
        <w:tc>
          <w:tcPr>
            <w:tcW w:w="765" w:type="pct"/>
            <w:noWrap/>
          </w:tcPr>
          <w:p>
            <w:pPr>
              <w:adjustRightInd w:val="0"/>
              <w:snapToGrid w:val="0"/>
              <w:spacing w:line="360" w:lineRule="auto"/>
              <w:jc w:val="center"/>
              <w:rPr>
                <w:rFonts w:ascii="宋体" w:hAnsi="宋体" w:cs="宋体"/>
                <w:color w:val="auto"/>
                <w:szCs w:val="21"/>
                <w:highlight w:val="none"/>
              </w:rPr>
            </w:pPr>
          </w:p>
        </w:tc>
        <w:tc>
          <w:tcPr>
            <w:tcW w:w="494" w:type="pct"/>
            <w:noWrap/>
          </w:tcPr>
          <w:p>
            <w:pPr>
              <w:adjustRightInd w:val="0"/>
              <w:snapToGrid w:val="0"/>
              <w:spacing w:line="360" w:lineRule="auto"/>
              <w:jc w:val="center"/>
              <w:rPr>
                <w:rFonts w:ascii="宋体" w:hAnsi="宋体" w:cs="宋体"/>
                <w:color w:val="auto"/>
                <w:szCs w:val="21"/>
                <w:highlight w:val="none"/>
              </w:rPr>
            </w:pPr>
          </w:p>
        </w:tc>
        <w:tc>
          <w:tcPr>
            <w:tcW w:w="387" w:type="pct"/>
            <w:noWrap/>
          </w:tcPr>
          <w:p>
            <w:pPr>
              <w:adjustRightInd w:val="0"/>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90" w:type="pct"/>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59" w:type="pct"/>
            <w:noWrap/>
          </w:tcPr>
          <w:p>
            <w:pPr>
              <w:adjustRightInd w:val="0"/>
              <w:snapToGrid w:val="0"/>
              <w:spacing w:line="360" w:lineRule="auto"/>
              <w:jc w:val="center"/>
              <w:rPr>
                <w:rFonts w:ascii="宋体" w:hAnsi="宋体" w:cs="宋体"/>
                <w:color w:val="auto"/>
                <w:szCs w:val="21"/>
                <w:highlight w:val="none"/>
              </w:rPr>
            </w:pPr>
          </w:p>
        </w:tc>
        <w:tc>
          <w:tcPr>
            <w:tcW w:w="421" w:type="pct"/>
            <w:noWrap/>
            <w:vAlign w:val="center"/>
          </w:tcPr>
          <w:p>
            <w:pPr>
              <w:adjustRightInd w:val="0"/>
              <w:snapToGrid w:val="0"/>
              <w:spacing w:line="360" w:lineRule="auto"/>
              <w:jc w:val="center"/>
              <w:rPr>
                <w:rFonts w:ascii="宋体" w:hAnsi="宋体" w:cs="宋体"/>
                <w:color w:val="auto"/>
                <w:szCs w:val="21"/>
                <w:highlight w:val="none"/>
              </w:rPr>
            </w:pPr>
          </w:p>
        </w:tc>
        <w:tc>
          <w:tcPr>
            <w:tcW w:w="708" w:type="pct"/>
            <w:noWrap/>
          </w:tcPr>
          <w:p>
            <w:pPr>
              <w:adjustRightInd w:val="0"/>
              <w:snapToGrid w:val="0"/>
              <w:spacing w:line="360" w:lineRule="auto"/>
              <w:jc w:val="center"/>
              <w:rPr>
                <w:rFonts w:ascii="宋体" w:hAnsi="宋体" w:cs="宋体"/>
                <w:color w:val="auto"/>
                <w:szCs w:val="21"/>
                <w:highlight w:val="none"/>
              </w:rPr>
            </w:pPr>
          </w:p>
        </w:tc>
        <w:tc>
          <w:tcPr>
            <w:tcW w:w="500" w:type="pct"/>
            <w:noWrap/>
          </w:tcPr>
          <w:p>
            <w:pPr>
              <w:adjustRightInd w:val="0"/>
              <w:snapToGrid w:val="0"/>
              <w:spacing w:line="360" w:lineRule="auto"/>
              <w:jc w:val="center"/>
              <w:rPr>
                <w:rFonts w:ascii="宋体" w:hAnsi="宋体" w:cs="宋体"/>
                <w:color w:val="auto"/>
                <w:szCs w:val="21"/>
                <w:highlight w:val="none"/>
              </w:rPr>
            </w:pPr>
          </w:p>
        </w:tc>
        <w:tc>
          <w:tcPr>
            <w:tcW w:w="571" w:type="pct"/>
            <w:noWrap/>
          </w:tcPr>
          <w:p>
            <w:pPr>
              <w:adjustRightInd w:val="0"/>
              <w:snapToGrid w:val="0"/>
              <w:spacing w:line="360" w:lineRule="auto"/>
              <w:jc w:val="center"/>
              <w:rPr>
                <w:rFonts w:ascii="宋体" w:hAnsi="宋体" w:cs="宋体"/>
                <w:color w:val="auto"/>
                <w:szCs w:val="21"/>
                <w:highlight w:val="none"/>
              </w:rPr>
            </w:pPr>
          </w:p>
        </w:tc>
        <w:tc>
          <w:tcPr>
            <w:tcW w:w="765" w:type="pct"/>
            <w:noWrap/>
          </w:tcPr>
          <w:p>
            <w:pPr>
              <w:adjustRightInd w:val="0"/>
              <w:snapToGrid w:val="0"/>
              <w:spacing w:line="360" w:lineRule="auto"/>
              <w:jc w:val="center"/>
              <w:rPr>
                <w:rFonts w:ascii="宋体" w:hAnsi="宋体" w:cs="宋体"/>
                <w:color w:val="auto"/>
                <w:szCs w:val="21"/>
                <w:highlight w:val="none"/>
              </w:rPr>
            </w:pPr>
          </w:p>
        </w:tc>
        <w:tc>
          <w:tcPr>
            <w:tcW w:w="494" w:type="pct"/>
            <w:noWrap/>
          </w:tcPr>
          <w:p>
            <w:pPr>
              <w:adjustRightInd w:val="0"/>
              <w:snapToGrid w:val="0"/>
              <w:spacing w:line="360" w:lineRule="auto"/>
              <w:jc w:val="center"/>
              <w:rPr>
                <w:rFonts w:ascii="宋体" w:hAnsi="宋体" w:cs="宋体"/>
                <w:color w:val="auto"/>
                <w:szCs w:val="21"/>
                <w:highlight w:val="none"/>
              </w:rPr>
            </w:pPr>
          </w:p>
        </w:tc>
        <w:tc>
          <w:tcPr>
            <w:tcW w:w="387" w:type="pct"/>
            <w:noWrap/>
          </w:tcPr>
          <w:p>
            <w:pPr>
              <w:adjustRightInd w:val="0"/>
              <w:snapToGrid w:val="0"/>
              <w:spacing w:line="360" w:lineRule="auto"/>
              <w:jc w:val="center"/>
              <w:rPr>
                <w:rFonts w:ascii="宋体" w:hAnsi="宋体" w:cs="宋体"/>
                <w:color w:val="auto"/>
                <w:szCs w:val="21"/>
                <w:highlight w:val="none"/>
              </w:rPr>
            </w:pPr>
          </w:p>
        </w:tc>
      </w:tr>
    </w:tbl>
    <w:p>
      <w:pPr>
        <w:adjustRightInd w:val="0"/>
        <w:snapToGrid w:val="0"/>
        <w:spacing w:line="360" w:lineRule="auto"/>
        <w:rPr>
          <w:rFonts w:ascii="宋体" w:hAnsi="宋体" w:eastAsia="宋体"/>
          <w:color w:val="auto"/>
          <w:sz w:val="24"/>
          <w:szCs w:val="24"/>
          <w:highlight w:val="none"/>
        </w:rPr>
      </w:pPr>
    </w:p>
    <w:p>
      <w:pPr>
        <w:adjustRightInd w:val="0"/>
        <w:snapToGrid w:val="0"/>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定标监督小组签字：</w:t>
      </w:r>
    </w:p>
    <w:p>
      <w:pPr>
        <w:adjustRightInd w:val="0"/>
        <w:snapToGrid w:val="0"/>
        <w:spacing w:line="360" w:lineRule="auto"/>
        <w:rPr>
          <w:rFonts w:ascii="宋体" w:hAnsi="宋体" w:eastAsia="宋体" w:cs="微软雅黑"/>
          <w:color w:val="auto"/>
          <w:sz w:val="24"/>
          <w:szCs w:val="24"/>
          <w:highlight w:val="none"/>
          <w:lang w:eastAsia="zh-CN"/>
        </w:rPr>
      </w:pPr>
    </w:p>
    <w:p>
      <w:pPr>
        <w:adjustRightInd w:val="0"/>
        <w:snapToGrid w:val="0"/>
        <w:spacing w:line="360" w:lineRule="auto"/>
        <w:rPr>
          <w:rFonts w:ascii="宋体" w:hAnsi="宋体" w:eastAsia="宋体" w:cs="微软雅黑"/>
          <w:color w:val="auto"/>
          <w:sz w:val="24"/>
          <w:szCs w:val="24"/>
          <w:highlight w:val="none"/>
          <w:lang w:eastAsia="zh-CN"/>
        </w:rPr>
      </w:pPr>
      <w:r>
        <w:rPr>
          <w:rFonts w:hint="eastAsia" w:ascii="宋体" w:hAnsi="宋体" w:eastAsia="宋体" w:cs="微软雅黑"/>
          <w:color w:val="auto"/>
          <w:sz w:val="24"/>
          <w:szCs w:val="24"/>
          <w:highlight w:val="none"/>
          <w:lang w:eastAsia="zh-CN"/>
        </w:rPr>
        <w:t>定标委员会全体成员签字：</w:t>
      </w:r>
    </w:p>
    <w:p>
      <w:pPr>
        <w:widowControl/>
        <w:rPr>
          <w:rFonts w:ascii="宋体" w:hAnsi="宋体" w:eastAsia="宋体"/>
          <w:color w:val="auto"/>
          <w:highlight w:val="none"/>
          <w:lang w:eastAsia="zh-CN"/>
        </w:rPr>
      </w:pPr>
      <w:r>
        <w:rPr>
          <w:rFonts w:ascii="宋体" w:hAnsi="宋体" w:eastAsia="宋体"/>
          <w:color w:val="auto"/>
          <w:highlight w:val="none"/>
          <w:lang w:eastAsia="zh-CN"/>
        </w:rPr>
        <w:br w:type="page"/>
      </w:r>
    </w:p>
    <w:p>
      <w:pPr>
        <w:spacing w:line="360" w:lineRule="auto"/>
        <w:rPr>
          <w:rFonts w:ascii="宋体" w:hAnsi="宋体" w:eastAsia="宋体"/>
          <w:color w:val="auto"/>
          <w:highlight w:val="none"/>
          <w:lang w:eastAsia="zh-CN"/>
        </w:rPr>
        <w:sectPr>
          <w:footerReference r:id="rId4" w:type="default"/>
          <w:pgSz w:w="16839" w:h="11907" w:orient="landscape"/>
          <w:pgMar w:top="1440" w:right="1440" w:bottom="1440" w:left="1440" w:header="0" w:footer="918" w:gutter="0"/>
          <w:cols w:space="0" w:num="1"/>
        </w:sectPr>
      </w:pPr>
    </w:p>
    <w:p>
      <w:pPr>
        <w:pStyle w:val="7"/>
        <w:rPr>
          <w:color w:val="auto"/>
          <w:highlight w:val="none"/>
        </w:rPr>
      </w:pPr>
    </w:p>
    <w:p>
      <w:pPr>
        <w:pStyle w:val="2"/>
        <w:jc w:val="center"/>
        <w:rPr>
          <w:rFonts w:ascii="宋体" w:hAnsi="宋体" w:eastAsia="宋体"/>
          <w:color w:val="auto"/>
          <w:highlight w:val="none"/>
          <w:lang w:eastAsia="zh-CN"/>
        </w:rPr>
      </w:pPr>
      <w:bookmarkStart w:id="59" w:name="_Toc143424753"/>
      <w:r>
        <w:rPr>
          <w:rFonts w:ascii="宋体" w:hAnsi="宋体" w:eastAsia="宋体"/>
          <w:color w:val="auto"/>
          <w:highlight w:val="none"/>
          <w:lang w:eastAsia="zh-CN"/>
        </w:rPr>
        <w:t>第四章</w:t>
      </w:r>
      <w:r>
        <w:rPr>
          <w:rFonts w:hint="eastAsia" w:ascii="宋体" w:hAnsi="宋体" w:eastAsia="宋体"/>
          <w:color w:val="auto"/>
          <w:highlight w:val="none"/>
          <w:lang w:val="en-US" w:eastAsia="zh-CN"/>
        </w:rPr>
        <w:t xml:space="preserve"> </w:t>
      </w:r>
      <w:r>
        <w:rPr>
          <w:rFonts w:ascii="宋体" w:hAnsi="宋体" w:eastAsia="宋体"/>
          <w:color w:val="auto"/>
          <w:highlight w:val="none"/>
          <w:lang w:eastAsia="zh-CN"/>
        </w:rPr>
        <w:t>合同条款及格式</w:t>
      </w:r>
      <w:bookmarkEnd w:id="57"/>
      <w:bookmarkEnd w:id="59"/>
    </w:p>
    <w:p>
      <w:pPr>
        <w:pStyle w:val="10"/>
        <w:ind w:left="0"/>
        <w:jc w:val="center"/>
        <w:rPr>
          <w:color w:val="auto"/>
          <w:spacing w:val="-1"/>
          <w:highlight w:val="none"/>
          <w:lang w:eastAsia="zh-CN"/>
        </w:rPr>
      </w:pPr>
    </w:p>
    <w:p>
      <w:pPr>
        <w:pStyle w:val="10"/>
        <w:ind w:left="0"/>
        <w:jc w:val="center"/>
        <w:rPr>
          <w:color w:val="auto"/>
          <w:highlight w:val="none"/>
          <w:lang w:eastAsia="zh-CN"/>
        </w:rPr>
      </w:pPr>
      <w:r>
        <w:rPr>
          <w:rFonts w:hint="eastAsia"/>
          <w:color w:val="auto"/>
          <w:spacing w:val="-1"/>
          <w:highlight w:val="none"/>
          <w:lang w:eastAsia="zh-CN"/>
        </w:rPr>
        <w:t>（另册）</w:t>
      </w:r>
    </w:p>
    <w:p>
      <w:pPr>
        <w:rPr>
          <w:rFonts w:ascii="宋体" w:hAnsi="宋体" w:eastAsia="宋体" w:cs="宋体"/>
          <w:color w:val="auto"/>
          <w:sz w:val="20"/>
          <w:szCs w:val="20"/>
          <w:highlight w:val="none"/>
          <w:lang w:eastAsia="zh-CN"/>
        </w:rPr>
      </w:pPr>
      <w:r>
        <w:rPr>
          <w:rFonts w:ascii="宋体" w:hAnsi="宋体" w:eastAsia="宋体" w:cs="宋体"/>
          <w:color w:val="auto"/>
          <w:sz w:val="20"/>
          <w:szCs w:val="20"/>
          <w:highlight w:val="none"/>
          <w:lang w:eastAsia="zh-CN"/>
        </w:rPr>
        <w:br w:type="page"/>
      </w: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pStyle w:val="2"/>
        <w:spacing w:line="738" w:lineRule="exact"/>
        <w:ind w:right="3"/>
        <w:jc w:val="center"/>
        <w:rPr>
          <w:rFonts w:ascii="宋体" w:hAnsi="宋体" w:eastAsia="宋体"/>
          <w:b w:val="0"/>
          <w:bCs w:val="0"/>
          <w:color w:val="auto"/>
          <w:highlight w:val="none"/>
          <w:lang w:eastAsia="zh-CN"/>
        </w:rPr>
      </w:pPr>
      <w:bookmarkStart w:id="60" w:name="_Toc143424754"/>
      <w:bookmarkStart w:id="61" w:name="_Toc25138016"/>
      <w:bookmarkStart w:id="62" w:name="_Toc142858891"/>
      <w:r>
        <w:rPr>
          <w:rFonts w:ascii="宋体" w:hAnsi="宋体" w:eastAsia="宋体"/>
          <w:color w:val="auto"/>
          <w:highlight w:val="none"/>
          <w:lang w:eastAsia="zh-CN"/>
        </w:rPr>
        <w:t>第二卷</w:t>
      </w:r>
      <w:bookmarkEnd w:id="60"/>
      <w:bookmarkEnd w:id="61"/>
      <w:bookmarkEnd w:id="62"/>
    </w:p>
    <w:p>
      <w:pPr>
        <w:spacing w:line="738" w:lineRule="exact"/>
        <w:jc w:val="center"/>
        <w:rPr>
          <w:rFonts w:ascii="宋体" w:hAnsi="宋体" w:eastAsia="宋体"/>
          <w:color w:val="auto"/>
          <w:highlight w:val="none"/>
          <w:lang w:eastAsia="zh-CN"/>
        </w:rPr>
        <w:sectPr>
          <w:pgSz w:w="11907" w:h="16839"/>
          <w:pgMar w:top="1440" w:right="1440" w:bottom="1440" w:left="1440" w:header="0" w:footer="918" w:gutter="0"/>
          <w:cols w:space="0" w:num="1"/>
        </w:sectPr>
      </w:pPr>
    </w:p>
    <w:p>
      <w:pPr>
        <w:rPr>
          <w:rFonts w:ascii="宋体" w:hAnsi="宋体" w:eastAsia="宋体" w:cs="Microsoft JhengHei"/>
          <w:b/>
          <w:bCs/>
          <w:color w:val="auto"/>
          <w:sz w:val="20"/>
          <w:szCs w:val="20"/>
          <w:highlight w:val="none"/>
          <w:lang w:eastAsia="zh-CN"/>
        </w:rPr>
      </w:pPr>
    </w:p>
    <w:p>
      <w:pPr>
        <w:spacing w:before="3"/>
        <w:rPr>
          <w:rFonts w:ascii="宋体" w:hAnsi="宋体" w:eastAsia="宋体" w:cs="Microsoft JhengHei"/>
          <w:b/>
          <w:bCs/>
          <w:color w:val="auto"/>
          <w:sz w:val="19"/>
          <w:szCs w:val="19"/>
          <w:highlight w:val="none"/>
          <w:lang w:eastAsia="zh-CN"/>
        </w:rPr>
      </w:pPr>
    </w:p>
    <w:p>
      <w:pPr>
        <w:pStyle w:val="2"/>
        <w:numPr>
          <w:ilvl w:val="0"/>
          <w:numId w:val="1"/>
        </w:numPr>
        <w:jc w:val="center"/>
        <w:rPr>
          <w:rFonts w:ascii="宋体" w:hAnsi="宋体" w:eastAsia="宋体"/>
          <w:color w:val="auto"/>
          <w:highlight w:val="none"/>
          <w:lang w:eastAsia="zh-CN"/>
        </w:rPr>
      </w:pPr>
      <w:bookmarkStart w:id="63" w:name="_Toc25138017"/>
      <w:bookmarkEnd w:id="63"/>
      <w:bookmarkStart w:id="64" w:name="_Toc142858892"/>
      <w:bookmarkStart w:id="65" w:name="_Toc143424755"/>
      <w:r>
        <w:rPr>
          <w:rFonts w:hint="eastAsia" w:ascii="宋体" w:hAnsi="宋体" w:eastAsia="宋体"/>
          <w:color w:val="auto"/>
          <w:highlight w:val="none"/>
          <w:lang w:eastAsia="zh-CN"/>
        </w:rPr>
        <w:t>发包人要求</w:t>
      </w:r>
      <w:bookmarkEnd w:id="64"/>
      <w:bookmarkEnd w:id="65"/>
    </w:p>
    <w:p>
      <w:pPr>
        <w:pStyle w:val="9"/>
        <w:rPr>
          <w:color w:val="auto"/>
          <w:highlight w:val="none"/>
          <w:lang w:eastAsia="zh-CN"/>
        </w:rPr>
      </w:pPr>
    </w:p>
    <w:p>
      <w:pPr>
        <w:pStyle w:val="9"/>
        <w:rPr>
          <w:color w:val="auto"/>
          <w:highlight w:val="none"/>
          <w:lang w:eastAsia="zh-CN"/>
        </w:rPr>
      </w:pPr>
    </w:p>
    <w:p>
      <w:pPr>
        <w:pStyle w:val="51"/>
        <w:jc w:val="center"/>
        <w:rPr>
          <w:rFonts w:ascii="宋体" w:hAnsi="宋体" w:eastAsia="宋体"/>
          <w:b/>
          <w:bCs/>
          <w:color w:val="auto"/>
          <w:highlight w:val="none"/>
        </w:rPr>
      </w:pPr>
      <w:r>
        <w:rPr>
          <w:rFonts w:hint="eastAsia" w:ascii="宋体" w:hAnsi="宋体" w:eastAsia="宋体"/>
          <w:b/>
          <w:bCs/>
          <w:color w:val="auto"/>
          <w:highlight w:val="none"/>
        </w:rPr>
        <w:t>工程可行性研究报告</w:t>
      </w:r>
      <w:r>
        <w:rPr>
          <w:rFonts w:ascii="宋体" w:hAnsi="宋体" w:eastAsia="宋体"/>
          <w:b/>
          <w:bCs/>
          <w:color w:val="auto"/>
          <w:highlight w:val="none"/>
        </w:rPr>
        <w:t>（另册）</w:t>
      </w:r>
    </w:p>
    <w:p>
      <w:pPr>
        <w:pStyle w:val="40"/>
        <w:rPr>
          <w:color w:val="auto"/>
          <w:highlight w:val="none"/>
        </w:rPr>
      </w:pPr>
    </w:p>
    <w:p>
      <w:pPr>
        <w:rPr>
          <w:color w:val="auto"/>
          <w:highlight w:val="none"/>
          <w:lang w:eastAsia="zh-CN"/>
        </w:rPr>
      </w:pPr>
    </w:p>
    <w:p>
      <w:pPr>
        <w:pStyle w:val="9"/>
        <w:rPr>
          <w:color w:val="auto"/>
          <w:highlight w:val="none"/>
          <w:lang w:eastAsia="zh-CN"/>
        </w:rPr>
      </w:pPr>
      <w:r>
        <w:rPr>
          <w:rFonts w:hint="eastAsia"/>
          <w:color w:val="auto"/>
          <w:highlight w:val="none"/>
          <w:lang w:eastAsia="zh-CN"/>
        </w:rPr>
        <w:t>　　　　　　　　　　　　　　</w:t>
      </w:r>
    </w:p>
    <w:p>
      <w:pPr>
        <w:pStyle w:val="9"/>
        <w:rPr>
          <w:color w:val="auto"/>
          <w:highlight w:val="none"/>
          <w:lang w:eastAsia="zh-CN"/>
        </w:rPr>
      </w:pPr>
      <w:r>
        <w:rPr>
          <w:rFonts w:hint="eastAsia"/>
          <w:color w:val="auto"/>
          <w:highlight w:val="none"/>
          <w:lang w:eastAsia="zh-CN"/>
        </w:rPr>
        <w:t>　　　　　　　　　　　　　　</w:t>
      </w: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pStyle w:val="7"/>
        <w:rPr>
          <w:rFonts w:ascii="宋体" w:hAnsi="宋体"/>
          <w:color w:val="auto"/>
          <w:sz w:val="24"/>
          <w:szCs w:val="24"/>
          <w:highlight w:val="none"/>
        </w:rPr>
      </w:pPr>
    </w:p>
    <w:p>
      <w:pPr>
        <w:jc w:val="both"/>
        <w:rPr>
          <w:rFonts w:ascii="宋体" w:hAnsi="宋体" w:eastAsia="宋体"/>
          <w:color w:val="auto"/>
          <w:sz w:val="24"/>
          <w:szCs w:val="24"/>
          <w:highlight w:val="none"/>
          <w:lang w:eastAsia="zh-CN"/>
        </w:rPr>
      </w:pPr>
    </w:p>
    <w:p>
      <w:pPr>
        <w:pStyle w:val="2"/>
        <w:spacing w:line="589" w:lineRule="exact"/>
        <w:ind w:left="0" w:right="3"/>
        <w:jc w:val="both"/>
        <w:rPr>
          <w:rFonts w:ascii="宋体" w:hAnsi="宋体" w:eastAsia="宋体"/>
          <w:color w:val="auto"/>
          <w:highlight w:val="none"/>
          <w:lang w:eastAsia="zh-CN"/>
        </w:rPr>
        <w:sectPr>
          <w:footerReference r:id="rId6" w:type="first"/>
          <w:footerReference r:id="rId5" w:type="default"/>
          <w:pgSz w:w="11907" w:h="16839"/>
          <w:pgMar w:top="1440" w:right="1440" w:bottom="1440" w:left="1440" w:header="0" w:footer="918" w:gutter="0"/>
          <w:cols w:space="0" w:num="1"/>
          <w:docGrid w:linePitch="299" w:charSpace="0"/>
        </w:sectPr>
      </w:pPr>
      <w:bookmarkStart w:id="66" w:name="_Toc25138019"/>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2"/>
        <w:spacing w:line="589" w:lineRule="exact"/>
        <w:ind w:left="0" w:right="3"/>
        <w:jc w:val="center"/>
        <w:rPr>
          <w:rFonts w:ascii="宋体" w:hAnsi="宋体" w:eastAsia="宋体"/>
          <w:b w:val="0"/>
          <w:bCs w:val="0"/>
          <w:color w:val="auto"/>
          <w:highlight w:val="none"/>
          <w:lang w:eastAsia="zh-CN"/>
        </w:rPr>
      </w:pPr>
      <w:bookmarkStart w:id="67" w:name="_Toc143424756"/>
      <w:bookmarkStart w:id="68" w:name="_Toc142858893"/>
      <w:r>
        <w:rPr>
          <w:rFonts w:ascii="宋体" w:hAnsi="宋体" w:eastAsia="宋体"/>
          <w:color w:val="auto"/>
          <w:highlight w:val="none"/>
          <w:lang w:eastAsia="zh-CN"/>
        </w:rPr>
        <w:t>第三卷</w:t>
      </w:r>
      <w:bookmarkEnd w:id="66"/>
      <w:bookmarkEnd w:id="67"/>
      <w:bookmarkEnd w:id="68"/>
    </w:p>
    <w:p>
      <w:pPr>
        <w:spacing w:line="589" w:lineRule="exact"/>
        <w:jc w:val="center"/>
        <w:rPr>
          <w:rFonts w:ascii="宋体" w:hAnsi="宋体" w:eastAsia="宋体"/>
          <w:color w:val="auto"/>
          <w:highlight w:val="none"/>
          <w:lang w:eastAsia="zh-CN"/>
        </w:rPr>
        <w:sectPr>
          <w:pgSz w:w="11907" w:h="16839"/>
          <w:pgMar w:top="1440" w:right="1440" w:bottom="1440" w:left="1440" w:header="0" w:footer="918" w:gutter="0"/>
          <w:cols w:space="0" w:num="1"/>
          <w:docGrid w:linePitch="299" w:charSpace="0"/>
        </w:sectPr>
      </w:pPr>
    </w:p>
    <w:p>
      <w:pPr>
        <w:pStyle w:val="9"/>
        <w:rPr>
          <w:color w:val="auto"/>
          <w:highlight w:val="none"/>
          <w:lang w:eastAsia="zh-CN"/>
        </w:rPr>
      </w:pPr>
      <w:bookmarkStart w:id="69" w:name="_Toc25138020"/>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9"/>
        <w:rPr>
          <w:color w:val="auto"/>
          <w:highlight w:val="none"/>
          <w:lang w:eastAsia="zh-CN"/>
        </w:rPr>
      </w:pPr>
    </w:p>
    <w:p>
      <w:pPr>
        <w:pStyle w:val="2"/>
        <w:jc w:val="center"/>
        <w:rPr>
          <w:rFonts w:ascii="宋体" w:hAnsi="宋体" w:eastAsia="宋体"/>
          <w:color w:val="auto"/>
          <w:highlight w:val="none"/>
          <w:lang w:eastAsia="zh-CN"/>
        </w:rPr>
      </w:pPr>
      <w:bookmarkStart w:id="70" w:name="_Toc142858894"/>
      <w:bookmarkStart w:id="71" w:name="_Toc143424757"/>
      <w:r>
        <w:rPr>
          <w:rFonts w:ascii="宋体" w:hAnsi="宋体" w:eastAsia="宋体"/>
          <w:color w:val="auto"/>
          <w:highlight w:val="none"/>
          <w:lang w:eastAsia="zh-CN"/>
        </w:rPr>
        <w:t>第六章</w:t>
      </w:r>
      <w:r>
        <w:rPr>
          <w:rFonts w:hint="eastAsia" w:ascii="宋体" w:hAnsi="宋体" w:eastAsia="宋体"/>
          <w:color w:val="auto"/>
          <w:highlight w:val="none"/>
          <w:lang w:val="en-US" w:eastAsia="zh-CN"/>
        </w:rPr>
        <w:t xml:space="preserve"> </w:t>
      </w:r>
      <w:r>
        <w:rPr>
          <w:rFonts w:ascii="宋体" w:hAnsi="宋体" w:eastAsia="宋体"/>
          <w:color w:val="auto"/>
          <w:highlight w:val="none"/>
          <w:lang w:eastAsia="zh-CN"/>
        </w:rPr>
        <w:t>投标文件格式</w:t>
      </w:r>
      <w:bookmarkEnd w:id="69"/>
      <w:bookmarkEnd w:id="70"/>
      <w:bookmarkEnd w:id="71"/>
    </w:p>
    <w:p>
      <w:pPr>
        <w:rPr>
          <w:rFonts w:eastAsia="宋体"/>
          <w:color w:val="auto"/>
          <w:highlight w:val="none"/>
          <w:lang w:eastAsia="zh-CN"/>
        </w:rPr>
      </w:pPr>
    </w:p>
    <w:p>
      <w:pPr>
        <w:pStyle w:val="2"/>
        <w:jc w:val="center"/>
        <w:rPr>
          <w:rFonts w:ascii="宋体" w:hAnsi="宋体" w:eastAsia="宋体"/>
          <w:color w:val="auto"/>
          <w:highlight w:val="none"/>
          <w:lang w:eastAsia="zh-CN"/>
        </w:rPr>
        <w:sectPr>
          <w:pgSz w:w="11907" w:h="16839"/>
          <w:pgMar w:top="1440" w:right="1440" w:bottom="1440" w:left="1440" w:header="0" w:footer="918" w:gutter="0"/>
          <w:cols w:space="0" w:num="1"/>
        </w:sectPr>
      </w:pPr>
    </w:p>
    <w:p>
      <w:pPr>
        <w:pStyle w:val="51"/>
        <w:spacing w:after="240"/>
        <w:jc w:val="center"/>
        <w:rPr>
          <w:rFonts w:ascii="宋体" w:hAnsi="宋体" w:eastAsia="宋体" w:cs="宋体"/>
          <w:color w:val="auto"/>
          <w:sz w:val="32"/>
          <w:szCs w:val="32"/>
          <w:highlight w:val="none"/>
        </w:rPr>
      </w:pPr>
      <w:bookmarkStart w:id="72" w:name="_Toc25072139"/>
      <w:bookmarkStart w:id="73" w:name="_Toc25151932"/>
      <w:bookmarkStart w:id="74" w:name="_Toc25138022"/>
      <w:bookmarkStart w:id="75" w:name="_Toc25152753"/>
      <w:r>
        <w:rPr>
          <w:rFonts w:hint="eastAsia" w:ascii="宋体" w:hAnsi="宋体" w:eastAsia="宋体"/>
          <w:color w:val="auto"/>
          <w:sz w:val="32"/>
          <w:szCs w:val="32"/>
          <w:highlight w:val="none"/>
        </w:rPr>
        <w:t>设计投标文件编制要求</w:t>
      </w:r>
    </w:p>
    <w:p>
      <w:pPr>
        <w:pStyle w:val="4"/>
        <w:spacing w:line="360" w:lineRule="auto"/>
        <w:ind w:left="0"/>
        <w:rPr>
          <w:rFonts w:ascii="宋体" w:hAnsi="宋体" w:eastAsia="宋体" w:cs="宋体"/>
          <w:color w:val="auto"/>
          <w:sz w:val="24"/>
          <w:szCs w:val="24"/>
          <w:highlight w:val="none"/>
          <w:lang w:eastAsia="zh-CN"/>
        </w:rPr>
      </w:pPr>
      <w:bookmarkStart w:id="76" w:name="_Toc142858895"/>
      <w:bookmarkStart w:id="77" w:name="_Toc142889740"/>
      <w:bookmarkStart w:id="78" w:name="_Toc143424758"/>
      <w:r>
        <w:rPr>
          <w:rFonts w:hint="eastAsia" w:ascii="宋体" w:hAnsi="宋体" w:eastAsia="宋体" w:cs="宋体"/>
          <w:color w:val="auto"/>
          <w:sz w:val="24"/>
          <w:szCs w:val="24"/>
          <w:highlight w:val="none"/>
          <w:lang w:eastAsia="zh-CN"/>
        </w:rPr>
        <w:t>1、投标文件</w:t>
      </w:r>
      <w:bookmarkEnd w:id="76"/>
      <w:bookmarkEnd w:id="77"/>
      <w:bookmarkEnd w:id="78"/>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1.1  投标文件由商务文件（含资格审查部分、资信业绩部分）、技术文件（含设计方案部分）两个部分组成。各部分投标文件应分别编制。资信文件（含资格审查文件）和设计方案文件两部分组成的总页数不限，设计方案电子文档（上传系统文件）大小不超</w:t>
      </w:r>
      <w:r>
        <w:rPr>
          <w:rFonts w:ascii="宋体" w:hAnsi="宋体" w:eastAsia="宋体"/>
          <w:color w:val="auto"/>
          <w:sz w:val="24"/>
          <w:szCs w:val="24"/>
          <w:highlight w:val="none"/>
          <w:lang w:eastAsia="zh-CN"/>
        </w:rPr>
        <w:t>1000M</w:t>
      </w:r>
      <w:r>
        <w:rPr>
          <w:rFonts w:hint="eastAsia" w:ascii="宋体" w:hAnsi="宋体" w:eastAsia="宋体"/>
          <w:color w:val="auto"/>
          <w:sz w:val="24"/>
          <w:szCs w:val="24"/>
          <w:highlight w:val="none"/>
          <w:lang w:eastAsia="zh-CN"/>
        </w:rPr>
        <w:t>。</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1.2  投标文件应做到清晰、完整，文本、图纸规格应当尽量统一。除非另有规定，否则投标文件的计量单位宜采用国际标准计量单位，尺寸齐全、准确，所有文字说明和文字标注以中文为准，报价均为人民币，时间均为北京时间。</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1.3  每个投标人报送一个投标方案，投标文件应达到招标文件规定的深度，满足评审需要。不响应招标文件要求的投标文件可能被拒绝，责任由投标人自负。</w:t>
      </w:r>
    </w:p>
    <w:p>
      <w:pPr>
        <w:pStyle w:val="4"/>
        <w:spacing w:line="360" w:lineRule="auto"/>
        <w:ind w:left="0"/>
        <w:rPr>
          <w:rFonts w:ascii="宋体" w:hAnsi="宋体" w:eastAsia="宋体" w:cs="宋体"/>
          <w:color w:val="auto"/>
          <w:sz w:val="24"/>
          <w:szCs w:val="24"/>
          <w:highlight w:val="none"/>
          <w:lang w:eastAsia="zh-CN"/>
        </w:rPr>
      </w:pPr>
      <w:bookmarkStart w:id="79" w:name="_Toc142889741"/>
      <w:bookmarkStart w:id="80" w:name="_Toc142858896"/>
      <w:bookmarkStart w:id="81" w:name="_Toc143424759"/>
      <w:r>
        <w:rPr>
          <w:rFonts w:hint="eastAsia" w:ascii="宋体" w:hAnsi="宋体" w:eastAsia="宋体" w:cs="宋体"/>
          <w:color w:val="auto"/>
          <w:sz w:val="24"/>
          <w:szCs w:val="24"/>
          <w:highlight w:val="none"/>
          <w:lang w:eastAsia="zh-CN"/>
        </w:rPr>
        <w:t>2、</w:t>
      </w:r>
      <w:r>
        <w:rPr>
          <w:rFonts w:hint="eastAsia" w:ascii="宋体" w:hAnsi="宋体" w:eastAsia="宋体"/>
          <w:color w:val="auto"/>
          <w:sz w:val="24"/>
          <w:szCs w:val="24"/>
          <w:highlight w:val="none"/>
          <w:lang w:eastAsia="zh-CN"/>
        </w:rPr>
        <w:t>商务文件（含资格审查部分、资信业绩部分）编制要求</w:t>
      </w:r>
      <w:bookmarkEnd w:id="79"/>
      <w:bookmarkEnd w:id="80"/>
      <w:bookmarkEnd w:id="81"/>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2.1  商务文件（含资格审查部分、资信业绩部分）由下列资料组成：</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）封面：写明项目名称、商务文件（含资格审查部分、资信业绩部分）、投标人单位及年月日；加盖投标人公章。</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）目录。</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3</w:t>
      </w:r>
      <w:r>
        <w:rPr>
          <w:rFonts w:hint="eastAsia" w:ascii="宋体" w:hAnsi="宋体" w:eastAsia="宋体"/>
          <w:color w:val="auto"/>
          <w:sz w:val="24"/>
          <w:szCs w:val="24"/>
          <w:highlight w:val="none"/>
          <w:lang w:eastAsia="zh-CN"/>
        </w:rPr>
        <w:t>）填妥并签字盖章的《投标书》（格式见格式一）。</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4</w:t>
      </w:r>
      <w:r>
        <w:rPr>
          <w:rFonts w:hint="eastAsia" w:ascii="宋体" w:hAnsi="宋体" w:eastAsia="宋体"/>
          <w:color w:val="auto"/>
          <w:sz w:val="24"/>
          <w:szCs w:val="24"/>
          <w:highlight w:val="none"/>
          <w:lang w:eastAsia="zh-CN"/>
        </w:rPr>
        <w:t>）填妥并签字盖章的《法人代表身份证明》和《授权委托书》（格式见格式二）。</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5</w:t>
      </w:r>
      <w:r>
        <w:rPr>
          <w:rFonts w:hint="eastAsia" w:ascii="宋体" w:hAnsi="宋体" w:eastAsia="宋体"/>
          <w:color w:val="auto"/>
          <w:sz w:val="24"/>
          <w:szCs w:val="24"/>
          <w:highlight w:val="none"/>
          <w:lang w:eastAsia="zh-CN"/>
        </w:rPr>
        <w:t>）填妥并签字盖章的《投标人声明》（格式见格式四）</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6</w:t>
      </w:r>
      <w:r>
        <w:rPr>
          <w:rFonts w:hint="eastAsia" w:ascii="宋体" w:hAnsi="宋体" w:eastAsia="宋体"/>
          <w:color w:val="auto"/>
          <w:sz w:val="24"/>
          <w:szCs w:val="24"/>
          <w:highlight w:val="none"/>
          <w:lang w:eastAsia="zh-CN"/>
        </w:rPr>
        <w:t>）填妥并签字盖章的《合作设计协议》（外国或香港、澳门、台湾的设计企业提供）（格式见格式三）</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7</w:t>
      </w:r>
      <w:r>
        <w:rPr>
          <w:rFonts w:hint="eastAsia" w:ascii="宋体" w:hAnsi="宋体" w:eastAsia="宋体"/>
          <w:color w:val="auto"/>
          <w:sz w:val="24"/>
          <w:szCs w:val="24"/>
          <w:highlight w:val="none"/>
          <w:lang w:eastAsia="zh-CN"/>
        </w:rPr>
        <w:t>）投标人资质证书扫描件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8</w:t>
      </w:r>
      <w:r>
        <w:rPr>
          <w:rFonts w:hint="eastAsia" w:ascii="宋体" w:hAnsi="宋体" w:eastAsia="宋体"/>
          <w:color w:val="auto"/>
          <w:sz w:val="24"/>
          <w:szCs w:val="24"/>
          <w:highlight w:val="none"/>
          <w:lang w:eastAsia="zh-CN"/>
        </w:rPr>
        <w:t>）企业营业执照副本扫描件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9</w:t>
      </w:r>
      <w:r>
        <w:rPr>
          <w:rFonts w:hint="eastAsia" w:ascii="宋体" w:hAnsi="宋体" w:eastAsia="宋体"/>
          <w:color w:val="auto"/>
          <w:sz w:val="24"/>
          <w:szCs w:val="24"/>
          <w:highlight w:val="none"/>
          <w:lang w:eastAsia="zh-CN"/>
        </w:rPr>
        <w:t>）投标人及项目负责人已在广州市住建行业信用管理平台建立信用档案</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10</w:t>
      </w:r>
      <w:r>
        <w:rPr>
          <w:rFonts w:hint="eastAsia" w:ascii="宋体" w:hAnsi="宋体" w:eastAsia="宋体"/>
          <w:color w:val="auto"/>
          <w:sz w:val="24"/>
          <w:szCs w:val="24"/>
          <w:highlight w:val="none"/>
          <w:lang w:eastAsia="zh-CN"/>
        </w:rPr>
        <w:t>）拟派项目负责人注册执业资格证书扫描件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11</w:t>
      </w:r>
      <w:r>
        <w:rPr>
          <w:rFonts w:hint="eastAsia" w:ascii="宋体" w:hAnsi="宋体" w:eastAsia="宋体"/>
          <w:color w:val="auto"/>
          <w:sz w:val="24"/>
          <w:szCs w:val="24"/>
          <w:highlight w:val="none"/>
          <w:lang w:eastAsia="zh-CN"/>
        </w:rPr>
        <w:t>）投标人认为有必要提供的其他资格要求证明资料扫描件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12</w:t>
      </w:r>
      <w:r>
        <w:rPr>
          <w:rFonts w:hint="eastAsia" w:ascii="宋体" w:hAnsi="宋体" w:eastAsia="宋体"/>
          <w:color w:val="auto"/>
          <w:sz w:val="24"/>
          <w:szCs w:val="24"/>
          <w:highlight w:val="none"/>
          <w:lang w:eastAsia="zh-CN"/>
        </w:rPr>
        <w:t>）填妥并签字盖章的《设计费报价汇总表》（格式见格式五）</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13</w:t>
      </w:r>
      <w:r>
        <w:rPr>
          <w:rFonts w:hint="eastAsia" w:ascii="宋体" w:hAnsi="宋体" w:eastAsia="宋体"/>
          <w:color w:val="auto"/>
          <w:sz w:val="24"/>
          <w:szCs w:val="24"/>
          <w:highlight w:val="none"/>
          <w:lang w:eastAsia="zh-CN"/>
        </w:rPr>
        <w:t>）企业类似业绩证明资料扫描件，不在表内的业绩不作为评审依据（格式见格式七）</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14</w:t>
      </w:r>
      <w:r>
        <w:rPr>
          <w:rFonts w:hint="eastAsia" w:ascii="宋体" w:hAnsi="宋体" w:eastAsia="宋体"/>
          <w:color w:val="auto"/>
          <w:sz w:val="24"/>
          <w:szCs w:val="24"/>
          <w:highlight w:val="none"/>
          <w:lang w:eastAsia="zh-CN"/>
        </w:rPr>
        <w:t>）企业业绩获奖证明资料扫描件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5）项目负责人设计经历及业务能力证明材料扫描件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6）为本项目拟投入的技术力量。主要包括各专业负责人的职称、执业资格等证明材料，并能保证材料的真实性。（格式见格式六）</w:t>
      </w:r>
    </w:p>
    <w:p>
      <w:pPr>
        <w:pStyle w:val="7"/>
        <w:spacing w:line="360" w:lineRule="auto"/>
        <w:rPr>
          <w:rFonts w:ascii="宋体" w:hAnsi="宋体"/>
          <w:b w:val="0"/>
          <w:color w:val="auto"/>
          <w:kern w:val="0"/>
          <w:sz w:val="24"/>
          <w:szCs w:val="24"/>
          <w:highlight w:val="none"/>
        </w:rPr>
      </w:pPr>
      <w:r>
        <w:rPr>
          <w:rFonts w:hint="eastAsia" w:ascii="宋体" w:hAnsi="宋体"/>
          <w:b w:val="0"/>
          <w:color w:val="auto"/>
          <w:kern w:val="0"/>
          <w:sz w:val="24"/>
          <w:szCs w:val="24"/>
          <w:highlight w:val="none"/>
        </w:rPr>
        <w:t>（17）</w:t>
      </w:r>
      <w:r>
        <w:rPr>
          <w:rFonts w:hint="eastAsia" w:ascii="宋体" w:hAnsi="宋体"/>
          <w:b w:val="0"/>
          <w:color w:val="auto"/>
          <w:sz w:val="24"/>
          <w:szCs w:val="24"/>
          <w:highlight w:val="none"/>
        </w:rPr>
        <w:t>填妥并签字盖章的《投标人承诺书》（格式见格式九）。</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8）信誉证明材料扫描件（如有）</w:t>
      </w:r>
    </w:p>
    <w:p>
      <w:pPr>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A</w:t>
      </w: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ISO</w:t>
      </w:r>
      <w:r>
        <w:rPr>
          <w:rFonts w:hint="eastAsia" w:ascii="宋体" w:hAnsi="宋体" w:eastAsia="宋体"/>
          <w:color w:val="auto"/>
          <w:sz w:val="24"/>
          <w:szCs w:val="24"/>
          <w:highlight w:val="none"/>
          <w:lang w:eastAsia="zh-CN"/>
        </w:rPr>
        <w:t>系列质量管理体系、环境管理体系和职业健康安全管理体系认证证书扫描件</w:t>
      </w:r>
    </w:p>
    <w:p>
      <w:pPr>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B</w:t>
      </w:r>
      <w:r>
        <w:rPr>
          <w:rFonts w:hint="eastAsia" w:ascii="宋体" w:hAnsi="宋体" w:eastAsia="宋体"/>
          <w:color w:val="auto"/>
          <w:sz w:val="24"/>
          <w:szCs w:val="24"/>
          <w:highlight w:val="none"/>
          <w:lang w:eastAsia="zh-CN"/>
        </w:rPr>
        <w:t>、纳税信用A级纳税人证明文件扫描件</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（19）投标人认为有必要提供的其他资料。</w:t>
      </w:r>
    </w:p>
    <w:p>
      <w:pPr>
        <w:spacing w:line="360" w:lineRule="auto"/>
        <w:ind w:firstLine="480" w:firstLineChars="200"/>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u w:val="single"/>
          <w:lang w:eastAsia="zh-CN"/>
        </w:rPr>
        <w:t>商务文件中的（9）取自广州市住建行业信用管理平台，投标人广州市住建行业信用管理平台中记录的该部分上传件将被视为投标人递交投标文件的一部分，不需重复提交。评标委员会对该部分资料的审查将以投标截止时间在广州市住建行业信用管理平台内上传件为依据。若招标人延长投标截止时间的，以上资料的评审时点也相应延长。投标人应及时维护其在广州市住建行业信用管理平台登记的信息及上传件，确保各项信息及上传件在有效期内。</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投标人在评标过程中作出的符合法律法规和招标文件规定的澄清确认，构成投标文件</w:t>
      </w:r>
      <w:r>
        <w:rPr>
          <w:rFonts w:hint="eastAsia" w:ascii="宋体" w:hAnsi="宋体" w:eastAsia="宋体"/>
          <w:color w:val="auto"/>
          <w:sz w:val="24"/>
          <w:szCs w:val="24"/>
          <w:highlight w:val="none"/>
          <w:u w:val="single"/>
          <w:lang w:eastAsia="zh-CN"/>
        </w:rPr>
        <w:t>及定标文件</w:t>
      </w:r>
      <w:r>
        <w:rPr>
          <w:rFonts w:hint="eastAsia" w:ascii="宋体" w:hAnsi="宋体" w:eastAsia="宋体"/>
          <w:color w:val="auto"/>
          <w:sz w:val="24"/>
          <w:szCs w:val="24"/>
          <w:highlight w:val="none"/>
          <w:lang w:eastAsia="zh-CN"/>
        </w:rPr>
        <w:t>的组成部分。</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2.2  接收投标文件</w:t>
      </w:r>
      <w:r>
        <w:rPr>
          <w:rFonts w:hint="eastAsia" w:ascii="宋体" w:hAnsi="宋体" w:eastAsia="宋体"/>
          <w:color w:val="auto"/>
          <w:sz w:val="24"/>
          <w:szCs w:val="24"/>
          <w:highlight w:val="none"/>
          <w:u w:val="single"/>
          <w:lang w:eastAsia="zh-CN"/>
        </w:rPr>
        <w:t>及定标文件</w:t>
      </w:r>
      <w:r>
        <w:rPr>
          <w:rFonts w:hint="eastAsia" w:ascii="宋体" w:hAnsi="宋体" w:eastAsia="宋体"/>
          <w:color w:val="auto"/>
          <w:sz w:val="24"/>
          <w:szCs w:val="24"/>
          <w:highlight w:val="none"/>
          <w:lang w:eastAsia="zh-CN"/>
        </w:rPr>
        <w:t>备用光盘时，如果包封上没有按规定密封并加写标志，招标人将不承担投标文件</w:t>
      </w:r>
      <w:r>
        <w:rPr>
          <w:rFonts w:hint="eastAsia" w:ascii="宋体" w:hAnsi="宋体" w:eastAsia="宋体"/>
          <w:color w:val="auto"/>
          <w:sz w:val="24"/>
          <w:szCs w:val="24"/>
          <w:highlight w:val="none"/>
          <w:u w:val="single"/>
          <w:lang w:eastAsia="zh-CN"/>
        </w:rPr>
        <w:t>及定标文件</w:t>
      </w:r>
      <w:r>
        <w:rPr>
          <w:rFonts w:hint="eastAsia" w:ascii="宋体" w:hAnsi="宋体" w:eastAsia="宋体"/>
          <w:color w:val="auto"/>
          <w:sz w:val="24"/>
          <w:szCs w:val="24"/>
          <w:highlight w:val="none"/>
          <w:lang w:eastAsia="zh-CN"/>
        </w:rPr>
        <w:t>错放或提前开封的责任，由此造成的提前开封的投标文件，招标人予以拒绝，并退还给投标人。</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2.3  签署要求：按格式要求签字盖章。</w:t>
      </w:r>
    </w:p>
    <w:p>
      <w:pPr>
        <w:pStyle w:val="4"/>
        <w:spacing w:line="360" w:lineRule="auto"/>
        <w:ind w:left="0"/>
        <w:rPr>
          <w:rFonts w:ascii="宋体" w:hAnsi="宋体" w:eastAsia="宋体" w:cs="宋体"/>
          <w:color w:val="auto"/>
          <w:sz w:val="24"/>
          <w:szCs w:val="24"/>
          <w:highlight w:val="none"/>
          <w:lang w:eastAsia="zh-CN"/>
        </w:rPr>
      </w:pPr>
      <w:bookmarkStart w:id="82" w:name="_Toc142858897"/>
      <w:bookmarkStart w:id="83" w:name="_Toc143424760"/>
      <w:bookmarkStart w:id="84" w:name="_Toc142889742"/>
      <w:r>
        <w:rPr>
          <w:rFonts w:hint="eastAsia" w:ascii="宋体" w:hAnsi="宋体" w:eastAsia="宋体" w:cs="宋体"/>
          <w:color w:val="auto"/>
          <w:sz w:val="24"/>
          <w:szCs w:val="24"/>
          <w:highlight w:val="none"/>
          <w:lang w:eastAsia="zh-CN"/>
        </w:rPr>
        <w:t>3、</w:t>
      </w:r>
      <w:r>
        <w:rPr>
          <w:rFonts w:hint="eastAsia" w:ascii="宋体" w:hAnsi="宋体" w:eastAsia="宋体"/>
          <w:color w:val="auto"/>
          <w:sz w:val="24"/>
          <w:szCs w:val="24"/>
          <w:highlight w:val="none"/>
          <w:lang w:eastAsia="zh-CN"/>
        </w:rPr>
        <w:t>技术文件（含设计方案部分）编制要求（暗标，不得标注名称、印章、商标、图形等记认符号，使人辨认出投标人或其专业技术人员的身份，上传系统，电子文档上传不超</w:t>
      </w:r>
      <w:r>
        <w:rPr>
          <w:rFonts w:ascii="宋体" w:hAnsi="宋体" w:eastAsia="宋体"/>
          <w:color w:val="auto"/>
          <w:sz w:val="24"/>
          <w:szCs w:val="24"/>
          <w:highlight w:val="none"/>
          <w:lang w:eastAsia="zh-CN"/>
        </w:rPr>
        <w:t>1000M</w:t>
      </w:r>
      <w:r>
        <w:rPr>
          <w:rFonts w:hint="eastAsia" w:ascii="宋体" w:hAnsi="宋体" w:eastAsia="宋体"/>
          <w:color w:val="auto"/>
          <w:sz w:val="24"/>
          <w:szCs w:val="24"/>
          <w:highlight w:val="none"/>
          <w:lang w:eastAsia="zh-CN"/>
        </w:rPr>
        <w:t>）</w:t>
      </w:r>
      <w:bookmarkEnd w:id="82"/>
      <w:bookmarkEnd w:id="83"/>
      <w:bookmarkEnd w:id="84"/>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3.1  技术文件（含设计方案部分）由下列资料组成：</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）首页：写明项目名称、设计作品主题（不宜超过</w:t>
      </w:r>
      <w:r>
        <w:rPr>
          <w:rFonts w:ascii="宋体" w:hAnsi="宋体" w:eastAsia="宋体"/>
          <w:color w:val="auto"/>
          <w:sz w:val="24"/>
          <w:szCs w:val="24"/>
          <w:highlight w:val="none"/>
          <w:lang w:eastAsia="zh-CN"/>
        </w:rPr>
        <w:t>20</w:t>
      </w:r>
      <w:r>
        <w:rPr>
          <w:rFonts w:hint="eastAsia" w:ascii="宋体" w:hAnsi="宋体" w:eastAsia="宋体"/>
          <w:color w:val="auto"/>
          <w:sz w:val="24"/>
          <w:szCs w:val="24"/>
          <w:highlight w:val="none"/>
          <w:lang w:eastAsia="zh-CN"/>
        </w:rPr>
        <w:t>个字）、编制年月；</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）目录；</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3</w:t>
      </w:r>
      <w:r>
        <w:rPr>
          <w:rFonts w:hint="eastAsia" w:ascii="宋体" w:hAnsi="宋体" w:eastAsia="宋体"/>
          <w:color w:val="auto"/>
          <w:sz w:val="24"/>
          <w:szCs w:val="24"/>
          <w:highlight w:val="none"/>
          <w:lang w:eastAsia="zh-CN"/>
        </w:rPr>
        <w:t>）设计说明书；</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4</w:t>
      </w:r>
      <w:r>
        <w:rPr>
          <w:rFonts w:hint="eastAsia" w:ascii="宋体" w:hAnsi="宋体" w:eastAsia="宋体"/>
          <w:color w:val="auto"/>
          <w:sz w:val="24"/>
          <w:szCs w:val="24"/>
          <w:highlight w:val="none"/>
          <w:lang w:eastAsia="zh-CN"/>
        </w:rPr>
        <w:t>）设计图纸[需包括表现图、分析示意图、总平面图、各层平面图、剖面图、立面图、景观节点设计平面图与透视图，竖向设计图、交通组织规划图、效果图（鸟瞰图、主要视点透视图）等，可以水平或垂直展示]；</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5</w:t>
      </w:r>
      <w:r>
        <w:rPr>
          <w:rFonts w:hint="eastAsia" w:ascii="宋体" w:hAnsi="宋体" w:eastAsia="宋体"/>
          <w:color w:val="auto"/>
          <w:sz w:val="24"/>
          <w:szCs w:val="24"/>
          <w:highlight w:val="none"/>
          <w:lang w:eastAsia="zh-CN"/>
        </w:rPr>
        <w:t>）《工期计划表》（方案修改、初步设计、施工图设计的总工时和工期）；</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6</w:t>
      </w:r>
      <w:r>
        <w:rPr>
          <w:rFonts w:hint="eastAsia" w:ascii="宋体" w:hAnsi="宋体" w:eastAsia="宋体"/>
          <w:color w:val="auto"/>
          <w:sz w:val="24"/>
          <w:szCs w:val="24"/>
          <w:highlight w:val="none"/>
          <w:lang w:eastAsia="zh-CN"/>
        </w:rPr>
        <w:t>）投标人提出的建议、工程创新和替代方案（如果有）；</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7</w:t>
      </w:r>
      <w:r>
        <w:rPr>
          <w:rFonts w:hint="eastAsia" w:ascii="宋体" w:hAnsi="宋体" w:eastAsia="宋体"/>
          <w:color w:val="auto"/>
          <w:sz w:val="24"/>
          <w:szCs w:val="24"/>
          <w:highlight w:val="none"/>
          <w:lang w:eastAsia="zh-CN"/>
        </w:rPr>
        <w:t>）完成本项目的难点，保障工期、质量及投资控制的主要措施；</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8</w:t>
      </w:r>
      <w:r>
        <w:rPr>
          <w:rFonts w:hint="eastAsia" w:ascii="宋体" w:hAnsi="宋体" w:eastAsia="宋体"/>
          <w:color w:val="auto"/>
          <w:sz w:val="24"/>
          <w:szCs w:val="24"/>
          <w:highlight w:val="none"/>
          <w:lang w:eastAsia="zh-CN"/>
        </w:rPr>
        <w:t>）投标人认为有必要提供的其他资料。</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注：技术文件（含设计方案部分）为暗标。技术标中不能辨认出投标人或其专业技术人员的身份。不在设计方案上标注或做任何可以辨认投标人及专业技术人员身份的名称、印章、商标、图形等记认符号。</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投标人在评标过程中作出的符合法律法规和招标文件规定的澄清确认，构成投标文件</w:t>
      </w:r>
      <w:r>
        <w:rPr>
          <w:rFonts w:hint="eastAsia" w:ascii="宋体" w:hAnsi="宋体" w:eastAsia="宋体"/>
          <w:color w:val="auto"/>
          <w:sz w:val="24"/>
          <w:szCs w:val="24"/>
          <w:highlight w:val="none"/>
          <w:u w:val="single"/>
          <w:lang w:eastAsia="zh-CN"/>
        </w:rPr>
        <w:t>及定标文件</w:t>
      </w:r>
      <w:r>
        <w:rPr>
          <w:rFonts w:hint="eastAsia" w:ascii="宋体" w:hAnsi="宋体" w:eastAsia="宋体"/>
          <w:color w:val="auto"/>
          <w:sz w:val="24"/>
          <w:szCs w:val="24"/>
          <w:highlight w:val="none"/>
          <w:lang w:eastAsia="zh-CN"/>
        </w:rPr>
        <w:t>的组成部分。</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3.2  技术文件（含设计方案部分）必须隐匿投标人及专业技术人员的名称，投标人不得在设计方案文件的设计方案、计算机文件、展示图纸上标注或做任何可以辨认投标人及专业技术人员身份的名称、印章、商标、图形等记认符号。</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3.3  技术文件备用光盘（暗标，不得标注名称、印章、商标、图形等记认符号，使人辨认出投标人或其专业技术人员的身份）及保密信封（此部分为纸质资料，与投标文件光盘（备用）一起提交）。</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3.4  保密信封</w:t>
      </w:r>
      <w:r>
        <w:rPr>
          <w:rFonts w:hint="eastAsia" w:ascii="宋体" w:hAnsi="宋体" w:eastAsia="宋体"/>
          <w:b/>
          <w:color w:val="auto"/>
          <w:sz w:val="24"/>
          <w:szCs w:val="24"/>
          <w:highlight w:val="none"/>
          <w:lang w:eastAsia="zh-CN"/>
        </w:rPr>
        <w:t>（此部分为纸质资料，与投标文件光盘（备用）一起提交）</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（1）设计投标保密信封，内附</w:t>
      </w:r>
      <w:r>
        <w:rPr>
          <w:rFonts w:ascii="宋体" w:hAnsi="宋体" w:eastAsia="宋体"/>
          <w:color w:val="auto"/>
          <w:sz w:val="24"/>
          <w:szCs w:val="24"/>
          <w:highlight w:val="none"/>
          <w:lang w:eastAsia="zh-CN"/>
        </w:rPr>
        <w:t>A3</w:t>
      </w:r>
      <w:r>
        <w:rPr>
          <w:rFonts w:hint="eastAsia" w:ascii="宋体" w:hAnsi="宋体" w:eastAsia="宋体"/>
          <w:color w:val="auto"/>
          <w:sz w:val="24"/>
          <w:szCs w:val="24"/>
          <w:highlight w:val="none"/>
          <w:lang w:eastAsia="zh-CN"/>
        </w:rPr>
        <w:t>规格制作的表现图</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张，加盖投标人公章，项目负责人署名。表现图内容应与设计方案一致（并注明表现图在设计方案中的页码或图号），用于分辨投标文件对应的投标人身份。</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（2）保密信封用不透明信封独立密封。</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3.5  备用光盘</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u w:val="single"/>
          <w:lang w:eastAsia="zh-CN"/>
        </w:rPr>
        <w:t>（1）投标人可制作非加密的商务文件光盘、技术文件光盘各1个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（2）按招标公告要求需要提交投标文件光盘（备用），备用光盘不得加密。如使用投标文件光盘（备用）时无法读取或导入的，则视为未提交投标文件。</w:t>
      </w:r>
    </w:p>
    <w:p>
      <w:pPr>
        <w:pStyle w:val="4"/>
        <w:spacing w:line="360" w:lineRule="auto"/>
        <w:ind w:left="0"/>
        <w:rPr>
          <w:rFonts w:ascii="宋体" w:hAnsi="宋体" w:eastAsia="宋体" w:cs="宋体"/>
          <w:color w:val="auto"/>
          <w:sz w:val="24"/>
          <w:szCs w:val="24"/>
          <w:highlight w:val="none"/>
          <w:lang w:eastAsia="zh-CN"/>
        </w:rPr>
      </w:pPr>
      <w:bookmarkStart w:id="85" w:name="_Toc142889743"/>
      <w:bookmarkStart w:id="86" w:name="_Toc142858898"/>
      <w:bookmarkStart w:id="87" w:name="_Toc143424761"/>
      <w:r>
        <w:rPr>
          <w:rFonts w:hint="eastAsia" w:ascii="宋体" w:hAnsi="宋体" w:eastAsia="宋体" w:cs="宋体"/>
          <w:color w:val="auto"/>
          <w:sz w:val="24"/>
          <w:szCs w:val="24"/>
          <w:highlight w:val="none"/>
          <w:lang w:eastAsia="zh-CN"/>
        </w:rPr>
        <w:t>4、</w:t>
      </w:r>
      <w:r>
        <w:rPr>
          <w:rFonts w:hint="eastAsia" w:ascii="宋体" w:hAnsi="宋体" w:eastAsia="宋体"/>
          <w:color w:val="auto"/>
          <w:sz w:val="24"/>
          <w:szCs w:val="24"/>
          <w:highlight w:val="none"/>
          <w:lang w:eastAsia="zh-CN"/>
        </w:rPr>
        <w:t>接收投标文件备用光盘时，如果包封上没有按规定密封并加写标志，招标人将不承担投标文件错放或提前开封的责任，由此造成的提前开封的投标文件，招标人予以拒绝，并退还给投标人。</w:t>
      </w:r>
      <w:bookmarkEnd w:id="85"/>
      <w:bookmarkEnd w:id="86"/>
      <w:bookmarkEnd w:id="87"/>
    </w:p>
    <w:p>
      <w:pPr>
        <w:pStyle w:val="4"/>
        <w:spacing w:line="360" w:lineRule="auto"/>
        <w:rPr>
          <w:color w:val="auto"/>
          <w:sz w:val="24"/>
          <w:szCs w:val="24"/>
          <w:highlight w:val="none"/>
          <w:lang w:eastAsia="zh-CN"/>
        </w:rPr>
      </w:pPr>
      <w:bookmarkStart w:id="88" w:name="_Toc143424762"/>
      <w:bookmarkStart w:id="89" w:name="_Toc142858899"/>
      <w:bookmarkStart w:id="90" w:name="_Toc142889744"/>
      <w:r>
        <w:rPr>
          <w:rFonts w:hint="eastAsia" w:ascii="宋体" w:hAnsi="宋体" w:eastAsia="宋体" w:cs="宋体"/>
          <w:color w:val="auto"/>
          <w:sz w:val="24"/>
          <w:szCs w:val="24"/>
          <w:highlight w:val="none"/>
          <w:lang w:eastAsia="zh-CN"/>
        </w:rPr>
        <w:t>5、</w:t>
      </w:r>
      <w:r>
        <w:rPr>
          <w:rFonts w:hint="eastAsia" w:ascii="宋体" w:hAnsi="宋体" w:eastAsia="宋体"/>
          <w:color w:val="auto"/>
          <w:sz w:val="24"/>
          <w:szCs w:val="24"/>
          <w:highlight w:val="none"/>
          <w:lang w:eastAsia="zh-CN"/>
        </w:rPr>
        <w:t>深度要求</w:t>
      </w:r>
      <w:bookmarkEnd w:id="88"/>
      <w:bookmarkEnd w:id="89"/>
      <w:bookmarkEnd w:id="90"/>
    </w:p>
    <w:p>
      <w:pPr>
        <w:pStyle w:val="51"/>
        <w:spacing w:line="360" w:lineRule="auto"/>
        <w:ind w:firstLine="482" w:firstLineChars="200"/>
        <w:rPr>
          <w:rFonts w:ascii="宋体" w:hAnsi="宋体" w:eastAsia="宋体"/>
          <w:b/>
          <w:bCs/>
          <w:color w:val="auto"/>
          <w:highlight w:val="none"/>
        </w:rPr>
      </w:pPr>
      <w:r>
        <w:rPr>
          <w:rFonts w:hint="eastAsia" w:ascii="宋体" w:hAnsi="宋体" w:eastAsia="宋体"/>
          <w:b/>
          <w:bCs/>
          <w:color w:val="auto"/>
          <w:highlight w:val="none"/>
        </w:rPr>
        <w:t>（</w:t>
      </w:r>
      <w:r>
        <w:rPr>
          <w:rFonts w:ascii="宋体" w:hAnsi="宋体" w:eastAsia="宋体"/>
          <w:b/>
          <w:bCs/>
          <w:color w:val="auto"/>
          <w:highlight w:val="none"/>
        </w:rPr>
        <w:t>a</w:t>
      </w:r>
      <w:r>
        <w:rPr>
          <w:rFonts w:hint="eastAsia" w:ascii="宋体" w:hAnsi="宋体" w:eastAsia="宋体"/>
          <w:b/>
          <w:bCs/>
          <w:color w:val="auto"/>
          <w:highlight w:val="none"/>
        </w:rPr>
        <w:t>）建筑工程设计投标文件宜达到建设部《建筑工程设计文件编制深度规定》（</w:t>
      </w:r>
      <w:r>
        <w:rPr>
          <w:rFonts w:ascii="宋体" w:hAnsi="宋体" w:eastAsia="宋体"/>
          <w:b/>
          <w:bCs/>
          <w:color w:val="auto"/>
          <w:highlight w:val="none"/>
        </w:rPr>
        <w:t>2016</w:t>
      </w:r>
      <w:r>
        <w:rPr>
          <w:rFonts w:hint="eastAsia" w:ascii="宋体" w:hAnsi="宋体" w:eastAsia="宋体"/>
          <w:b/>
          <w:bCs/>
          <w:color w:val="auto"/>
          <w:highlight w:val="none"/>
        </w:rPr>
        <w:t>年版）相应设计阶段的要求。</w:t>
      </w:r>
    </w:p>
    <w:p>
      <w:pPr>
        <w:pStyle w:val="51"/>
        <w:spacing w:line="360" w:lineRule="auto"/>
        <w:ind w:firstLine="482" w:firstLineChars="200"/>
        <w:rPr>
          <w:rFonts w:ascii="宋体" w:hAnsi="宋体" w:eastAsia="宋体" w:cs="宋体"/>
          <w:b/>
          <w:bCs/>
          <w:color w:val="auto"/>
          <w:highlight w:val="none"/>
        </w:rPr>
      </w:pPr>
      <w:r>
        <w:rPr>
          <w:rFonts w:hint="eastAsia" w:ascii="宋体" w:hAnsi="宋体" w:eastAsia="宋体"/>
          <w:b/>
          <w:bCs/>
          <w:color w:val="auto"/>
          <w:highlight w:val="none"/>
        </w:rPr>
        <w:t>（</w:t>
      </w:r>
      <w:r>
        <w:rPr>
          <w:rFonts w:ascii="宋体" w:hAnsi="宋体" w:eastAsia="宋体"/>
          <w:b/>
          <w:bCs/>
          <w:color w:val="auto"/>
          <w:highlight w:val="none"/>
        </w:rPr>
        <w:t>b</w:t>
      </w:r>
      <w:r>
        <w:rPr>
          <w:rFonts w:hint="eastAsia" w:ascii="宋体" w:hAnsi="宋体" w:eastAsia="宋体"/>
          <w:b/>
          <w:bCs/>
          <w:color w:val="auto"/>
          <w:highlight w:val="none"/>
        </w:rPr>
        <w:t>）设计独特具有独创性的节点位置，应该提供示意图。</w:t>
      </w:r>
    </w:p>
    <w:p>
      <w:pPr>
        <w:spacing w:line="360" w:lineRule="auto"/>
        <w:ind w:firstLine="480" w:firstLineChars="200"/>
        <w:rPr>
          <w:rFonts w:ascii="宋体" w:hAnsi="宋体" w:eastAsia="宋体"/>
          <w:color w:val="auto"/>
          <w:sz w:val="24"/>
          <w:szCs w:val="24"/>
          <w:highlight w:val="none"/>
          <w:lang w:eastAsia="zh-CN"/>
        </w:rPr>
      </w:pPr>
    </w:p>
    <w:p>
      <w:pPr>
        <w:pStyle w:val="4"/>
        <w:spacing w:line="360" w:lineRule="auto"/>
        <w:ind w:left="0"/>
        <w:rPr>
          <w:rFonts w:ascii="宋体" w:hAnsi="宋体" w:eastAsia="宋体"/>
          <w:color w:val="auto"/>
          <w:highlight w:val="none"/>
          <w:lang w:eastAsia="zh-CN"/>
        </w:rPr>
      </w:pPr>
      <w:r>
        <w:rPr>
          <w:rFonts w:ascii="宋体" w:hAnsi="宋体" w:eastAsia="宋体"/>
          <w:color w:val="auto"/>
          <w:highlight w:val="none"/>
          <w:lang w:eastAsia="zh-CN"/>
        </w:rPr>
        <w:br w:type="page"/>
      </w:r>
      <w:bookmarkStart w:id="91" w:name="_Toc143424763"/>
      <w:bookmarkStart w:id="92" w:name="_Toc142858900"/>
      <w:r>
        <w:rPr>
          <w:rFonts w:hint="eastAsia" w:ascii="宋体" w:hAnsi="宋体" w:eastAsia="宋体"/>
          <w:color w:val="auto"/>
          <w:highlight w:val="none"/>
          <w:lang w:eastAsia="zh-CN"/>
        </w:rPr>
        <w:t xml:space="preserve">格式一  </w:t>
      </w:r>
      <w:r>
        <w:rPr>
          <w:rFonts w:hint="eastAsia" w:ascii="宋体" w:hAnsi="宋体" w:eastAsia="宋体" w:cs="宋体"/>
          <w:color w:val="auto"/>
          <w:highlight w:val="none"/>
          <w:lang w:eastAsia="zh-CN"/>
        </w:rPr>
        <w:t>投标书</w:t>
      </w:r>
      <w:bookmarkEnd w:id="72"/>
      <w:bookmarkEnd w:id="91"/>
      <w:bookmarkEnd w:id="92"/>
    </w:p>
    <w:p>
      <w:pPr>
        <w:autoSpaceDE w:val="0"/>
        <w:autoSpaceDN w:val="0"/>
        <w:adjustRightInd w:val="0"/>
        <w:spacing w:before="7" w:line="180" w:lineRule="exact"/>
        <w:rPr>
          <w:rFonts w:ascii="宋体" w:hAnsi="宋体" w:eastAsia="宋体"/>
          <w:color w:val="auto"/>
          <w:sz w:val="18"/>
          <w:szCs w:val="18"/>
          <w:highlight w:val="none"/>
          <w:lang w:eastAsia="zh-CN"/>
        </w:rPr>
      </w:pPr>
    </w:p>
    <w:p>
      <w:pPr>
        <w:autoSpaceDE w:val="0"/>
        <w:autoSpaceDN w:val="0"/>
        <w:adjustRightInd w:val="0"/>
        <w:spacing w:line="200" w:lineRule="exact"/>
        <w:rPr>
          <w:rFonts w:ascii="宋体" w:hAnsi="宋体" w:eastAsia="宋体"/>
          <w:color w:val="auto"/>
          <w:sz w:val="20"/>
          <w:szCs w:val="20"/>
          <w:highlight w:val="none"/>
          <w:lang w:eastAsia="zh-CN"/>
        </w:rPr>
      </w:pPr>
    </w:p>
    <w:p>
      <w:pPr>
        <w:jc w:val="center"/>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投标书</w:t>
      </w:r>
    </w:p>
    <w:p>
      <w:pPr>
        <w:rPr>
          <w:rFonts w:ascii="宋体" w:hAnsi="宋体" w:eastAsia="宋体"/>
          <w:color w:val="auto"/>
          <w:szCs w:val="21"/>
          <w:highlight w:val="none"/>
          <w:lang w:eastAsia="zh-CN"/>
        </w:rPr>
      </w:pP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项目名称：</w:t>
      </w:r>
    </w:p>
    <w:p>
      <w:pPr>
        <w:pStyle w:val="13"/>
        <w:spacing w:line="360" w:lineRule="auto"/>
        <w:rPr>
          <w:rFonts w:hAnsi="宋体"/>
          <w:color w:val="auto"/>
          <w:sz w:val="24"/>
          <w:szCs w:val="24"/>
          <w:highlight w:val="none"/>
          <w:lang w:eastAsia="zh-CN"/>
        </w:rPr>
      </w:pPr>
      <w:r>
        <w:rPr>
          <w:rFonts w:hint="eastAsia" w:hAnsi="宋体"/>
          <w:color w:val="auto"/>
          <w:sz w:val="24"/>
          <w:szCs w:val="24"/>
          <w:highlight w:val="none"/>
          <w:lang w:eastAsia="zh-CN"/>
        </w:rPr>
        <w:t>致：（招标人名称）</w:t>
      </w:r>
    </w:p>
    <w:p>
      <w:pPr>
        <w:spacing w:line="360" w:lineRule="auto"/>
        <w:ind w:firstLine="480" w:firstLineChars="200"/>
        <w:rPr>
          <w:rFonts w:ascii="宋体" w:hAnsi="宋体" w:eastAsia="宋体"/>
          <w:color w:val="auto"/>
          <w:sz w:val="24"/>
          <w:szCs w:val="24"/>
          <w:highlight w:val="none"/>
          <w:lang w:eastAsia="zh-CN"/>
        </w:rPr>
      </w:pP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我方</w:t>
      </w:r>
      <w:r>
        <w:rPr>
          <w:rFonts w:hint="eastAsia" w:hAnsi="宋体"/>
          <w:color w:val="auto"/>
          <w:sz w:val="24"/>
          <w:szCs w:val="24"/>
          <w:highlight w:val="none"/>
          <w:u w:val="single"/>
          <w:lang w:eastAsia="zh-CN"/>
        </w:rPr>
        <w:t xml:space="preserve">  （投标人名称）  </w:t>
      </w:r>
      <w:r>
        <w:rPr>
          <w:rFonts w:hint="eastAsia" w:hAnsi="宋体"/>
          <w:color w:val="auto"/>
          <w:sz w:val="24"/>
          <w:szCs w:val="24"/>
          <w:highlight w:val="none"/>
          <w:lang w:eastAsia="zh-CN"/>
        </w:rPr>
        <w:t>已收到并研究了上述项目的招标文件、合同条件、招标人要求、资料表、附件、补充文件和技术规范等文件。我方已检查和核对了这些文件，未发现他们有错误或其他缺陷。据此，我方愿按这些文件的规定，按照本投标书，包括一并提交的所有文件材料和所附建议书，承担上述项目并修补其中任何缺陷。我方愿以《设计费报价汇总表》的投标总报价，承包本次招标所包含的工作，并承担质量缺陷责任。我方项目负责人是。如我司成为本项目中标候选人，我司同意并授权招标人将我司投标文件资信业绩部分的人员、业绩、奖项等资料进行公开。</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我方遵守本投标书直至投标有效期满，在该日期前，本投标书对我方一直具有约束力，随时可接受中标。我方承认所附投标文件资料为本投标书的一部分。如果我方投标书含有不符合招标文件规定的内容，我方同意按招标文件规定予以修正。我方接受你方关于任命争端裁决委员会的建议。</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我方认同招标文件规定的评审规则，遵守评标委员会的裁决结果，并且不会采取妨碍项目进展的行为。我方理解你方没有必须接受你方可能收到的最低标或任何投标的义务。</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如果我方中标，我方将提供规定的履约担保，将在合同规定的日期开工，并在竣工时间内，按照上述文件完成项目。</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除非制订正式合同协议书并生效，本投标书以及你方中标通知书，应构成你我双方间具有约束力的合同。</w:t>
      </w:r>
    </w:p>
    <w:p>
      <w:pPr>
        <w:spacing w:line="360" w:lineRule="auto"/>
        <w:ind w:firstLine="480" w:firstLineChars="200"/>
        <w:rPr>
          <w:rFonts w:ascii="宋体" w:hAnsi="宋体" w:eastAsia="宋体"/>
          <w:color w:val="auto"/>
          <w:sz w:val="24"/>
          <w:szCs w:val="24"/>
          <w:highlight w:val="none"/>
          <w:lang w:eastAsia="zh-CN"/>
        </w:rPr>
      </w:pP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投标人：（盖章）</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法定代表人：（签字或盖章）</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委托代理人：（签字或盖章）</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项目负责人：（签字或盖章）</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地址：</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邮政编码：</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电话/传真：</w:t>
      </w:r>
      <w:r>
        <w:rPr>
          <w:rFonts w:hint="eastAsia" w:hAnsi="宋体"/>
          <w:color w:val="auto"/>
          <w:sz w:val="24"/>
          <w:szCs w:val="24"/>
          <w:highlight w:val="none"/>
          <w:u w:val="single"/>
          <w:lang w:eastAsia="zh-CN"/>
        </w:rPr>
        <w:t xml:space="preserve">                    /FAX              </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电子邮箱：</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开户银行名称、帐号：</w:t>
      </w:r>
    </w:p>
    <w:p>
      <w:pPr>
        <w:pStyle w:val="13"/>
        <w:spacing w:line="360" w:lineRule="auto"/>
        <w:ind w:firstLine="480" w:firstLineChars="200"/>
        <w:rPr>
          <w:rFonts w:hAnsi="宋体"/>
          <w:color w:val="auto"/>
          <w:sz w:val="24"/>
          <w:szCs w:val="24"/>
          <w:highlight w:val="none"/>
          <w:lang w:eastAsia="zh-CN"/>
        </w:rPr>
      </w:pPr>
      <w:r>
        <w:rPr>
          <w:rFonts w:hint="eastAsia" w:hAnsi="宋体"/>
          <w:color w:val="auto"/>
          <w:sz w:val="24"/>
          <w:szCs w:val="24"/>
          <w:highlight w:val="none"/>
          <w:lang w:eastAsia="zh-CN"/>
        </w:rPr>
        <w:t>开户行地址/电话：</w:t>
      </w:r>
    </w:p>
    <w:p>
      <w:pPr>
        <w:pStyle w:val="13"/>
        <w:spacing w:line="360" w:lineRule="auto"/>
        <w:ind w:firstLine="480" w:firstLineChars="200"/>
        <w:rPr>
          <w:rFonts w:hAnsi="宋体"/>
          <w:color w:val="auto"/>
          <w:sz w:val="24"/>
          <w:szCs w:val="24"/>
          <w:highlight w:val="none"/>
          <w:lang w:eastAsia="zh-CN"/>
        </w:rPr>
      </w:pP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 xml:space="preserve">                                     日期：       年    月    日</w:t>
      </w:r>
    </w:p>
    <w:p>
      <w:pPr>
        <w:jc w:val="center"/>
        <w:rPr>
          <w:rFonts w:ascii="宋体" w:hAnsi="宋体" w:eastAsia="宋体"/>
          <w:b/>
          <w:bCs/>
          <w:color w:val="auto"/>
          <w:sz w:val="32"/>
          <w:szCs w:val="32"/>
          <w:highlight w:val="none"/>
        </w:rPr>
      </w:pPr>
      <w:r>
        <w:rPr>
          <w:rFonts w:ascii="宋体" w:hAnsi="宋体" w:eastAsia="宋体"/>
          <w:b/>
          <w:bCs/>
          <w:color w:val="auto"/>
          <w:sz w:val="32"/>
          <w:szCs w:val="32"/>
          <w:highlight w:val="none"/>
          <w:lang w:eastAsia="zh-CN"/>
        </w:rPr>
        <w:br w:type="page"/>
      </w:r>
      <w:r>
        <w:rPr>
          <w:rFonts w:hint="eastAsia" w:ascii="宋体" w:hAnsi="宋体" w:eastAsia="宋体"/>
          <w:b/>
          <w:bCs/>
          <w:color w:val="auto"/>
          <w:sz w:val="32"/>
          <w:szCs w:val="32"/>
          <w:highlight w:val="none"/>
        </w:rPr>
        <w:t>投标书附录</w:t>
      </w:r>
    </w:p>
    <w:p>
      <w:pPr>
        <w:pStyle w:val="10"/>
        <w:kinsoku w:val="0"/>
        <w:overflowPunct w:val="0"/>
        <w:spacing w:before="3" w:line="360" w:lineRule="auto"/>
        <w:ind w:left="102"/>
        <w:rPr>
          <w:color w:val="auto"/>
          <w:sz w:val="23"/>
          <w:szCs w:val="23"/>
          <w:highlight w:val="none"/>
        </w:rPr>
      </w:pPr>
    </w:p>
    <w:tbl>
      <w:tblPr>
        <w:tblStyle w:val="25"/>
        <w:tblW w:w="5000" w:type="pct"/>
        <w:tblInd w:w="0" w:type="dxa"/>
        <w:tblLayout w:type="autofit"/>
        <w:tblCellMar>
          <w:top w:w="0" w:type="dxa"/>
          <w:left w:w="0" w:type="dxa"/>
          <w:bottom w:w="0" w:type="dxa"/>
          <w:right w:w="0" w:type="dxa"/>
        </w:tblCellMar>
      </w:tblPr>
      <w:tblGrid>
        <w:gridCol w:w="1306"/>
        <w:gridCol w:w="2957"/>
        <w:gridCol w:w="2865"/>
        <w:gridCol w:w="1909"/>
      </w:tblGrid>
      <w:tr>
        <w:tblPrEx>
          <w:tblCellMar>
            <w:top w:w="0" w:type="dxa"/>
            <w:left w:w="0" w:type="dxa"/>
            <w:bottom w:w="0" w:type="dxa"/>
            <w:right w:w="0" w:type="dxa"/>
          </w:tblCellMar>
        </w:tblPrEx>
        <w:trPr>
          <w:trHeight w:val="538" w:hRule="atLeast"/>
        </w:trPr>
        <w:tc>
          <w:tcPr>
            <w:tcW w:w="723" w:type="pct"/>
            <w:tcBorders>
              <w:top w:val="single" w:color="000000" w:sz="4" w:space="0"/>
              <w:left w:val="single" w:color="000000" w:sz="4" w:space="0"/>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序号</w:t>
            </w:r>
          </w:p>
        </w:tc>
        <w:tc>
          <w:tcPr>
            <w:tcW w:w="1636"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条款名称</w:t>
            </w:r>
          </w:p>
        </w:tc>
        <w:tc>
          <w:tcPr>
            <w:tcW w:w="1585"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约定内容</w:t>
            </w:r>
          </w:p>
        </w:tc>
        <w:tc>
          <w:tcPr>
            <w:tcW w:w="1057"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备注</w:t>
            </w:r>
          </w:p>
        </w:tc>
      </w:tr>
      <w:tr>
        <w:tblPrEx>
          <w:tblCellMar>
            <w:top w:w="0" w:type="dxa"/>
            <w:left w:w="0" w:type="dxa"/>
            <w:bottom w:w="0" w:type="dxa"/>
            <w:right w:w="0" w:type="dxa"/>
          </w:tblCellMar>
        </w:tblPrEx>
        <w:trPr>
          <w:trHeight w:val="451" w:hRule="atLeast"/>
        </w:trPr>
        <w:tc>
          <w:tcPr>
            <w:tcW w:w="723" w:type="pct"/>
            <w:tcBorders>
              <w:top w:val="single" w:color="000000" w:sz="4" w:space="0"/>
              <w:left w:val="single" w:color="000000" w:sz="4" w:space="0"/>
              <w:bottom w:val="single" w:color="000000" w:sz="4" w:space="0"/>
              <w:right w:val="single" w:color="000000" w:sz="4" w:space="0"/>
            </w:tcBorders>
            <w:noWrap/>
            <w:vAlign w:val="center"/>
          </w:tcPr>
          <w:p>
            <w:pPr>
              <w:pStyle w:val="40"/>
              <w:rPr>
                <w:color w:val="auto"/>
                <w:highlight w:val="none"/>
              </w:rPr>
            </w:pPr>
            <w:r>
              <w:rPr>
                <w:color w:val="auto"/>
                <w:highlight w:val="none"/>
              </w:rPr>
              <w:t>1</w:t>
            </w:r>
          </w:p>
        </w:tc>
        <w:tc>
          <w:tcPr>
            <w:tcW w:w="1636"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项目负责人</w:t>
            </w:r>
          </w:p>
        </w:tc>
        <w:tc>
          <w:tcPr>
            <w:tcW w:w="1585" w:type="pct"/>
            <w:tcBorders>
              <w:top w:val="single" w:color="000000" w:sz="4" w:space="0"/>
              <w:left w:val="nil"/>
              <w:bottom w:val="single" w:color="000000" w:sz="4" w:space="0"/>
              <w:right w:val="single" w:color="000000" w:sz="4" w:space="0"/>
            </w:tcBorders>
            <w:noWrap/>
            <w:vAlign w:val="center"/>
          </w:tcPr>
          <w:p>
            <w:pPr>
              <w:pStyle w:val="40"/>
              <w:ind w:left="0" w:leftChars="0" w:firstLine="218" w:firstLineChars="104"/>
              <w:jc w:val="left"/>
              <w:rPr>
                <w:color w:val="auto"/>
                <w:highlight w:val="none"/>
              </w:rPr>
            </w:pPr>
            <w:r>
              <w:rPr>
                <w:rFonts w:hint="eastAsia"/>
                <w:color w:val="auto"/>
                <w:highlight w:val="none"/>
              </w:rPr>
              <w:t>姓名：</w:t>
            </w:r>
          </w:p>
        </w:tc>
        <w:tc>
          <w:tcPr>
            <w:tcW w:w="1057" w:type="pct"/>
            <w:tcBorders>
              <w:top w:val="single" w:color="000000" w:sz="4" w:space="0"/>
              <w:left w:val="nil"/>
              <w:bottom w:val="single" w:color="000000" w:sz="4" w:space="0"/>
              <w:right w:val="single" w:color="000000" w:sz="4" w:space="0"/>
            </w:tcBorders>
            <w:noWrap/>
            <w:vAlign w:val="center"/>
          </w:tcPr>
          <w:p>
            <w:pPr>
              <w:jc w:val="both"/>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424" w:hRule="atLeast"/>
        </w:trPr>
        <w:tc>
          <w:tcPr>
            <w:tcW w:w="723" w:type="pct"/>
            <w:tcBorders>
              <w:top w:val="single" w:color="000000" w:sz="4" w:space="0"/>
              <w:left w:val="single" w:color="000000" w:sz="4" w:space="0"/>
              <w:bottom w:val="single" w:color="000000" w:sz="4" w:space="0"/>
              <w:right w:val="single" w:color="000000" w:sz="4" w:space="0"/>
            </w:tcBorders>
            <w:noWrap/>
            <w:vAlign w:val="center"/>
          </w:tcPr>
          <w:p>
            <w:pPr>
              <w:pStyle w:val="40"/>
              <w:rPr>
                <w:color w:val="auto"/>
                <w:highlight w:val="none"/>
              </w:rPr>
            </w:pPr>
            <w:r>
              <w:rPr>
                <w:color w:val="auto"/>
                <w:highlight w:val="none"/>
              </w:rPr>
              <w:t>2</w:t>
            </w:r>
          </w:p>
        </w:tc>
        <w:tc>
          <w:tcPr>
            <w:tcW w:w="1636"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投标内容</w:t>
            </w:r>
          </w:p>
        </w:tc>
        <w:tc>
          <w:tcPr>
            <w:tcW w:w="1585" w:type="pct"/>
            <w:tcBorders>
              <w:top w:val="single" w:color="000000" w:sz="4" w:space="0"/>
              <w:left w:val="nil"/>
              <w:bottom w:val="single" w:color="000000" w:sz="4" w:space="0"/>
              <w:right w:val="single" w:color="000000" w:sz="4" w:space="0"/>
            </w:tcBorders>
            <w:noWrap/>
            <w:vAlign w:val="center"/>
          </w:tcPr>
          <w:p>
            <w:pPr>
              <w:pStyle w:val="40"/>
              <w:ind w:left="0" w:leftChars="0" w:firstLine="218" w:firstLineChars="104"/>
              <w:jc w:val="left"/>
              <w:rPr>
                <w:color w:val="auto"/>
                <w:highlight w:val="none"/>
              </w:rPr>
            </w:pPr>
            <w:r>
              <w:rPr>
                <w:rFonts w:hint="eastAsia"/>
                <w:color w:val="auto"/>
                <w:highlight w:val="none"/>
              </w:rPr>
              <w:t>按招标文件要求</w:t>
            </w:r>
          </w:p>
        </w:tc>
        <w:tc>
          <w:tcPr>
            <w:tcW w:w="1057" w:type="pct"/>
            <w:tcBorders>
              <w:top w:val="single" w:color="000000" w:sz="4" w:space="0"/>
              <w:left w:val="nil"/>
              <w:bottom w:val="single" w:color="000000" w:sz="4" w:space="0"/>
              <w:right w:val="single" w:color="000000" w:sz="4" w:space="0"/>
            </w:tcBorders>
            <w:noWrap/>
            <w:vAlign w:val="center"/>
          </w:tcPr>
          <w:p>
            <w:pPr>
              <w:jc w:val="both"/>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451" w:hRule="atLeast"/>
        </w:trPr>
        <w:tc>
          <w:tcPr>
            <w:tcW w:w="723" w:type="pct"/>
            <w:tcBorders>
              <w:top w:val="single" w:color="000000" w:sz="4" w:space="0"/>
              <w:left w:val="single" w:color="000000" w:sz="4" w:space="0"/>
              <w:bottom w:val="single" w:color="000000" w:sz="4" w:space="0"/>
              <w:right w:val="single" w:color="000000" w:sz="4" w:space="0"/>
            </w:tcBorders>
            <w:noWrap/>
            <w:vAlign w:val="center"/>
          </w:tcPr>
          <w:p>
            <w:pPr>
              <w:pStyle w:val="40"/>
              <w:rPr>
                <w:color w:val="auto"/>
                <w:highlight w:val="none"/>
              </w:rPr>
            </w:pPr>
            <w:r>
              <w:rPr>
                <w:color w:val="auto"/>
                <w:highlight w:val="none"/>
              </w:rPr>
              <w:t>3</w:t>
            </w:r>
          </w:p>
        </w:tc>
        <w:tc>
          <w:tcPr>
            <w:tcW w:w="1636"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设计服务期限</w:t>
            </w:r>
          </w:p>
        </w:tc>
        <w:tc>
          <w:tcPr>
            <w:tcW w:w="1585" w:type="pct"/>
            <w:tcBorders>
              <w:top w:val="single" w:color="000000" w:sz="4" w:space="0"/>
              <w:left w:val="nil"/>
              <w:bottom w:val="single" w:color="000000" w:sz="4" w:space="0"/>
              <w:right w:val="single" w:color="000000" w:sz="4" w:space="0"/>
            </w:tcBorders>
            <w:noWrap/>
            <w:vAlign w:val="center"/>
          </w:tcPr>
          <w:p>
            <w:pPr>
              <w:ind w:left="0" w:leftChars="0" w:firstLine="216" w:firstLineChars="104"/>
              <w:jc w:val="left"/>
              <w:rPr>
                <w:rFonts w:ascii="宋体" w:hAnsi="宋体" w:eastAsia="宋体"/>
                <w:color w:val="auto"/>
                <w:spacing w:val="-1"/>
                <w:sz w:val="21"/>
                <w:szCs w:val="21"/>
                <w:highlight w:val="none"/>
              </w:rPr>
            </w:pPr>
            <w:r>
              <w:rPr>
                <w:rFonts w:hint="eastAsia" w:ascii="宋体" w:hAnsi="宋体" w:eastAsia="宋体"/>
                <w:color w:val="auto"/>
                <w:spacing w:val="-1"/>
                <w:sz w:val="21"/>
                <w:szCs w:val="21"/>
                <w:highlight w:val="none"/>
              </w:rPr>
              <w:t>按招标文件要求</w:t>
            </w:r>
          </w:p>
        </w:tc>
        <w:tc>
          <w:tcPr>
            <w:tcW w:w="1057" w:type="pct"/>
            <w:tcBorders>
              <w:top w:val="single" w:color="000000" w:sz="4" w:space="0"/>
              <w:left w:val="nil"/>
              <w:bottom w:val="single" w:color="000000" w:sz="4" w:space="0"/>
              <w:right w:val="single" w:color="000000" w:sz="4" w:space="0"/>
            </w:tcBorders>
            <w:noWrap/>
            <w:vAlign w:val="center"/>
          </w:tcPr>
          <w:p>
            <w:pPr>
              <w:jc w:val="both"/>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449" w:hRule="atLeast"/>
        </w:trPr>
        <w:tc>
          <w:tcPr>
            <w:tcW w:w="723" w:type="pct"/>
            <w:tcBorders>
              <w:top w:val="single" w:color="000000" w:sz="4" w:space="0"/>
              <w:left w:val="single" w:color="000000" w:sz="4" w:space="0"/>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4</w:t>
            </w:r>
          </w:p>
        </w:tc>
        <w:tc>
          <w:tcPr>
            <w:tcW w:w="1636"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质量标准</w:t>
            </w:r>
          </w:p>
        </w:tc>
        <w:tc>
          <w:tcPr>
            <w:tcW w:w="1585" w:type="pct"/>
            <w:tcBorders>
              <w:top w:val="single" w:color="000000" w:sz="4" w:space="0"/>
              <w:left w:val="nil"/>
              <w:bottom w:val="single" w:color="000000" w:sz="4" w:space="0"/>
              <w:right w:val="single" w:color="000000" w:sz="4" w:space="0"/>
            </w:tcBorders>
            <w:noWrap/>
            <w:vAlign w:val="center"/>
          </w:tcPr>
          <w:p>
            <w:pPr>
              <w:ind w:left="0" w:leftChars="0" w:firstLine="216" w:firstLineChars="104"/>
              <w:jc w:val="left"/>
              <w:rPr>
                <w:rFonts w:ascii="宋体" w:hAnsi="宋体" w:eastAsia="宋体"/>
                <w:color w:val="auto"/>
                <w:spacing w:val="-1"/>
                <w:sz w:val="21"/>
                <w:szCs w:val="21"/>
                <w:highlight w:val="none"/>
              </w:rPr>
            </w:pPr>
            <w:r>
              <w:rPr>
                <w:rFonts w:hint="eastAsia" w:ascii="宋体" w:hAnsi="宋体" w:eastAsia="宋体"/>
                <w:color w:val="auto"/>
                <w:spacing w:val="-1"/>
                <w:sz w:val="21"/>
                <w:szCs w:val="21"/>
                <w:highlight w:val="none"/>
              </w:rPr>
              <w:t>按招标文件要求</w:t>
            </w:r>
          </w:p>
        </w:tc>
        <w:tc>
          <w:tcPr>
            <w:tcW w:w="1057" w:type="pct"/>
            <w:tcBorders>
              <w:top w:val="single" w:color="000000" w:sz="4" w:space="0"/>
              <w:left w:val="nil"/>
              <w:bottom w:val="single" w:color="000000" w:sz="4" w:space="0"/>
              <w:right w:val="single" w:color="000000" w:sz="4" w:space="0"/>
            </w:tcBorders>
            <w:noWrap/>
            <w:vAlign w:val="center"/>
          </w:tcPr>
          <w:p>
            <w:pPr>
              <w:jc w:val="both"/>
              <w:rPr>
                <w:rFonts w:ascii="宋体" w:hAnsi="宋体" w:eastAsia="宋体"/>
                <w:color w:val="auto"/>
                <w:sz w:val="21"/>
                <w:szCs w:val="21"/>
                <w:highlight w:val="none"/>
              </w:rPr>
            </w:pPr>
          </w:p>
        </w:tc>
      </w:tr>
      <w:tr>
        <w:tblPrEx>
          <w:tblCellMar>
            <w:top w:w="0" w:type="dxa"/>
            <w:left w:w="0" w:type="dxa"/>
            <w:bottom w:w="0" w:type="dxa"/>
            <w:right w:w="0" w:type="dxa"/>
          </w:tblCellMar>
        </w:tblPrEx>
        <w:trPr>
          <w:trHeight w:val="451" w:hRule="atLeast"/>
        </w:trPr>
        <w:tc>
          <w:tcPr>
            <w:tcW w:w="723" w:type="pct"/>
            <w:tcBorders>
              <w:top w:val="single" w:color="000000" w:sz="4" w:space="0"/>
              <w:left w:val="single" w:color="000000" w:sz="4" w:space="0"/>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5</w:t>
            </w:r>
          </w:p>
        </w:tc>
        <w:tc>
          <w:tcPr>
            <w:tcW w:w="1636" w:type="pct"/>
            <w:tcBorders>
              <w:top w:val="single" w:color="000000" w:sz="4" w:space="0"/>
              <w:left w:val="nil"/>
              <w:bottom w:val="single" w:color="000000" w:sz="4" w:space="0"/>
              <w:right w:val="single" w:color="000000" w:sz="4" w:space="0"/>
            </w:tcBorders>
            <w:noWrap/>
            <w:vAlign w:val="center"/>
          </w:tcPr>
          <w:p>
            <w:pPr>
              <w:pStyle w:val="40"/>
              <w:rPr>
                <w:color w:val="auto"/>
                <w:highlight w:val="none"/>
              </w:rPr>
            </w:pPr>
            <w:r>
              <w:rPr>
                <w:rFonts w:hint="eastAsia"/>
                <w:color w:val="auto"/>
                <w:highlight w:val="none"/>
              </w:rPr>
              <w:t>投标有效期</w:t>
            </w:r>
          </w:p>
        </w:tc>
        <w:tc>
          <w:tcPr>
            <w:tcW w:w="1585" w:type="pct"/>
            <w:tcBorders>
              <w:top w:val="single" w:color="000000" w:sz="4" w:space="0"/>
              <w:left w:val="nil"/>
              <w:bottom w:val="single" w:color="000000" w:sz="4" w:space="0"/>
              <w:right w:val="single" w:color="000000" w:sz="4" w:space="0"/>
            </w:tcBorders>
            <w:noWrap/>
            <w:vAlign w:val="center"/>
          </w:tcPr>
          <w:p>
            <w:pPr>
              <w:ind w:left="0" w:leftChars="0" w:firstLine="216" w:firstLineChars="104"/>
              <w:jc w:val="left"/>
              <w:rPr>
                <w:rFonts w:ascii="宋体" w:hAnsi="宋体" w:eastAsia="宋体"/>
                <w:color w:val="auto"/>
                <w:spacing w:val="-1"/>
                <w:sz w:val="21"/>
                <w:szCs w:val="21"/>
                <w:highlight w:val="none"/>
              </w:rPr>
            </w:pPr>
            <w:r>
              <w:rPr>
                <w:rFonts w:hint="eastAsia" w:ascii="宋体" w:hAnsi="宋体" w:eastAsia="宋体"/>
                <w:color w:val="auto"/>
                <w:spacing w:val="-1"/>
                <w:sz w:val="21"/>
                <w:szCs w:val="21"/>
                <w:highlight w:val="none"/>
              </w:rPr>
              <w:t>按招标文件要求</w:t>
            </w:r>
          </w:p>
        </w:tc>
        <w:tc>
          <w:tcPr>
            <w:tcW w:w="1057" w:type="pct"/>
            <w:tcBorders>
              <w:top w:val="single" w:color="000000" w:sz="4" w:space="0"/>
              <w:left w:val="nil"/>
              <w:bottom w:val="single" w:color="000000" w:sz="4" w:space="0"/>
              <w:right w:val="single" w:color="000000" w:sz="4" w:space="0"/>
            </w:tcBorders>
            <w:noWrap/>
            <w:vAlign w:val="center"/>
          </w:tcPr>
          <w:p>
            <w:pPr>
              <w:jc w:val="both"/>
              <w:rPr>
                <w:rFonts w:ascii="宋体" w:hAnsi="宋体" w:eastAsia="宋体"/>
                <w:color w:val="auto"/>
                <w:sz w:val="21"/>
                <w:szCs w:val="21"/>
                <w:highlight w:val="none"/>
              </w:rPr>
            </w:pPr>
          </w:p>
        </w:tc>
      </w:tr>
    </w:tbl>
    <w:p>
      <w:pPr>
        <w:pStyle w:val="10"/>
        <w:kinsoku w:val="0"/>
        <w:overflowPunct w:val="0"/>
        <w:rPr>
          <w:color w:val="auto"/>
          <w:sz w:val="20"/>
          <w:szCs w:val="20"/>
          <w:highlight w:val="none"/>
        </w:rPr>
      </w:pPr>
    </w:p>
    <w:p>
      <w:pPr>
        <w:pStyle w:val="10"/>
        <w:kinsoku w:val="0"/>
        <w:overflowPunct w:val="0"/>
        <w:spacing w:line="360" w:lineRule="auto"/>
        <w:ind w:left="0" w:firstLine="2409" w:firstLineChars="10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409" w:firstLineChars="10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spacing w:line="360" w:lineRule="auto"/>
        <w:ind w:firstLine="2409" w:firstLineChars="10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年</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月</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日</w:t>
      </w:r>
    </w:p>
    <w:p>
      <w:pPr>
        <w:spacing w:line="360" w:lineRule="auto"/>
        <w:rPr>
          <w:rFonts w:ascii="宋体" w:hAnsi="宋体" w:eastAsia="宋体"/>
          <w:color w:val="auto"/>
          <w:highlight w:val="none"/>
          <w:lang w:eastAsia="zh-CN"/>
        </w:rPr>
      </w:pPr>
    </w:p>
    <w:p>
      <w:pPr>
        <w:pStyle w:val="4"/>
        <w:spacing w:after="240"/>
        <w:rPr>
          <w:rFonts w:ascii="宋体" w:hAnsi="宋体" w:eastAsia="宋体"/>
          <w:color w:val="auto"/>
          <w:highlight w:val="none"/>
          <w:lang w:eastAsia="zh-CN"/>
        </w:rPr>
      </w:pPr>
      <w:r>
        <w:rPr>
          <w:rFonts w:ascii="宋体" w:hAnsi="宋体" w:eastAsia="宋体"/>
          <w:color w:val="auto"/>
          <w:highlight w:val="none"/>
          <w:lang w:eastAsia="zh-CN"/>
        </w:rPr>
        <w:br w:type="page"/>
      </w:r>
      <w:bookmarkStart w:id="93" w:name="_Toc143424764"/>
      <w:bookmarkStart w:id="94" w:name="_Toc142858901"/>
      <w:bookmarkStart w:id="95" w:name="_Toc25072140"/>
      <w:r>
        <w:rPr>
          <w:rFonts w:hint="eastAsia" w:ascii="宋体" w:hAnsi="宋体" w:eastAsia="宋体"/>
          <w:color w:val="auto"/>
          <w:highlight w:val="none"/>
          <w:lang w:eastAsia="zh-CN"/>
        </w:rPr>
        <w:t>格式二  法定代表人身份证明、授权委托书</w:t>
      </w:r>
      <w:bookmarkEnd w:id="93"/>
      <w:bookmarkEnd w:id="94"/>
      <w:bookmarkEnd w:id="95"/>
    </w:p>
    <w:p>
      <w:pPr>
        <w:jc w:val="center"/>
        <w:rPr>
          <w:rFonts w:ascii="宋体" w:hAnsi="宋体" w:eastAsia="宋体"/>
          <w:b/>
          <w:color w:val="auto"/>
          <w:sz w:val="32"/>
          <w:szCs w:val="36"/>
          <w:highlight w:val="none"/>
          <w:lang w:eastAsia="zh-CN"/>
        </w:rPr>
      </w:pPr>
      <w:r>
        <w:rPr>
          <w:rFonts w:hint="eastAsia" w:ascii="宋体" w:hAnsi="宋体" w:eastAsia="宋体"/>
          <w:b/>
          <w:color w:val="auto"/>
          <w:sz w:val="32"/>
          <w:szCs w:val="36"/>
          <w:highlight w:val="none"/>
          <w:lang w:eastAsia="zh-CN"/>
        </w:rPr>
        <w:t>法定代表人身份证明</w:t>
      </w:r>
    </w:p>
    <w:p>
      <w:pPr>
        <w:spacing w:line="360" w:lineRule="auto"/>
        <w:rPr>
          <w:rFonts w:ascii="宋体" w:hAnsi="宋体" w:eastAsia="宋体"/>
          <w:color w:val="auto"/>
          <w:sz w:val="24"/>
          <w:szCs w:val="24"/>
          <w:highlight w:val="none"/>
          <w:lang w:eastAsia="zh-CN"/>
        </w:rPr>
      </w:pPr>
    </w:p>
    <w:p>
      <w:pPr>
        <w:spacing w:line="360" w:lineRule="auto"/>
        <w:rPr>
          <w:rFonts w:ascii="宋体" w:hAnsi="宋体" w:eastAsia="宋体"/>
          <w:color w:val="auto"/>
          <w:sz w:val="24"/>
          <w:szCs w:val="24"/>
          <w:highlight w:val="none"/>
          <w:u w:val="single"/>
          <w:lang w:eastAsia="zh-CN"/>
        </w:rPr>
      </w:pPr>
      <w:r>
        <w:rPr>
          <w:rFonts w:ascii="宋体" w:hAnsi="宋体" w:eastAsia="宋体"/>
          <w:color w:val="auto"/>
          <w:sz w:val="24"/>
          <w:szCs w:val="24"/>
          <w:highlight w:val="none"/>
          <w:lang w:eastAsia="zh-CN"/>
        </w:rPr>
        <w:t>投标人名称：</w:t>
      </w: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姓名：</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lang w:eastAsia="zh-CN"/>
        </w:rPr>
        <w:t>性别：</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lang w:eastAsia="zh-CN"/>
        </w:rPr>
        <w:t>年龄：</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lang w:eastAsia="zh-CN"/>
        </w:rPr>
        <w:t>职务：</w:t>
      </w:r>
    </w:p>
    <w:p>
      <w:pPr>
        <w:spacing w:line="360" w:lineRule="auto"/>
        <w:rPr>
          <w:rFonts w:ascii="宋体" w:hAnsi="宋体" w:eastAsia="宋体"/>
          <w:color w:val="auto"/>
          <w:sz w:val="24"/>
          <w:szCs w:val="24"/>
          <w:highlight w:val="none"/>
          <w:lang w:eastAsia="zh-CN"/>
        </w:rPr>
      </w:pPr>
    </w:p>
    <w:p>
      <w:pPr>
        <w:tabs>
          <w:tab w:val="left" w:pos="3080"/>
        </w:tabs>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系</w:t>
      </w:r>
      <w:r>
        <w:rPr>
          <w:rFonts w:ascii="宋体" w:hAnsi="宋体" w:eastAsia="宋体"/>
          <w:color w:val="auto"/>
          <w:sz w:val="24"/>
          <w:szCs w:val="24"/>
          <w:highlight w:val="none"/>
          <w:u w:val="single"/>
          <w:lang w:eastAsia="zh-CN"/>
        </w:rPr>
        <w:t>（投标人名称）</w:t>
      </w:r>
      <w:r>
        <w:rPr>
          <w:rFonts w:ascii="宋体" w:hAnsi="宋体" w:eastAsia="宋体"/>
          <w:color w:val="auto"/>
          <w:sz w:val="24"/>
          <w:szCs w:val="24"/>
          <w:highlight w:val="none"/>
          <w:lang w:eastAsia="zh-CN"/>
        </w:rPr>
        <w:t>的法定代表人。</w:t>
      </w:r>
    </w:p>
    <w:p>
      <w:pPr>
        <w:spacing w:line="360" w:lineRule="auto"/>
        <w:rPr>
          <w:rFonts w:ascii="宋体" w:hAnsi="宋体" w:eastAsia="宋体"/>
          <w:color w:val="auto"/>
          <w:sz w:val="24"/>
          <w:szCs w:val="24"/>
          <w:highlight w:val="none"/>
          <w:lang w:eastAsia="zh-CN"/>
        </w:rPr>
      </w:pP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特此证明。</w:t>
      </w:r>
    </w:p>
    <w:p>
      <w:pPr>
        <w:spacing w:line="360" w:lineRule="auto"/>
        <w:rPr>
          <w:rFonts w:ascii="宋体" w:hAnsi="宋体" w:eastAsia="宋体"/>
          <w:color w:val="auto"/>
          <w:sz w:val="24"/>
          <w:szCs w:val="24"/>
          <w:highlight w:val="none"/>
          <w:lang w:eastAsia="zh-CN"/>
        </w:rPr>
      </w:pP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附：法定代表人身份证</w:t>
      </w:r>
      <w:r>
        <w:rPr>
          <w:rFonts w:hint="eastAsia" w:ascii="宋体" w:hAnsi="宋体" w:eastAsia="宋体" w:cs="宋体"/>
          <w:bCs/>
          <w:color w:val="auto"/>
          <w:sz w:val="24"/>
          <w:szCs w:val="24"/>
          <w:highlight w:val="none"/>
          <w:lang w:eastAsia="zh-CN"/>
        </w:rPr>
        <w:t>扫描</w:t>
      </w:r>
      <w:r>
        <w:rPr>
          <w:rFonts w:ascii="宋体" w:hAnsi="宋体" w:eastAsia="宋体"/>
          <w:color w:val="auto"/>
          <w:sz w:val="24"/>
          <w:szCs w:val="24"/>
          <w:highlight w:val="none"/>
          <w:lang w:eastAsia="zh-CN"/>
        </w:rPr>
        <w:t>件。</w:t>
      </w: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注：本身份证明需由投标人加盖单位公章。</w:t>
      </w:r>
    </w:p>
    <w:p>
      <w:pPr>
        <w:spacing w:line="360" w:lineRule="auto"/>
        <w:rPr>
          <w:rFonts w:ascii="宋体" w:hAnsi="宋体" w:eastAsia="宋体"/>
          <w:color w:val="auto"/>
          <w:sz w:val="24"/>
          <w:szCs w:val="24"/>
          <w:highlight w:val="none"/>
          <w:lang w:eastAsia="zh-CN"/>
        </w:rPr>
      </w:pPr>
    </w:p>
    <w:p>
      <w:pPr>
        <w:tabs>
          <w:tab w:val="left" w:pos="6760"/>
        </w:tabs>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投标人：（盖单位章）</w:t>
      </w:r>
    </w:p>
    <w:p>
      <w:pPr>
        <w:tabs>
          <w:tab w:val="left" w:pos="6440"/>
          <w:tab w:val="left" w:pos="7280"/>
        </w:tabs>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年</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lang w:eastAsia="zh-CN"/>
        </w:rPr>
        <w:t>月</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lang w:eastAsia="zh-CN"/>
        </w:rPr>
        <w:t>日</w:t>
      </w:r>
    </w:p>
    <w:p>
      <w:pPr>
        <w:jc w:val="center"/>
        <w:rPr>
          <w:rFonts w:ascii="宋体" w:hAnsi="宋体" w:eastAsia="宋体"/>
          <w:b/>
          <w:color w:val="auto"/>
          <w:sz w:val="32"/>
          <w:szCs w:val="36"/>
          <w:highlight w:val="none"/>
          <w:lang w:eastAsia="zh-CN"/>
        </w:rPr>
      </w:pPr>
      <w:r>
        <w:rPr>
          <w:rFonts w:ascii="宋体" w:hAnsi="宋体" w:eastAsia="宋体"/>
          <w:color w:val="auto"/>
          <w:sz w:val="24"/>
          <w:szCs w:val="24"/>
          <w:highlight w:val="none"/>
          <w:lang w:eastAsia="zh-CN"/>
        </w:rPr>
        <w:br w:type="page"/>
      </w:r>
      <w:r>
        <w:rPr>
          <w:rFonts w:hint="eastAsia" w:ascii="宋体" w:hAnsi="宋体" w:eastAsia="宋体"/>
          <w:b/>
          <w:color w:val="auto"/>
          <w:sz w:val="32"/>
          <w:szCs w:val="36"/>
          <w:highlight w:val="none"/>
          <w:lang w:eastAsia="zh-CN"/>
        </w:rPr>
        <w:t>授权委托书</w:t>
      </w:r>
    </w:p>
    <w:p>
      <w:pPr>
        <w:autoSpaceDE w:val="0"/>
        <w:autoSpaceDN w:val="0"/>
        <w:adjustRightInd w:val="0"/>
        <w:spacing w:before="18" w:line="240" w:lineRule="exact"/>
        <w:rPr>
          <w:rFonts w:ascii="宋体" w:hAnsi="宋体" w:eastAsia="宋体"/>
          <w:color w:val="auto"/>
          <w:sz w:val="24"/>
          <w:highlight w:val="none"/>
          <w:lang w:eastAsia="zh-CN"/>
        </w:rPr>
      </w:pPr>
    </w:p>
    <w:p>
      <w:pPr>
        <w:autoSpaceDE w:val="0"/>
        <w:autoSpaceDN w:val="0"/>
        <w:adjustRightIn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position w:val="-4"/>
          <w:sz w:val="24"/>
          <w:szCs w:val="24"/>
          <w:highlight w:val="none"/>
          <w:lang w:eastAsia="zh-CN"/>
        </w:rPr>
        <w:t>本人</w:t>
      </w:r>
      <w:r>
        <w:rPr>
          <w:rFonts w:hint="eastAsia" w:ascii="宋体" w:hAnsi="宋体" w:eastAsia="宋体"/>
          <w:color w:val="auto"/>
          <w:position w:val="-4"/>
          <w:sz w:val="24"/>
          <w:szCs w:val="24"/>
          <w:highlight w:val="none"/>
          <w:u w:val="single"/>
          <w:lang w:eastAsia="zh-CN"/>
        </w:rPr>
        <w:t xml:space="preserve">    （</w:t>
      </w:r>
      <w:r>
        <w:rPr>
          <w:rFonts w:hint="eastAsia" w:ascii="宋体" w:hAnsi="宋体" w:eastAsia="宋体"/>
          <w:color w:val="auto"/>
          <w:spacing w:val="-2"/>
          <w:position w:val="-4"/>
          <w:sz w:val="24"/>
          <w:szCs w:val="24"/>
          <w:highlight w:val="none"/>
          <w:u w:val="single"/>
          <w:lang w:eastAsia="zh-CN"/>
        </w:rPr>
        <w:t>姓</w:t>
      </w:r>
      <w:r>
        <w:rPr>
          <w:rFonts w:hint="eastAsia" w:ascii="宋体" w:hAnsi="宋体" w:eastAsia="宋体"/>
          <w:color w:val="auto"/>
          <w:position w:val="-4"/>
          <w:sz w:val="24"/>
          <w:szCs w:val="24"/>
          <w:highlight w:val="none"/>
          <w:u w:val="single"/>
          <w:lang w:eastAsia="zh-CN"/>
        </w:rPr>
        <w:t xml:space="preserve">名）    </w:t>
      </w:r>
      <w:r>
        <w:rPr>
          <w:rFonts w:hint="eastAsia" w:ascii="宋体" w:hAnsi="宋体" w:eastAsia="宋体"/>
          <w:color w:val="auto"/>
          <w:position w:val="-4"/>
          <w:sz w:val="24"/>
          <w:szCs w:val="24"/>
          <w:highlight w:val="none"/>
          <w:lang w:eastAsia="zh-CN"/>
        </w:rPr>
        <w:t>系</w:t>
      </w:r>
      <w:r>
        <w:rPr>
          <w:rFonts w:hint="eastAsia" w:ascii="宋体" w:hAnsi="宋体" w:eastAsia="宋体"/>
          <w:color w:val="auto"/>
          <w:position w:val="-4"/>
          <w:sz w:val="24"/>
          <w:szCs w:val="24"/>
          <w:highlight w:val="none"/>
          <w:u w:val="single"/>
          <w:lang w:eastAsia="zh-CN"/>
        </w:rPr>
        <w:t xml:space="preserve">   （投标人</w:t>
      </w:r>
      <w:r>
        <w:rPr>
          <w:rFonts w:hint="eastAsia" w:ascii="宋体" w:hAnsi="宋体" w:eastAsia="宋体"/>
          <w:color w:val="auto"/>
          <w:spacing w:val="-2"/>
          <w:position w:val="-4"/>
          <w:sz w:val="24"/>
          <w:szCs w:val="24"/>
          <w:highlight w:val="none"/>
          <w:u w:val="single"/>
          <w:lang w:eastAsia="zh-CN"/>
        </w:rPr>
        <w:t>名</w:t>
      </w:r>
      <w:r>
        <w:rPr>
          <w:rFonts w:hint="eastAsia" w:ascii="宋体" w:hAnsi="宋体" w:eastAsia="宋体"/>
          <w:color w:val="auto"/>
          <w:position w:val="-4"/>
          <w:sz w:val="24"/>
          <w:szCs w:val="24"/>
          <w:highlight w:val="none"/>
          <w:u w:val="single"/>
          <w:lang w:eastAsia="zh-CN"/>
        </w:rPr>
        <w:t xml:space="preserve">称）    </w:t>
      </w:r>
      <w:r>
        <w:rPr>
          <w:rFonts w:hint="eastAsia" w:ascii="宋体" w:hAnsi="宋体" w:eastAsia="宋体"/>
          <w:color w:val="auto"/>
          <w:position w:val="-4"/>
          <w:sz w:val="24"/>
          <w:szCs w:val="24"/>
          <w:highlight w:val="none"/>
          <w:lang w:eastAsia="zh-CN"/>
        </w:rPr>
        <w:t>的</w:t>
      </w:r>
      <w:r>
        <w:rPr>
          <w:rFonts w:hint="eastAsia" w:ascii="宋体" w:hAnsi="宋体" w:eastAsia="宋体"/>
          <w:color w:val="auto"/>
          <w:spacing w:val="-2"/>
          <w:position w:val="-4"/>
          <w:sz w:val="24"/>
          <w:szCs w:val="24"/>
          <w:highlight w:val="none"/>
          <w:lang w:eastAsia="zh-CN"/>
        </w:rPr>
        <w:t>法定</w:t>
      </w:r>
      <w:r>
        <w:rPr>
          <w:rFonts w:hint="eastAsia" w:ascii="宋体" w:hAnsi="宋体" w:eastAsia="宋体"/>
          <w:color w:val="auto"/>
          <w:position w:val="-4"/>
          <w:sz w:val="24"/>
          <w:szCs w:val="24"/>
          <w:highlight w:val="none"/>
          <w:lang w:eastAsia="zh-CN"/>
        </w:rPr>
        <w:t>代表人</w:t>
      </w:r>
      <w:r>
        <w:rPr>
          <w:rFonts w:hint="eastAsia" w:ascii="宋体" w:hAnsi="宋体" w:eastAsia="宋体"/>
          <w:color w:val="auto"/>
          <w:spacing w:val="-2"/>
          <w:position w:val="-4"/>
          <w:sz w:val="24"/>
          <w:szCs w:val="24"/>
          <w:highlight w:val="none"/>
          <w:lang w:eastAsia="zh-CN"/>
        </w:rPr>
        <w:t>，</w:t>
      </w:r>
      <w:r>
        <w:rPr>
          <w:rFonts w:hint="eastAsia" w:ascii="宋体" w:hAnsi="宋体" w:eastAsia="宋体"/>
          <w:color w:val="auto"/>
          <w:position w:val="-4"/>
          <w:sz w:val="24"/>
          <w:szCs w:val="24"/>
          <w:highlight w:val="none"/>
          <w:lang w:eastAsia="zh-CN"/>
        </w:rPr>
        <w:t>现</w:t>
      </w:r>
      <w:r>
        <w:rPr>
          <w:rFonts w:hint="eastAsia" w:ascii="宋体" w:hAnsi="宋体" w:eastAsia="宋体"/>
          <w:color w:val="auto"/>
          <w:position w:val="-2"/>
          <w:sz w:val="24"/>
          <w:szCs w:val="24"/>
          <w:highlight w:val="none"/>
          <w:lang w:eastAsia="zh-CN"/>
        </w:rPr>
        <w:t>委托</w:t>
      </w:r>
      <w:r>
        <w:rPr>
          <w:rFonts w:hint="eastAsia" w:ascii="宋体" w:hAnsi="宋体" w:eastAsia="宋体"/>
          <w:color w:val="auto"/>
          <w:position w:val="-2"/>
          <w:sz w:val="24"/>
          <w:szCs w:val="24"/>
          <w:highlight w:val="none"/>
          <w:u w:val="single"/>
          <w:lang w:eastAsia="zh-CN"/>
        </w:rPr>
        <w:t xml:space="preserve">   （姓</w:t>
      </w:r>
      <w:r>
        <w:rPr>
          <w:rFonts w:hint="eastAsia" w:ascii="宋体" w:hAnsi="宋体" w:eastAsia="宋体"/>
          <w:color w:val="auto"/>
          <w:spacing w:val="-2"/>
          <w:position w:val="-2"/>
          <w:sz w:val="24"/>
          <w:szCs w:val="24"/>
          <w:highlight w:val="none"/>
          <w:u w:val="single"/>
          <w:lang w:eastAsia="zh-CN"/>
        </w:rPr>
        <w:t>名</w:t>
      </w:r>
      <w:r>
        <w:rPr>
          <w:rFonts w:hint="eastAsia" w:ascii="宋体" w:hAnsi="宋体" w:eastAsia="宋体"/>
          <w:color w:val="auto"/>
          <w:position w:val="-2"/>
          <w:sz w:val="24"/>
          <w:szCs w:val="24"/>
          <w:highlight w:val="none"/>
          <w:u w:val="single"/>
          <w:lang w:eastAsia="zh-CN"/>
        </w:rPr>
        <w:t xml:space="preserve">）  </w:t>
      </w:r>
      <w:r>
        <w:rPr>
          <w:rFonts w:hint="eastAsia" w:ascii="宋体" w:hAnsi="宋体" w:eastAsia="宋体"/>
          <w:color w:val="auto"/>
          <w:position w:val="-2"/>
          <w:sz w:val="24"/>
          <w:szCs w:val="24"/>
          <w:highlight w:val="none"/>
          <w:lang w:eastAsia="zh-CN"/>
        </w:rPr>
        <w:t>为我方代</w:t>
      </w:r>
      <w:r>
        <w:rPr>
          <w:rFonts w:hint="eastAsia" w:ascii="宋体" w:hAnsi="宋体" w:eastAsia="宋体"/>
          <w:color w:val="auto"/>
          <w:spacing w:val="-2"/>
          <w:position w:val="-2"/>
          <w:sz w:val="24"/>
          <w:szCs w:val="24"/>
          <w:highlight w:val="none"/>
          <w:lang w:eastAsia="zh-CN"/>
        </w:rPr>
        <w:t>理</w:t>
      </w:r>
      <w:r>
        <w:rPr>
          <w:rFonts w:hint="eastAsia" w:ascii="宋体" w:hAnsi="宋体" w:eastAsia="宋体"/>
          <w:color w:val="auto"/>
          <w:position w:val="-2"/>
          <w:sz w:val="24"/>
          <w:szCs w:val="24"/>
          <w:highlight w:val="none"/>
          <w:lang w:eastAsia="zh-CN"/>
        </w:rPr>
        <w:t>人。代理</w:t>
      </w:r>
      <w:r>
        <w:rPr>
          <w:rFonts w:hint="eastAsia" w:ascii="宋体" w:hAnsi="宋体" w:eastAsia="宋体"/>
          <w:color w:val="auto"/>
          <w:spacing w:val="-2"/>
          <w:position w:val="-2"/>
          <w:sz w:val="24"/>
          <w:szCs w:val="24"/>
          <w:highlight w:val="none"/>
          <w:lang w:eastAsia="zh-CN"/>
        </w:rPr>
        <w:t>人</w:t>
      </w:r>
      <w:r>
        <w:rPr>
          <w:rFonts w:hint="eastAsia" w:ascii="宋体" w:hAnsi="宋体" w:eastAsia="宋体"/>
          <w:color w:val="auto"/>
          <w:position w:val="-2"/>
          <w:sz w:val="24"/>
          <w:szCs w:val="24"/>
          <w:highlight w:val="none"/>
          <w:lang w:eastAsia="zh-CN"/>
        </w:rPr>
        <w:t>根据授权，</w:t>
      </w:r>
      <w:r>
        <w:rPr>
          <w:rFonts w:hint="eastAsia" w:ascii="宋体" w:hAnsi="宋体" w:eastAsia="宋体"/>
          <w:color w:val="auto"/>
          <w:spacing w:val="-2"/>
          <w:position w:val="-2"/>
          <w:sz w:val="24"/>
          <w:szCs w:val="24"/>
          <w:highlight w:val="none"/>
          <w:lang w:eastAsia="zh-CN"/>
        </w:rPr>
        <w:t>以</w:t>
      </w:r>
      <w:r>
        <w:rPr>
          <w:rFonts w:hint="eastAsia" w:ascii="宋体" w:hAnsi="宋体" w:eastAsia="宋体"/>
          <w:color w:val="auto"/>
          <w:position w:val="-2"/>
          <w:sz w:val="24"/>
          <w:szCs w:val="24"/>
          <w:highlight w:val="none"/>
          <w:lang w:eastAsia="zh-CN"/>
        </w:rPr>
        <w:t>我方名义</w:t>
      </w:r>
      <w:r>
        <w:rPr>
          <w:rFonts w:hint="eastAsia" w:ascii="宋体" w:hAnsi="宋体" w:eastAsia="宋体"/>
          <w:color w:val="auto"/>
          <w:spacing w:val="-2"/>
          <w:position w:val="-2"/>
          <w:sz w:val="24"/>
          <w:szCs w:val="24"/>
          <w:highlight w:val="none"/>
          <w:lang w:eastAsia="zh-CN"/>
        </w:rPr>
        <w:t>签</w:t>
      </w:r>
      <w:r>
        <w:rPr>
          <w:rFonts w:hint="eastAsia" w:ascii="宋体" w:hAnsi="宋体" w:eastAsia="宋体"/>
          <w:color w:val="auto"/>
          <w:position w:val="-2"/>
          <w:sz w:val="24"/>
          <w:szCs w:val="24"/>
          <w:highlight w:val="none"/>
          <w:lang w:eastAsia="zh-CN"/>
        </w:rPr>
        <w:t>署、澄清确</w:t>
      </w:r>
      <w:r>
        <w:rPr>
          <w:rFonts w:hint="eastAsia" w:ascii="宋体" w:hAnsi="宋体" w:eastAsia="宋体"/>
          <w:color w:val="auto"/>
          <w:spacing w:val="-2"/>
          <w:position w:val="-2"/>
          <w:sz w:val="24"/>
          <w:szCs w:val="24"/>
          <w:highlight w:val="none"/>
          <w:lang w:eastAsia="zh-CN"/>
        </w:rPr>
        <w:t>认</w:t>
      </w:r>
      <w:r>
        <w:rPr>
          <w:rFonts w:hint="eastAsia" w:ascii="宋体" w:hAnsi="宋体" w:eastAsia="宋体"/>
          <w:color w:val="auto"/>
          <w:position w:val="-2"/>
          <w:sz w:val="24"/>
          <w:szCs w:val="24"/>
          <w:highlight w:val="none"/>
          <w:lang w:eastAsia="zh-CN"/>
        </w:rPr>
        <w:t>、递</w:t>
      </w:r>
      <w:r>
        <w:rPr>
          <w:rFonts w:hint="eastAsia" w:ascii="宋体" w:hAnsi="宋体" w:eastAsia="宋体"/>
          <w:color w:val="auto"/>
          <w:sz w:val="24"/>
          <w:szCs w:val="24"/>
          <w:highlight w:val="none"/>
          <w:lang w:eastAsia="zh-CN"/>
        </w:rPr>
        <w:t>交、</w:t>
      </w:r>
      <w:r>
        <w:rPr>
          <w:rFonts w:hint="eastAsia" w:ascii="宋体" w:hAnsi="宋体" w:eastAsia="宋体"/>
          <w:color w:val="auto"/>
          <w:spacing w:val="-2"/>
          <w:sz w:val="24"/>
          <w:szCs w:val="24"/>
          <w:highlight w:val="none"/>
          <w:lang w:eastAsia="zh-CN"/>
        </w:rPr>
        <w:t>撤</w:t>
      </w:r>
      <w:r>
        <w:rPr>
          <w:rFonts w:hint="eastAsia" w:ascii="宋体" w:hAnsi="宋体" w:eastAsia="宋体"/>
          <w:color w:val="auto"/>
          <w:sz w:val="24"/>
          <w:szCs w:val="24"/>
          <w:highlight w:val="none"/>
          <w:lang w:eastAsia="zh-CN"/>
        </w:rPr>
        <w:t>回</w:t>
      </w:r>
      <w:r>
        <w:rPr>
          <w:rFonts w:hint="eastAsia" w:ascii="宋体" w:hAnsi="宋体" w:eastAsia="宋体"/>
          <w:color w:val="auto"/>
          <w:spacing w:val="-2"/>
          <w:sz w:val="24"/>
          <w:szCs w:val="24"/>
          <w:highlight w:val="none"/>
          <w:lang w:eastAsia="zh-CN"/>
        </w:rPr>
        <w:t>、</w:t>
      </w:r>
      <w:r>
        <w:rPr>
          <w:rFonts w:hint="eastAsia" w:ascii="宋体" w:hAnsi="宋体" w:eastAsia="宋体"/>
          <w:color w:val="auto"/>
          <w:sz w:val="24"/>
          <w:szCs w:val="24"/>
          <w:highlight w:val="none"/>
          <w:lang w:eastAsia="zh-CN"/>
        </w:rPr>
        <w:t>修</w:t>
      </w:r>
      <w:r>
        <w:rPr>
          <w:rFonts w:hint="eastAsia" w:ascii="宋体" w:hAnsi="宋体" w:eastAsia="宋体"/>
          <w:color w:val="auto"/>
          <w:spacing w:val="-3"/>
          <w:sz w:val="24"/>
          <w:szCs w:val="24"/>
          <w:highlight w:val="none"/>
          <w:lang w:eastAsia="zh-CN"/>
        </w:rPr>
        <w:t>改</w:t>
      </w:r>
      <w:r>
        <w:rPr>
          <w:rFonts w:hint="eastAsia" w:ascii="宋体" w:hAnsi="宋体" w:eastAsia="宋体"/>
          <w:color w:val="auto"/>
          <w:spacing w:val="-2"/>
          <w:sz w:val="24"/>
          <w:szCs w:val="24"/>
          <w:highlight w:val="none"/>
          <w:lang w:eastAsia="zh-CN"/>
        </w:rPr>
        <w:t>投</w:t>
      </w:r>
      <w:r>
        <w:rPr>
          <w:rFonts w:hint="eastAsia" w:ascii="宋体" w:hAnsi="宋体" w:eastAsia="宋体"/>
          <w:color w:val="auto"/>
          <w:sz w:val="24"/>
          <w:szCs w:val="24"/>
          <w:highlight w:val="none"/>
          <w:lang w:eastAsia="zh-CN"/>
        </w:rPr>
        <w:t>标</w:t>
      </w:r>
      <w:r>
        <w:rPr>
          <w:rFonts w:hint="eastAsia" w:ascii="宋体" w:hAnsi="宋体" w:eastAsia="宋体"/>
          <w:color w:val="auto"/>
          <w:spacing w:val="-2"/>
          <w:sz w:val="24"/>
          <w:szCs w:val="24"/>
          <w:highlight w:val="none"/>
          <w:lang w:eastAsia="zh-CN"/>
        </w:rPr>
        <w:t>文</w:t>
      </w:r>
      <w:r>
        <w:rPr>
          <w:rFonts w:hint="eastAsia" w:ascii="宋体" w:hAnsi="宋体" w:eastAsia="宋体"/>
          <w:color w:val="auto"/>
          <w:sz w:val="24"/>
          <w:szCs w:val="24"/>
          <w:highlight w:val="none"/>
          <w:lang w:eastAsia="zh-CN"/>
        </w:rPr>
        <w:t>件</w:t>
      </w:r>
      <w:r>
        <w:rPr>
          <w:rFonts w:hint="eastAsia" w:ascii="宋体" w:hAnsi="宋体" w:eastAsia="宋体"/>
          <w:color w:val="auto"/>
          <w:spacing w:val="-2"/>
          <w:sz w:val="24"/>
          <w:szCs w:val="24"/>
          <w:highlight w:val="none"/>
          <w:lang w:eastAsia="zh-CN"/>
        </w:rPr>
        <w:t>、</w:t>
      </w:r>
      <w:r>
        <w:rPr>
          <w:rFonts w:hint="eastAsia" w:ascii="宋体" w:hAnsi="宋体" w:eastAsia="宋体"/>
          <w:color w:val="auto"/>
          <w:sz w:val="24"/>
          <w:szCs w:val="24"/>
          <w:highlight w:val="none"/>
          <w:lang w:eastAsia="zh-CN"/>
        </w:rPr>
        <w:t>签</w:t>
      </w:r>
      <w:r>
        <w:rPr>
          <w:rFonts w:hint="eastAsia" w:ascii="宋体" w:hAnsi="宋体" w:eastAsia="宋体"/>
          <w:color w:val="auto"/>
          <w:spacing w:val="-2"/>
          <w:sz w:val="24"/>
          <w:szCs w:val="24"/>
          <w:highlight w:val="none"/>
          <w:lang w:eastAsia="zh-CN"/>
        </w:rPr>
        <w:t>订</w:t>
      </w:r>
      <w:r>
        <w:rPr>
          <w:rFonts w:hint="eastAsia" w:ascii="宋体" w:hAnsi="宋体" w:eastAsia="宋体"/>
          <w:color w:val="auto"/>
          <w:sz w:val="24"/>
          <w:szCs w:val="24"/>
          <w:highlight w:val="none"/>
          <w:lang w:eastAsia="zh-CN"/>
        </w:rPr>
        <w:t>合</w:t>
      </w:r>
      <w:r>
        <w:rPr>
          <w:rFonts w:hint="eastAsia" w:ascii="宋体" w:hAnsi="宋体" w:eastAsia="宋体"/>
          <w:color w:val="auto"/>
          <w:spacing w:val="-2"/>
          <w:sz w:val="24"/>
          <w:szCs w:val="24"/>
          <w:highlight w:val="none"/>
          <w:lang w:eastAsia="zh-CN"/>
        </w:rPr>
        <w:t>同</w:t>
      </w:r>
      <w:r>
        <w:rPr>
          <w:rFonts w:hint="eastAsia" w:ascii="宋体" w:hAnsi="宋体" w:eastAsia="宋体"/>
          <w:color w:val="auto"/>
          <w:sz w:val="24"/>
          <w:szCs w:val="24"/>
          <w:highlight w:val="none"/>
          <w:lang w:eastAsia="zh-CN"/>
        </w:rPr>
        <w:t>和处</w:t>
      </w:r>
      <w:r>
        <w:rPr>
          <w:rFonts w:hint="eastAsia" w:ascii="宋体" w:hAnsi="宋体" w:eastAsia="宋体"/>
          <w:color w:val="auto"/>
          <w:spacing w:val="-2"/>
          <w:sz w:val="24"/>
          <w:szCs w:val="24"/>
          <w:highlight w:val="none"/>
          <w:lang w:eastAsia="zh-CN"/>
        </w:rPr>
        <w:t>理</w:t>
      </w:r>
      <w:r>
        <w:rPr>
          <w:rFonts w:hint="eastAsia" w:ascii="宋体" w:hAnsi="宋体" w:eastAsia="宋体"/>
          <w:color w:val="auto"/>
          <w:sz w:val="24"/>
          <w:szCs w:val="24"/>
          <w:highlight w:val="none"/>
          <w:lang w:eastAsia="zh-CN"/>
        </w:rPr>
        <w:t>有</w:t>
      </w:r>
      <w:r>
        <w:rPr>
          <w:rFonts w:hint="eastAsia" w:ascii="宋体" w:hAnsi="宋体" w:eastAsia="宋体"/>
          <w:color w:val="auto"/>
          <w:spacing w:val="-2"/>
          <w:sz w:val="24"/>
          <w:szCs w:val="24"/>
          <w:highlight w:val="none"/>
          <w:lang w:eastAsia="zh-CN"/>
        </w:rPr>
        <w:t>关</w:t>
      </w:r>
      <w:r>
        <w:rPr>
          <w:rFonts w:hint="eastAsia" w:ascii="宋体" w:hAnsi="宋体" w:eastAsia="宋体"/>
          <w:color w:val="auto"/>
          <w:sz w:val="24"/>
          <w:szCs w:val="24"/>
          <w:highlight w:val="none"/>
          <w:lang w:eastAsia="zh-CN"/>
        </w:rPr>
        <w:t>事</w:t>
      </w:r>
      <w:r>
        <w:rPr>
          <w:rFonts w:hint="eastAsia" w:ascii="宋体" w:hAnsi="宋体" w:eastAsia="宋体"/>
          <w:color w:val="auto"/>
          <w:spacing w:val="-2"/>
          <w:sz w:val="24"/>
          <w:szCs w:val="24"/>
          <w:highlight w:val="none"/>
          <w:lang w:eastAsia="zh-CN"/>
        </w:rPr>
        <w:t>宜</w:t>
      </w:r>
      <w:r>
        <w:rPr>
          <w:rFonts w:hint="eastAsia" w:ascii="宋体" w:hAnsi="宋体" w:eastAsia="宋体"/>
          <w:color w:val="auto"/>
          <w:sz w:val="24"/>
          <w:szCs w:val="24"/>
          <w:highlight w:val="none"/>
          <w:lang w:eastAsia="zh-CN"/>
        </w:rPr>
        <w:t>，</w:t>
      </w:r>
      <w:r>
        <w:rPr>
          <w:rFonts w:hint="eastAsia" w:ascii="宋体" w:hAnsi="宋体" w:eastAsia="宋体"/>
          <w:color w:val="auto"/>
          <w:spacing w:val="-2"/>
          <w:sz w:val="24"/>
          <w:szCs w:val="24"/>
          <w:highlight w:val="none"/>
          <w:lang w:eastAsia="zh-CN"/>
        </w:rPr>
        <w:t>其</w:t>
      </w:r>
      <w:r>
        <w:rPr>
          <w:rFonts w:hint="eastAsia" w:ascii="宋体" w:hAnsi="宋体" w:eastAsia="宋体"/>
          <w:color w:val="auto"/>
          <w:sz w:val="24"/>
          <w:szCs w:val="24"/>
          <w:highlight w:val="none"/>
          <w:lang w:eastAsia="zh-CN"/>
        </w:rPr>
        <w:t>法</w:t>
      </w:r>
      <w:r>
        <w:rPr>
          <w:rFonts w:hint="eastAsia" w:ascii="宋体" w:hAnsi="宋体" w:eastAsia="宋体"/>
          <w:color w:val="auto"/>
          <w:spacing w:val="-2"/>
          <w:sz w:val="24"/>
          <w:szCs w:val="24"/>
          <w:highlight w:val="none"/>
          <w:lang w:eastAsia="zh-CN"/>
        </w:rPr>
        <w:t>律</w:t>
      </w:r>
      <w:r>
        <w:rPr>
          <w:rFonts w:hint="eastAsia" w:ascii="宋体" w:hAnsi="宋体" w:eastAsia="宋体"/>
          <w:color w:val="auto"/>
          <w:sz w:val="24"/>
          <w:szCs w:val="24"/>
          <w:highlight w:val="none"/>
          <w:lang w:eastAsia="zh-CN"/>
        </w:rPr>
        <w:t>后果</w:t>
      </w:r>
      <w:r>
        <w:rPr>
          <w:rFonts w:hint="eastAsia" w:ascii="宋体" w:hAnsi="宋体" w:eastAsia="宋体"/>
          <w:color w:val="auto"/>
          <w:spacing w:val="-2"/>
          <w:sz w:val="24"/>
          <w:szCs w:val="24"/>
          <w:highlight w:val="none"/>
          <w:lang w:eastAsia="zh-CN"/>
        </w:rPr>
        <w:t>由</w:t>
      </w:r>
      <w:r>
        <w:rPr>
          <w:rFonts w:hint="eastAsia" w:ascii="宋体" w:hAnsi="宋体" w:eastAsia="宋体"/>
          <w:color w:val="auto"/>
          <w:sz w:val="24"/>
          <w:szCs w:val="24"/>
          <w:highlight w:val="none"/>
          <w:lang w:eastAsia="zh-CN"/>
        </w:rPr>
        <w:t>我</w:t>
      </w:r>
      <w:r>
        <w:rPr>
          <w:rFonts w:hint="eastAsia" w:ascii="宋体" w:hAnsi="宋体" w:eastAsia="宋体"/>
          <w:color w:val="auto"/>
          <w:spacing w:val="-2"/>
          <w:sz w:val="24"/>
          <w:szCs w:val="24"/>
          <w:highlight w:val="none"/>
          <w:lang w:eastAsia="zh-CN"/>
        </w:rPr>
        <w:t>方</w:t>
      </w:r>
      <w:r>
        <w:rPr>
          <w:rFonts w:hint="eastAsia" w:ascii="宋体" w:hAnsi="宋体" w:eastAsia="宋体"/>
          <w:color w:val="auto"/>
          <w:sz w:val="24"/>
          <w:szCs w:val="24"/>
          <w:highlight w:val="none"/>
          <w:lang w:eastAsia="zh-CN"/>
        </w:rPr>
        <w:t>承</w:t>
      </w:r>
      <w:r>
        <w:rPr>
          <w:rFonts w:hint="eastAsia" w:ascii="宋体" w:hAnsi="宋体" w:eastAsia="宋体"/>
          <w:color w:val="auto"/>
          <w:spacing w:val="-2"/>
          <w:sz w:val="24"/>
          <w:szCs w:val="24"/>
          <w:highlight w:val="none"/>
          <w:lang w:eastAsia="zh-CN"/>
        </w:rPr>
        <w:t>担</w:t>
      </w:r>
      <w:r>
        <w:rPr>
          <w:rFonts w:hint="eastAsia" w:ascii="宋体" w:hAnsi="宋体" w:eastAsia="宋体"/>
          <w:color w:val="auto"/>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position w:val="-4"/>
          <w:sz w:val="24"/>
          <w:szCs w:val="24"/>
          <w:highlight w:val="none"/>
          <w:lang w:eastAsia="zh-CN"/>
        </w:rPr>
        <w:t>委托</w:t>
      </w:r>
      <w:r>
        <w:rPr>
          <w:rFonts w:hint="eastAsia" w:ascii="宋体" w:hAnsi="宋体" w:eastAsia="宋体"/>
          <w:color w:val="auto"/>
          <w:spacing w:val="-2"/>
          <w:position w:val="-4"/>
          <w:sz w:val="24"/>
          <w:szCs w:val="24"/>
          <w:highlight w:val="none"/>
          <w:lang w:eastAsia="zh-CN"/>
        </w:rPr>
        <w:t>期</w:t>
      </w:r>
      <w:r>
        <w:rPr>
          <w:rFonts w:hint="eastAsia" w:ascii="宋体" w:hAnsi="宋体" w:eastAsia="宋体"/>
          <w:color w:val="auto"/>
          <w:position w:val="-4"/>
          <w:sz w:val="24"/>
          <w:szCs w:val="24"/>
          <w:highlight w:val="none"/>
          <w:lang w:eastAsia="zh-CN"/>
        </w:rPr>
        <w:t>限</w:t>
      </w:r>
      <w:r>
        <w:rPr>
          <w:rFonts w:hint="eastAsia" w:ascii="宋体" w:hAnsi="宋体" w:eastAsia="宋体"/>
          <w:color w:val="auto"/>
          <w:spacing w:val="-3"/>
          <w:position w:val="-4"/>
          <w:sz w:val="24"/>
          <w:szCs w:val="24"/>
          <w:highlight w:val="none"/>
          <w:lang w:eastAsia="zh-CN"/>
        </w:rPr>
        <w:t>：</w:t>
      </w:r>
      <w:r>
        <w:rPr>
          <w:rFonts w:hint="eastAsia" w:ascii="宋体" w:hAnsi="宋体" w:eastAsia="宋体"/>
          <w:color w:val="auto"/>
          <w:position w:val="-4"/>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代理</w:t>
      </w:r>
      <w:r>
        <w:rPr>
          <w:rFonts w:hint="eastAsia" w:ascii="宋体" w:hAnsi="宋体" w:eastAsia="宋体"/>
          <w:color w:val="auto"/>
          <w:spacing w:val="-2"/>
          <w:sz w:val="24"/>
          <w:szCs w:val="24"/>
          <w:highlight w:val="none"/>
          <w:lang w:eastAsia="zh-CN"/>
        </w:rPr>
        <w:t>人</w:t>
      </w:r>
      <w:r>
        <w:rPr>
          <w:rFonts w:hint="eastAsia" w:ascii="宋体" w:hAnsi="宋体" w:eastAsia="宋体"/>
          <w:color w:val="auto"/>
          <w:sz w:val="24"/>
          <w:szCs w:val="24"/>
          <w:highlight w:val="none"/>
          <w:lang w:eastAsia="zh-CN"/>
        </w:rPr>
        <w:t>无</w:t>
      </w:r>
      <w:r>
        <w:rPr>
          <w:rFonts w:hint="eastAsia" w:ascii="宋体" w:hAnsi="宋体" w:eastAsia="宋体"/>
          <w:color w:val="auto"/>
          <w:spacing w:val="-2"/>
          <w:sz w:val="24"/>
          <w:szCs w:val="24"/>
          <w:highlight w:val="none"/>
          <w:lang w:eastAsia="zh-CN"/>
        </w:rPr>
        <w:t>转</w:t>
      </w:r>
      <w:r>
        <w:rPr>
          <w:rFonts w:hint="eastAsia" w:ascii="宋体" w:hAnsi="宋体" w:eastAsia="宋体"/>
          <w:color w:val="auto"/>
          <w:sz w:val="24"/>
          <w:szCs w:val="24"/>
          <w:highlight w:val="none"/>
          <w:lang w:eastAsia="zh-CN"/>
        </w:rPr>
        <w:t>委</w:t>
      </w:r>
      <w:r>
        <w:rPr>
          <w:rFonts w:hint="eastAsia" w:ascii="宋体" w:hAnsi="宋体" w:eastAsia="宋体"/>
          <w:color w:val="auto"/>
          <w:spacing w:val="-2"/>
          <w:sz w:val="24"/>
          <w:szCs w:val="24"/>
          <w:highlight w:val="none"/>
          <w:lang w:eastAsia="zh-CN"/>
        </w:rPr>
        <w:t>托</w:t>
      </w:r>
      <w:r>
        <w:rPr>
          <w:rFonts w:hint="eastAsia" w:ascii="宋体" w:hAnsi="宋体" w:eastAsia="宋体"/>
          <w:color w:val="auto"/>
          <w:sz w:val="24"/>
          <w:szCs w:val="24"/>
          <w:highlight w:val="none"/>
          <w:lang w:eastAsia="zh-CN"/>
        </w:rPr>
        <w:t>权。</w:t>
      </w:r>
    </w:p>
    <w:p>
      <w:pPr>
        <w:autoSpaceDE w:val="0"/>
        <w:autoSpaceDN w:val="0"/>
        <w:adjustRightInd w:val="0"/>
        <w:spacing w:line="360" w:lineRule="auto"/>
        <w:rPr>
          <w:rFonts w:ascii="宋体" w:hAnsi="宋体" w:eastAsia="宋体"/>
          <w:color w:val="auto"/>
          <w:sz w:val="24"/>
          <w:szCs w:val="24"/>
          <w:highlight w:val="none"/>
          <w:lang w:eastAsia="zh-CN"/>
        </w:rPr>
      </w:pP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附：</w:t>
      </w:r>
      <w:r>
        <w:rPr>
          <w:rFonts w:hint="eastAsia" w:ascii="宋体" w:hAnsi="宋体" w:eastAsia="宋体"/>
          <w:color w:val="auto"/>
          <w:spacing w:val="-2"/>
          <w:sz w:val="24"/>
          <w:szCs w:val="24"/>
          <w:highlight w:val="none"/>
          <w:lang w:eastAsia="zh-CN"/>
        </w:rPr>
        <w:t>法</w:t>
      </w:r>
      <w:r>
        <w:rPr>
          <w:rFonts w:hint="eastAsia" w:ascii="宋体" w:hAnsi="宋体" w:eastAsia="宋体"/>
          <w:color w:val="auto"/>
          <w:sz w:val="24"/>
          <w:szCs w:val="24"/>
          <w:highlight w:val="none"/>
          <w:lang w:eastAsia="zh-CN"/>
        </w:rPr>
        <w:t>定</w:t>
      </w:r>
      <w:r>
        <w:rPr>
          <w:rFonts w:hint="eastAsia" w:ascii="宋体" w:hAnsi="宋体" w:eastAsia="宋体"/>
          <w:color w:val="auto"/>
          <w:spacing w:val="-2"/>
          <w:sz w:val="24"/>
          <w:szCs w:val="24"/>
          <w:highlight w:val="none"/>
          <w:lang w:eastAsia="zh-CN"/>
        </w:rPr>
        <w:t>代</w:t>
      </w:r>
      <w:r>
        <w:rPr>
          <w:rFonts w:hint="eastAsia" w:ascii="宋体" w:hAnsi="宋体" w:eastAsia="宋体"/>
          <w:color w:val="auto"/>
          <w:sz w:val="24"/>
          <w:szCs w:val="24"/>
          <w:highlight w:val="none"/>
          <w:lang w:eastAsia="zh-CN"/>
        </w:rPr>
        <w:t>表</w:t>
      </w:r>
      <w:r>
        <w:rPr>
          <w:rFonts w:hint="eastAsia" w:ascii="宋体" w:hAnsi="宋体" w:eastAsia="宋体"/>
          <w:color w:val="auto"/>
          <w:spacing w:val="-2"/>
          <w:sz w:val="24"/>
          <w:szCs w:val="24"/>
          <w:highlight w:val="none"/>
          <w:lang w:eastAsia="zh-CN"/>
        </w:rPr>
        <w:t>人</w:t>
      </w:r>
      <w:r>
        <w:rPr>
          <w:rFonts w:hint="eastAsia" w:ascii="宋体" w:hAnsi="宋体" w:eastAsia="宋体"/>
          <w:color w:val="auto"/>
          <w:sz w:val="24"/>
          <w:szCs w:val="24"/>
          <w:highlight w:val="none"/>
          <w:lang w:eastAsia="zh-CN"/>
        </w:rPr>
        <w:t>身</w:t>
      </w:r>
      <w:r>
        <w:rPr>
          <w:rFonts w:hint="eastAsia" w:ascii="宋体" w:hAnsi="宋体" w:eastAsia="宋体"/>
          <w:color w:val="auto"/>
          <w:spacing w:val="-2"/>
          <w:sz w:val="24"/>
          <w:szCs w:val="24"/>
          <w:highlight w:val="none"/>
          <w:lang w:eastAsia="zh-CN"/>
        </w:rPr>
        <w:t>份</w:t>
      </w:r>
      <w:r>
        <w:rPr>
          <w:rFonts w:hint="eastAsia" w:ascii="宋体" w:hAnsi="宋体" w:eastAsia="宋体"/>
          <w:color w:val="auto"/>
          <w:sz w:val="24"/>
          <w:szCs w:val="24"/>
          <w:highlight w:val="none"/>
          <w:lang w:eastAsia="zh-CN"/>
        </w:rPr>
        <w:t>证</w:t>
      </w:r>
      <w:r>
        <w:rPr>
          <w:rFonts w:hint="eastAsia" w:ascii="宋体" w:hAnsi="宋体" w:eastAsia="宋体" w:cs="宋体"/>
          <w:bCs/>
          <w:color w:val="auto"/>
          <w:sz w:val="24"/>
          <w:szCs w:val="24"/>
          <w:highlight w:val="none"/>
          <w:lang w:eastAsia="zh-CN"/>
        </w:rPr>
        <w:t>扫描</w:t>
      </w:r>
      <w:r>
        <w:rPr>
          <w:rFonts w:hint="eastAsia" w:ascii="宋体" w:hAnsi="宋体" w:eastAsia="宋体"/>
          <w:color w:val="auto"/>
          <w:sz w:val="24"/>
          <w:szCs w:val="24"/>
          <w:highlight w:val="none"/>
          <w:lang w:eastAsia="zh-CN"/>
        </w:rPr>
        <w:t>件</w:t>
      </w:r>
      <w:r>
        <w:rPr>
          <w:rFonts w:hint="eastAsia" w:ascii="宋体" w:hAnsi="宋体" w:eastAsia="宋体"/>
          <w:color w:val="auto"/>
          <w:spacing w:val="-2"/>
          <w:sz w:val="24"/>
          <w:szCs w:val="24"/>
          <w:highlight w:val="none"/>
          <w:lang w:eastAsia="zh-CN"/>
        </w:rPr>
        <w:t>及</w:t>
      </w:r>
      <w:r>
        <w:rPr>
          <w:rFonts w:hint="eastAsia" w:ascii="宋体" w:hAnsi="宋体" w:eastAsia="宋体"/>
          <w:color w:val="auto"/>
          <w:sz w:val="24"/>
          <w:szCs w:val="24"/>
          <w:highlight w:val="none"/>
          <w:lang w:eastAsia="zh-CN"/>
        </w:rPr>
        <w:t>委</w:t>
      </w:r>
      <w:r>
        <w:rPr>
          <w:rFonts w:hint="eastAsia" w:ascii="宋体" w:hAnsi="宋体" w:eastAsia="宋体"/>
          <w:color w:val="auto"/>
          <w:spacing w:val="-2"/>
          <w:sz w:val="24"/>
          <w:szCs w:val="24"/>
          <w:highlight w:val="none"/>
          <w:lang w:eastAsia="zh-CN"/>
        </w:rPr>
        <w:t>托</w:t>
      </w:r>
      <w:r>
        <w:rPr>
          <w:rFonts w:hint="eastAsia" w:ascii="宋体" w:hAnsi="宋体" w:eastAsia="宋体"/>
          <w:color w:val="auto"/>
          <w:sz w:val="24"/>
          <w:szCs w:val="24"/>
          <w:highlight w:val="none"/>
          <w:lang w:eastAsia="zh-CN"/>
        </w:rPr>
        <w:t>代</w:t>
      </w:r>
      <w:r>
        <w:rPr>
          <w:rFonts w:hint="eastAsia" w:ascii="宋体" w:hAnsi="宋体" w:eastAsia="宋体"/>
          <w:color w:val="auto"/>
          <w:spacing w:val="-2"/>
          <w:sz w:val="24"/>
          <w:szCs w:val="24"/>
          <w:highlight w:val="none"/>
          <w:lang w:eastAsia="zh-CN"/>
        </w:rPr>
        <w:t>理</w:t>
      </w:r>
      <w:r>
        <w:rPr>
          <w:rFonts w:hint="eastAsia" w:ascii="宋体" w:hAnsi="宋体" w:eastAsia="宋体"/>
          <w:color w:val="auto"/>
          <w:sz w:val="24"/>
          <w:szCs w:val="24"/>
          <w:highlight w:val="none"/>
          <w:lang w:eastAsia="zh-CN"/>
        </w:rPr>
        <w:t>人</w:t>
      </w:r>
      <w:r>
        <w:rPr>
          <w:rFonts w:hint="eastAsia" w:ascii="宋体" w:hAnsi="宋体" w:eastAsia="宋体"/>
          <w:color w:val="auto"/>
          <w:spacing w:val="-2"/>
          <w:sz w:val="24"/>
          <w:szCs w:val="24"/>
          <w:highlight w:val="none"/>
          <w:lang w:eastAsia="zh-CN"/>
        </w:rPr>
        <w:t>身</w:t>
      </w:r>
      <w:r>
        <w:rPr>
          <w:rFonts w:hint="eastAsia" w:ascii="宋体" w:hAnsi="宋体" w:eastAsia="宋体"/>
          <w:color w:val="auto"/>
          <w:sz w:val="24"/>
          <w:szCs w:val="24"/>
          <w:highlight w:val="none"/>
          <w:lang w:eastAsia="zh-CN"/>
        </w:rPr>
        <w:t>份</w:t>
      </w:r>
      <w:r>
        <w:rPr>
          <w:rFonts w:hint="eastAsia" w:ascii="宋体" w:hAnsi="宋体" w:eastAsia="宋体"/>
          <w:color w:val="auto"/>
          <w:spacing w:val="-2"/>
          <w:sz w:val="24"/>
          <w:szCs w:val="24"/>
          <w:highlight w:val="none"/>
          <w:lang w:eastAsia="zh-CN"/>
        </w:rPr>
        <w:t>证</w:t>
      </w:r>
      <w:r>
        <w:rPr>
          <w:rFonts w:hint="eastAsia" w:ascii="宋体" w:hAnsi="宋体" w:eastAsia="宋体" w:cs="宋体"/>
          <w:bCs/>
          <w:color w:val="auto"/>
          <w:sz w:val="24"/>
          <w:szCs w:val="24"/>
          <w:highlight w:val="none"/>
          <w:lang w:eastAsia="zh-CN"/>
        </w:rPr>
        <w:t>扫描</w:t>
      </w:r>
      <w:r>
        <w:rPr>
          <w:rFonts w:hint="eastAsia" w:ascii="宋体" w:hAnsi="宋体" w:eastAsia="宋体"/>
          <w:color w:val="auto"/>
          <w:sz w:val="24"/>
          <w:szCs w:val="24"/>
          <w:highlight w:val="none"/>
          <w:lang w:eastAsia="zh-CN"/>
        </w:rPr>
        <w:t>件 注：</w:t>
      </w:r>
      <w:r>
        <w:rPr>
          <w:rFonts w:hint="eastAsia" w:ascii="宋体" w:hAnsi="宋体" w:eastAsia="宋体"/>
          <w:color w:val="auto"/>
          <w:spacing w:val="-2"/>
          <w:sz w:val="24"/>
          <w:szCs w:val="24"/>
          <w:highlight w:val="none"/>
          <w:lang w:eastAsia="zh-CN"/>
        </w:rPr>
        <w:t>本</w:t>
      </w:r>
      <w:r>
        <w:rPr>
          <w:rFonts w:hint="eastAsia" w:ascii="宋体" w:hAnsi="宋体" w:eastAsia="宋体"/>
          <w:color w:val="auto"/>
          <w:sz w:val="24"/>
          <w:szCs w:val="24"/>
          <w:highlight w:val="none"/>
          <w:lang w:eastAsia="zh-CN"/>
        </w:rPr>
        <w:t>授</w:t>
      </w:r>
      <w:r>
        <w:rPr>
          <w:rFonts w:hint="eastAsia" w:ascii="宋体" w:hAnsi="宋体" w:eastAsia="宋体"/>
          <w:color w:val="auto"/>
          <w:spacing w:val="-2"/>
          <w:sz w:val="24"/>
          <w:szCs w:val="24"/>
          <w:highlight w:val="none"/>
          <w:lang w:eastAsia="zh-CN"/>
        </w:rPr>
        <w:t>权</w:t>
      </w:r>
      <w:r>
        <w:rPr>
          <w:rFonts w:hint="eastAsia" w:ascii="宋体" w:hAnsi="宋体" w:eastAsia="宋体"/>
          <w:color w:val="auto"/>
          <w:sz w:val="24"/>
          <w:szCs w:val="24"/>
          <w:highlight w:val="none"/>
          <w:lang w:eastAsia="zh-CN"/>
        </w:rPr>
        <w:t>委</w:t>
      </w:r>
      <w:r>
        <w:rPr>
          <w:rFonts w:hint="eastAsia" w:ascii="宋体" w:hAnsi="宋体" w:eastAsia="宋体"/>
          <w:color w:val="auto"/>
          <w:spacing w:val="-2"/>
          <w:sz w:val="24"/>
          <w:szCs w:val="24"/>
          <w:highlight w:val="none"/>
          <w:lang w:eastAsia="zh-CN"/>
        </w:rPr>
        <w:t>托</w:t>
      </w:r>
      <w:r>
        <w:rPr>
          <w:rFonts w:hint="eastAsia" w:ascii="宋体" w:hAnsi="宋体" w:eastAsia="宋体"/>
          <w:color w:val="auto"/>
          <w:sz w:val="24"/>
          <w:szCs w:val="24"/>
          <w:highlight w:val="none"/>
          <w:lang w:eastAsia="zh-CN"/>
        </w:rPr>
        <w:t>书</w:t>
      </w:r>
      <w:r>
        <w:rPr>
          <w:rFonts w:hint="eastAsia" w:ascii="宋体" w:hAnsi="宋体" w:eastAsia="宋体"/>
          <w:color w:val="auto"/>
          <w:spacing w:val="-2"/>
          <w:sz w:val="24"/>
          <w:szCs w:val="24"/>
          <w:highlight w:val="none"/>
          <w:lang w:eastAsia="zh-CN"/>
        </w:rPr>
        <w:t>需</w:t>
      </w:r>
      <w:r>
        <w:rPr>
          <w:rFonts w:hint="eastAsia" w:ascii="宋体" w:hAnsi="宋体" w:eastAsia="宋体"/>
          <w:color w:val="auto"/>
          <w:sz w:val="24"/>
          <w:szCs w:val="24"/>
          <w:highlight w:val="none"/>
          <w:lang w:eastAsia="zh-CN"/>
        </w:rPr>
        <w:t>由</w:t>
      </w:r>
      <w:r>
        <w:rPr>
          <w:rFonts w:hint="eastAsia" w:ascii="宋体" w:hAnsi="宋体" w:eastAsia="宋体"/>
          <w:color w:val="auto"/>
          <w:spacing w:val="-2"/>
          <w:sz w:val="24"/>
          <w:szCs w:val="24"/>
          <w:highlight w:val="none"/>
          <w:lang w:eastAsia="zh-CN"/>
        </w:rPr>
        <w:t>投</w:t>
      </w:r>
      <w:r>
        <w:rPr>
          <w:rFonts w:hint="eastAsia" w:ascii="宋体" w:hAnsi="宋体" w:eastAsia="宋体"/>
          <w:color w:val="auto"/>
          <w:sz w:val="24"/>
          <w:szCs w:val="24"/>
          <w:highlight w:val="none"/>
          <w:lang w:eastAsia="zh-CN"/>
        </w:rPr>
        <w:t>标人</w:t>
      </w:r>
      <w:r>
        <w:rPr>
          <w:rFonts w:hint="eastAsia" w:ascii="宋体" w:hAnsi="宋体" w:eastAsia="宋体"/>
          <w:color w:val="auto"/>
          <w:spacing w:val="-2"/>
          <w:sz w:val="24"/>
          <w:szCs w:val="24"/>
          <w:highlight w:val="none"/>
          <w:lang w:eastAsia="zh-CN"/>
        </w:rPr>
        <w:t>加</w:t>
      </w:r>
      <w:r>
        <w:rPr>
          <w:rFonts w:hint="eastAsia" w:ascii="宋体" w:hAnsi="宋体" w:eastAsia="宋体"/>
          <w:color w:val="auto"/>
          <w:sz w:val="24"/>
          <w:szCs w:val="24"/>
          <w:highlight w:val="none"/>
          <w:lang w:eastAsia="zh-CN"/>
        </w:rPr>
        <w:t>盖</w:t>
      </w:r>
      <w:r>
        <w:rPr>
          <w:rFonts w:hint="eastAsia" w:ascii="宋体" w:hAnsi="宋体" w:eastAsia="宋体"/>
          <w:color w:val="auto"/>
          <w:spacing w:val="-2"/>
          <w:sz w:val="24"/>
          <w:szCs w:val="24"/>
          <w:highlight w:val="none"/>
          <w:lang w:eastAsia="zh-CN"/>
        </w:rPr>
        <w:t>单</w:t>
      </w:r>
      <w:r>
        <w:rPr>
          <w:rFonts w:hint="eastAsia" w:ascii="宋体" w:hAnsi="宋体" w:eastAsia="宋体"/>
          <w:color w:val="auto"/>
          <w:sz w:val="24"/>
          <w:szCs w:val="24"/>
          <w:highlight w:val="none"/>
          <w:lang w:eastAsia="zh-CN"/>
        </w:rPr>
        <w:t>位</w:t>
      </w:r>
      <w:r>
        <w:rPr>
          <w:rFonts w:hint="eastAsia" w:ascii="宋体" w:hAnsi="宋体" w:eastAsia="宋体"/>
          <w:color w:val="auto"/>
          <w:spacing w:val="-2"/>
          <w:sz w:val="24"/>
          <w:szCs w:val="24"/>
          <w:highlight w:val="none"/>
          <w:lang w:eastAsia="zh-CN"/>
        </w:rPr>
        <w:t>公</w:t>
      </w:r>
      <w:r>
        <w:rPr>
          <w:rFonts w:hint="eastAsia" w:ascii="宋体" w:hAnsi="宋体" w:eastAsia="宋体"/>
          <w:color w:val="auto"/>
          <w:sz w:val="24"/>
          <w:szCs w:val="24"/>
          <w:highlight w:val="none"/>
          <w:lang w:eastAsia="zh-CN"/>
        </w:rPr>
        <w:t>章</w:t>
      </w:r>
      <w:r>
        <w:rPr>
          <w:rFonts w:hint="eastAsia" w:ascii="宋体" w:hAnsi="宋体" w:eastAsia="宋体"/>
          <w:color w:val="auto"/>
          <w:spacing w:val="-2"/>
          <w:sz w:val="24"/>
          <w:szCs w:val="24"/>
          <w:highlight w:val="none"/>
          <w:lang w:eastAsia="zh-CN"/>
        </w:rPr>
        <w:t>并</w:t>
      </w:r>
      <w:r>
        <w:rPr>
          <w:rFonts w:hint="eastAsia" w:ascii="宋体" w:hAnsi="宋体" w:eastAsia="宋体"/>
          <w:color w:val="auto"/>
          <w:sz w:val="24"/>
          <w:szCs w:val="24"/>
          <w:highlight w:val="none"/>
          <w:lang w:eastAsia="zh-CN"/>
        </w:rPr>
        <w:t>由</w:t>
      </w:r>
      <w:r>
        <w:rPr>
          <w:rFonts w:hint="eastAsia" w:ascii="宋体" w:hAnsi="宋体" w:eastAsia="宋体"/>
          <w:color w:val="auto"/>
          <w:spacing w:val="-2"/>
          <w:sz w:val="24"/>
          <w:szCs w:val="24"/>
          <w:highlight w:val="none"/>
          <w:lang w:eastAsia="zh-CN"/>
        </w:rPr>
        <w:t>其</w:t>
      </w:r>
      <w:r>
        <w:rPr>
          <w:rFonts w:hint="eastAsia" w:ascii="宋体" w:hAnsi="宋体" w:eastAsia="宋体"/>
          <w:color w:val="auto"/>
          <w:sz w:val="24"/>
          <w:szCs w:val="24"/>
          <w:highlight w:val="none"/>
          <w:lang w:eastAsia="zh-CN"/>
        </w:rPr>
        <w:t>法定</w:t>
      </w:r>
      <w:r>
        <w:rPr>
          <w:rFonts w:hint="eastAsia" w:ascii="宋体" w:hAnsi="宋体" w:eastAsia="宋体"/>
          <w:color w:val="auto"/>
          <w:spacing w:val="-2"/>
          <w:sz w:val="24"/>
          <w:szCs w:val="24"/>
          <w:highlight w:val="none"/>
          <w:lang w:eastAsia="zh-CN"/>
        </w:rPr>
        <w:t>代</w:t>
      </w:r>
      <w:r>
        <w:rPr>
          <w:rFonts w:hint="eastAsia" w:ascii="宋体" w:hAnsi="宋体" w:eastAsia="宋体"/>
          <w:color w:val="auto"/>
          <w:sz w:val="24"/>
          <w:szCs w:val="24"/>
          <w:highlight w:val="none"/>
          <w:lang w:eastAsia="zh-CN"/>
        </w:rPr>
        <w:t>表</w:t>
      </w:r>
      <w:r>
        <w:rPr>
          <w:rFonts w:hint="eastAsia" w:ascii="宋体" w:hAnsi="宋体" w:eastAsia="宋体"/>
          <w:color w:val="auto"/>
          <w:spacing w:val="-2"/>
          <w:sz w:val="24"/>
          <w:szCs w:val="24"/>
          <w:highlight w:val="none"/>
          <w:lang w:eastAsia="zh-CN"/>
        </w:rPr>
        <w:t>人</w:t>
      </w:r>
      <w:r>
        <w:rPr>
          <w:rFonts w:hint="eastAsia" w:ascii="宋体" w:hAnsi="宋体" w:eastAsia="宋体"/>
          <w:color w:val="auto"/>
          <w:sz w:val="24"/>
          <w:szCs w:val="24"/>
          <w:highlight w:val="none"/>
          <w:lang w:eastAsia="zh-CN"/>
        </w:rPr>
        <w:t>和</w:t>
      </w:r>
      <w:r>
        <w:rPr>
          <w:rFonts w:hint="eastAsia" w:ascii="宋体" w:hAnsi="宋体" w:eastAsia="宋体"/>
          <w:color w:val="auto"/>
          <w:spacing w:val="-2"/>
          <w:sz w:val="24"/>
          <w:szCs w:val="24"/>
          <w:highlight w:val="none"/>
          <w:lang w:eastAsia="zh-CN"/>
        </w:rPr>
        <w:t>委</w:t>
      </w:r>
      <w:r>
        <w:rPr>
          <w:rFonts w:hint="eastAsia" w:ascii="宋体" w:hAnsi="宋体" w:eastAsia="宋体"/>
          <w:color w:val="auto"/>
          <w:sz w:val="24"/>
          <w:szCs w:val="24"/>
          <w:highlight w:val="none"/>
          <w:lang w:eastAsia="zh-CN"/>
        </w:rPr>
        <w:t>托</w:t>
      </w:r>
      <w:r>
        <w:rPr>
          <w:rFonts w:hint="eastAsia" w:ascii="宋体" w:hAnsi="宋体" w:eastAsia="宋体"/>
          <w:color w:val="auto"/>
          <w:spacing w:val="-2"/>
          <w:sz w:val="24"/>
          <w:szCs w:val="24"/>
          <w:highlight w:val="none"/>
          <w:lang w:eastAsia="zh-CN"/>
        </w:rPr>
        <w:t>代</w:t>
      </w:r>
      <w:r>
        <w:rPr>
          <w:rFonts w:hint="eastAsia" w:ascii="宋体" w:hAnsi="宋体" w:eastAsia="宋体"/>
          <w:color w:val="auto"/>
          <w:sz w:val="24"/>
          <w:szCs w:val="24"/>
          <w:highlight w:val="none"/>
          <w:lang w:eastAsia="zh-CN"/>
        </w:rPr>
        <w:t>理</w:t>
      </w:r>
      <w:r>
        <w:rPr>
          <w:rFonts w:hint="eastAsia" w:ascii="宋体" w:hAnsi="宋体" w:eastAsia="宋体"/>
          <w:color w:val="auto"/>
          <w:spacing w:val="-2"/>
          <w:sz w:val="24"/>
          <w:szCs w:val="24"/>
          <w:highlight w:val="none"/>
          <w:lang w:eastAsia="zh-CN"/>
        </w:rPr>
        <w:t>人</w:t>
      </w:r>
      <w:r>
        <w:rPr>
          <w:rFonts w:hint="eastAsia" w:ascii="宋体" w:hAnsi="宋体" w:eastAsia="宋体"/>
          <w:color w:val="auto"/>
          <w:sz w:val="24"/>
          <w:szCs w:val="24"/>
          <w:highlight w:val="none"/>
          <w:lang w:eastAsia="zh-CN"/>
        </w:rPr>
        <w:t>签字</w:t>
      </w:r>
      <w:r>
        <w:rPr>
          <w:rFonts w:hint="eastAsia" w:ascii="宋体" w:hAnsi="宋体" w:eastAsia="宋体"/>
          <w:color w:val="auto"/>
          <w:spacing w:val="-2"/>
          <w:position w:val="-2"/>
          <w:sz w:val="24"/>
          <w:szCs w:val="24"/>
          <w:highlight w:val="none"/>
          <w:lang w:eastAsia="zh-CN"/>
        </w:rPr>
        <w:t>或盖章</w:t>
      </w:r>
      <w:r>
        <w:rPr>
          <w:rFonts w:hint="eastAsia" w:ascii="宋体" w:hAnsi="宋体" w:eastAsia="宋体"/>
          <w:color w:val="auto"/>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position w:val="-4"/>
          <w:sz w:val="24"/>
          <w:szCs w:val="24"/>
          <w:highlight w:val="none"/>
          <w:lang w:eastAsia="zh-CN"/>
        </w:rPr>
        <w:t>投标</w:t>
      </w:r>
      <w:r>
        <w:rPr>
          <w:rFonts w:hint="eastAsia" w:ascii="宋体" w:hAnsi="宋体" w:eastAsia="宋体"/>
          <w:color w:val="auto"/>
          <w:spacing w:val="-2"/>
          <w:position w:val="-4"/>
          <w:sz w:val="24"/>
          <w:szCs w:val="24"/>
          <w:highlight w:val="none"/>
          <w:lang w:eastAsia="zh-CN"/>
        </w:rPr>
        <w:t>人：</w:t>
      </w:r>
      <w:r>
        <w:rPr>
          <w:rFonts w:hint="eastAsia" w:ascii="宋体" w:hAnsi="宋体" w:eastAsia="宋体"/>
          <w:color w:val="auto"/>
          <w:position w:val="-4"/>
          <w:sz w:val="24"/>
          <w:szCs w:val="24"/>
          <w:highlight w:val="none"/>
          <w:lang w:eastAsia="zh-CN"/>
        </w:rPr>
        <w:t>（盖</w:t>
      </w:r>
      <w:r>
        <w:rPr>
          <w:rFonts w:hint="eastAsia" w:ascii="宋体" w:hAnsi="宋体" w:eastAsia="宋体"/>
          <w:color w:val="auto"/>
          <w:spacing w:val="-2"/>
          <w:position w:val="-4"/>
          <w:sz w:val="24"/>
          <w:szCs w:val="24"/>
          <w:highlight w:val="none"/>
          <w:lang w:eastAsia="zh-CN"/>
        </w:rPr>
        <w:t>单</w:t>
      </w:r>
      <w:r>
        <w:rPr>
          <w:rFonts w:hint="eastAsia" w:ascii="宋体" w:hAnsi="宋体" w:eastAsia="宋体"/>
          <w:color w:val="auto"/>
          <w:spacing w:val="1"/>
          <w:position w:val="-4"/>
          <w:sz w:val="24"/>
          <w:szCs w:val="24"/>
          <w:highlight w:val="none"/>
          <w:lang w:eastAsia="zh-CN"/>
        </w:rPr>
        <w:t>位</w:t>
      </w:r>
      <w:r>
        <w:rPr>
          <w:rFonts w:hint="eastAsia" w:ascii="宋体" w:hAnsi="宋体" w:eastAsia="宋体"/>
          <w:color w:val="auto"/>
          <w:spacing w:val="-2"/>
          <w:position w:val="-4"/>
          <w:sz w:val="24"/>
          <w:szCs w:val="24"/>
          <w:highlight w:val="none"/>
          <w:lang w:eastAsia="zh-CN"/>
        </w:rPr>
        <w:t>章</w:t>
      </w:r>
      <w:r>
        <w:rPr>
          <w:rFonts w:hint="eastAsia" w:ascii="宋体" w:hAnsi="宋体" w:eastAsia="宋体"/>
          <w:color w:val="auto"/>
          <w:position w:val="-4"/>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position w:val="-2"/>
          <w:sz w:val="24"/>
          <w:szCs w:val="24"/>
          <w:highlight w:val="none"/>
          <w:lang w:eastAsia="zh-CN"/>
        </w:rPr>
        <w:t>法定</w:t>
      </w:r>
      <w:r>
        <w:rPr>
          <w:rFonts w:hint="eastAsia" w:ascii="宋体" w:hAnsi="宋体" w:eastAsia="宋体"/>
          <w:color w:val="auto"/>
          <w:spacing w:val="-2"/>
          <w:position w:val="-2"/>
          <w:sz w:val="24"/>
          <w:szCs w:val="24"/>
          <w:highlight w:val="none"/>
          <w:lang w:eastAsia="zh-CN"/>
        </w:rPr>
        <w:t>代</w:t>
      </w:r>
      <w:r>
        <w:rPr>
          <w:rFonts w:hint="eastAsia" w:ascii="宋体" w:hAnsi="宋体" w:eastAsia="宋体"/>
          <w:color w:val="auto"/>
          <w:position w:val="-2"/>
          <w:sz w:val="24"/>
          <w:szCs w:val="24"/>
          <w:highlight w:val="none"/>
          <w:lang w:eastAsia="zh-CN"/>
        </w:rPr>
        <w:t>表</w:t>
      </w:r>
      <w:r>
        <w:rPr>
          <w:rFonts w:hint="eastAsia" w:ascii="宋体" w:hAnsi="宋体" w:eastAsia="宋体"/>
          <w:color w:val="auto"/>
          <w:spacing w:val="-2"/>
          <w:position w:val="-2"/>
          <w:sz w:val="24"/>
          <w:szCs w:val="24"/>
          <w:highlight w:val="none"/>
          <w:lang w:eastAsia="zh-CN"/>
        </w:rPr>
        <w:t>人</w:t>
      </w:r>
      <w:r>
        <w:rPr>
          <w:rFonts w:hint="eastAsia" w:ascii="宋体" w:hAnsi="宋体" w:eastAsia="宋体"/>
          <w:color w:val="auto"/>
          <w:spacing w:val="-3"/>
          <w:position w:val="-2"/>
          <w:sz w:val="24"/>
          <w:szCs w:val="24"/>
          <w:highlight w:val="none"/>
          <w:lang w:eastAsia="zh-CN"/>
        </w:rPr>
        <w:t>：</w:t>
      </w:r>
      <w:r>
        <w:rPr>
          <w:rFonts w:hint="eastAsia" w:ascii="宋体" w:hAnsi="宋体" w:eastAsia="宋体"/>
          <w:color w:val="auto"/>
          <w:position w:val="-2"/>
          <w:sz w:val="24"/>
          <w:szCs w:val="24"/>
          <w:highlight w:val="none"/>
          <w:lang w:eastAsia="zh-CN"/>
        </w:rPr>
        <w:t>（签</w:t>
      </w:r>
      <w:r>
        <w:rPr>
          <w:rFonts w:hint="eastAsia" w:ascii="宋体" w:hAnsi="宋体" w:eastAsia="宋体"/>
          <w:color w:val="auto"/>
          <w:spacing w:val="-2"/>
          <w:position w:val="-2"/>
          <w:sz w:val="24"/>
          <w:szCs w:val="24"/>
          <w:highlight w:val="none"/>
          <w:lang w:eastAsia="zh-CN"/>
        </w:rPr>
        <w:t>字或盖章</w:t>
      </w:r>
      <w:r>
        <w:rPr>
          <w:rFonts w:hint="eastAsia" w:ascii="宋体" w:hAnsi="宋体" w:eastAsia="宋体"/>
          <w:color w:val="auto"/>
          <w:position w:val="-2"/>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position w:val="-2"/>
          <w:sz w:val="24"/>
          <w:szCs w:val="24"/>
          <w:highlight w:val="none"/>
          <w:lang w:eastAsia="zh-CN"/>
        </w:rPr>
        <w:t>身份</w:t>
      </w:r>
      <w:r>
        <w:rPr>
          <w:rFonts w:hint="eastAsia" w:ascii="宋体" w:hAnsi="宋体" w:eastAsia="宋体"/>
          <w:color w:val="auto"/>
          <w:spacing w:val="-2"/>
          <w:position w:val="-2"/>
          <w:sz w:val="24"/>
          <w:szCs w:val="24"/>
          <w:highlight w:val="none"/>
          <w:lang w:eastAsia="zh-CN"/>
        </w:rPr>
        <w:t>证</w:t>
      </w:r>
      <w:r>
        <w:rPr>
          <w:rFonts w:hint="eastAsia" w:ascii="宋体" w:hAnsi="宋体" w:eastAsia="宋体"/>
          <w:color w:val="auto"/>
          <w:position w:val="-2"/>
          <w:sz w:val="24"/>
          <w:szCs w:val="24"/>
          <w:highlight w:val="none"/>
          <w:lang w:eastAsia="zh-CN"/>
        </w:rPr>
        <w:t>号</w:t>
      </w:r>
      <w:r>
        <w:rPr>
          <w:rFonts w:hint="eastAsia" w:ascii="宋体" w:hAnsi="宋体" w:eastAsia="宋体"/>
          <w:color w:val="auto"/>
          <w:spacing w:val="-2"/>
          <w:position w:val="-2"/>
          <w:sz w:val="24"/>
          <w:szCs w:val="24"/>
          <w:highlight w:val="none"/>
          <w:lang w:eastAsia="zh-CN"/>
        </w:rPr>
        <w:t>码</w:t>
      </w:r>
      <w:r>
        <w:rPr>
          <w:rFonts w:hint="eastAsia" w:ascii="宋体" w:hAnsi="宋体" w:eastAsia="宋体"/>
          <w:color w:val="auto"/>
          <w:spacing w:val="-3"/>
          <w:position w:val="-2"/>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position w:val="-2"/>
          <w:sz w:val="24"/>
          <w:szCs w:val="24"/>
          <w:highlight w:val="none"/>
          <w:lang w:eastAsia="zh-CN"/>
        </w:rPr>
        <w:t>委托</w:t>
      </w:r>
      <w:r>
        <w:rPr>
          <w:rFonts w:hint="eastAsia" w:ascii="宋体" w:hAnsi="宋体" w:eastAsia="宋体"/>
          <w:color w:val="auto"/>
          <w:spacing w:val="-2"/>
          <w:position w:val="-2"/>
          <w:sz w:val="24"/>
          <w:szCs w:val="24"/>
          <w:highlight w:val="none"/>
          <w:lang w:eastAsia="zh-CN"/>
        </w:rPr>
        <w:t>代</w:t>
      </w:r>
      <w:r>
        <w:rPr>
          <w:rFonts w:hint="eastAsia" w:ascii="宋体" w:hAnsi="宋体" w:eastAsia="宋体"/>
          <w:color w:val="auto"/>
          <w:position w:val="-2"/>
          <w:sz w:val="24"/>
          <w:szCs w:val="24"/>
          <w:highlight w:val="none"/>
          <w:lang w:eastAsia="zh-CN"/>
        </w:rPr>
        <w:t>理</w:t>
      </w:r>
      <w:r>
        <w:rPr>
          <w:rFonts w:hint="eastAsia" w:ascii="宋体" w:hAnsi="宋体" w:eastAsia="宋体"/>
          <w:color w:val="auto"/>
          <w:spacing w:val="-2"/>
          <w:position w:val="-2"/>
          <w:sz w:val="24"/>
          <w:szCs w:val="24"/>
          <w:highlight w:val="none"/>
          <w:lang w:eastAsia="zh-CN"/>
        </w:rPr>
        <w:t>人</w:t>
      </w:r>
      <w:r>
        <w:rPr>
          <w:rFonts w:hint="eastAsia" w:ascii="宋体" w:hAnsi="宋体" w:eastAsia="宋体"/>
          <w:color w:val="auto"/>
          <w:spacing w:val="-3"/>
          <w:position w:val="-2"/>
          <w:sz w:val="24"/>
          <w:szCs w:val="24"/>
          <w:highlight w:val="none"/>
          <w:lang w:eastAsia="zh-CN"/>
        </w:rPr>
        <w:t>：</w:t>
      </w:r>
      <w:r>
        <w:rPr>
          <w:rFonts w:hint="eastAsia" w:ascii="宋体" w:hAnsi="宋体" w:eastAsia="宋体"/>
          <w:color w:val="auto"/>
          <w:position w:val="-2"/>
          <w:sz w:val="24"/>
          <w:szCs w:val="24"/>
          <w:highlight w:val="none"/>
          <w:u w:val="single"/>
          <w:lang w:eastAsia="zh-CN"/>
        </w:rPr>
        <w:tab/>
      </w:r>
      <w:r>
        <w:rPr>
          <w:rFonts w:hint="eastAsia" w:ascii="宋体" w:hAnsi="宋体" w:eastAsia="宋体"/>
          <w:color w:val="auto"/>
          <w:position w:val="-2"/>
          <w:sz w:val="24"/>
          <w:szCs w:val="24"/>
          <w:highlight w:val="none"/>
          <w:lang w:eastAsia="zh-CN"/>
        </w:rPr>
        <w:t>（签</w:t>
      </w:r>
      <w:r>
        <w:rPr>
          <w:rFonts w:hint="eastAsia" w:ascii="宋体" w:hAnsi="宋体" w:eastAsia="宋体"/>
          <w:color w:val="auto"/>
          <w:spacing w:val="-2"/>
          <w:position w:val="-2"/>
          <w:sz w:val="24"/>
          <w:szCs w:val="24"/>
          <w:highlight w:val="none"/>
          <w:lang w:eastAsia="zh-CN"/>
        </w:rPr>
        <w:t>字或盖章</w:t>
      </w:r>
      <w:r>
        <w:rPr>
          <w:rFonts w:hint="eastAsia" w:ascii="宋体" w:hAnsi="宋体" w:eastAsia="宋体"/>
          <w:color w:val="auto"/>
          <w:position w:val="-2"/>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r>
        <w:rPr>
          <w:rFonts w:hint="eastAsia" w:ascii="宋体" w:hAnsi="宋体" w:eastAsia="宋体"/>
          <w:color w:val="auto"/>
          <w:position w:val="-2"/>
          <w:sz w:val="24"/>
          <w:szCs w:val="24"/>
          <w:highlight w:val="none"/>
          <w:lang w:eastAsia="zh-CN"/>
        </w:rPr>
        <w:t>身份</w:t>
      </w:r>
      <w:r>
        <w:rPr>
          <w:rFonts w:hint="eastAsia" w:ascii="宋体" w:hAnsi="宋体" w:eastAsia="宋体"/>
          <w:color w:val="auto"/>
          <w:spacing w:val="-2"/>
          <w:position w:val="-2"/>
          <w:sz w:val="24"/>
          <w:szCs w:val="24"/>
          <w:highlight w:val="none"/>
          <w:lang w:eastAsia="zh-CN"/>
        </w:rPr>
        <w:t>证</w:t>
      </w:r>
      <w:r>
        <w:rPr>
          <w:rFonts w:hint="eastAsia" w:ascii="宋体" w:hAnsi="宋体" w:eastAsia="宋体"/>
          <w:color w:val="auto"/>
          <w:position w:val="-2"/>
          <w:sz w:val="24"/>
          <w:szCs w:val="24"/>
          <w:highlight w:val="none"/>
          <w:lang w:eastAsia="zh-CN"/>
        </w:rPr>
        <w:t>号</w:t>
      </w:r>
      <w:r>
        <w:rPr>
          <w:rFonts w:hint="eastAsia" w:ascii="宋体" w:hAnsi="宋体" w:eastAsia="宋体"/>
          <w:color w:val="auto"/>
          <w:spacing w:val="-2"/>
          <w:position w:val="-2"/>
          <w:sz w:val="24"/>
          <w:szCs w:val="24"/>
          <w:highlight w:val="none"/>
          <w:lang w:eastAsia="zh-CN"/>
        </w:rPr>
        <w:t>码</w:t>
      </w:r>
      <w:r>
        <w:rPr>
          <w:rFonts w:hint="eastAsia" w:ascii="宋体" w:hAnsi="宋体" w:eastAsia="宋体"/>
          <w:color w:val="auto"/>
          <w:spacing w:val="-3"/>
          <w:position w:val="-2"/>
          <w:sz w:val="24"/>
          <w:szCs w:val="24"/>
          <w:highlight w:val="none"/>
          <w:lang w:eastAsia="zh-CN"/>
        </w:rPr>
        <w:t>：</w:t>
      </w:r>
    </w:p>
    <w:p>
      <w:pPr>
        <w:autoSpaceDE w:val="0"/>
        <w:autoSpaceDN w:val="0"/>
        <w:adjustRightInd w:val="0"/>
        <w:spacing w:line="360" w:lineRule="auto"/>
        <w:rPr>
          <w:rFonts w:ascii="宋体" w:hAnsi="宋体" w:eastAsia="宋体"/>
          <w:color w:val="auto"/>
          <w:sz w:val="24"/>
          <w:szCs w:val="24"/>
          <w:highlight w:val="none"/>
          <w:lang w:eastAsia="zh-CN"/>
        </w:rPr>
      </w:pPr>
    </w:p>
    <w:p>
      <w:pPr>
        <w:wordWrap w:val="0"/>
        <w:autoSpaceDE w:val="0"/>
        <w:autoSpaceDN w:val="0"/>
        <w:adjustRightInd w:val="0"/>
        <w:spacing w:line="360" w:lineRule="auto"/>
        <w:jc w:val="right"/>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年</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pacing w:val="-2"/>
          <w:sz w:val="24"/>
          <w:szCs w:val="24"/>
          <w:highlight w:val="none"/>
          <w:lang w:eastAsia="zh-CN"/>
        </w:rPr>
        <w:t>月</w:t>
      </w:r>
      <w:r>
        <w:rPr>
          <w:rFonts w:hint="eastAsia" w:ascii="宋体" w:hAnsi="宋体" w:eastAsia="宋体"/>
          <w:color w:val="auto"/>
          <w:spacing w:val="-2"/>
          <w:sz w:val="24"/>
          <w:szCs w:val="24"/>
          <w:highlight w:val="none"/>
          <w:lang w:val="en-US" w:eastAsia="zh-CN"/>
        </w:rPr>
        <w:t xml:space="preserve">  </w:t>
      </w:r>
      <w:r>
        <w:rPr>
          <w:rFonts w:hint="eastAsia" w:ascii="宋体" w:hAnsi="宋体" w:eastAsia="宋体"/>
          <w:color w:val="auto"/>
          <w:sz w:val="24"/>
          <w:szCs w:val="24"/>
          <w:highlight w:val="none"/>
          <w:lang w:eastAsia="zh-CN"/>
        </w:rPr>
        <w:t>日</w:t>
      </w:r>
    </w:p>
    <w:p>
      <w:pPr>
        <w:widowControl/>
        <w:spacing w:line="360" w:lineRule="auto"/>
        <w:rPr>
          <w:rFonts w:ascii="宋体" w:hAnsi="宋体" w:eastAsia="宋体" w:cs="宋体"/>
          <w:color w:val="auto"/>
          <w:spacing w:val="2"/>
          <w:position w:val="-1"/>
          <w:sz w:val="24"/>
          <w:szCs w:val="24"/>
          <w:highlight w:val="none"/>
          <w:lang w:eastAsia="zh-CN"/>
        </w:rPr>
        <w:sectPr>
          <w:pgSz w:w="11907" w:h="16839"/>
          <w:pgMar w:top="1440" w:right="1440" w:bottom="1440" w:left="1440" w:header="0" w:footer="918" w:gutter="0"/>
          <w:cols w:space="0" w:num="1"/>
        </w:sectPr>
      </w:pPr>
    </w:p>
    <w:p>
      <w:pPr>
        <w:pStyle w:val="4"/>
        <w:rPr>
          <w:rFonts w:ascii="宋体" w:hAnsi="宋体" w:eastAsia="宋体"/>
          <w:color w:val="auto"/>
          <w:spacing w:val="2"/>
          <w:position w:val="-1"/>
          <w:highlight w:val="none"/>
          <w:lang w:eastAsia="zh-CN"/>
        </w:rPr>
      </w:pPr>
      <w:bookmarkStart w:id="96" w:name="_Toc142858902"/>
      <w:bookmarkStart w:id="97" w:name="_Toc63065955"/>
      <w:bookmarkStart w:id="98" w:name="_Toc50480839"/>
      <w:bookmarkStart w:id="99" w:name="_Toc143424765"/>
      <w:bookmarkStart w:id="100" w:name="_Toc25072143"/>
      <w:r>
        <w:rPr>
          <w:rFonts w:hint="eastAsia" w:ascii="宋体" w:hAnsi="宋体" w:eastAsia="宋体"/>
          <w:color w:val="auto"/>
          <w:spacing w:val="2"/>
          <w:position w:val="-1"/>
          <w:highlight w:val="none"/>
          <w:lang w:eastAsia="zh-CN"/>
        </w:rPr>
        <w:t>格式三：合作设计协议书参考格式（格式仅供参考，适用于合作设计，否则可不提供）</w:t>
      </w:r>
      <w:bookmarkEnd w:id="96"/>
      <w:bookmarkEnd w:id="97"/>
      <w:bookmarkEnd w:id="98"/>
      <w:bookmarkEnd w:id="99"/>
    </w:p>
    <w:p>
      <w:pPr>
        <w:jc w:val="center"/>
        <w:rPr>
          <w:rFonts w:ascii="宋体" w:hAnsi="宋体" w:eastAsia="宋体"/>
          <w:b/>
          <w:bCs/>
          <w:color w:val="auto"/>
          <w:sz w:val="32"/>
          <w:szCs w:val="32"/>
          <w:highlight w:val="none"/>
          <w:lang w:eastAsia="zh-CN"/>
        </w:rPr>
      </w:pPr>
    </w:p>
    <w:p>
      <w:pPr>
        <w:jc w:val="center"/>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合作设计协议书</w:t>
      </w:r>
    </w:p>
    <w:p>
      <w:pPr>
        <w:rPr>
          <w:rFonts w:ascii="宋体" w:hAnsi="宋体" w:eastAsia="宋体"/>
          <w:color w:val="auto"/>
          <w:sz w:val="24"/>
          <w:highlight w:val="none"/>
          <w:lang w:eastAsia="zh-CN"/>
        </w:rPr>
      </w:pP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投标项目名称：。</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致：（招标人）</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按照招标公告的规定，（</w:t>
      </w:r>
      <w:r>
        <w:rPr>
          <w:rFonts w:hint="eastAsia" w:ascii="宋体" w:hAnsi="宋体" w:eastAsia="宋体" w:cs="宋体"/>
          <w:color w:val="auto"/>
          <w:sz w:val="24"/>
          <w:szCs w:val="24"/>
          <w:highlight w:val="none"/>
          <w:shd w:val="clear" w:color="auto" w:fill="FFFFFF"/>
          <w:lang w:eastAsia="zh-CN"/>
        </w:rPr>
        <w:t>外国或澳门、台湾的设计企业</w:t>
      </w:r>
      <w:r>
        <w:rPr>
          <w:rFonts w:hint="eastAsia" w:ascii="宋体" w:hAnsi="宋体" w:eastAsia="宋体" w:cs="宋体"/>
          <w:b/>
          <w:color w:val="auto"/>
          <w:sz w:val="24"/>
          <w:szCs w:val="24"/>
          <w:highlight w:val="none"/>
          <w:u w:val="single"/>
          <w:shd w:val="clear" w:color="auto" w:fill="FFFFFF"/>
          <w:lang w:eastAsia="zh-CN"/>
        </w:rPr>
        <w:t>和香港不单独参加投标的设计企业</w:t>
      </w:r>
      <w:r>
        <w:rPr>
          <w:rFonts w:hint="eastAsia" w:ascii="宋体" w:hAnsi="宋体" w:eastAsia="宋体" w:cs="宋体"/>
          <w:color w:val="auto"/>
          <w:sz w:val="24"/>
          <w:szCs w:val="24"/>
          <w:highlight w:val="none"/>
          <w:lang w:eastAsia="zh-CN"/>
        </w:rPr>
        <w:t>）作为投标人（即“申请人”，下同）（符合招标公告第5条资质条件的企业）的合作设计方，参与本项目进行合作设计。若中标，各成员向招标人承担连带责任。合作设计方授权委托</w:t>
      </w:r>
      <w:r>
        <w:rPr>
          <w:rFonts w:hint="eastAsia" w:ascii="宋体" w:hAnsi="宋体" w:eastAsia="宋体"/>
          <w:color w:val="auto"/>
          <w:sz w:val="24"/>
          <w:szCs w:val="24"/>
          <w:highlight w:val="none"/>
          <w:lang w:eastAsia="zh-CN"/>
        </w:rPr>
        <w:t>（符合招标公告第5条资质条件的企业）代表所有合作成员参加投标、提交投标文件，以及与招标人签订合同，负责整个合同实施阶段的协调工作。</w:t>
      </w:r>
    </w:p>
    <w:p>
      <w:pPr>
        <w:rPr>
          <w:rFonts w:ascii="宋体" w:hAnsi="宋体" w:eastAsia="宋体"/>
          <w:color w:val="auto"/>
          <w:sz w:val="24"/>
          <w:szCs w:val="24"/>
          <w:highlight w:val="none"/>
          <w:lang w:eastAsia="zh-CN"/>
        </w:rPr>
      </w:pPr>
    </w:p>
    <w:p>
      <w:pPr>
        <w:rPr>
          <w:rFonts w:ascii="宋体" w:hAnsi="宋体" w:eastAsia="宋体"/>
          <w:color w:val="auto"/>
          <w:sz w:val="24"/>
          <w:szCs w:val="24"/>
          <w:highlight w:val="none"/>
          <w:lang w:eastAsia="zh-CN"/>
        </w:rPr>
      </w:pP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合作设计方：（盖章）</w:t>
      </w:r>
    </w:p>
    <w:p>
      <w:pPr>
        <w:spacing w:line="360" w:lineRule="auto"/>
        <w:rPr>
          <w:rFonts w:ascii="宋体" w:hAnsi="宋体" w:eastAsia="宋体"/>
          <w:color w:val="auto"/>
          <w:sz w:val="24"/>
          <w:szCs w:val="24"/>
          <w:highlight w:val="none"/>
          <w:u w:val="single"/>
          <w:lang w:eastAsia="zh-CN"/>
        </w:rPr>
      </w:pPr>
      <w:r>
        <w:rPr>
          <w:rFonts w:hint="eastAsia" w:ascii="宋体" w:hAnsi="宋体" w:eastAsia="宋体"/>
          <w:color w:val="auto"/>
          <w:sz w:val="24"/>
          <w:szCs w:val="24"/>
          <w:highlight w:val="none"/>
          <w:lang w:eastAsia="zh-CN"/>
        </w:rPr>
        <w:t>代表人：（签字或盖章）</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分工内容：</w:t>
      </w:r>
    </w:p>
    <w:p>
      <w:pPr>
        <w:spacing w:line="360" w:lineRule="auto"/>
        <w:rPr>
          <w:rFonts w:ascii="宋体" w:hAnsi="宋体" w:eastAsia="宋体"/>
          <w:color w:val="auto"/>
          <w:sz w:val="24"/>
          <w:szCs w:val="24"/>
          <w:highlight w:val="none"/>
          <w:lang w:eastAsia="zh-CN"/>
        </w:rPr>
      </w:pP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投标人：（盖章）</w:t>
      </w:r>
    </w:p>
    <w:p>
      <w:pPr>
        <w:spacing w:line="360" w:lineRule="auto"/>
        <w:rPr>
          <w:rFonts w:ascii="宋体" w:hAnsi="宋体" w:eastAsia="宋体"/>
          <w:color w:val="auto"/>
          <w:sz w:val="24"/>
          <w:szCs w:val="24"/>
          <w:highlight w:val="none"/>
          <w:u w:val="single"/>
          <w:lang w:eastAsia="zh-CN"/>
        </w:rPr>
      </w:pPr>
      <w:r>
        <w:rPr>
          <w:rFonts w:hint="eastAsia" w:ascii="宋体" w:hAnsi="宋体" w:eastAsia="宋体"/>
          <w:color w:val="auto"/>
          <w:sz w:val="24"/>
          <w:szCs w:val="24"/>
          <w:highlight w:val="none"/>
          <w:lang w:eastAsia="zh-CN"/>
        </w:rPr>
        <w:t>法定代表人：（签字或盖章）</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分工内容：</w:t>
      </w:r>
    </w:p>
    <w:p>
      <w:pPr>
        <w:pStyle w:val="4"/>
        <w:rPr>
          <w:rFonts w:ascii="宋体" w:hAnsi="宋体" w:eastAsia="宋体"/>
          <w:color w:val="auto"/>
          <w:spacing w:val="2"/>
          <w:position w:val="-1"/>
          <w:highlight w:val="none"/>
          <w:lang w:eastAsia="zh-CN"/>
        </w:rPr>
      </w:pPr>
      <w:r>
        <w:rPr>
          <w:rFonts w:ascii="宋体" w:hAnsi="宋体" w:eastAsia="宋体"/>
          <w:color w:val="auto"/>
          <w:spacing w:val="2"/>
          <w:position w:val="-1"/>
          <w:highlight w:val="none"/>
          <w:lang w:eastAsia="zh-CN"/>
        </w:rPr>
        <w:br w:type="page"/>
      </w:r>
      <w:bookmarkStart w:id="101" w:name="_Toc142858903"/>
      <w:bookmarkStart w:id="102" w:name="_Toc143424766"/>
      <w:r>
        <w:rPr>
          <w:rFonts w:hint="eastAsia" w:ascii="宋体" w:hAnsi="宋体" w:eastAsia="宋体"/>
          <w:color w:val="auto"/>
          <w:spacing w:val="2"/>
          <w:position w:val="-1"/>
          <w:highlight w:val="none"/>
          <w:lang w:eastAsia="zh-CN"/>
        </w:rPr>
        <w:t xml:space="preserve">格式四  </w:t>
      </w:r>
      <w:r>
        <w:rPr>
          <w:rFonts w:hint="eastAsia" w:ascii="宋体" w:hAnsi="宋体" w:eastAsia="宋体"/>
          <w:color w:val="auto"/>
          <w:highlight w:val="none"/>
          <w:lang w:eastAsia="zh-CN"/>
        </w:rPr>
        <w:t>投标人声明</w:t>
      </w:r>
      <w:bookmarkEnd w:id="100"/>
      <w:bookmarkEnd w:id="101"/>
      <w:bookmarkEnd w:id="102"/>
    </w:p>
    <w:p>
      <w:pPr>
        <w:autoSpaceDE w:val="0"/>
        <w:autoSpaceDN w:val="0"/>
        <w:adjustRightInd w:val="0"/>
        <w:spacing w:line="200" w:lineRule="exact"/>
        <w:rPr>
          <w:rFonts w:ascii="宋体" w:hAnsi="宋体" w:eastAsia="宋体"/>
          <w:color w:val="auto"/>
          <w:sz w:val="20"/>
          <w:szCs w:val="20"/>
          <w:highlight w:val="none"/>
          <w:lang w:eastAsia="zh-CN"/>
        </w:rPr>
      </w:pPr>
    </w:p>
    <w:p>
      <w:pPr>
        <w:spacing w:after="240"/>
        <w:jc w:val="center"/>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投标人声明</w:t>
      </w:r>
    </w:p>
    <w:p>
      <w:pPr>
        <w:pStyle w:val="43"/>
        <w:ind w:firstLine="0"/>
        <w:rPr>
          <w:rFonts w:ascii="宋体" w:hAnsi="宋体" w:eastAsia="宋体"/>
          <w:color w:val="auto"/>
          <w:sz w:val="24"/>
          <w:szCs w:val="24"/>
          <w:highlight w:val="none"/>
        </w:rPr>
      </w:pPr>
      <w:r>
        <w:rPr>
          <w:rFonts w:hint="eastAsia" w:ascii="宋体" w:hAnsi="宋体" w:eastAsia="宋体"/>
          <w:color w:val="auto"/>
          <w:sz w:val="24"/>
          <w:szCs w:val="24"/>
          <w:highlight w:val="none"/>
        </w:rPr>
        <w:t>广州市住房和城乡建设局、本招标项目招标人及招标监管机构：</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本公司就参加投标工作，作出郑重声明：</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一、本公司保证投标文件及其后提供的一切材料都是真实的。如我司成为本项目中标候选人，我司同意并授权招标人将我司投标文件商务部分文件的人员、业绩、奖项等资料进行公开。</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二、本公司保证不与其他单位围标、串标，不出让投标资格，不向招标人或评标委员会成员行贿。</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三、本公司不存在招标文件第二章投标人须知第</w:t>
      </w:r>
      <w:r>
        <w:rPr>
          <w:rFonts w:ascii="宋体" w:hAnsi="宋体" w:eastAsia="宋体"/>
          <w:color w:val="auto"/>
          <w:sz w:val="24"/>
          <w:szCs w:val="24"/>
          <w:highlight w:val="none"/>
        </w:rPr>
        <w:t>1.4.3</w:t>
      </w:r>
      <w:r>
        <w:rPr>
          <w:rFonts w:hint="eastAsia" w:ascii="宋体" w:hAnsi="宋体" w:eastAsia="宋体"/>
          <w:color w:val="auto"/>
          <w:sz w:val="24"/>
          <w:szCs w:val="24"/>
          <w:highlight w:val="none"/>
        </w:rPr>
        <w:t>项所规定的任何一种情形。没有处于被本地建设行政主管部门取消投标资格的处罚期内。与招标人过去</w:t>
      </w:r>
      <w:r>
        <w:rPr>
          <w:rFonts w:ascii="宋体" w:hAnsi="宋体" w:eastAsia="宋体"/>
          <w:color w:val="auto"/>
          <w:sz w:val="24"/>
          <w:szCs w:val="24"/>
          <w:highlight w:val="none"/>
        </w:rPr>
        <w:t>3</w:t>
      </w:r>
      <w:r>
        <w:rPr>
          <w:rFonts w:hint="eastAsia" w:ascii="宋体" w:hAnsi="宋体" w:eastAsia="宋体"/>
          <w:color w:val="auto"/>
          <w:sz w:val="24"/>
          <w:szCs w:val="24"/>
          <w:highlight w:val="none"/>
        </w:rPr>
        <w:t>年内无合同履约纠纷。</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四、本公司及其有隶属关系的机构，没有参加本项目招标文件的编写工作；本公司与本次招标的招标代理机构没有隶属关系或其他利害关系；</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本公司承诺，中标后严格执行安全生产相关管理规定。我单位已充分了解本项目的投资规模、建设内容、建设标准及相关风险，如中标，我单位保证按照招标文件规定的投资控制要求、质量要求、工期要求完成设计项目。</w:t>
      </w:r>
    </w:p>
    <w:p>
      <w:pPr>
        <w:pStyle w:val="43"/>
        <w:ind w:firstLine="482" w:firstLineChars="200"/>
        <w:rPr>
          <w:rFonts w:ascii="宋体" w:hAnsi="宋体" w:eastAsia="宋体"/>
          <w:b/>
          <w:color w:val="auto"/>
          <w:sz w:val="24"/>
          <w:szCs w:val="24"/>
          <w:highlight w:val="none"/>
        </w:rPr>
      </w:pPr>
      <w:r>
        <w:rPr>
          <w:rFonts w:hint="eastAsia" w:ascii="宋体" w:hAnsi="宋体" w:eastAsia="宋体"/>
          <w:b/>
          <w:color w:val="auto"/>
          <w:sz w:val="24"/>
          <w:szCs w:val="24"/>
          <w:highlight w:val="none"/>
        </w:rPr>
        <w:t>六、与本公司单位负责人为同一人或者与本公司存在控股、管理关系的其他单位包括：。（注：本条由投标人如实填写，如有，应列出全部满足招标公告资质要求的相关单位的名称；如无，则填写</w:t>
      </w:r>
      <w:r>
        <w:rPr>
          <w:rFonts w:ascii="宋体" w:hAnsi="宋体" w:eastAsia="宋体"/>
          <w:b/>
          <w:color w:val="auto"/>
          <w:sz w:val="24"/>
          <w:szCs w:val="24"/>
          <w:highlight w:val="none"/>
        </w:rPr>
        <w:t>“</w:t>
      </w:r>
      <w:r>
        <w:rPr>
          <w:rFonts w:hint="eastAsia" w:ascii="宋体" w:hAnsi="宋体" w:eastAsia="宋体"/>
          <w:b/>
          <w:color w:val="auto"/>
          <w:sz w:val="24"/>
          <w:szCs w:val="24"/>
          <w:highlight w:val="none"/>
        </w:rPr>
        <w:t>无</w:t>
      </w:r>
      <w:r>
        <w:rPr>
          <w:rFonts w:ascii="宋体" w:hAnsi="宋体" w:eastAsia="宋体"/>
          <w:b/>
          <w:color w:val="auto"/>
          <w:sz w:val="24"/>
          <w:szCs w:val="24"/>
          <w:highlight w:val="none"/>
        </w:rPr>
        <w:t>”</w:t>
      </w:r>
      <w:r>
        <w:rPr>
          <w:rFonts w:hint="eastAsia" w:ascii="宋体" w:hAnsi="宋体" w:eastAsia="宋体"/>
          <w:b/>
          <w:color w:val="auto"/>
          <w:sz w:val="24"/>
          <w:szCs w:val="24"/>
          <w:highlight w:val="none"/>
        </w:rPr>
        <w:t>。）</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七、本公司已经对投标时拟投入本项目的管理团队和专业技术人员进行了自查，保证拟投入的所有人员都是本单位正式人员，都在本单位缴纳社保，不存在持证人注册单位与实际工作单位不符、买卖租借（专业）资格（注册）证书等</w:t>
      </w:r>
      <w:r>
        <w:rPr>
          <w:rFonts w:ascii="宋体" w:hAnsi="宋体" w:eastAsia="宋体"/>
          <w:color w:val="auto"/>
          <w:sz w:val="24"/>
          <w:szCs w:val="24"/>
          <w:highlight w:val="none"/>
        </w:rPr>
        <w:t>“</w:t>
      </w:r>
      <w:r>
        <w:rPr>
          <w:rFonts w:hint="eastAsia" w:ascii="宋体" w:hAnsi="宋体" w:eastAsia="宋体"/>
          <w:color w:val="auto"/>
          <w:sz w:val="24"/>
          <w:szCs w:val="24"/>
          <w:highlight w:val="none"/>
        </w:rPr>
        <w:t>挂证</w:t>
      </w:r>
      <w:r>
        <w:rPr>
          <w:rFonts w:ascii="宋体" w:hAnsi="宋体" w:eastAsia="宋体"/>
          <w:color w:val="auto"/>
          <w:sz w:val="24"/>
          <w:szCs w:val="24"/>
          <w:highlight w:val="none"/>
        </w:rPr>
        <w:t>”</w:t>
      </w:r>
      <w:r>
        <w:rPr>
          <w:rFonts w:hint="eastAsia" w:ascii="宋体" w:hAnsi="宋体" w:eastAsia="宋体"/>
          <w:color w:val="auto"/>
          <w:sz w:val="24"/>
          <w:szCs w:val="24"/>
          <w:highlight w:val="none"/>
        </w:rPr>
        <w:t>违法违规行为。</w:t>
      </w:r>
    </w:p>
    <w:p>
      <w:pPr>
        <w:pStyle w:val="43"/>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八、本公司违反上述保证，或本声明陈述与事实不符，经查实，本公司愿意接受公开通报，记录不良行为，承担由此带来的法律后果。其中，本声明陈述与事实不符的，属于弄虚作假骗取中标，将依法接受监管部门的处罚。</w:t>
      </w:r>
    </w:p>
    <w:p>
      <w:pPr>
        <w:spacing w:line="360" w:lineRule="auto"/>
        <w:rPr>
          <w:rFonts w:ascii="宋体" w:hAnsi="宋体" w:eastAsia="宋体"/>
          <w:color w:val="auto"/>
          <w:sz w:val="24"/>
          <w:szCs w:val="24"/>
          <w:highlight w:val="none"/>
          <w:lang w:eastAsia="zh-CN"/>
        </w:rPr>
      </w:pPr>
    </w:p>
    <w:p>
      <w:pPr>
        <w:pStyle w:val="43"/>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特此声明。</w:t>
      </w:r>
    </w:p>
    <w:p>
      <w:pPr>
        <w:pStyle w:val="43"/>
        <w:ind w:firstLine="0"/>
        <w:rPr>
          <w:rFonts w:ascii="宋体" w:hAnsi="宋体" w:eastAsia="宋体"/>
          <w:color w:val="auto"/>
          <w:sz w:val="24"/>
          <w:szCs w:val="24"/>
          <w:highlight w:val="none"/>
        </w:rPr>
      </w:pPr>
    </w:p>
    <w:p>
      <w:pPr>
        <w:pStyle w:val="10"/>
        <w:kinsoku w:val="0"/>
        <w:overflowPunct w:val="0"/>
        <w:spacing w:line="360" w:lineRule="auto"/>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pStyle w:val="43"/>
        <w:ind w:firstLine="2891" w:firstLineChars="1200"/>
        <w:jc w:val="left"/>
        <w:rPr>
          <w:rFonts w:ascii="宋体" w:hAnsi="宋体" w:eastAsia="宋体"/>
          <w:color w:val="auto"/>
          <w:sz w:val="24"/>
          <w:szCs w:val="24"/>
          <w:highlight w:val="none"/>
        </w:rPr>
      </w:pPr>
      <w:r>
        <w:rPr>
          <w:rFonts w:hint="eastAsia" w:ascii="宋体" w:hAnsi="宋体" w:eastAsia="宋体"/>
          <w:b/>
          <w:color w:val="auto"/>
          <w:sz w:val="24"/>
          <w:szCs w:val="24"/>
          <w:highlight w:val="none"/>
        </w:rPr>
        <w:t>年</w:t>
      </w:r>
      <w:r>
        <w:rPr>
          <w:rFonts w:ascii="宋体" w:hAnsi="宋体" w:eastAsia="宋体"/>
          <w:b/>
          <w:color w:val="auto"/>
          <w:sz w:val="24"/>
          <w:szCs w:val="24"/>
          <w:highlight w:val="none"/>
          <w:u w:val="single"/>
        </w:rPr>
        <w:tab/>
      </w:r>
      <w:r>
        <w:rPr>
          <w:rFonts w:hint="eastAsia" w:ascii="宋体" w:hAnsi="宋体" w:eastAsia="宋体"/>
          <w:b/>
          <w:color w:val="auto"/>
          <w:sz w:val="24"/>
          <w:szCs w:val="24"/>
          <w:highlight w:val="none"/>
        </w:rPr>
        <w:t>月</w:t>
      </w:r>
      <w:r>
        <w:rPr>
          <w:rFonts w:ascii="宋体" w:hAnsi="宋体" w:eastAsia="宋体"/>
          <w:b/>
          <w:color w:val="auto"/>
          <w:sz w:val="24"/>
          <w:szCs w:val="24"/>
          <w:highlight w:val="none"/>
          <w:u w:val="single"/>
        </w:rPr>
        <w:tab/>
      </w:r>
      <w:r>
        <w:rPr>
          <w:rFonts w:hint="eastAsia" w:ascii="宋体" w:hAnsi="宋体" w:eastAsia="宋体"/>
          <w:b/>
          <w:color w:val="auto"/>
          <w:sz w:val="24"/>
          <w:szCs w:val="24"/>
          <w:highlight w:val="none"/>
        </w:rPr>
        <w:t>日</w:t>
      </w:r>
    </w:p>
    <w:p>
      <w:pPr>
        <w:pStyle w:val="4"/>
        <w:rPr>
          <w:rFonts w:ascii="宋体" w:hAnsi="宋体" w:eastAsia="宋体"/>
          <w:b w:val="0"/>
          <w:color w:val="auto"/>
          <w:highlight w:val="none"/>
          <w:lang w:eastAsia="zh-CN"/>
        </w:rPr>
      </w:pPr>
      <w:r>
        <w:rPr>
          <w:rFonts w:hint="eastAsia" w:ascii="宋体" w:hAnsi="宋体" w:eastAsia="宋体"/>
          <w:color w:val="auto"/>
          <w:highlight w:val="none"/>
          <w:lang w:eastAsia="zh-CN"/>
        </w:rPr>
        <w:br w:type="page"/>
      </w:r>
      <w:bookmarkStart w:id="103" w:name="_Toc142858904"/>
      <w:bookmarkStart w:id="104" w:name="_Toc143424767"/>
      <w:bookmarkStart w:id="105" w:name="_Toc25072144"/>
      <w:r>
        <w:rPr>
          <w:rFonts w:hint="eastAsia" w:ascii="宋体" w:hAnsi="宋体" w:eastAsia="宋体"/>
          <w:color w:val="auto"/>
          <w:highlight w:val="none"/>
          <w:lang w:eastAsia="zh-CN"/>
        </w:rPr>
        <w:t>格式五  设计费报价汇总表</w:t>
      </w:r>
      <w:bookmarkEnd w:id="103"/>
      <w:bookmarkEnd w:id="104"/>
    </w:p>
    <w:p>
      <w:pPr>
        <w:autoSpaceDE w:val="0"/>
        <w:autoSpaceDN w:val="0"/>
        <w:adjustRightInd w:val="0"/>
        <w:spacing w:before="7" w:line="110" w:lineRule="exact"/>
        <w:rPr>
          <w:rFonts w:ascii="宋体" w:hAnsi="宋体" w:eastAsia="宋体"/>
          <w:color w:val="auto"/>
          <w:sz w:val="11"/>
          <w:szCs w:val="11"/>
          <w:highlight w:val="none"/>
          <w:lang w:eastAsia="zh-CN"/>
        </w:rPr>
      </w:pPr>
    </w:p>
    <w:p>
      <w:pPr>
        <w:autoSpaceDE w:val="0"/>
        <w:autoSpaceDN w:val="0"/>
        <w:adjustRightInd w:val="0"/>
        <w:spacing w:line="200" w:lineRule="exact"/>
        <w:rPr>
          <w:rFonts w:ascii="宋体" w:hAnsi="宋体" w:eastAsia="宋体"/>
          <w:color w:val="auto"/>
          <w:sz w:val="20"/>
          <w:szCs w:val="20"/>
          <w:highlight w:val="none"/>
          <w:lang w:eastAsia="zh-CN"/>
        </w:rPr>
      </w:pPr>
    </w:p>
    <w:p>
      <w:pPr>
        <w:jc w:val="center"/>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设计费报价汇总表</w:t>
      </w:r>
    </w:p>
    <w:p>
      <w:pPr>
        <w:spacing w:line="360" w:lineRule="auto"/>
        <w:rPr>
          <w:rFonts w:ascii="宋体" w:hAnsi="宋体" w:eastAsia="宋体" w:cs="仿宋_GB2312"/>
          <w:color w:val="auto"/>
          <w:szCs w:val="21"/>
          <w:highlight w:val="none"/>
          <w:lang w:eastAsia="zh-CN"/>
        </w:rPr>
      </w:pPr>
    </w:p>
    <w:tbl>
      <w:tblPr>
        <w:tblStyle w:val="25"/>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482"/>
        <w:gridCol w:w="1985"/>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2482"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计费项目</w:t>
            </w:r>
          </w:p>
        </w:tc>
        <w:tc>
          <w:tcPr>
            <w:tcW w:w="1985"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eastAsia="宋体" w:cs="Calibri"/>
                <w:color w:val="auto"/>
                <w:sz w:val="21"/>
                <w:szCs w:val="21"/>
                <w:highlight w:val="none"/>
              </w:rPr>
            </w:pPr>
            <w:r>
              <w:rPr>
                <w:rFonts w:ascii="宋体" w:hAnsi="宋体" w:eastAsia="宋体" w:cs="Calibri"/>
                <w:color w:val="auto"/>
                <w:sz w:val="21"/>
                <w:szCs w:val="21"/>
                <w:highlight w:val="none"/>
              </w:rPr>
              <w:t>金额（元）</w:t>
            </w:r>
          </w:p>
        </w:tc>
        <w:tc>
          <w:tcPr>
            <w:tcW w:w="3046"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1</w:t>
            </w:r>
            <w:r>
              <w:rPr>
                <w:rFonts w:hint="eastAsia" w:ascii="宋体" w:hAnsi="宋体" w:eastAsia="宋体"/>
                <w:color w:val="auto"/>
                <w:sz w:val="21"/>
                <w:szCs w:val="21"/>
                <w:highlight w:val="none"/>
              </w:rPr>
              <w:t>）</w:t>
            </w:r>
          </w:p>
        </w:tc>
        <w:tc>
          <w:tcPr>
            <w:tcW w:w="2482" w:type="dxa"/>
            <w:tcBorders>
              <w:top w:val="single" w:color="auto" w:sz="4" w:space="0"/>
              <w:left w:val="nil"/>
              <w:bottom w:val="single" w:color="auto" w:sz="4" w:space="0"/>
              <w:right w:val="single" w:color="auto" w:sz="4" w:space="0"/>
            </w:tcBorders>
            <w:vAlign w:val="center"/>
          </w:tcPr>
          <w:p>
            <w:pPr>
              <w:spacing w:line="288" w:lineRule="auto"/>
              <w:rPr>
                <w:rFonts w:ascii="宋体" w:hAnsi="宋体" w:eastAsia="宋体" w:cs="Calibri"/>
                <w:color w:val="auto"/>
                <w:sz w:val="21"/>
                <w:szCs w:val="21"/>
                <w:highlight w:val="none"/>
                <w:lang w:eastAsia="zh-CN"/>
              </w:rPr>
            </w:pPr>
            <w:r>
              <w:rPr>
                <w:rFonts w:hint="eastAsia" w:ascii="宋体" w:hAnsi="宋体" w:eastAsia="宋体"/>
                <w:color w:val="auto"/>
                <w:sz w:val="21"/>
                <w:szCs w:val="21"/>
                <w:highlight w:val="none"/>
                <w:lang w:eastAsia="zh-CN"/>
              </w:rPr>
              <w:t>工程设计费投标报价（1）</w:t>
            </w:r>
          </w:p>
        </w:tc>
        <w:tc>
          <w:tcPr>
            <w:tcW w:w="1985"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eastAsia="宋体" w:cs="Calibri"/>
                <w:color w:val="auto"/>
                <w:sz w:val="21"/>
                <w:szCs w:val="21"/>
                <w:highlight w:val="none"/>
                <w:lang w:eastAsia="zh-CN"/>
              </w:rPr>
            </w:pPr>
          </w:p>
        </w:tc>
        <w:tc>
          <w:tcPr>
            <w:tcW w:w="3046" w:type="dxa"/>
            <w:tcBorders>
              <w:top w:val="single" w:color="auto" w:sz="4" w:space="0"/>
              <w:left w:val="nil"/>
              <w:bottom w:val="single" w:color="auto" w:sz="4" w:space="0"/>
              <w:right w:val="single" w:color="auto" w:sz="4" w:space="0"/>
            </w:tcBorders>
            <w:vAlign w:val="center"/>
          </w:tcPr>
          <w:p>
            <w:pPr>
              <w:spacing w:line="288"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对应报价金额不得超过最高投标限价435.23</w:t>
            </w:r>
            <w:r>
              <w:rPr>
                <w:rFonts w:hint="eastAsia" w:ascii="宋体" w:hAnsi="宋体" w:eastAsia="宋体"/>
                <w:color w:val="auto"/>
                <w:sz w:val="21"/>
                <w:szCs w:val="21"/>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w:t>
            </w:r>
          </w:p>
        </w:tc>
        <w:tc>
          <w:tcPr>
            <w:tcW w:w="2482" w:type="dxa"/>
            <w:tcBorders>
              <w:top w:val="single" w:color="auto" w:sz="4" w:space="0"/>
              <w:left w:val="nil"/>
              <w:bottom w:val="single" w:color="auto" w:sz="4" w:space="0"/>
              <w:right w:val="single" w:color="auto" w:sz="4" w:space="0"/>
            </w:tcBorders>
            <w:vAlign w:val="center"/>
          </w:tcPr>
          <w:p>
            <w:pPr>
              <w:spacing w:line="288" w:lineRule="auto"/>
              <w:rPr>
                <w:rFonts w:ascii="宋体" w:hAnsi="宋体" w:eastAsia="宋体"/>
                <w:color w:val="auto"/>
                <w:sz w:val="21"/>
                <w:szCs w:val="21"/>
                <w:highlight w:val="none"/>
                <w:lang w:eastAsia="zh-CN"/>
              </w:rPr>
            </w:pPr>
            <w:r>
              <w:rPr>
                <w:rFonts w:ascii="宋体" w:hAnsi="宋体" w:eastAsia="宋体"/>
                <w:color w:val="auto"/>
                <w:sz w:val="21"/>
                <w:szCs w:val="21"/>
                <w:highlight w:val="none"/>
                <w:lang w:eastAsia="zh-CN"/>
              </w:rPr>
              <w:t>BIM</w:t>
            </w:r>
            <w:r>
              <w:rPr>
                <w:rFonts w:hint="eastAsia" w:ascii="宋体" w:hAnsi="宋体" w:eastAsia="宋体"/>
                <w:color w:val="auto"/>
                <w:sz w:val="21"/>
                <w:szCs w:val="21"/>
                <w:highlight w:val="none"/>
                <w:lang w:eastAsia="zh-CN"/>
              </w:rPr>
              <w:t>技术服务费投标报价（</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w:t>
            </w:r>
          </w:p>
        </w:tc>
        <w:tc>
          <w:tcPr>
            <w:tcW w:w="1985"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eastAsia="宋体" w:cs="Calibri"/>
                <w:color w:val="auto"/>
                <w:sz w:val="21"/>
                <w:szCs w:val="21"/>
                <w:highlight w:val="none"/>
                <w:lang w:eastAsia="zh-CN"/>
              </w:rPr>
            </w:pPr>
          </w:p>
        </w:tc>
        <w:tc>
          <w:tcPr>
            <w:tcW w:w="3046" w:type="dxa"/>
            <w:tcBorders>
              <w:top w:val="single" w:color="auto" w:sz="4" w:space="0"/>
              <w:left w:val="nil"/>
              <w:bottom w:val="single" w:color="auto" w:sz="4" w:space="0"/>
              <w:right w:val="single" w:color="auto" w:sz="4" w:space="0"/>
            </w:tcBorders>
            <w:vAlign w:val="center"/>
          </w:tcPr>
          <w:p>
            <w:pPr>
              <w:spacing w:line="288"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对应报价金额不得超过最高投标限价26.41</w:t>
            </w:r>
            <w:r>
              <w:rPr>
                <w:rFonts w:hint="eastAsia" w:ascii="宋体" w:hAnsi="宋体" w:eastAsia="宋体"/>
                <w:color w:val="auto"/>
                <w:sz w:val="21"/>
                <w:szCs w:val="21"/>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Calibri"/>
                <w:color w:val="auto"/>
                <w:sz w:val="21"/>
                <w:szCs w:val="21"/>
                <w:highlight w:val="none"/>
              </w:rPr>
            </w:pPr>
            <w:r>
              <w:rPr>
                <w:rFonts w:hint="eastAsia" w:ascii="宋体" w:hAnsi="宋体" w:eastAsia="宋体" w:cs="宋体"/>
                <w:color w:val="auto"/>
                <w:sz w:val="21"/>
                <w:szCs w:val="21"/>
                <w:highlight w:val="none"/>
              </w:rPr>
              <w:t>（</w:t>
            </w:r>
            <w:r>
              <w:rPr>
                <w:rFonts w:ascii="宋体" w:hAnsi="宋体" w:eastAsia="宋体"/>
                <w:color w:val="auto"/>
                <w:sz w:val="21"/>
                <w:szCs w:val="21"/>
                <w:highlight w:val="none"/>
                <w:lang w:eastAsia="zh-CN"/>
              </w:rPr>
              <w:t>3</w:t>
            </w:r>
            <w:r>
              <w:rPr>
                <w:rFonts w:hint="eastAsia" w:ascii="宋体" w:hAnsi="宋体" w:eastAsia="宋体" w:cs="宋体"/>
                <w:color w:val="auto"/>
                <w:sz w:val="21"/>
                <w:szCs w:val="21"/>
                <w:highlight w:val="none"/>
              </w:rPr>
              <w:t>）</w:t>
            </w:r>
          </w:p>
        </w:tc>
        <w:tc>
          <w:tcPr>
            <w:tcW w:w="2482" w:type="dxa"/>
            <w:tcBorders>
              <w:top w:val="single" w:color="auto" w:sz="4" w:space="0"/>
              <w:left w:val="nil"/>
              <w:bottom w:val="single" w:color="auto" w:sz="4" w:space="0"/>
              <w:right w:val="single" w:color="auto" w:sz="4" w:space="0"/>
            </w:tcBorders>
            <w:vAlign w:val="center"/>
          </w:tcPr>
          <w:p>
            <w:pPr>
              <w:spacing w:line="288" w:lineRule="auto"/>
              <w:rPr>
                <w:rFonts w:ascii="宋体" w:hAnsi="宋体" w:eastAsia="宋体" w:cs="Calibri"/>
                <w:color w:val="auto"/>
                <w:sz w:val="21"/>
                <w:szCs w:val="21"/>
                <w:highlight w:val="none"/>
                <w:lang w:eastAsia="zh-CN"/>
              </w:rPr>
            </w:pPr>
            <w:r>
              <w:rPr>
                <w:rFonts w:hint="eastAsia" w:ascii="宋体" w:hAnsi="宋体" w:eastAsia="宋体"/>
                <w:color w:val="auto"/>
                <w:sz w:val="21"/>
                <w:szCs w:val="21"/>
                <w:highlight w:val="none"/>
                <w:lang w:eastAsia="zh-CN"/>
              </w:rPr>
              <w:t>工程设计费投标总报价（</w:t>
            </w:r>
            <w:r>
              <w:rPr>
                <w:rFonts w:ascii="宋体" w:hAnsi="宋体" w:eastAsia="宋体"/>
                <w:color w:val="auto"/>
                <w:sz w:val="21"/>
                <w:szCs w:val="21"/>
                <w:highlight w:val="none"/>
                <w:lang w:eastAsia="zh-CN"/>
              </w:rPr>
              <w:t>3</w:t>
            </w:r>
            <w:r>
              <w:rPr>
                <w:rFonts w:hint="eastAsia" w:ascii="宋体" w:hAnsi="宋体" w:eastAsia="宋体"/>
                <w:color w:val="auto"/>
                <w:sz w:val="21"/>
                <w:szCs w:val="21"/>
                <w:highlight w:val="none"/>
                <w:lang w:eastAsia="zh-CN"/>
              </w:rPr>
              <w:t>）=（1）+（</w:t>
            </w:r>
            <w:r>
              <w:rPr>
                <w:rFonts w:ascii="宋体" w:hAnsi="宋体" w:eastAsia="宋体"/>
                <w:color w:val="auto"/>
                <w:sz w:val="21"/>
                <w:szCs w:val="21"/>
                <w:highlight w:val="none"/>
                <w:lang w:eastAsia="zh-CN"/>
              </w:rPr>
              <w:t>2</w:t>
            </w:r>
            <w:r>
              <w:rPr>
                <w:rFonts w:hint="eastAsia" w:ascii="宋体" w:hAnsi="宋体" w:eastAsia="宋体"/>
                <w:color w:val="auto"/>
                <w:sz w:val="21"/>
                <w:szCs w:val="21"/>
                <w:highlight w:val="none"/>
                <w:lang w:eastAsia="zh-CN"/>
              </w:rPr>
              <w:t>）</w:t>
            </w:r>
          </w:p>
        </w:tc>
        <w:tc>
          <w:tcPr>
            <w:tcW w:w="1985"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eastAsia="宋体" w:cs="Calibri"/>
                <w:color w:val="auto"/>
                <w:sz w:val="21"/>
                <w:szCs w:val="21"/>
                <w:highlight w:val="none"/>
                <w:lang w:eastAsia="zh-CN"/>
              </w:rPr>
            </w:pPr>
          </w:p>
        </w:tc>
        <w:tc>
          <w:tcPr>
            <w:tcW w:w="3046" w:type="dxa"/>
            <w:tcBorders>
              <w:top w:val="single" w:color="auto" w:sz="4" w:space="0"/>
              <w:left w:val="nil"/>
              <w:bottom w:val="single" w:color="auto" w:sz="4" w:space="0"/>
              <w:right w:val="single" w:color="auto" w:sz="4" w:space="0"/>
            </w:tcBorders>
            <w:vAlign w:val="center"/>
          </w:tcPr>
          <w:p>
            <w:pPr>
              <w:spacing w:line="288" w:lineRule="auto"/>
              <w:rPr>
                <w:rFonts w:ascii="宋体" w:hAnsi="宋体" w:eastAsia="宋体" w:cs="Calibri"/>
                <w:color w:val="auto"/>
                <w:sz w:val="21"/>
                <w:szCs w:val="21"/>
                <w:highlight w:val="none"/>
                <w:lang w:eastAsia="zh-CN"/>
              </w:rPr>
            </w:pPr>
            <w:r>
              <w:rPr>
                <w:rFonts w:hint="eastAsia" w:ascii="宋体" w:hAnsi="宋体" w:eastAsia="宋体" w:cs="宋体"/>
                <w:color w:val="auto"/>
                <w:sz w:val="21"/>
                <w:szCs w:val="21"/>
                <w:highlight w:val="none"/>
                <w:lang w:eastAsia="zh-CN"/>
              </w:rPr>
              <w:t>对应报价金额不得超过最高投标限价总价461.64</w:t>
            </w:r>
            <w:r>
              <w:rPr>
                <w:rFonts w:hint="eastAsia" w:ascii="宋体" w:hAnsi="宋体" w:eastAsia="宋体"/>
                <w:color w:val="auto"/>
                <w:sz w:val="21"/>
                <w:szCs w:val="21"/>
                <w:highlight w:val="none"/>
                <w:lang w:eastAsia="zh-CN"/>
              </w:rPr>
              <w:t>万</w:t>
            </w:r>
            <w:r>
              <w:rPr>
                <w:rFonts w:hint="eastAsia" w:ascii="宋体" w:hAnsi="宋体" w:eastAsia="宋体" w:cs="宋体"/>
                <w:color w:val="auto"/>
                <w:sz w:val="21"/>
                <w:szCs w:val="21"/>
                <w:highlight w:val="none"/>
                <w:lang w:eastAsia="zh-CN"/>
              </w:rPr>
              <w:t>元</w:t>
            </w:r>
            <w:r>
              <w:rPr>
                <w:rFonts w:hint="eastAsia" w:ascii="宋体" w:hAnsi="宋体" w:eastAsia="宋体" w:cs="宋体"/>
                <w:color w:val="auto"/>
                <w:sz w:val="21"/>
                <w:szCs w:val="21"/>
                <w:highlight w:val="none"/>
                <w:lang w:eastAsia="zh-CN"/>
              </w:rPr>
              <w:t>。</w:t>
            </w:r>
          </w:p>
        </w:tc>
      </w:tr>
    </w:tbl>
    <w:p>
      <w:pPr>
        <w:spacing w:before="240" w:line="360" w:lineRule="auto"/>
        <w:rPr>
          <w:rFonts w:ascii="宋体" w:hAnsi="宋体" w:eastAsia="宋体"/>
          <w:color w:val="auto"/>
          <w:sz w:val="21"/>
          <w:szCs w:val="21"/>
          <w:highlight w:val="none"/>
          <w:lang w:eastAsia="zh-CN"/>
        </w:rPr>
      </w:pPr>
      <w:r>
        <w:rPr>
          <w:rFonts w:hint="eastAsia" w:ascii="宋体" w:hAnsi="宋体" w:eastAsia="宋体" w:cs="宋体"/>
          <w:b/>
          <w:bCs/>
          <w:color w:val="auto"/>
          <w:sz w:val="21"/>
          <w:szCs w:val="21"/>
          <w:highlight w:val="none"/>
          <w:lang w:eastAsia="zh-CN"/>
        </w:rPr>
        <w:t>注：</w:t>
      </w:r>
      <w:r>
        <w:rPr>
          <w:rFonts w:hint="eastAsia" w:ascii="宋体" w:hAnsi="宋体" w:eastAsia="宋体"/>
          <w:color w:val="auto"/>
          <w:sz w:val="21"/>
          <w:szCs w:val="21"/>
          <w:highlight w:val="none"/>
          <w:lang w:eastAsia="zh-CN"/>
        </w:rPr>
        <w:t>1、经算术复核的投标人报价与其投标报价不一致时，按就低不就高原则确定其最终报价。如修正后的投标总报价超出相应的最高投标限价总价，则由评标委员会作废标处理。</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2、按上述修正错误的原则及方法调整或修正投标文件的投标总报价，调整后的投标总报价对投标人起约束作用。如果投标人不接受修正后的报价，则取消其投标资格。</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w:t>
      </w:r>
      <w:r>
        <w:rPr>
          <w:rFonts w:hint="eastAsia" w:ascii="宋体" w:hAnsi="宋体" w:eastAsia="宋体" w:cs="微软雅黑"/>
          <w:color w:val="auto"/>
          <w:sz w:val="21"/>
          <w:szCs w:val="21"/>
          <w:highlight w:val="none"/>
          <w:lang w:eastAsia="zh-CN"/>
        </w:rPr>
        <w:t>工程</w:t>
      </w:r>
      <w:r>
        <w:rPr>
          <w:rFonts w:hint="eastAsia" w:ascii="宋体" w:hAnsi="宋体" w:eastAsia="宋体"/>
          <w:color w:val="auto"/>
          <w:sz w:val="21"/>
          <w:szCs w:val="21"/>
          <w:highlight w:val="none"/>
          <w:lang w:eastAsia="zh-CN"/>
        </w:rPr>
        <w:t>设计费、</w:t>
      </w:r>
      <w:r>
        <w:rPr>
          <w:rFonts w:ascii="宋体" w:hAnsi="宋体" w:eastAsia="宋体" w:cs="宋体"/>
          <w:color w:val="auto"/>
          <w:sz w:val="21"/>
          <w:szCs w:val="21"/>
          <w:highlight w:val="none"/>
          <w:lang w:eastAsia="zh-CN"/>
        </w:rPr>
        <w:t>BIM</w:t>
      </w:r>
      <w:r>
        <w:rPr>
          <w:rFonts w:hint="eastAsia" w:ascii="宋体" w:hAnsi="宋体" w:eastAsia="宋体" w:cs="宋体"/>
          <w:color w:val="auto"/>
          <w:sz w:val="21"/>
          <w:szCs w:val="21"/>
          <w:highlight w:val="none"/>
          <w:lang w:eastAsia="zh-CN"/>
        </w:rPr>
        <w:t>技术服务费</w:t>
      </w:r>
      <w:r>
        <w:rPr>
          <w:rFonts w:hint="eastAsia" w:ascii="宋体" w:hAnsi="宋体" w:eastAsia="宋体"/>
          <w:color w:val="auto"/>
          <w:sz w:val="21"/>
          <w:szCs w:val="21"/>
          <w:highlight w:val="none"/>
          <w:lang w:eastAsia="zh-CN"/>
        </w:rPr>
        <w:t>的结算原则具体详见合同条款的约定。</w:t>
      </w:r>
    </w:p>
    <w:p>
      <w:pPr>
        <w:pStyle w:val="7"/>
        <w:rPr>
          <w:color w:val="auto"/>
          <w:highlight w:val="none"/>
        </w:rPr>
      </w:pPr>
    </w:p>
    <w:p>
      <w:pPr>
        <w:pStyle w:val="10"/>
        <w:kinsoku w:val="0"/>
        <w:overflowPunct w:val="0"/>
        <w:spacing w:line="360" w:lineRule="auto"/>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年</w:t>
      </w:r>
      <w:r>
        <w:rPr>
          <w:rFonts w:ascii="宋体" w:hAnsi="宋体" w:eastAsia="宋体"/>
          <w:b/>
          <w:bCs/>
          <w:color w:val="auto"/>
          <w:sz w:val="24"/>
          <w:szCs w:val="24"/>
          <w:highlight w:val="none"/>
          <w:u w:val="single"/>
          <w:lang w:eastAsia="zh-CN"/>
        </w:rPr>
        <w:tab/>
      </w:r>
      <w:r>
        <w:rPr>
          <w:rFonts w:hint="eastAsia" w:ascii="宋体" w:hAnsi="宋体" w:eastAsia="宋体"/>
          <w:b/>
          <w:bCs/>
          <w:color w:val="auto"/>
          <w:sz w:val="24"/>
          <w:szCs w:val="24"/>
          <w:highlight w:val="none"/>
          <w:lang w:eastAsia="zh-CN"/>
        </w:rPr>
        <w:t>月</w:t>
      </w:r>
      <w:r>
        <w:rPr>
          <w:rFonts w:ascii="宋体" w:hAnsi="宋体" w:eastAsia="宋体"/>
          <w:b/>
          <w:bCs/>
          <w:color w:val="auto"/>
          <w:sz w:val="24"/>
          <w:szCs w:val="24"/>
          <w:highlight w:val="none"/>
          <w:u w:val="single"/>
          <w:lang w:eastAsia="zh-CN"/>
        </w:rPr>
        <w:tab/>
      </w:r>
      <w:r>
        <w:rPr>
          <w:rFonts w:hint="eastAsia" w:ascii="宋体" w:hAnsi="宋体" w:eastAsia="宋体"/>
          <w:b/>
          <w:bCs/>
          <w:color w:val="auto"/>
          <w:sz w:val="24"/>
          <w:szCs w:val="24"/>
          <w:highlight w:val="none"/>
          <w:lang w:eastAsia="zh-CN"/>
        </w:rPr>
        <w:t>日</w:t>
      </w:r>
    </w:p>
    <w:p>
      <w:pPr>
        <w:rPr>
          <w:rFonts w:eastAsia="宋体"/>
          <w:color w:val="auto"/>
          <w:highlight w:val="none"/>
          <w:lang w:eastAsia="zh-CN"/>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bookmarkEnd w:id="105"/>
    <w:p>
      <w:pPr>
        <w:rPr>
          <w:rFonts w:ascii="宋体" w:hAnsi="宋体" w:eastAsia="宋体"/>
          <w:b/>
          <w:bCs/>
          <w:color w:val="auto"/>
          <w:sz w:val="32"/>
          <w:szCs w:val="32"/>
          <w:highlight w:val="none"/>
          <w:lang w:eastAsia="zh-CN"/>
        </w:rPr>
      </w:pPr>
    </w:p>
    <w:p>
      <w:pPr>
        <w:widowControl/>
        <w:rPr>
          <w:rFonts w:ascii="宋体" w:hAnsi="宋体" w:eastAsia="宋体"/>
          <w:b/>
          <w:bCs/>
          <w:color w:val="auto"/>
          <w:sz w:val="32"/>
          <w:szCs w:val="32"/>
          <w:highlight w:val="none"/>
          <w:lang w:eastAsia="zh-CN"/>
        </w:rPr>
      </w:pPr>
      <w:r>
        <w:rPr>
          <w:rFonts w:ascii="宋体" w:hAnsi="宋体" w:eastAsia="宋体"/>
          <w:b/>
          <w:bCs/>
          <w:color w:val="auto"/>
          <w:sz w:val="32"/>
          <w:szCs w:val="32"/>
          <w:highlight w:val="none"/>
          <w:lang w:eastAsia="zh-CN"/>
        </w:rPr>
        <w:br w:type="page"/>
      </w:r>
    </w:p>
    <w:p>
      <w:pPr>
        <w:spacing w:after="240"/>
        <w:jc w:val="center"/>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工程设计费报价表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308"/>
        <w:gridCol w:w="1632"/>
        <w:gridCol w:w="1216"/>
        <w:gridCol w:w="909"/>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r>
              <w:rPr>
                <w:rFonts w:hint="eastAsia" w:ascii="宋体" w:hAnsi="宋体" w:eastAsia="宋体" w:cs="宋体"/>
                <w:color w:val="auto"/>
                <w:sz w:val="21"/>
                <w:szCs w:val="21"/>
                <w:highlight w:val="none"/>
              </w:rPr>
              <w:t>序号</w:t>
            </w:r>
          </w:p>
        </w:tc>
        <w:tc>
          <w:tcPr>
            <w:tcW w:w="23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r>
              <w:rPr>
                <w:rFonts w:hint="eastAsia" w:ascii="宋体" w:hAnsi="宋体" w:eastAsia="宋体" w:cs="宋体"/>
                <w:color w:val="auto"/>
                <w:sz w:val="21"/>
                <w:szCs w:val="21"/>
                <w:highlight w:val="none"/>
              </w:rPr>
              <w:t>费用名称</w:t>
            </w:r>
          </w:p>
        </w:tc>
        <w:tc>
          <w:tcPr>
            <w:tcW w:w="1632" w:type="dxa"/>
            <w:tcBorders>
              <w:top w:val="single" w:color="auto" w:sz="4" w:space="0"/>
              <w:left w:val="nil"/>
              <w:bottom w:val="single" w:color="auto" w:sz="4" w:space="0"/>
              <w:right w:val="single" w:color="auto" w:sz="4" w:space="0"/>
            </w:tcBorders>
            <w:vAlign w:val="center"/>
          </w:tcPr>
          <w:p>
            <w:pPr>
              <w:pStyle w:val="44"/>
              <w:spacing w:line="360" w:lineRule="auto"/>
              <w:jc w:val="center"/>
              <w:rPr>
                <w:rFonts w:cs="Calibri"/>
                <w:color w:val="auto"/>
                <w:highlight w:val="none"/>
              </w:rPr>
            </w:pPr>
            <w:r>
              <w:rPr>
                <w:rFonts w:hint="eastAsia"/>
                <w:color w:val="auto"/>
                <w:highlight w:val="none"/>
              </w:rPr>
              <w:t>暂定工程费限额</w:t>
            </w:r>
            <w:r>
              <w:rPr>
                <w:rFonts w:hint="eastAsia" w:cs="宋体"/>
                <w:color w:val="auto"/>
                <w:highlight w:val="none"/>
              </w:rPr>
              <w:t>（元）</w:t>
            </w: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r>
              <w:rPr>
                <w:rFonts w:hint="eastAsia" w:ascii="宋体" w:hAnsi="宋体" w:eastAsia="宋体" w:cs="宋体"/>
                <w:color w:val="auto"/>
                <w:sz w:val="21"/>
                <w:szCs w:val="21"/>
                <w:highlight w:val="none"/>
              </w:rPr>
              <w:t>金额</w:t>
            </w:r>
          </w:p>
          <w:p>
            <w:pPr>
              <w:spacing w:line="360" w:lineRule="auto"/>
              <w:jc w:val="center"/>
              <w:rPr>
                <w:rFonts w:ascii="宋体" w:hAnsi="宋体" w:eastAsia="宋体" w:cs="Calibri"/>
                <w:color w:val="auto"/>
                <w:sz w:val="21"/>
                <w:szCs w:val="21"/>
                <w:highlight w:val="none"/>
              </w:rPr>
            </w:pPr>
            <w:r>
              <w:rPr>
                <w:rFonts w:hint="eastAsia" w:ascii="宋体" w:hAnsi="宋体" w:eastAsia="宋体" w:cs="宋体"/>
                <w:color w:val="auto"/>
                <w:sz w:val="21"/>
                <w:szCs w:val="21"/>
                <w:highlight w:val="none"/>
              </w:rPr>
              <w:t>（元）</w:t>
            </w:r>
          </w:p>
        </w:tc>
        <w:tc>
          <w:tcPr>
            <w:tcW w:w="909" w:type="dxa"/>
            <w:tcBorders>
              <w:top w:val="single" w:color="auto" w:sz="4" w:space="0"/>
              <w:left w:val="nil"/>
              <w:bottom w:val="single" w:color="auto" w:sz="4" w:space="0"/>
              <w:right w:val="single" w:color="auto" w:sz="4" w:space="0"/>
            </w:tcBorders>
            <w:vAlign w:val="center"/>
          </w:tcPr>
          <w:p>
            <w:pPr>
              <w:pStyle w:val="44"/>
              <w:spacing w:line="360" w:lineRule="auto"/>
              <w:jc w:val="center"/>
              <w:rPr>
                <w:color w:val="auto"/>
                <w:highlight w:val="none"/>
                <w:u w:val="single"/>
              </w:rPr>
            </w:pPr>
            <w:r>
              <w:rPr>
                <w:rFonts w:hint="eastAsia"/>
                <w:color w:val="auto"/>
                <w:highlight w:val="none"/>
              </w:rPr>
              <w:t>费率（%）</w:t>
            </w:r>
          </w:p>
        </w:tc>
        <w:tc>
          <w:tcPr>
            <w:tcW w:w="2232" w:type="dxa"/>
            <w:tcBorders>
              <w:top w:val="single" w:color="auto" w:sz="4" w:space="0"/>
              <w:left w:val="nil"/>
              <w:bottom w:val="single" w:color="auto" w:sz="4" w:space="0"/>
              <w:right w:val="single" w:color="auto" w:sz="4" w:space="0"/>
            </w:tcBorders>
            <w:vAlign w:val="center"/>
          </w:tcPr>
          <w:p>
            <w:pPr>
              <w:pStyle w:val="44"/>
              <w:spacing w:line="360" w:lineRule="auto"/>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Calibri"/>
                <w:color w:val="auto"/>
                <w:sz w:val="21"/>
                <w:szCs w:val="21"/>
                <w:highlight w:val="none"/>
              </w:rPr>
            </w:pPr>
            <w:r>
              <w:rPr>
                <w:rFonts w:hint="eastAsia" w:ascii="宋体" w:hAnsi="宋体" w:eastAsia="宋体" w:cs="宋体"/>
                <w:color w:val="auto"/>
                <w:sz w:val="21"/>
                <w:szCs w:val="21"/>
                <w:highlight w:val="none"/>
              </w:rPr>
              <w:t>工程设计费</w:t>
            </w: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lang w:eastAsia="zh-CN"/>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p>
        </w:tc>
        <w:tc>
          <w:tcPr>
            <w:tcW w:w="2232" w:type="dxa"/>
            <w:vMerge w:val="restart"/>
            <w:tcBorders>
              <w:top w:val="single" w:color="auto" w:sz="4" w:space="0"/>
              <w:left w:val="nil"/>
              <w:right w:val="single" w:color="auto" w:sz="4" w:space="0"/>
            </w:tcBorders>
            <w:vAlign w:val="center"/>
          </w:tcPr>
          <w:p>
            <w:pPr>
              <w:spacing w:line="360" w:lineRule="auto"/>
              <w:rPr>
                <w:rFonts w:ascii="宋体" w:hAnsi="宋体" w:eastAsia="宋体" w:cs="Calibri"/>
                <w:b/>
                <w:bCs/>
                <w:color w:val="auto"/>
                <w:sz w:val="21"/>
                <w:szCs w:val="21"/>
                <w:highlight w:val="none"/>
                <w:u w:val="single"/>
                <w:lang w:eastAsia="zh-CN"/>
              </w:rPr>
            </w:pPr>
            <w:r>
              <w:rPr>
                <w:rFonts w:hint="eastAsia" w:ascii="宋体" w:hAnsi="宋体" w:eastAsia="宋体" w:cs="Calibri"/>
                <w:b/>
                <w:bCs/>
                <w:color w:val="auto"/>
                <w:sz w:val="21"/>
                <w:szCs w:val="21"/>
                <w:highlight w:val="none"/>
                <w:u w:val="single"/>
                <w:lang w:eastAsia="zh-CN"/>
              </w:rPr>
              <w:t>投标报价不能超最高投标限价435.23</w:t>
            </w:r>
            <w:r>
              <w:rPr>
                <w:rFonts w:hint="eastAsia" w:ascii="宋体" w:hAnsi="宋体" w:eastAsia="宋体" w:cs="Calibri"/>
                <w:b/>
                <w:bCs/>
                <w:color w:val="auto"/>
                <w:sz w:val="21"/>
                <w:szCs w:val="21"/>
                <w:highlight w:val="none"/>
                <w:u w:val="singl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auto"/>
                <w:sz w:val="21"/>
                <w:szCs w:val="21"/>
                <w:highlight w:val="none"/>
                <w:lang w:eastAsia="zh-CN"/>
              </w:rPr>
            </w:pP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olor w:val="auto"/>
                <w:sz w:val="21"/>
                <w:szCs w:val="21"/>
                <w:highlight w:val="none"/>
                <w:lang w:eastAsia="zh-CN"/>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lang w:eastAsia="zh-CN"/>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lang w:eastAsia="zh-CN"/>
              </w:rPr>
            </w:pPr>
          </w:p>
        </w:tc>
        <w:tc>
          <w:tcPr>
            <w:tcW w:w="2232" w:type="dxa"/>
            <w:vMerge w:val="continue"/>
            <w:tcBorders>
              <w:left w:val="nil"/>
              <w:right w:val="single" w:color="auto" w:sz="4" w:space="0"/>
            </w:tcBorders>
            <w:vAlign w:val="center"/>
          </w:tcPr>
          <w:p>
            <w:pPr>
              <w:spacing w:line="360" w:lineRule="auto"/>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olor w:val="auto"/>
                <w:sz w:val="21"/>
                <w:szCs w:val="21"/>
                <w:highlight w:val="none"/>
                <w:lang w:eastAsia="zh-CN"/>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p>
        </w:tc>
        <w:tc>
          <w:tcPr>
            <w:tcW w:w="2232" w:type="dxa"/>
            <w:vMerge w:val="continue"/>
            <w:tcBorders>
              <w:left w:val="nil"/>
              <w:right w:val="single" w:color="auto" w:sz="4" w:space="0"/>
            </w:tcBorders>
            <w:vAlign w:val="center"/>
          </w:tcPr>
          <w:p>
            <w:pPr>
              <w:spacing w:line="360" w:lineRule="auto"/>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auto"/>
                <w:sz w:val="21"/>
                <w:szCs w:val="21"/>
                <w:highlight w:val="none"/>
                <w:lang w:eastAsia="zh-CN"/>
              </w:rPr>
            </w:pP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olor w:val="auto"/>
                <w:sz w:val="21"/>
                <w:szCs w:val="21"/>
                <w:highlight w:val="none"/>
                <w:lang w:eastAsia="zh-CN"/>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rPr>
            </w:pPr>
          </w:p>
        </w:tc>
        <w:tc>
          <w:tcPr>
            <w:tcW w:w="2232" w:type="dxa"/>
            <w:vMerge w:val="continue"/>
            <w:tcBorders>
              <w:left w:val="nil"/>
              <w:right w:val="single" w:color="auto" w:sz="4" w:space="0"/>
            </w:tcBorders>
            <w:vAlign w:val="center"/>
          </w:tcPr>
          <w:p>
            <w:pPr>
              <w:spacing w:line="360" w:lineRule="auto"/>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0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工程设计费</w:t>
            </w:r>
            <w:r>
              <w:rPr>
                <w:rFonts w:hint="eastAsia" w:ascii="宋体" w:hAnsi="宋体" w:eastAsia="宋体" w:cs="仿宋_GB2312"/>
                <w:color w:val="auto"/>
                <w:szCs w:val="21"/>
                <w:highlight w:val="none"/>
                <w:lang w:eastAsia="zh-CN"/>
              </w:rPr>
              <w:t>投标报价小计</w:t>
            </w: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olor w:val="auto"/>
                <w:sz w:val="21"/>
                <w:szCs w:val="21"/>
                <w:highlight w:val="none"/>
                <w:lang w:eastAsia="zh-CN"/>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lang w:eastAsia="zh-CN"/>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Calibri"/>
                <w:color w:val="auto"/>
                <w:sz w:val="21"/>
                <w:szCs w:val="21"/>
                <w:highlight w:val="none"/>
                <w:lang w:eastAsia="zh-CN"/>
              </w:rPr>
            </w:pPr>
          </w:p>
        </w:tc>
        <w:tc>
          <w:tcPr>
            <w:tcW w:w="2232" w:type="dxa"/>
            <w:vMerge w:val="continue"/>
            <w:tcBorders>
              <w:left w:val="nil"/>
              <w:bottom w:val="single" w:color="auto" w:sz="4" w:space="0"/>
              <w:right w:val="single" w:color="auto" w:sz="4" w:space="0"/>
            </w:tcBorders>
            <w:vAlign w:val="center"/>
          </w:tcPr>
          <w:p>
            <w:pPr>
              <w:spacing w:line="360" w:lineRule="auto"/>
              <w:rPr>
                <w:rFonts w:ascii="宋体" w:hAnsi="宋体" w:eastAsia="宋体" w:cs="宋体"/>
                <w:color w:val="auto"/>
                <w:sz w:val="21"/>
                <w:szCs w:val="21"/>
                <w:highlight w:val="none"/>
                <w:lang w:eastAsia="zh-CN"/>
              </w:rPr>
            </w:pPr>
          </w:p>
        </w:tc>
      </w:tr>
    </w:tbl>
    <w:p>
      <w:pPr>
        <w:topLinePunct/>
        <w:adjustRightInd w:val="0"/>
        <w:snapToGrid w:val="0"/>
        <w:spacing w:before="240" w:line="360" w:lineRule="auto"/>
        <w:rPr>
          <w:rFonts w:ascii="宋体" w:hAnsi="宋体" w:eastAsia="宋体"/>
          <w:color w:val="auto"/>
          <w:spacing w:val="4"/>
          <w:sz w:val="21"/>
          <w:szCs w:val="21"/>
          <w:highlight w:val="none"/>
          <w:lang w:eastAsia="zh-CN"/>
        </w:rPr>
      </w:pPr>
      <w:r>
        <w:rPr>
          <w:rFonts w:hint="eastAsia" w:ascii="宋体" w:hAnsi="宋体" w:eastAsia="宋体" w:cs="宋体"/>
          <w:color w:val="auto"/>
          <w:spacing w:val="4"/>
          <w:sz w:val="21"/>
          <w:szCs w:val="21"/>
          <w:highlight w:val="none"/>
          <w:lang w:eastAsia="zh-CN"/>
        </w:rPr>
        <w:t>注：</w:t>
      </w:r>
      <w:r>
        <w:rPr>
          <w:rFonts w:hint="eastAsia" w:ascii="宋体" w:hAnsi="宋体" w:eastAsia="宋体"/>
          <w:color w:val="auto"/>
          <w:spacing w:val="4"/>
          <w:sz w:val="21"/>
          <w:szCs w:val="21"/>
          <w:highlight w:val="none"/>
          <w:lang w:eastAsia="zh-CN"/>
        </w:rPr>
        <w:t>1</w:t>
      </w:r>
      <w:r>
        <w:rPr>
          <w:rFonts w:hint="eastAsia" w:ascii="宋体" w:hAnsi="宋体" w:eastAsia="宋体" w:cs="宋体"/>
          <w:color w:val="auto"/>
          <w:spacing w:val="4"/>
          <w:sz w:val="21"/>
          <w:szCs w:val="21"/>
          <w:highlight w:val="none"/>
          <w:lang w:eastAsia="zh-CN"/>
        </w:rPr>
        <w:t>、工程设计费的具体结算原则详见合同条款的约定。项目实施过程中，中标的费率不作调整。</w:t>
      </w:r>
    </w:p>
    <w:p>
      <w:pPr>
        <w:topLinePunct/>
        <w:adjustRightInd w:val="0"/>
        <w:snapToGrid w:val="0"/>
        <w:spacing w:line="360" w:lineRule="auto"/>
        <w:rPr>
          <w:rFonts w:ascii="宋体" w:hAnsi="宋体" w:eastAsia="宋体"/>
          <w:color w:val="auto"/>
          <w:sz w:val="21"/>
          <w:szCs w:val="21"/>
          <w:highlight w:val="none"/>
          <w:lang w:eastAsia="zh-CN"/>
        </w:rPr>
      </w:pPr>
      <w:r>
        <w:rPr>
          <w:rFonts w:hint="eastAsia" w:ascii="宋体" w:hAnsi="宋体" w:eastAsia="宋体"/>
          <w:color w:val="auto"/>
          <w:spacing w:val="4"/>
          <w:sz w:val="21"/>
          <w:szCs w:val="21"/>
          <w:highlight w:val="none"/>
          <w:lang w:eastAsia="zh-CN"/>
        </w:rPr>
        <w:t>2</w:t>
      </w:r>
      <w:r>
        <w:rPr>
          <w:rFonts w:hint="eastAsia" w:ascii="宋体" w:hAnsi="宋体" w:eastAsia="宋体" w:cs="宋体"/>
          <w:color w:val="auto"/>
          <w:spacing w:val="4"/>
          <w:sz w:val="21"/>
          <w:szCs w:val="21"/>
          <w:highlight w:val="none"/>
          <w:lang w:eastAsia="zh-CN"/>
        </w:rPr>
        <w:t>、经算术复核的投标人报价与其投标报价不一致时，按就低不就高原则确定其最终报价。如修正后</w:t>
      </w:r>
      <w:r>
        <w:rPr>
          <w:rFonts w:hint="eastAsia" w:ascii="宋体" w:hAnsi="宋体" w:eastAsia="宋体" w:cs="宋体"/>
          <w:color w:val="auto"/>
          <w:sz w:val="21"/>
          <w:szCs w:val="21"/>
          <w:highlight w:val="none"/>
          <w:lang w:eastAsia="zh-CN"/>
        </w:rPr>
        <w:t>的投标报价超出相应的最高投标限价，则由评标委员会作废标处理。</w:t>
      </w:r>
    </w:p>
    <w:p>
      <w:pPr>
        <w:spacing w:line="360" w:lineRule="auto"/>
        <w:rPr>
          <w:rFonts w:ascii="宋体" w:hAnsi="宋体" w:eastAsia="宋体" w:cs="宋体"/>
          <w:color w:val="auto"/>
          <w:sz w:val="21"/>
          <w:szCs w:val="21"/>
          <w:highlight w:val="none"/>
          <w:lang w:eastAsia="zh-CN"/>
        </w:rPr>
      </w:pPr>
      <w:r>
        <w:rPr>
          <w:rFonts w:hint="eastAsia" w:ascii="宋体" w:hAnsi="宋体" w:eastAsia="宋体"/>
          <w:color w:val="auto"/>
          <w:sz w:val="21"/>
          <w:szCs w:val="21"/>
          <w:highlight w:val="none"/>
          <w:lang w:eastAsia="zh-CN"/>
        </w:rPr>
        <w:t>3</w:t>
      </w:r>
      <w:r>
        <w:rPr>
          <w:rFonts w:hint="eastAsia" w:ascii="宋体" w:hAnsi="宋体" w:eastAsia="宋体" w:cs="宋体"/>
          <w:color w:val="auto"/>
          <w:sz w:val="21"/>
          <w:szCs w:val="21"/>
          <w:highlight w:val="none"/>
          <w:lang w:eastAsia="zh-CN"/>
        </w:rPr>
        <w:t>、按上述修正错误的原则及方法调整或修正投标文件的投标总报价，调整后的投标总报价对投标人起约束作用。如果投标人不接受修正后的报价，则取消其投标资格。</w:t>
      </w:r>
    </w:p>
    <w:p>
      <w:pPr>
        <w:spacing w:line="360" w:lineRule="auto"/>
        <w:rPr>
          <w:rFonts w:ascii="宋体" w:hAnsi="宋体" w:eastAsia="宋体" w:cs="宋体"/>
          <w:color w:val="auto"/>
          <w:sz w:val="21"/>
          <w:szCs w:val="21"/>
          <w:highlight w:val="none"/>
          <w:lang w:eastAsia="zh-CN"/>
        </w:rPr>
      </w:pPr>
    </w:p>
    <w:p>
      <w:pPr>
        <w:spacing w:line="360" w:lineRule="auto"/>
        <w:rPr>
          <w:rFonts w:ascii="宋体" w:hAnsi="宋体" w:eastAsia="宋体"/>
          <w:color w:val="auto"/>
          <w:sz w:val="21"/>
          <w:szCs w:val="21"/>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spacing w:line="360" w:lineRule="auto"/>
        <w:ind w:firstLine="2891" w:firstLineChars="1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年</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月</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日</w:t>
      </w:r>
    </w:p>
    <w:p>
      <w:pPr>
        <w:rPr>
          <w:rFonts w:ascii="宋体" w:hAnsi="宋体" w:eastAsia="宋体" w:cs="宋体"/>
          <w:color w:val="auto"/>
          <w:sz w:val="21"/>
          <w:szCs w:val="21"/>
          <w:highlight w:val="none"/>
          <w:lang w:eastAsia="zh-CN"/>
        </w:rPr>
      </w:pPr>
    </w:p>
    <w:p>
      <w:pPr>
        <w:spacing w:after="240"/>
        <w:jc w:val="center"/>
        <w:rPr>
          <w:rFonts w:ascii="宋体" w:hAnsi="宋体" w:eastAsia="宋体"/>
          <w:b/>
          <w:bCs/>
          <w:color w:val="auto"/>
          <w:highlight w:val="none"/>
          <w:lang w:eastAsia="zh-CN"/>
        </w:rPr>
      </w:pPr>
    </w:p>
    <w:p>
      <w:pPr>
        <w:widowControl/>
        <w:rPr>
          <w:rFonts w:ascii="宋体" w:hAnsi="宋体" w:eastAsia="宋体" w:cs="宋体"/>
          <w:color w:val="auto"/>
          <w:sz w:val="12"/>
          <w:szCs w:val="12"/>
          <w:highlight w:val="none"/>
          <w:lang w:eastAsia="zh-CN"/>
        </w:rPr>
        <w:sectPr>
          <w:pgSz w:w="11907" w:h="16839"/>
          <w:pgMar w:top="1440" w:right="1440" w:bottom="1440" w:left="1440" w:header="0" w:footer="918" w:gutter="0"/>
          <w:cols w:space="0" w:num="1"/>
        </w:sectPr>
      </w:pPr>
    </w:p>
    <w:p>
      <w:pPr>
        <w:pStyle w:val="4"/>
        <w:spacing w:after="240"/>
        <w:rPr>
          <w:rFonts w:ascii="宋体" w:hAnsi="宋体" w:eastAsia="宋体"/>
          <w:color w:val="auto"/>
          <w:highlight w:val="none"/>
          <w:lang w:eastAsia="zh-CN"/>
        </w:rPr>
      </w:pPr>
      <w:bookmarkStart w:id="106" w:name="_Toc25072145"/>
      <w:bookmarkStart w:id="107" w:name="_Toc142858905"/>
      <w:bookmarkStart w:id="108" w:name="_Toc143424768"/>
      <w:r>
        <w:rPr>
          <w:rFonts w:hint="eastAsia" w:ascii="宋体" w:hAnsi="宋体" w:eastAsia="宋体"/>
          <w:color w:val="auto"/>
          <w:highlight w:val="none"/>
          <w:lang w:eastAsia="zh-CN"/>
        </w:rPr>
        <w:t xml:space="preserve">格式六  </w:t>
      </w:r>
      <w:bookmarkEnd w:id="106"/>
      <w:r>
        <w:rPr>
          <w:rFonts w:hint="eastAsia" w:ascii="宋体" w:hAnsi="宋体" w:eastAsia="宋体"/>
          <w:color w:val="auto"/>
          <w:highlight w:val="none"/>
          <w:lang w:eastAsia="zh-CN"/>
        </w:rPr>
        <w:t>本项目拟投入的人员基本情况表</w:t>
      </w:r>
      <w:bookmarkEnd w:id="107"/>
      <w:bookmarkEnd w:id="108"/>
    </w:p>
    <w:p>
      <w:pPr>
        <w:spacing w:after="240"/>
        <w:rPr>
          <w:rFonts w:ascii="宋体" w:hAnsi="宋体" w:eastAsia="宋体"/>
          <w:b/>
          <w:bCs/>
          <w:color w:val="auto"/>
          <w:sz w:val="32"/>
          <w:szCs w:val="32"/>
          <w:highlight w:val="none"/>
          <w:lang w:eastAsia="zh-CN"/>
        </w:rPr>
      </w:pPr>
      <w:r>
        <w:rPr>
          <w:rFonts w:hint="eastAsia" w:ascii="宋体" w:hAnsi="宋体" w:eastAsia="宋体"/>
          <w:color w:val="auto"/>
          <w:highlight w:val="none"/>
          <w:lang w:eastAsia="zh-CN"/>
        </w:rPr>
        <w:t>　　　　　　　　　　　</w:t>
      </w:r>
      <w:r>
        <w:rPr>
          <w:rFonts w:hint="eastAsia" w:ascii="宋体" w:hAnsi="宋体" w:eastAsia="宋体"/>
          <w:b/>
          <w:bCs/>
          <w:color w:val="auto"/>
          <w:sz w:val="32"/>
          <w:szCs w:val="32"/>
          <w:highlight w:val="none"/>
          <w:lang w:eastAsia="zh-CN"/>
        </w:rPr>
        <w:t>本项目拟投入的人员基本情况表</w:t>
      </w:r>
    </w:p>
    <w:tbl>
      <w:tblPr>
        <w:tblStyle w:val="25"/>
        <w:tblW w:w="5110"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742"/>
        <w:gridCol w:w="727"/>
        <w:gridCol w:w="977"/>
        <w:gridCol w:w="623"/>
        <w:gridCol w:w="363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09" w:type="pct"/>
            <w:vAlign w:val="center"/>
          </w:tcPr>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22" w:type="pct"/>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人员安排分工</w:t>
            </w:r>
          </w:p>
        </w:tc>
        <w:tc>
          <w:tcPr>
            <w:tcW w:w="385" w:type="pct"/>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517" w:type="pct"/>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工龄（年）</w:t>
            </w: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人数</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职务、执业资格、专业职称</w:t>
            </w:r>
          </w:p>
        </w:tc>
        <w:tc>
          <w:tcPr>
            <w:tcW w:w="615"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已完成类似的项目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09" w:type="pct"/>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22"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项目负责人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与招标公告要求一致</w:t>
            </w:r>
          </w:p>
        </w:tc>
        <w:tc>
          <w:tcPr>
            <w:tcW w:w="615" w:type="pct"/>
            <w:vAlign w:val="center"/>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09" w:type="pct"/>
            <w:vAlign w:val="center"/>
          </w:tcPr>
          <w:p>
            <w:pPr>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2</w:t>
            </w:r>
          </w:p>
        </w:tc>
        <w:tc>
          <w:tcPr>
            <w:tcW w:w="922"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建筑专业负责人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一级注册建筑师</w:t>
            </w:r>
          </w:p>
        </w:tc>
        <w:tc>
          <w:tcPr>
            <w:tcW w:w="615" w:type="pct"/>
            <w:vAlign w:val="center"/>
          </w:tcPr>
          <w:p>
            <w:pPr>
              <w:jc w:val="center"/>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09" w:type="pct"/>
            <w:vAlign w:val="center"/>
          </w:tcPr>
          <w:p>
            <w:pPr>
              <w:jc w:val="center"/>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3</w:t>
            </w:r>
          </w:p>
        </w:tc>
        <w:tc>
          <w:tcPr>
            <w:tcW w:w="922" w:type="pct"/>
            <w:vAlign w:val="center"/>
          </w:tcPr>
          <w:p>
            <w:pPr>
              <w:widowControl/>
              <w:spacing w:line="240" w:lineRule="exact"/>
              <w:ind w:left="13" w:leftChars="6"/>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结构专业负责人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一级注册结构工程师</w:t>
            </w:r>
          </w:p>
        </w:tc>
        <w:tc>
          <w:tcPr>
            <w:tcW w:w="615" w:type="pct"/>
            <w:vAlign w:val="center"/>
          </w:tcPr>
          <w:p>
            <w:pPr>
              <w:jc w:val="center"/>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09" w:type="pct"/>
            <w:vAlign w:val="center"/>
          </w:tcPr>
          <w:p>
            <w:pPr>
              <w:jc w:val="center"/>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4</w:t>
            </w:r>
          </w:p>
        </w:tc>
        <w:tc>
          <w:tcPr>
            <w:tcW w:w="922" w:type="pct"/>
            <w:vAlign w:val="center"/>
          </w:tcPr>
          <w:p>
            <w:pPr>
              <w:widowControl/>
              <w:spacing w:line="240" w:lineRule="exact"/>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给排水专业负责人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lang w:eastAsia="zh-CN"/>
              </w:rPr>
              <w:t>注册设备工程师（给水排水）或本专业（含相近专业）高级工程师（或以上）职称或者中级技术职称从事本专业（含相近专业）工作</w:t>
            </w:r>
            <w:r>
              <w:rPr>
                <w:rFonts w:hint="eastAsia" w:ascii="宋体" w:hAnsi="宋体" w:eastAsia="宋体" w:cs="宋体"/>
                <w:color w:val="auto"/>
                <w:sz w:val="21"/>
                <w:szCs w:val="21"/>
                <w:highlight w:val="none"/>
                <w:lang w:eastAsia="zh-CN"/>
              </w:rPr>
              <w:t>10</w:t>
            </w:r>
            <w:r>
              <w:rPr>
                <w:rFonts w:hint="eastAsia" w:ascii="宋体" w:hAnsi="宋体" w:eastAsia="宋体" w:cs="微软雅黑"/>
                <w:color w:val="auto"/>
                <w:sz w:val="21"/>
                <w:szCs w:val="21"/>
                <w:highlight w:val="none"/>
                <w:lang w:eastAsia="zh-CN"/>
              </w:rPr>
              <w:t>年以上</w:t>
            </w:r>
          </w:p>
        </w:tc>
        <w:tc>
          <w:tcPr>
            <w:tcW w:w="615" w:type="pct"/>
            <w:vAlign w:val="center"/>
          </w:tcPr>
          <w:p>
            <w:pPr>
              <w:jc w:val="center"/>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09" w:type="pct"/>
            <w:vAlign w:val="center"/>
          </w:tcPr>
          <w:p>
            <w:pPr>
              <w:jc w:val="center"/>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5</w:t>
            </w:r>
          </w:p>
        </w:tc>
        <w:tc>
          <w:tcPr>
            <w:tcW w:w="922" w:type="pct"/>
            <w:vAlign w:val="center"/>
          </w:tcPr>
          <w:p>
            <w:pPr>
              <w:widowControl/>
              <w:spacing w:line="240" w:lineRule="exact"/>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电气专业负责人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lang w:eastAsia="zh-CN"/>
              </w:rPr>
              <w:t>注册电气工程师或本专业（含相近专业）高级工程师（或以上）职称或者中级技术职称从事本专业（含相近专业）工作</w:t>
            </w:r>
            <w:r>
              <w:rPr>
                <w:rFonts w:hint="eastAsia" w:ascii="宋体" w:hAnsi="宋体" w:eastAsia="宋体" w:cs="宋体"/>
                <w:color w:val="auto"/>
                <w:sz w:val="21"/>
                <w:szCs w:val="21"/>
                <w:highlight w:val="none"/>
                <w:lang w:eastAsia="zh-CN"/>
              </w:rPr>
              <w:t>10</w:t>
            </w:r>
            <w:r>
              <w:rPr>
                <w:rFonts w:hint="eastAsia" w:ascii="宋体" w:hAnsi="宋体" w:eastAsia="宋体" w:cs="微软雅黑"/>
                <w:color w:val="auto"/>
                <w:sz w:val="21"/>
                <w:szCs w:val="21"/>
                <w:highlight w:val="none"/>
                <w:lang w:eastAsia="zh-CN"/>
              </w:rPr>
              <w:t>年以上</w:t>
            </w:r>
          </w:p>
        </w:tc>
        <w:tc>
          <w:tcPr>
            <w:tcW w:w="615" w:type="pct"/>
            <w:vAlign w:val="center"/>
          </w:tcPr>
          <w:p>
            <w:pPr>
              <w:jc w:val="center"/>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09" w:type="pct"/>
            <w:vAlign w:val="center"/>
          </w:tcPr>
          <w:p>
            <w:pPr>
              <w:jc w:val="center"/>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6</w:t>
            </w:r>
          </w:p>
        </w:tc>
        <w:tc>
          <w:tcPr>
            <w:tcW w:w="922" w:type="pct"/>
            <w:vAlign w:val="center"/>
          </w:tcPr>
          <w:p>
            <w:pPr>
              <w:widowControl/>
              <w:spacing w:line="240" w:lineRule="exact"/>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暖通空调专业负责人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lang w:eastAsia="zh-CN"/>
              </w:rPr>
              <w:t>注册设备工程师（暖通）或本专业（含相近专业）高级工程师（或以上）职称或者中级技术职称从事本专业（含相近专业）工作</w:t>
            </w:r>
            <w:r>
              <w:rPr>
                <w:rFonts w:hint="eastAsia" w:ascii="宋体" w:hAnsi="宋体" w:eastAsia="宋体" w:cs="宋体"/>
                <w:color w:val="auto"/>
                <w:sz w:val="21"/>
                <w:szCs w:val="21"/>
                <w:highlight w:val="none"/>
                <w:lang w:eastAsia="zh-CN"/>
              </w:rPr>
              <w:t>10</w:t>
            </w:r>
            <w:r>
              <w:rPr>
                <w:rFonts w:hint="eastAsia" w:ascii="宋体" w:hAnsi="宋体" w:eastAsia="宋体" w:cs="微软雅黑"/>
                <w:color w:val="auto"/>
                <w:sz w:val="21"/>
                <w:szCs w:val="21"/>
                <w:highlight w:val="none"/>
                <w:lang w:eastAsia="zh-CN"/>
              </w:rPr>
              <w:t>年以上</w:t>
            </w:r>
          </w:p>
        </w:tc>
        <w:tc>
          <w:tcPr>
            <w:tcW w:w="615" w:type="pct"/>
            <w:vAlign w:val="center"/>
          </w:tcPr>
          <w:p>
            <w:pPr>
              <w:jc w:val="center"/>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09"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w:t>
            </w:r>
          </w:p>
        </w:tc>
        <w:tc>
          <w:tcPr>
            <w:tcW w:w="922" w:type="pct"/>
            <w:vAlign w:val="center"/>
          </w:tcPr>
          <w:p>
            <w:pPr>
              <w:widowControl/>
              <w:spacing w:line="240" w:lineRule="exact"/>
              <w:jc w:val="center"/>
              <w:rPr>
                <w:rFonts w:ascii="宋体" w:hAnsi="宋体" w:eastAsia="宋体" w:cs="宋体"/>
                <w:color w:val="auto"/>
                <w:kern w:val="1"/>
                <w:sz w:val="21"/>
                <w:szCs w:val="21"/>
                <w:highlight w:val="none"/>
                <w:lang w:eastAsia="zh-CN"/>
              </w:rPr>
            </w:pPr>
            <w:r>
              <w:rPr>
                <w:rFonts w:hint="eastAsia" w:ascii="宋体" w:hAnsi="宋体" w:eastAsia="宋体" w:cs="微软雅黑"/>
                <w:color w:val="auto"/>
                <w:sz w:val="21"/>
                <w:szCs w:val="21"/>
                <w:highlight w:val="none"/>
              </w:rPr>
              <w:t>工程造价专业负责人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rPr>
              <w:t>注册一级造价工程师</w:t>
            </w:r>
          </w:p>
        </w:tc>
        <w:tc>
          <w:tcPr>
            <w:tcW w:w="615" w:type="pct"/>
            <w:vAlign w:val="center"/>
          </w:tcPr>
          <w:p>
            <w:pPr>
              <w:jc w:val="center"/>
              <w:rPr>
                <w:rFonts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09"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w:t>
            </w:r>
          </w:p>
        </w:tc>
        <w:tc>
          <w:tcPr>
            <w:tcW w:w="922" w:type="pct"/>
            <w:vAlign w:val="center"/>
          </w:tcPr>
          <w:p>
            <w:pPr>
              <w:widowControl/>
              <w:spacing w:line="240" w:lineRule="exact"/>
              <w:jc w:val="center"/>
              <w:rPr>
                <w:rFonts w:ascii="宋体" w:hAnsi="宋体" w:eastAsia="宋体" w:cs="宋体"/>
                <w:color w:val="auto"/>
                <w:kern w:val="1"/>
                <w:sz w:val="21"/>
                <w:szCs w:val="21"/>
                <w:highlight w:val="none"/>
                <w:lang w:eastAsia="zh-CN"/>
              </w:rPr>
            </w:pPr>
            <w:r>
              <w:rPr>
                <w:rFonts w:hint="eastAsia" w:ascii="宋体" w:hAnsi="宋体" w:eastAsia="宋体" w:cs="微软雅黑"/>
                <w:color w:val="auto"/>
                <w:sz w:val="21"/>
                <w:szCs w:val="21"/>
                <w:highlight w:val="none"/>
              </w:rPr>
              <w:t>室内装修专业负责人</w:t>
            </w:r>
          </w:p>
        </w:tc>
        <w:tc>
          <w:tcPr>
            <w:tcW w:w="385" w:type="pct"/>
            <w:vAlign w:val="center"/>
          </w:tcPr>
          <w:p>
            <w:pPr>
              <w:jc w:val="center"/>
              <w:rPr>
                <w:rFonts w:ascii="宋体" w:hAnsi="宋体" w:eastAsia="宋体" w:cs="宋体"/>
                <w:color w:val="auto"/>
                <w:sz w:val="21"/>
                <w:szCs w:val="21"/>
                <w:highlight w:val="none"/>
                <w:lang w:eastAsia="zh-CN"/>
              </w:rPr>
            </w:pPr>
          </w:p>
        </w:tc>
        <w:tc>
          <w:tcPr>
            <w:tcW w:w="517" w:type="pct"/>
            <w:vAlign w:val="center"/>
          </w:tcPr>
          <w:p>
            <w:pPr>
              <w:jc w:val="center"/>
              <w:rPr>
                <w:rFonts w:ascii="宋体" w:hAnsi="宋体" w:eastAsia="宋体" w:cs="宋体"/>
                <w:color w:val="auto"/>
                <w:sz w:val="21"/>
                <w:szCs w:val="21"/>
                <w:highlight w:val="none"/>
                <w:lang w:eastAsia="zh-CN"/>
              </w:rPr>
            </w:pPr>
          </w:p>
        </w:tc>
        <w:tc>
          <w:tcPr>
            <w:tcW w:w="330"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923" w:type="pct"/>
            <w:vAlign w:val="center"/>
          </w:tcPr>
          <w:p>
            <w:pPr>
              <w:jc w:val="center"/>
              <w:rPr>
                <w:rFonts w:ascii="宋体" w:hAnsi="宋体" w:eastAsia="宋体" w:cs="宋体"/>
                <w:color w:val="auto"/>
                <w:sz w:val="21"/>
                <w:szCs w:val="21"/>
                <w:highlight w:val="none"/>
                <w:lang w:eastAsia="zh-CN"/>
              </w:rPr>
            </w:pPr>
            <w:r>
              <w:rPr>
                <w:rFonts w:hint="eastAsia" w:ascii="宋体" w:hAnsi="宋体" w:eastAsia="宋体" w:cs="微软雅黑"/>
                <w:color w:val="auto"/>
                <w:sz w:val="21"/>
                <w:szCs w:val="21"/>
                <w:highlight w:val="none"/>
                <w:lang w:eastAsia="zh-CN"/>
              </w:rPr>
              <w:t>一级注册建筑师或本专业（含相近专业）高级工程师（或以上）职称或者中级技术职称从事本专业（含相近专业）工作</w:t>
            </w:r>
            <w:r>
              <w:rPr>
                <w:rFonts w:hint="eastAsia" w:ascii="宋体" w:hAnsi="宋体" w:eastAsia="宋体" w:cs="宋体"/>
                <w:color w:val="auto"/>
                <w:sz w:val="21"/>
                <w:szCs w:val="21"/>
                <w:highlight w:val="none"/>
                <w:lang w:eastAsia="zh-CN"/>
              </w:rPr>
              <w:t>10</w:t>
            </w:r>
            <w:r>
              <w:rPr>
                <w:rFonts w:hint="eastAsia" w:ascii="宋体" w:hAnsi="宋体" w:eastAsia="宋体" w:cs="微软雅黑"/>
                <w:color w:val="auto"/>
                <w:sz w:val="21"/>
                <w:szCs w:val="21"/>
                <w:highlight w:val="none"/>
                <w:lang w:eastAsia="zh-CN"/>
              </w:rPr>
              <w:t>年以上</w:t>
            </w:r>
          </w:p>
        </w:tc>
        <w:tc>
          <w:tcPr>
            <w:tcW w:w="615" w:type="pct"/>
            <w:vAlign w:val="center"/>
          </w:tcPr>
          <w:p>
            <w:pPr>
              <w:jc w:val="center"/>
              <w:rPr>
                <w:rFonts w:ascii="宋体" w:hAnsi="宋体" w:eastAsia="宋体" w:cs="宋体"/>
                <w:color w:val="auto"/>
                <w:sz w:val="21"/>
                <w:szCs w:val="21"/>
                <w:highlight w:val="none"/>
                <w:lang w:eastAsia="zh-CN"/>
              </w:rPr>
            </w:pPr>
          </w:p>
        </w:tc>
      </w:tr>
    </w:tbl>
    <w:p>
      <w:pPr>
        <w:spacing w:line="276"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注：</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1、提供证明材料的要求：</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①上表人员均要求为投标单位在册人员，各岗位人员不得相互兼职；</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②上述需提供拟投入本项目人员的职称证（如有）、注册证（证书在有效期内且注册单位必须与投标单位一致）、需</w:t>
      </w:r>
      <w:r>
        <w:rPr>
          <w:rFonts w:hint="eastAsia" w:ascii="宋体" w:hAnsi="宋体" w:eastAsia="宋体" w:cs="宋体"/>
          <w:bCs/>
          <w:color w:val="auto"/>
          <w:kern w:val="1"/>
          <w:highlight w:val="none"/>
          <w:u w:val="single"/>
          <w:lang w:eastAsia="zh-CN"/>
        </w:rPr>
        <w:t>提供</w:t>
      </w:r>
      <w:r>
        <w:rPr>
          <w:rFonts w:ascii="宋体" w:hAnsi="宋体" w:eastAsia="宋体" w:cs="宋体"/>
          <w:bCs/>
          <w:color w:val="auto"/>
          <w:kern w:val="1"/>
          <w:highlight w:val="none"/>
          <w:u w:val="single"/>
          <w:lang w:eastAsia="zh-CN"/>
        </w:rPr>
        <w:t>202</w:t>
      </w:r>
      <w:r>
        <w:rPr>
          <w:rFonts w:hint="eastAsia" w:ascii="宋体" w:hAnsi="宋体" w:eastAsia="宋体" w:cs="宋体"/>
          <w:bCs/>
          <w:color w:val="auto"/>
          <w:kern w:val="1"/>
          <w:highlight w:val="none"/>
          <w:u w:val="single"/>
          <w:lang w:eastAsia="zh-CN"/>
        </w:rPr>
        <w:t>4年2月</w:t>
      </w:r>
      <w:r>
        <w:rPr>
          <w:rFonts w:hint="eastAsia" w:ascii="宋体" w:hAnsi="宋体" w:eastAsia="宋体" w:cs="宋体"/>
          <w:bCs/>
          <w:color w:val="auto"/>
          <w:kern w:val="1"/>
          <w:highlight w:val="none"/>
          <w:u w:val="single"/>
          <w:lang w:eastAsia="zh-CN"/>
        </w:rPr>
        <w:t>在投标单位参保的社保缴纳记录证明扫描件并加盖投标人电子印章。社保缴纳期限包含疫情期的，若当地政府部门允许企业在疫情期间缓缴社会保险费且投标人未缴纳的，投标人可提供当地政府部门允许缓缴社保的相关文件作为缴纳社保的证明，中标后需提供投标文件中人员的社保补缴情况相关证明报招标人核实。若已达到法定退休年龄已办理退休手续且继续聘任的，可以用退休证加返聘证明扫描件代替社保证明。；</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③有效的注册造价工程师指根据原人事部、原建设部发布的《造价工程师执业资格制度暂行规定》（人发〔</w:t>
      </w:r>
      <w:r>
        <w:rPr>
          <w:rFonts w:ascii="宋体" w:hAnsi="宋体" w:eastAsia="宋体" w:cs="宋体"/>
          <w:bCs/>
          <w:color w:val="auto"/>
          <w:kern w:val="1"/>
          <w:highlight w:val="none"/>
          <w:u w:val="single"/>
          <w:lang w:eastAsia="zh-CN"/>
        </w:rPr>
        <w:t>1996</w:t>
      </w:r>
      <w:r>
        <w:rPr>
          <w:rFonts w:hint="eastAsia" w:ascii="宋体" w:hAnsi="宋体" w:eastAsia="宋体" w:cs="宋体"/>
          <w:bCs/>
          <w:color w:val="auto"/>
          <w:kern w:val="1"/>
          <w:highlight w:val="none"/>
          <w:u w:val="single"/>
          <w:lang w:eastAsia="zh-CN"/>
        </w:rPr>
        <w:t>〕</w:t>
      </w:r>
      <w:r>
        <w:rPr>
          <w:rFonts w:ascii="宋体" w:hAnsi="宋体" w:eastAsia="宋体" w:cs="宋体"/>
          <w:bCs/>
          <w:color w:val="auto"/>
          <w:kern w:val="1"/>
          <w:highlight w:val="none"/>
          <w:u w:val="single"/>
          <w:lang w:eastAsia="zh-CN"/>
        </w:rPr>
        <w:t>77</w:t>
      </w:r>
      <w:r>
        <w:rPr>
          <w:rFonts w:hint="eastAsia" w:ascii="宋体" w:hAnsi="宋体" w:eastAsia="宋体" w:cs="宋体"/>
          <w:bCs/>
          <w:color w:val="auto"/>
          <w:kern w:val="1"/>
          <w:highlight w:val="none"/>
          <w:u w:val="single"/>
          <w:lang w:eastAsia="zh-CN"/>
        </w:rPr>
        <w:t>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w:t>
      </w:r>
      <w:r>
        <w:rPr>
          <w:rFonts w:ascii="宋体" w:hAnsi="宋体" w:eastAsia="宋体" w:cs="宋体"/>
          <w:bCs/>
          <w:color w:val="auto"/>
          <w:kern w:val="1"/>
          <w:highlight w:val="none"/>
          <w:u w:val="single"/>
          <w:lang w:eastAsia="zh-CN"/>
        </w:rPr>
        <w:t>2018</w:t>
      </w:r>
      <w:r>
        <w:rPr>
          <w:rFonts w:hint="eastAsia" w:ascii="宋体" w:hAnsi="宋体" w:eastAsia="宋体" w:cs="宋体"/>
          <w:bCs/>
          <w:color w:val="auto"/>
          <w:kern w:val="1"/>
          <w:highlight w:val="none"/>
          <w:u w:val="single"/>
          <w:lang w:eastAsia="zh-CN"/>
        </w:rPr>
        <w:t>〕</w:t>
      </w:r>
      <w:r>
        <w:rPr>
          <w:rFonts w:ascii="宋体" w:hAnsi="宋体" w:eastAsia="宋体" w:cs="宋体"/>
          <w:bCs/>
          <w:color w:val="auto"/>
          <w:kern w:val="1"/>
          <w:highlight w:val="none"/>
          <w:u w:val="single"/>
          <w:lang w:eastAsia="zh-CN"/>
        </w:rPr>
        <w:t>67</w:t>
      </w:r>
      <w:r>
        <w:rPr>
          <w:rFonts w:hint="eastAsia" w:ascii="宋体" w:hAnsi="宋体" w:eastAsia="宋体" w:cs="宋体"/>
          <w:bCs/>
          <w:color w:val="auto"/>
          <w:kern w:val="1"/>
          <w:highlight w:val="none"/>
          <w:u w:val="single"/>
          <w:lang w:eastAsia="zh-CN"/>
        </w:rPr>
        <w:t>号）取得的一级造价工程师职业资格，并经注册且在有效期内。</w:t>
      </w:r>
    </w:p>
    <w:p>
      <w:pPr>
        <w:spacing w:line="360" w:lineRule="auto"/>
        <w:rPr>
          <w:rFonts w:ascii="宋体" w:hAnsi="宋体" w:eastAsia="宋体" w:cs="宋体"/>
          <w:bCs/>
          <w:color w:val="auto"/>
          <w:kern w:val="1"/>
          <w:highlight w:val="none"/>
          <w:u w:val="single"/>
          <w:lang w:eastAsia="zh-CN"/>
        </w:rPr>
      </w:pPr>
      <w:r>
        <w:rPr>
          <w:rFonts w:ascii="宋体" w:hAnsi="宋体" w:eastAsia="宋体" w:cs="宋体"/>
          <w:bCs/>
          <w:color w:val="auto"/>
          <w:kern w:val="1"/>
          <w:highlight w:val="none"/>
          <w:u w:val="single"/>
          <w:lang w:eastAsia="zh-CN"/>
        </w:rPr>
        <w:fldChar w:fldCharType="begin"/>
      </w:r>
      <w:r>
        <w:rPr>
          <w:rFonts w:hint="eastAsia" w:ascii="宋体" w:hAnsi="宋体" w:eastAsia="宋体" w:cs="宋体"/>
          <w:bCs/>
          <w:color w:val="auto"/>
          <w:kern w:val="1"/>
          <w:highlight w:val="none"/>
          <w:u w:val="single"/>
          <w:lang w:eastAsia="zh-CN"/>
        </w:rPr>
        <w:instrText xml:space="preserve">eq \o\ac(○,4)</w:instrText>
      </w:r>
      <w:r>
        <w:rPr>
          <w:rFonts w:ascii="宋体" w:hAnsi="宋体" w:eastAsia="宋体" w:cs="宋体"/>
          <w:bCs/>
          <w:color w:val="auto"/>
          <w:kern w:val="1"/>
          <w:highlight w:val="none"/>
          <w:u w:val="single"/>
          <w:lang w:eastAsia="zh-CN"/>
        </w:rPr>
        <w:fldChar w:fldCharType="end"/>
      </w:r>
      <w:r>
        <w:rPr>
          <w:rFonts w:hint="eastAsia" w:ascii="宋体" w:hAnsi="宋体" w:eastAsia="宋体" w:cs="宋体"/>
          <w:bCs/>
          <w:color w:val="auto"/>
          <w:kern w:val="1"/>
          <w:highlight w:val="none"/>
          <w:u w:val="single"/>
          <w:lang w:eastAsia="zh-CN"/>
        </w:rPr>
        <w:t>上述证明材料的清晰扫描件加盖投标人电子印章。</w:t>
      </w:r>
    </w:p>
    <w:p>
      <w:pPr>
        <w:spacing w:line="360" w:lineRule="auto"/>
        <w:rPr>
          <w:rFonts w:ascii="宋体" w:hAnsi="宋体" w:eastAsia="宋体" w:cs="宋体"/>
          <w:b/>
          <w:color w:val="auto"/>
          <w:kern w:val="1"/>
          <w:highlight w:val="none"/>
          <w:u w:val="single"/>
          <w:lang w:eastAsia="zh-CN"/>
        </w:rPr>
      </w:pPr>
      <w:r>
        <w:rPr>
          <w:rFonts w:hint="eastAsia" w:ascii="宋体" w:hAnsi="宋体" w:eastAsia="宋体" w:cs="宋体"/>
          <w:bCs/>
          <w:color w:val="auto"/>
          <w:kern w:val="1"/>
          <w:highlight w:val="none"/>
          <w:u w:val="single"/>
          <w:lang w:eastAsia="zh-CN"/>
        </w:rPr>
        <w:t>2、</w:t>
      </w:r>
      <w:r>
        <w:rPr>
          <w:rFonts w:hint="eastAsia" w:ascii="宋体" w:hAnsi="宋体" w:eastAsia="宋体" w:cs="宋体"/>
          <w:b/>
          <w:color w:val="auto"/>
          <w:kern w:val="1"/>
          <w:highlight w:val="none"/>
          <w:u w:val="single"/>
          <w:lang w:eastAsia="zh-CN"/>
        </w:rPr>
        <w:t>本表的人员要求作为资格审查合格条件的一部分，</w:t>
      </w:r>
      <w:r>
        <w:rPr>
          <w:rFonts w:hint="eastAsia" w:ascii="宋体" w:hAnsi="宋体" w:eastAsia="宋体" w:cs="宋体"/>
          <w:bCs/>
          <w:color w:val="auto"/>
          <w:kern w:val="1"/>
          <w:highlight w:val="none"/>
          <w:u w:val="single"/>
          <w:lang w:eastAsia="zh-CN"/>
        </w:rPr>
        <w:t>投标人项目管理机构人员配备不满足《</w:t>
      </w:r>
      <w:r>
        <w:rPr>
          <w:rFonts w:hint="eastAsia" w:ascii="宋体" w:hAnsi="宋体" w:eastAsia="宋体"/>
          <w:color w:val="auto"/>
          <w:highlight w:val="none"/>
          <w:u w:val="single"/>
          <w:lang w:eastAsia="zh-CN"/>
        </w:rPr>
        <w:t>本项目拟投入的人员基本情况表</w:t>
      </w:r>
      <w:r>
        <w:rPr>
          <w:rFonts w:hint="eastAsia" w:ascii="宋体" w:hAnsi="宋体" w:eastAsia="宋体" w:cs="宋体"/>
          <w:bCs/>
          <w:color w:val="auto"/>
          <w:kern w:val="1"/>
          <w:highlight w:val="none"/>
          <w:u w:val="single"/>
          <w:lang w:eastAsia="zh-CN"/>
        </w:rPr>
        <w:t>》要求的情况包括以下任一种，</w:t>
      </w:r>
      <w:r>
        <w:rPr>
          <w:rFonts w:hint="eastAsia" w:ascii="宋体" w:hAnsi="宋体" w:eastAsia="宋体" w:cs="宋体"/>
          <w:b/>
          <w:color w:val="auto"/>
          <w:kern w:val="1"/>
          <w:highlight w:val="none"/>
          <w:u w:val="single"/>
          <w:lang w:eastAsia="zh-CN"/>
        </w:rPr>
        <w:t>均视为不符合资格审查合格条件；</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①表中要求的人员数量配置不满足；</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②表中要求的人员中有任一人员不符合所对应的基本要求；</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③表中要求的人员中有任一人员所要求的证明材料不完整或不在有效期内。</w:t>
      </w:r>
    </w:p>
    <w:p>
      <w:pPr>
        <w:spacing w:line="360" w:lineRule="auto"/>
        <w:rPr>
          <w:rFonts w:ascii="宋体" w:hAnsi="宋体" w:eastAsia="宋体" w:cs="宋体"/>
          <w:bCs/>
          <w:color w:val="auto"/>
          <w:kern w:val="1"/>
          <w:highlight w:val="none"/>
          <w:u w:val="single"/>
          <w:lang w:eastAsia="zh-CN"/>
        </w:rPr>
      </w:pPr>
      <w:r>
        <w:rPr>
          <w:rFonts w:hint="eastAsia" w:ascii="宋体" w:hAnsi="宋体" w:eastAsia="宋体" w:cs="宋体"/>
          <w:bCs/>
          <w:color w:val="auto"/>
          <w:kern w:val="1"/>
          <w:highlight w:val="none"/>
          <w:u w:val="single"/>
          <w:lang w:eastAsia="zh-CN"/>
        </w:rPr>
        <w:t>3、通过资格审查的项目负责人不得变更。</w:t>
      </w:r>
    </w:p>
    <w:p>
      <w:pPr>
        <w:spacing w:line="276" w:lineRule="auto"/>
        <w:rPr>
          <w:rFonts w:ascii="宋体" w:hAnsi="宋体" w:eastAsia="宋体" w:cs="宋体"/>
          <w:bCs/>
          <w:color w:val="auto"/>
          <w:kern w:val="1"/>
          <w:highlight w:val="none"/>
          <w:u w:val="single"/>
          <w:lang w:eastAsia="zh-CN"/>
        </w:rPr>
      </w:pPr>
    </w:p>
    <w:p>
      <w:pPr>
        <w:jc w:val="center"/>
        <w:rPr>
          <w:rFonts w:ascii="宋体" w:hAnsi="宋体" w:eastAsia="宋体"/>
          <w:color w:val="auto"/>
          <w:sz w:val="21"/>
          <w:szCs w:val="21"/>
          <w:highlight w:val="none"/>
          <w:lang w:eastAsia="zh-CN"/>
        </w:rPr>
      </w:pPr>
    </w:p>
    <w:p>
      <w:pPr>
        <w:jc w:val="center"/>
        <w:rPr>
          <w:rFonts w:ascii="宋体" w:hAnsi="宋体" w:eastAsia="宋体"/>
          <w:color w:val="auto"/>
          <w:sz w:val="21"/>
          <w:szCs w:val="21"/>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ind w:firstLine="2884" w:firstLineChars="1197"/>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年</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 xml:space="preserve">月  </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日</w:t>
      </w:r>
    </w:p>
    <w:p>
      <w:pPr>
        <w:jc w:val="center"/>
        <w:rPr>
          <w:rFonts w:ascii="宋体" w:hAnsi="宋体" w:eastAsia="宋体"/>
          <w:b/>
          <w:bCs/>
          <w:color w:val="auto"/>
          <w:sz w:val="32"/>
          <w:szCs w:val="32"/>
          <w:highlight w:val="none"/>
          <w:lang w:eastAsia="zh-CN"/>
        </w:rPr>
      </w:pPr>
      <w:r>
        <w:rPr>
          <w:rFonts w:ascii="宋体" w:hAnsi="宋体" w:eastAsia="宋体"/>
          <w:color w:val="auto"/>
          <w:sz w:val="21"/>
          <w:szCs w:val="21"/>
          <w:highlight w:val="none"/>
          <w:lang w:eastAsia="zh-CN"/>
        </w:rPr>
        <w:br w:type="page"/>
      </w:r>
      <w:r>
        <w:rPr>
          <w:rFonts w:hint="eastAsia" w:ascii="宋体" w:hAnsi="宋体" w:eastAsia="宋体"/>
          <w:b/>
          <w:bCs/>
          <w:color w:val="auto"/>
          <w:sz w:val="32"/>
          <w:szCs w:val="32"/>
          <w:highlight w:val="none"/>
          <w:lang w:eastAsia="zh-CN"/>
        </w:rPr>
        <w:t>主要人员简历表</w:t>
      </w:r>
    </w:p>
    <w:p>
      <w:pPr>
        <w:rPr>
          <w:rFonts w:ascii="宋体" w:hAnsi="宋体" w:eastAsia="宋体"/>
          <w:b/>
          <w:bCs/>
          <w:color w:val="auto"/>
          <w:sz w:val="32"/>
          <w:szCs w:val="32"/>
          <w:highlight w:val="none"/>
          <w:lang w:eastAsia="zh-CN"/>
        </w:rPr>
      </w:pPr>
    </w:p>
    <w:tbl>
      <w:tblPr>
        <w:tblStyle w:val="25"/>
        <w:tblW w:w="5005" w:type="pct"/>
        <w:tblInd w:w="0" w:type="dxa"/>
        <w:tblLayout w:type="autofit"/>
        <w:tblCellMar>
          <w:top w:w="0" w:type="dxa"/>
          <w:left w:w="0" w:type="dxa"/>
          <w:bottom w:w="0" w:type="dxa"/>
          <w:right w:w="0" w:type="dxa"/>
        </w:tblCellMar>
      </w:tblPr>
      <w:tblGrid>
        <w:gridCol w:w="1256"/>
        <w:gridCol w:w="382"/>
        <w:gridCol w:w="733"/>
        <w:gridCol w:w="1017"/>
        <w:gridCol w:w="1133"/>
        <w:gridCol w:w="747"/>
        <w:gridCol w:w="1337"/>
        <w:gridCol w:w="427"/>
        <w:gridCol w:w="2014"/>
      </w:tblGrid>
      <w:tr>
        <w:tblPrEx>
          <w:tblCellMar>
            <w:top w:w="0" w:type="dxa"/>
            <w:left w:w="0" w:type="dxa"/>
            <w:bottom w:w="0" w:type="dxa"/>
            <w:right w:w="0" w:type="dxa"/>
          </w:tblCellMar>
        </w:tblPrEx>
        <w:trPr>
          <w:trHeight w:val="890" w:hRule="atLeast"/>
        </w:trPr>
        <w:tc>
          <w:tcPr>
            <w:tcW w:w="6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姓</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名</w:t>
            </w:r>
          </w:p>
        </w:tc>
        <w:tc>
          <w:tcPr>
            <w:tcW w:w="616" w:type="pct"/>
            <w:gridSpan w:val="2"/>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c>
          <w:tcPr>
            <w:tcW w:w="562" w:type="pct"/>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年龄</w:t>
            </w:r>
          </w:p>
        </w:tc>
        <w:tc>
          <w:tcPr>
            <w:tcW w:w="625" w:type="pct"/>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c>
          <w:tcPr>
            <w:tcW w:w="1388" w:type="pct"/>
            <w:gridSpan w:val="3"/>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lang w:eastAsia="zh-CN"/>
              </w:rPr>
            </w:pPr>
            <w:r>
              <w:rPr>
                <w:rFonts w:hint="eastAsia" w:ascii="宋体" w:hAnsi="宋体" w:eastAsia="宋体"/>
                <w:color w:val="auto"/>
                <w:sz w:val="21"/>
                <w:szCs w:val="21"/>
                <w:highlight w:val="none"/>
                <w:lang w:eastAsia="zh-CN"/>
              </w:rPr>
              <w:t>执业</w:t>
            </w:r>
            <w:r>
              <w:rPr>
                <w:rFonts w:hint="eastAsia" w:ascii="宋体" w:hAnsi="宋体" w:eastAsia="宋体"/>
                <w:color w:val="auto"/>
                <w:spacing w:val="-2"/>
                <w:sz w:val="21"/>
                <w:szCs w:val="21"/>
                <w:highlight w:val="none"/>
                <w:lang w:eastAsia="zh-CN"/>
              </w:rPr>
              <w:t>资</w:t>
            </w:r>
            <w:r>
              <w:rPr>
                <w:rFonts w:hint="eastAsia" w:ascii="宋体" w:hAnsi="宋体" w:eastAsia="宋体"/>
                <w:color w:val="auto"/>
                <w:sz w:val="21"/>
                <w:szCs w:val="21"/>
                <w:highlight w:val="none"/>
                <w:lang w:eastAsia="zh-CN"/>
              </w:rPr>
              <w:t>格</w:t>
            </w:r>
            <w:r>
              <w:rPr>
                <w:rFonts w:hint="eastAsia" w:ascii="宋体" w:hAnsi="宋体" w:eastAsia="宋体"/>
                <w:color w:val="auto"/>
                <w:spacing w:val="-2"/>
                <w:sz w:val="21"/>
                <w:szCs w:val="21"/>
                <w:highlight w:val="none"/>
                <w:lang w:eastAsia="zh-CN"/>
              </w:rPr>
              <w:t>证</w:t>
            </w:r>
            <w:r>
              <w:rPr>
                <w:rFonts w:hint="eastAsia" w:ascii="宋体" w:hAnsi="宋体" w:eastAsia="宋体"/>
                <w:color w:val="auto"/>
                <w:sz w:val="21"/>
                <w:szCs w:val="21"/>
                <w:highlight w:val="none"/>
                <w:lang w:eastAsia="zh-CN"/>
              </w:rPr>
              <w:t>书</w:t>
            </w:r>
            <w:r>
              <w:rPr>
                <w:rFonts w:hint="eastAsia" w:ascii="宋体" w:hAnsi="宋体" w:eastAsia="宋体"/>
                <w:color w:val="auto"/>
                <w:spacing w:val="-2"/>
                <w:sz w:val="21"/>
                <w:szCs w:val="21"/>
                <w:highlight w:val="none"/>
                <w:lang w:eastAsia="zh-CN"/>
              </w:rPr>
              <w:t>（</w:t>
            </w:r>
            <w:r>
              <w:rPr>
                <w:rFonts w:hint="eastAsia" w:ascii="宋体" w:hAnsi="宋体" w:eastAsia="宋体"/>
                <w:color w:val="auto"/>
                <w:sz w:val="21"/>
                <w:szCs w:val="21"/>
                <w:highlight w:val="none"/>
                <w:lang w:eastAsia="zh-CN"/>
              </w:rPr>
              <w:t>或</w:t>
            </w:r>
            <w:r>
              <w:rPr>
                <w:rFonts w:hint="eastAsia" w:ascii="宋体" w:hAnsi="宋体" w:eastAsia="宋体"/>
                <w:color w:val="auto"/>
                <w:spacing w:val="-2"/>
                <w:sz w:val="21"/>
                <w:szCs w:val="21"/>
                <w:highlight w:val="none"/>
                <w:lang w:eastAsia="zh-CN"/>
              </w:rPr>
              <w:t>上</w:t>
            </w:r>
            <w:r>
              <w:rPr>
                <w:rFonts w:hint="eastAsia" w:ascii="宋体" w:hAnsi="宋体" w:eastAsia="宋体"/>
                <w:color w:val="auto"/>
                <w:sz w:val="21"/>
                <w:szCs w:val="21"/>
                <w:highlight w:val="none"/>
                <w:lang w:eastAsia="zh-CN"/>
              </w:rPr>
              <w:t>岗证书</w:t>
            </w:r>
            <w:r>
              <w:rPr>
                <w:rFonts w:hint="eastAsia" w:ascii="宋体" w:hAnsi="宋体" w:eastAsia="宋体"/>
                <w:color w:val="auto"/>
                <w:spacing w:val="-2"/>
                <w:sz w:val="21"/>
                <w:szCs w:val="21"/>
                <w:highlight w:val="none"/>
                <w:lang w:eastAsia="zh-CN"/>
              </w:rPr>
              <w:t>）</w:t>
            </w:r>
            <w:r>
              <w:rPr>
                <w:rFonts w:hint="eastAsia" w:ascii="宋体" w:hAnsi="宋体" w:eastAsia="宋体"/>
                <w:color w:val="auto"/>
                <w:sz w:val="21"/>
                <w:szCs w:val="21"/>
                <w:highlight w:val="none"/>
                <w:lang w:eastAsia="zh-CN"/>
              </w:rPr>
              <w:t>名称</w:t>
            </w:r>
          </w:p>
        </w:tc>
        <w:tc>
          <w:tcPr>
            <w:tcW w:w="1112" w:type="pct"/>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lang w:eastAsia="zh-CN"/>
              </w:rPr>
            </w:pPr>
          </w:p>
        </w:tc>
      </w:tr>
      <w:tr>
        <w:tblPrEx>
          <w:tblCellMar>
            <w:top w:w="0" w:type="dxa"/>
            <w:left w:w="0" w:type="dxa"/>
            <w:bottom w:w="0" w:type="dxa"/>
            <w:right w:w="0" w:type="dxa"/>
          </w:tblCellMar>
        </w:tblPrEx>
        <w:trPr>
          <w:trHeight w:val="698" w:hRule="atLeast"/>
        </w:trPr>
        <w:tc>
          <w:tcPr>
            <w:tcW w:w="6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职</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称</w:t>
            </w:r>
          </w:p>
        </w:tc>
        <w:tc>
          <w:tcPr>
            <w:tcW w:w="616" w:type="pct"/>
            <w:gridSpan w:val="2"/>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c>
          <w:tcPr>
            <w:tcW w:w="562" w:type="pct"/>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学历</w:t>
            </w:r>
          </w:p>
        </w:tc>
        <w:tc>
          <w:tcPr>
            <w:tcW w:w="625" w:type="pct"/>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c>
          <w:tcPr>
            <w:tcW w:w="1388" w:type="pct"/>
            <w:gridSpan w:val="3"/>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拟在</w:t>
            </w:r>
            <w:r>
              <w:rPr>
                <w:rFonts w:hint="eastAsia" w:ascii="宋体" w:hAnsi="宋体" w:eastAsia="宋体"/>
                <w:color w:val="auto"/>
                <w:spacing w:val="-2"/>
                <w:sz w:val="21"/>
                <w:szCs w:val="21"/>
                <w:highlight w:val="none"/>
              </w:rPr>
              <w:t>本</w:t>
            </w:r>
            <w:r>
              <w:rPr>
                <w:rFonts w:hint="eastAsia" w:ascii="宋体" w:hAnsi="宋体" w:eastAsia="宋体"/>
                <w:color w:val="auto"/>
                <w:sz w:val="21"/>
                <w:szCs w:val="21"/>
                <w:highlight w:val="none"/>
              </w:rPr>
              <w:t>项</w:t>
            </w:r>
            <w:r>
              <w:rPr>
                <w:rFonts w:hint="eastAsia" w:ascii="宋体" w:hAnsi="宋体" w:eastAsia="宋体"/>
                <w:color w:val="auto"/>
                <w:spacing w:val="-2"/>
                <w:sz w:val="21"/>
                <w:szCs w:val="21"/>
                <w:highlight w:val="none"/>
              </w:rPr>
              <w:t>目</w:t>
            </w:r>
            <w:r>
              <w:rPr>
                <w:rFonts w:hint="eastAsia" w:ascii="宋体" w:hAnsi="宋体" w:eastAsia="宋体"/>
                <w:color w:val="auto"/>
                <w:sz w:val="21"/>
                <w:szCs w:val="21"/>
                <w:highlight w:val="none"/>
              </w:rPr>
              <w:t>任职</w:t>
            </w:r>
          </w:p>
        </w:tc>
        <w:tc>
          <w:tcPr>
            <w:tcW w:w="1112" w:type="pct"/>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701" w:hRule="atLeast"/>
        </w:trPr>
        <w:tc>
          <w:tcPr>
            <w:tcW w:w="6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工作</w:t>
            </w:r>
            <w:r>
              <w:rPr>
                <w:rFonts w:hint="eastAsia" w:ascii="宋体" w:hAnsi="宋体" w:eastAsia="宋体"/>
                <w:color w:val="auto"/>
                <w:spacing w:val="-2"/>
                <w:sz w:val="21"/>
                <w:szCs w:val="21"/>
                <w:highlight w:val="none"/>
              </w:rPr>
              <w:t>年</w:t>
            </w:r>
            <w:r>
              <w:rPr>
                <w:rFonts w:hint="eastAsia" w:ascii="宋体" w:hAnsi="宋体" w:eastAsia="宋体"/>
                <w:color w:val="auto"/>
                <w:sz w:val="21"/>
                <w:szCs w:val="21"/>
                <w:highlight w:val="none"/>
              </w:rPr>
              <w:t>限</w:t>
            </w:r>
          </w:p>
        </w:tc>
        <w:tc>
          <w:tcPr>
            <w:tcW w:w="1804" w:type="pct"/>
            <w:gridSpan w:val="4"/>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c>
          <w:tcPr>
            <w:tcW w:w="1388" w:type="pct"/>
            <w:gridSpan w:val="3"/>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从事</w:t>
            </w:r>
            <w:r>
              <w:rPr>
                <w:rFonts w:hint="eastAsia" w:ascii="宋体" w:hAnsi="宋体" w:eastAsia="宋体"/>
                <w:color w:val="auto"/>
                <w:spacing w:val="-2"/>
                <w:sz w:val="21"/>
                <w:szCs w:val="21"/>
                <w:highlight w:val="none"/>
              </w:rPr>
              <w:t>设</w:t>
            </w:r>
            <w:r>
              <w:rPr>
                <w:rFonts w:hint="eastAsia" w:ascii="宋体" w:hAnsi="宋体" w:eastAsia="宋体"/>
                <w:color w:val="auto"/>
                <w:sz w:val="21"/>
                <w:szCs w:val="21"/>
                <w:highlight w:val="none"/>
              </w:rPr>
              <w:t>计</w:t>
            </w:r>
            <w:r>
              <w:rPr>
                <w:rFonts w:hint="eastAsia" w:ascii="宋体" w:hAnsi="宋体" w:eastAsia="宋体"/>
                <w:color w:val="auto"/>
                <w:spacing w:val="-2"/>
                <w:sz w:val="21"/>
                <w:szCs w:val="21"/>
                <w:highlight w:val="none"/>
              </w:rPr>
              <w:t>工</w:t>
            </w:r>
            <w:r>
              <w:rPr>
                <w:rFonts w:hint="eastAsia" w:ascii="宋体" w:hAnsi="宋体" w:eastAsia="宋体"/>
                <w:color w:val="auto"/>
                <w:sz w:val="21"/>
                <w:szCs w:val="21"/>
                <w:highlight w:val="none"/>
              </w:rPr>
              <w:t>作</w:t>
            </w:r>
            <w:r>
              <w:rPr>
                <w:rFonts w:hint="eastAsia" w:ascii="宋体" w:hAnsi="宋体" w:eastAsia="宋体"/>
                <w:color w:val="auto"/>
                <w:spacing w:val="-2"/>
                <w:sz w:val="21"/>
                <w:szCs w:val="21"/>
                <w:highlight w:val="none"/>
              </w:rPr>
              <w:t>年</w:t>
            </w:r>
            <w:r>
              <w:rPr>
                <w:rFonts w:hint="eastAsia" w:ascii="宋体" w:hAnsi="宋体" w:eastAsia="宋体"/>
                <w:color w:val="auto"/>
                <w:sz w:val="21"/>
                <w:szCs w:val="21"/>
                <w:highlight w:val="none"/>
              </w:rPr>
              <w:t>限</w:t>
            </w:r>
          </w:p>
        </w:tc>
        <w:tc>
          <w:tcPr>
            <w:tcW w:w="1112" w:type="pct"/>
            <w:tcBorders>
              <w:top w:val="single" w:color="000000" w:sz="4" w:space="0"/>
              <w:left w:val="nil"/>
              <w:bottom w:val="single" w:color="000000" w:sz="4" w:space="0"/>
              <w:right w:val="single" w:color="000000" w:sz="4" w:space="0"/>
            </w:tcBorders>
            <w:vAlign w:val="center"/>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710" w:hRule="atLeast"/>
        </w:trPr>
        <w:tc>
          <w:tcPr>
            <w:tcW w:w="6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毕业</w:t>
            </w:r>
            <w:r>
              <w:rPr>
                <w:rFonts w:hint="eastAsia" w:ascii="宋体" w:hAnsi="宋体" w:eastAsia="宋体"/>
                <w:color w:val="auto"/>
                <w:spacing w:val="-2"/>
                <w:sz w:val="21"/>
                <w:szCs w:val="21"/>
                <w:highlight w:val="none"/>
              </w:rPr>
              <w:t>学</w:t>
            </w:r>
            <w:r>
              <w:rPr>
                <w:rFonts w:hint="eastAsia" w:ascii="宋体" w:hAnsi="宋体" w:eastAsia="宋体"/>
                <w:color w:val="auto"/>
                <w:sz w:val="21"/>
                <w:szCs w:val="21"/>
                <w:highlight w:val="none"/>
              </w:rPr>
              <w:t>校</w:t>
            </w:r>
          </w:p>
        </w:tc>
        <w:tc>
          <w:tcPr>
            <w:tcW w:w="4305" w:type="pct"/>
            <w:gridSpan w:val="8"/>
            <w:tcBorders>
              <w:top w:val="single" w:color="000000" w:sz="4" w:space="0"/>
              <w:left w:val="nil"/>
              <w:bottom w:val="single" w:color="000000" w:sz="4" w:space="0"/>
              <w:right w:val="single" w:color="000000" w:sz="4" w:space="0"/>
            </w:tcBorders>
            <w:vAlign w:val="center"/>
          </w:tcPr>
          <w:p>
            <w:pPr>
              <w:autoSpaceDE w:val="0"/>
              <w:autoSpaceDN w:val="0"/>
              <w:adjustRightInd w:val="0"/>
              <w:ind w:firstLine="420" w:firstLineChars="200"/>
              <w:rPr>
                <w:rFonts w:ascii="宋体" w:hAnsi="宋体" w:eastAsia="宋体" w:cs="Calibri"/>
                <w:color w:val="auto"/>
                <w:sz w:val="21"/>
                <w:szCs w:val="21"/>
                <w:highlight w:val="none"/>
              </w:rPr>
            </w:pPr>
            <w:r>
              <w:rPr>
                <w:rFonts w:hint="eastAsia" w:ascii="宋体" w:hAnsi="宋体" w:eastAsia="宋体"/>
                <w:color w:val="auto"/>
                <w:sz w:val="21"/>
                <w:szCs w:val="21"/>
                <w:highlight w:val="none"/>
              </w:rPr>
              <w:t>年毕</w:t>
            </w:r>
            <w:r>
              <w:rPr>
                <w:rFonts w:hint="eastAsia" w:ascii="宋体" w:hAnsi="宋体" w:eastAsia="宋体"/>
                <w:color w:val="auto"/>
                <w:spacing w:val="-2"/>
                <w:sz w:val="21"/>
                <w:szCs w:val="21"/>
                <w:highlight w:val="none"/>
              </w:rPr>
              <w:t>业</w:t>
            </w:r>
            <w:r>
              <w:rPr>
                <w:rFonts w:hint="eastAsia" w:ascii="宋体" w:hAnsi="宋体" w:eastAsia="宋体"/>
                <w:color w:val="auto"/>
                <w:sz w:val="21"/>
                <w:szCs w:val="21"/>
                <w:highlight w:val="none"/>
              </w:rPr>
              <w:t>于</w:t>
            </w:r>
            <w:r>
              <w:rPr>
                <w:rFonts w:hint="eastAsia" w:ascii="宋体" w:hAnsi="宋体" w:eastAsia="宋体"/>
                <w:color w:val="auto"/>
                <w:sz w:val="21"/>
                <w:szCs w:val="21"/>
                <w:highlight w:val="none"/>
              </w:rPr>
              <w:tab/>
            </w:r>
            <w:r>
              <w:rPr>
                <w:rFonts w:hint="eastAsia" w:ascii="宋体" w:hAnsi="宋体" w:eastAsia="宋体"/>
                <w:color w:val="auto"/>
                <w:spacing w:val="-2"/>
                <w:sz w:val="21"/>
                <w:szCs w:val="21"/>
                <w:highlight w:val="none"/>
              </w:rPr>
              <w:t>学</w:t>
            </w:r>
            <w:r>
              <w:rPr>
                <w:rFonts w:hint="eastAsia" w:ascii="宋体" w:hAnsi="宋体" w:eastAsia="宋体"/>
                <w:color w:val="auto"/>
                <w:sz w:val="21"/>
                <w:szCs w:val="21"/>
                <w:highlight w:val="none"/>
              </w:rPr>
              <w:t>校</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 xml:space="preserve">      专业</w:t>
            </w:r>
          </w:p>
        </w:tc>
      </w:tr>
      <w:tr>
        <w:tblPrEx>
          <w:tblCellMar>
            <w:top w:w="0" w:type="dxa"/>
            <w:left w:w="0" w:type="dxa"/>
            <w:bottom w:w="0" w:type="dxa"/>
            <w:right w:w="0" w:type="dxa"/>
          </w:tblCellMar>
        </w:tblPrEx>
        <w:trPr>
          <w:trHeight w:val="718" w:hRule="atLeast"/>
        </w:trPr>
        <w:tc>
          <w:tcPr>
            <w:tcW w:w="905" w:type="pct"/>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时</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间</w:t>
            </w:r>
          </w:p>
        </w:tc>
        <w:tc>
          <w:tcPr>
            <w:tcW w:w="2006" w:type="pct"/>
            <w:gridSpan w:val="4"/>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参加</w:t>
            </w:r>
            <w:r>
              <w:rPr>
                <w:rFonts w:hint="eastAsia" w:ascii="宋体" w:hAnsi="宋体" w:eastAsia="宋体"/>
                <w:color w:val="auto"/>
                <w:spacing w:val="-2"/>
                <w:sz w:val="21"/>
                <w:szCs w:val="21"/>
                <w:highlight w:val="none"/>
              </w:rPr>
              <w:t>过</w:t>
            </w:r>
            <w:r>
              <w:rPr>
                <w:rFonts w:hint="eastAsia" w:ascii="宋体" w:hAnsi="宋体" w:eastAsia="宋体"/>
                <w:color w:val="auto"/>
                <w:sz w:val="21"/>
                <w:szCs w:val="21"/>
                <w:highlight w:val="none"/>
              </w:rPr>
              <w:t>的</w:t>
            </w:r>
            <w:r>
              <w:rPr>
                <w:rFonts w:hint="eastAsia" w:ascii="宋体" w:hAnsi="宋体" w:eastAsia="宋体"/>
                <w:color w:val="auto"/>
                <w:spacing w:val="-2"/>
                <w:sz w:val="21"/>
                <w:szCs w:val="21"/>
                <w:highlight w:val="none"/>
              </w:rPr>
              <w:t>类</w:t>
            </w:r>
            <w:r>
              <w:rPr>
                <w:rFonts w:hint="eastAsia" w:ascii="宋体" w:hAnsi="宋体" w:eastAsia="宋体"/>
                <w:color w:val="auto"/>
                <w:sz w:val="21"/>
                <w:szCs w:val="21"/>
                <w:highlight w:val="none"/>
              </w:rPr>
              <w:t>似</w:t>
            </w:r>
            <w:r>
              <w:rPr>
                <w:rFonts w:hint="eastAsia" w:ascii="宋体" w:hAnsi="宋体" w:eastAsia="宋体"/>
                <w:color w:val="auto"/>
                <w:spacing w:val="-2"/>
                <w:sz w:val="21"/>
                <w:szCs w:val="21"/>
                <w:highlight w:val="none"/>
              </w:rPr>
              <w:t>项</w:t>
            </w:r>
            <w:r>
              <w:rPr>
                <w:rFonts w:hint="eastAsia" w:ascii="宋体" w:hAnsi="宋体" w:eastAsia="宋体"/>
                <w:color w:val="auto"/>
                <w:sz w:val="21"/>
                <w:szCs w:val="21"/>
                <w:highlight w:val="none"/>
              </w:rPr>
              <w:t>目</w:t>
            </w:r>
          </w:p>
        </w:tc>
        <w:tc>
          <w:tcPr>
            <w:tcW w:w="739" w:type="pct"/>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担任</w:t>
            </w:r>
            <w:r>
              <w:rPr>
                <w:rFonts w:hint="eastAsia" w:ascii="宋体" w:hAnsi="宋体" w:eastAsia="宋体"/>
                <w:color w:val="auto"/>
                <w:spacing w:val="-2"/>
                <w:sz w:val="21"/>
                <w:szCs w:val="21"/>
                <w:highlight w:val="none"/>
              </w:rPr>
              <w:t>职</w:t>
            </w:r>
            <w:r>
              <w:rPr>
                <w:rFonts w:hint="eastAsia" w:ascii="宋体" w:hAnsi="宋体" w:eastAsia="宋体"/>
                <w:color w:val="auto"/>
                <w:sz w:val="21"/>
                <w:szCs w:val="21"/>
                <w:highlight w:val="none"/>
              </w:rPr>
              <w:t>务</w:t>
            </w:r>
          </w:p>
        </w:tc>
        <w:tc>
          <w:tcPr>
            <w:tcW w:w="1348" w:type="pct"/>
            <w:gridSpan w:val="2"/>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eastAsia="宋体" w:cs="Calibri"/>
                <w:color w:val="auto"/>
                <w:sz w:val="21"/>
                <w:szCs w:val="21"/>
                <w:highlight w:val="none"/>
              </w:rPr>
            </w:pPr>
            <w:r>
              <w:rPr>
                <w:rFonts w:hint="eastAsia" w:ascii="宋体" w:hAnsi="宋体" w:eastAsia="宋体"/>
                <w:color w:val="auto"/>
                <w:sz w:val="21"/>
                <w:szCs w:val="21"/>
                <w:highlight w:val="none"/>
              </w:rPr>
              <w:t>发包</w:t>
            </w:r>
            <w:r>
              <w:rPr>
                <w:rFonts w:hint="eastAsia" w:ascii="宋体" w:hAnsi="宋体" w:eastAsia="宋体"/>
                <w:color w:val="auto"/>
                <w:spacing w:val="-2"/>
                <w:sz w:val="21"/>
                <w:szCs w:val="21"/>
                <w:highlight w:val="none"/>
              </w:rPr>
              <w:t>人</w:t>
            </w:r>
            <w:r>
              <w:rPr>
                <w:rFonts w:hint="eastAsia" w:ascii="宋体" w:hAnsi="宋体" w:eastAsia="宋体"/>
                <w:color w:val="auto"/>
                <w:sz w:val="21"/>
                <w:szCs w:val="21"/>
                <w:highlight w:val="none"/>
              </w:rPr>
              <w:t>及</w:t>
            </w:r>
            <w:r>
              <w:rPr>
                <w:rFonts w:hint="eastAsia" w:ascii="宋体" w:hAnsi="宋体" w:eastAsia="宋体"/>
                <w:color w:val="auto"/>
                <w:spacing w:val="-2"/>
                <w:sz w:val="21"/>
                <w:szCs w:val="21"/>
                <w:highlight w:val="none"/>
              </w:rPr>
              <w:t>联</w:t>
            </w:r>
            <w:r>
              <w:rPr>
                <w:rFonts w:hint="eastAsia" w:ascii="宋体" w:hAnsi="宋体" w:eastAsia="宋体"/>
                <w:color w:val="auto"/>
                <w:sz w:val="21"/>
                <w:szCs w:val="21"/>
                <w:highlight w:val="none"/>
              </w:rPr>
              <w:t>系</w:t>
            </w:r>
            <w:r>
              <w:rPr>
                <w:rFonts w:hint="eastAsia" w:ascii="宋体" w:hAnsi="宋体" w:eastAsia="宋体"/>
                <w:color w:val="auto"/>
                <w:spacing w:val="-2"/>
                <w:sz w:val="21"/>
                <w:szCs w:val="21"/>
                <w:highlight w:val="none"/>
              </w:rPr>
              <w:t>电</w:t>
            </w:r>
            <w:r>
              <w:rPr>
                <w:rFonts w:hint="eastAsia" w:ascii="宋体" w:hAnsi="宋体" w:eastAsia="宋体"/>
                <w:color w:val="auto"/>
                <w:sz w:val="21"/>
                <w:szCs w:val="21"/>
                <w:highlight w:val="none"/>
              </w:rPr>
              <w:t>话</w:t>
            </w:r>
          </w:p>
        </w:tc>
      </w:tr>
      <w:tr>
        <w:tblPrEx>
          <w:tblCellMar>
            <w:top w:w="0" w:type="dxa"/>
            <w:left w:w="0" w:type="dxa"/>
            <w:bottom w:w="0" w:type="dxa"/>
            <w:right w:w="0" w:type="dxa"/>
          </w:tblCellMar>
        </w:tblPrEx>
        <w:trPr>
          <w:trHeight w:val="701"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698"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701"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701"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699"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701"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r>
        <w:tblPrEx>
          <w:tblCellMar>
            <w:top w:w="0" w:type="dxa"/>
            <w:left w:w="0" w:type="dxa"/>
            <w:bottom w:w="0" w:type="dxa"/>
            <w:right w:w="0" w:type="dxa"/>
          </w:tblCellMar>
        </w:tblPrEx>
        <w:trPr>
          <w:trHeight w:val="701" w:hRule="atLeast"/>
        </w:trPr>
        <w:tc>
          <w:tcPr>
            <w:tcW w:w="905" w:type="pct"/>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2006" w:type="pct"/>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739" w:type="pct"/>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c>
          <w:tcPr>
            <w:tcW w:w="1348" w:type="pct"/>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eastAsia="宋体" w:cs="Calibri"/>
                <w:color w:val="auto"/>
                <w:sz w:val="21"/>
                <w:szCs w:val="21"/>
                <w:highlight w:val="none"/>
              </w:rPr>
            </w:pPr>
          </w:p>
        </w:tc>
      </w:tr>
    </w:tbl>
    <w:p>
      <w:pPr>
        <w:autoSpaceDE w:val="0"/>
        <w:autoSpaceDN w:val="0"/>
        <w:adjustRightInd w:val="0"/>
        <w:spacing w:line="110" w:lineRule="exact"/>
        <w:rPr>
          <w:rFonts w:ascii="宋体" w:hAnsi="宋体" w:eastAsia="宋体" w:cs="Calibri"/>
          <w:color w:val="auto"/>
          <w:sz w:val="11"/>
          <w:szCs w:val="11"/>
          <w:highlight w:val="none"/>
        </w:rPr>
      </w:pPr>
    </w:p>
    <w:p>
      <w:pPr>
        <w:rPr>
          <w:rFonts w:ascii="宋体" w:hAnsi="宋体" w:eastAsia="宋体"/>
          <w:color w:val="auto"/>
          <w:highlight w:val="none"/>
          <w:lang w:eastAsia="zh-CN"/>
        </w:rPr>
      </w:pPr>
      <w:r>
        <w:rPr>
          <w:rFonts w:hint="eastAsia" w:ascii="宋体" w:hAnsi="宋体" w:eastAsia="宋体"/>
          <w:color w:val="auto"/>
          <w:highlight w:val="none"/>
          <w:lang w:eastAsia="zh-CN"/>
        </w:rPr>
        <w:t>注：</w:t>
      </w:r>
      <w:r>
        <w:rPr>
          <w:rFonts w:hint="eastAsia" w:ascii="宋体" w:hAnsi="宋体" w:eastAsia="宋体"/>
          <w:color w:val="auto"/>
          <w:spacing w:val="-2"/>
          <w:highlight w:val="none"/>
          <w:lang w:eastAsia="zh-CN"/>
        </w:rPr>
        <w:t>投</w:t>
      </w:r>
      <w:r>
        <w:rPr>
          <w:rFonts w:hint="eastAsia" w:ascii="宋体" w:hAnsi="宋体" w:eastAsia="宋体"/>
          <w:color w:val="auto"/>
          <w:highlight w:val="none"/>
          <w:lang w:eastAsia="zh-CN"/>
        </w:rPr>
        <w:t>标</w:t>
      </w:r>
      <w:r>
        <w:rPr>
          <w:rFonts w:hint="eastAsia" w:ascii="宋体" w:hAnsi="宋体" w:eastAsia="宋体"/>
          <w:color w:val="auto"/>
          <w:spacing w:val="-2"/>
          <w:highlight w:val="none"/>
          <w:lang w:eastAsia="zh-CN"/>
        </w:rPr>
        <w:t>人</w:t>
      </w:r>
      <w:r>
        <w:rPr>
          <w:rFonts w:hint="eastAsia" w:ascii="宋体" w:hAnsi="宋体" w:eastAsia="宋体"/>
          <w:color w:val="auto"/>
          <w:highlight w:val="none"/>
          <w:lang w:eastAsia="zh-CN"/>
        </w:rPr>
        <w:t>应</w:t>
      </w:r>
      <w:r>
        <w:rPr>
          <w:rFonts w:hint="eastAsia" w:ascii="宋体" w:hAnsi="宋体" w:eastAsia="宋体"/>
          <w:color w:val="auto"/>
          <w:spacing w:val="-2"/>
          <w:highlight w:val="none"/>
          <w:lang w:eastAsia="zh-CN"/>
        </w:rPr>
        <w:t>根</w:t>
      </w:r>
      <w:r>
        <w:rPr>
          <w:rFonts w:hint="eastAsia" w:ascii="宋体" w:hAnsi="宋体" w:eastAsia="宋体"/>
          <w:color w:val="auto"/>
          <w:highlight w:val="none"/>
          <w:lang w:eastAsia="zh-CN"/>
        </w:rPr>
        <w:t>据</w:t>
      </w:r>
      <w:r>
        <w:rPr>
          <w:rFonts w:hint="eastAsia" w:ascii="宋体" w:hAnsi="宋体" w:eastAsia="宋体"/>
          <w:color w:val="auto"/>
          <w:spacing w:val="-2"/>
          <w:highlight w:val="none"/>
          <w:lang w:eastAsia="zh-CN"/>
        </w:rPr>
        <w:t>投</w:t>
      </w:r>
      <w:r>
        <w:rPr>
          <w:rFonts w:hint="eastAsia" w:ascii="宋体" w:hAnsi="宋体" w:eastAsia="宋体"/>
          <w:color w:val="auto"/>
          <w:highlight w:val="none"/>
          <w:lang w:eastAsia="zh-CN"/>
        </w:rPr>
        <w:t>标</w:t>
      </w:r>
      <w:r>
        <w:rPr>
          <w:rFonts w:hint="eastAsia" w:ascii="宋体" w:hAnsi="宋体" w:eastAsia="宋体"/>
          <w:color w:val="auto"/>
          <w:spacing w:val="-2"/>
          <w:highlight w:val="none"/>
          <w:lang w:eastAsia="zh-CN"/>
        </w:rPr>
        <w:t>人</w:t>
      </w:r>
      <w:r>
        <w:rPr>
          <w:rFonts w:hint="eastAsia" w:ascii="宋体" w:hAnsi="宋体" w:eastAsia="宋体"/>
          <w:color w:val="auto"/>
          <w:highlight w:val="none"/>
          <w:lang w:eastAsia="zh-CN"/>
        </w:rPr>
        <w:t>须</w:t>
      </w:r>
      <w:r>
        <w:rPr>
          <w:rFonts w:hint="eastAsia" w:ascii="宋体" w:hAnsi="宋体" w:eastAsia="宋体"/>
          <w:color w:val="auto"/>
          <w:spacing w:val="-2"/>
          <w:highlight w:val="none"/>
          <w:lang w:eastAsia="zh-CN"/>
        </w:rPr>
        <w:t>知及</w:t>
      </w:r>
      <w:r>
        <w:rPr>
          <w:rFonts w:hint="eastAsia" w:ascii="宋体" w:hAnsi="宋体" w:eastAsia="宋体"/>
          <w:color w:val="auto"/>
          <w:spacing w:val="-2"/>
          <w:highlight w:val="none"/>
          <w:u w:val="single"/>
          <w:lang w:eastAsia="zh-CN"/>
        </w:rPr>
        <w:t>招标文件第三章“评标办法前附表”</w:t>
      </w:r>
      <w:r>
        <w:rPr>
          <w:rFonts w:hint="eastAsia" w:ascii="宋体" w:hAnsi="宋体" w:eastAsia="宋体"/>
          <w:color w:val="auto"/>
          <w:highlight w:val="none"/>
          <w:lang w:eastAsia="zh-CN"/>
        </w:rPr>
        <w:t>的相关</w:t>
      </w:r>
      <w:r>
        <w:rPr>
          <w:rFonts w:hint="eastAsia" w:ascii="宋体" w:hAnsi="宋体" w:eastAsia="宋体"/>
          <w:color w:val="auto"/>
          <w:spacing w:val="-2"/>
          <w:highlight w:val="none"/>
          <w:lang w:eastAsia="zh-CN"/>
        </w:rPr>
        <w:t>要</w:t>
      </w:r>
      <w:r>
        <w:rPr>
          <w:rFonts w:hint="eastAsia" w:ascii="宋体" w:hAnsi="宋体" w:eastAsia="宋体"/>
          <w:color w:val="auto"/>
          <w:highlight w:val="none"/>
          <w:lang w:eastAsia="zh-CN"/>
        </w:rPr>
        <w:t>求</w:t>
      </w:r>
      <w:r>
        <w:rPr>
          <w:rFonts w:hint="eastAsia" w:ascii="宋体" w:hAnsi="宋体" w:eastAsia="宋体"/>
          <w:color w:val="auto"/>
          <w:spacing w:val="-2"/>
          <w:highlight w:val="none"/>
          <w:lang w:eastAsia="zh-CN"/>
        </w:rPr>
        <w:t>在本</w:t>
      </w:r>
      <w:r>
        <w:rPr>
          <w:rFonts w:hint="eastAsia" w:ascii="宋体" w:hAnsi="宋体" w:eastAsia="宋体"/>
          <w:color w:val="auto"/>
          <w:highlight w:val="none"/>
          <w:lang w:eastAsia="zh-CN"/>
        </w:rPr>
        <w:t>表后</w:t>
      </w:r>
      <w:r>
        <w:rPr>
          <w:rFonts w:hint="eastAsia" w:ascii="宋体" w:hAnsi="宋体" w:eastAsia="宋体"/>
          <w:color w:val="auto"/>
          <w:spacing w:val="-2"/>
          <w:highlight w:val="none"/>
          <w:lang w:eastAsia="zh-CN"/>
        </w:rPr>
        <w:t>附</w:t>
      </w:r>
      <w:r>
        <w:rPr>
          <w:rFonts w:hint="eastAsia" w:ascii="宋体" w:hAnsi="宋体" w:eastAsia="宋体"/>
          <w:color w:val="auto"/>
          <w:highlight w:val="none"/>
          <w:lang w:eastAsia="zh-CN"/>
        </w:rPr>
        <w:t>相</w:t>
      </w:r>
      <w:r>
        <w:rPr>
          <w:rFonts w:hint="eastAsia" w:ascii="宋体" w:hAnsi="宋体" w:eastAsia="宋体"/>
          <w:color w:val="auto"/>
          <w:spacing w:val="-2"/>
          <w:highlight w:val="none"/>
          <w:lang w:eastAsia="zh-CN"/>
        </w:rPr>
        <w:t>关</w:t>
      </w:r>
      <w:r>
        <w:rPr>
          <w:rFonts w:hint="eastAsia" w:ascii="宋体" w:hAnsi="宋体" w:eastAsia="宋体"/>
          <w:color w:val="auto"/>
          <w:highlight w:val="none"/>
          <w:lang w:eastAsia="zh-CN"/>
        </w:rPr>
        <w:t>证</w:t>
      </w:r>
      <w:r>
        <w:rPr>
          <w:rFonts w:hint="eastAsia" w:ascii="宋体" w:hAnsi="宋体" w:eastAsia="宋体"/>
          <w:color w:val="auto"/>
          <w:spacing w:val="-2"/>
          <w:highlight w:val="none"/>
          <w:lang w:eastAsia="zh-CN"/>
        </w:rPr>
        <w:t>明</w:t>
      </w:r>
      <w:r>
        <w:rPr>
          <w:rFonts w:hint="eastAsia" w:ascii="宋体" w:hAnsi="宋体" w:eastAsia="宋体"/>
          <w:color w:val="auto"/>
          <w:highlight w:val="none"/>
          <w:lang w:eastAsia="zh-CN"/>
        </w:rPr>
        <w:t>材</w:t>
      </w:r>
      <w:r>
        <w:rPr>
          <w:rFonts w:hint="eastAsia" w:ascii="宋体" w:hAnsi="宋体" w:eastAsia="宋体"/>
          <w:color w:val="auto"/>
          <w:spacing w:val="-2"/>
          <w:highlight w:val="none"/>
          <w:lang w:eastAsia="zh-CN"/>
        </w:rPr>
        <w:t>料</w:t>
      </w:r>
      <w:r>
        <w:rPr>
          <w:rFonts w:hint="eastAsia" w:ascii="宋体" w:hAnsi="宋体" w:eastAsia="宋体"/>
          <w:color w:val="auto"/>
          <w:highlight w:val="none"/>
          <w:lang w:eastAsia="zh-CN"/>
        </w:rPr>
        <w:t>。</w:t>
      </w:r>
    </w:p>
    <w:p>
      <w:pPr>
        <w:rPr>
          <w:rFonts w:ascii="宋体" w:hAnsi="宋体" w:eastAsia="宋体"/>
          <w:color w:val="auto"/>
          <w:sz w:val="21"/>
          <w:szCs w:val="21"/>
          <w:highlight w:val="none"/>
          <w:lang w:eastAsia="zh-CN"/>
        </w:rPr>
      </w:pPr>
    </w:p>
    <w:p>
      <w:pPr>
        <w:jc w:val="center"/>
        <w:rPr>
          <w:rFonts w:ascii="宋体" w:hAnsi="宋体" w:eastAsia="宋体"/>
          <w:color w:val="auto"/>
          <w:sz w:val="21"/>
          <w:szCs w:val="21"/>
          <w:highlight w:val="none"/>
          <w:lang w:eastAsia="zh-CN"/>
        </w:rPr>
        <w:sectPr>
          <w:pgSz w:w="11907" w:h="16839"/>
          <w:pgMar w:top="1440" w:right="1440" w:bottom="1440" w:left="1440" w:header="0" w:footer="918" w:gutter="0"/>
          <w:cols w:space="0" w:num="1"/>
        </w:sectPr>
      </w:pPr>
    </w:p>
    <w:p>
      <w:pPr>
        <w:pStyle w:val="4"/>
        <w:spacing w:after="240"/>
        <w:rPr>
          <w:rFonts w:ascii="宋体" w:hAnsi="宋体" w:eastAsia="宋体"/>
          <w:color w:val="auto"/>
          <w:highlight w:val="none"/>
          <w:lang w:eastAsia="zh-CN"/>
        </w:rPr>
      </w:pPr>
      <w:bookmarkStart w:id="109" w:name="_Toc143424769"/>
      <w:bookmarkStart w:id="110" w:name="_Toc142858906"/>
      <w:bookmarkStart w:id="111" w:name="_Toc25072146"/>
      <w:r>
        <w:rPr>
          <w:rFonts w:hint="eastAsia" w:ascii="宋体" w:hAnsi="宋体" w:eastAsia="宋体"/>
          <w:color w:val="auto"/>
          <w:highlight w:val="none"/>
          <w:lang w:eastAsia="zh-CN"/>
        </w:rPr>
        <w:t>格式七  企业类似业绩情况</w:t>
      </w:r>
      <w:bookmarkEnd w:id="109"/>
      <w:bookmarkEnd w:id="110"/>
      <w:bookmarkEnd w:id="111"/>
    </w:p>
    <w:p>
      <w:pPr>
        <w:jc w:val="center"/>
        <w:rPr>
          <w:rFonts w:ascii="宋体" w:hAnsi="宋体" w:eastAsia="宋体"/>
          <w:b/>
          <w:color w:val="auto"/>
          <w:spacing w:val="2"/>
          <w:position w:val="-1"/>
          <w:sz w:val="32"/>
          <w:szCs w:val="32"/>
          <w:highlight w:val="none"/>
          <w:lang w:eastAsia="zh-CN"/>
        </w:rPr>
      </w:pPr>
      <w:r>
        <w:rPr>
          <w:rFonts w:hint="eastAsia" w:ascii="宋体" w:hAnsi="宋体" w:eastAsia="宋体"/>
          <w:b/>
          <w:color w:val="auto"/>
          <w:spacing w:val="2"/>
          <w:position w:val="-1"/>
          <w:sz w:val="32"/>
          <w:szCs w:val="32"/>
          <w:highlight w:val="none"/>
          <w:lang w:eastAsia="zh-CN"/>
        </w:rPr>
        <w:t>企业类似业绩情况</w:t>
      </w:r>
    </w:p>
    <w:p>
      <w:pPr>
        <w:jc w:val="center"/>
        <w:rPr>
          <w:rFonts w:ascii="宋体" w:hAnsi="宋体" w:eastAsia="宋体"/>
          <w:color w:val="auto"/>
          <w:spacing w:val="2"/>
          <w:position w:val="-1"/>
          <w:sz w:val="32"/>
          <w:szCs w:val="32"/>
          <w:highlight w:val="none"/>
          <w:lang w:eastAsia="zh-CN"/>
        </w:rPr>
      </w:pP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536"/>
        <w:gridCol w:w="2306"/>
        <w:gridCol w:w="1240"/>
        <w:gridCol w:w="1389"/>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highlight w:val="none"/>
              </w:rPr>
            </w:pPr>
            <w:r>
              <w:rPr>
                <w:rFonts w:hint="eastAsia" w:ascii="宋体" w:hAnsi="宋体" w:eastAsia="宋体"/>
                <w:color w:val="auto"/>
                <w:highlight w:val="none"/>
                <w:lang w:eastAsia="zh-CN"/>
              </w:rPr>
              <w:t>项目名称</w:t>
            </w:r>
          </w:p>
        </w:tc>
        <w:tc>
          <w:tcPr>
            <w:tcW w:w="8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olor w:val="auto"/>
                <w:szCs w:val="21"/>
                <w:highlight w:val="none"/>
              </w:rPr>
            </w:pPr>
            <w:r>
              <w:rPr>
                <w:rFonts w:hint="eastAsia" w:ascii="宋体" w:hAnsi="宋体" w:eastAsia="宋体"/>
                <w:color w:val="auto"/>
                <w:highlight w:val="none"/>
              </w:rPr>
              <w:t>合同签订时间</w:t>
            </w: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highlight w:val="none"/>
                <w:lang w:eastAsia="zh-CN"/>
              </w:rPr>
            </w:pPr>
            <w:r>
              <w:rPr>
                <w:rFonts w:hint="eastAsia" w:ascii="宋体" w:hAnsi="宋体" w:eastAsia="宋体"/>
                <w:color w:val="auto"/>
                <w:highlight w:val="none"/>
                <w:lang w:eastAsia="zh-CN"/>
              </w:rPr>
              <w:t>项目概况</w:t>
            </w:r>
          </w:p>
          <w:p>
            <w:pPr>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（总投资/建筑面积）</w:t>
            </w: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r>
              <w:rPr>
                <w:rFonts w:hint="eastAsia" w:ascii="宋体" w:hAnsi="宋体" w:eastAsia="宋体"/>
                <w:color w:val="auto"/>
                <w:highlight w:val="none"/>
              </w:rPr>
              <w:t>业主单位</w:t>
            </w: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r>
              <w:rPr>
                <w:rFonts w:hint="eastAsia" w:ascii="宋体" w:hAnsi="宋体" w:eastAsia="宋体"/>
                <w:color w:val="auto"/>
                <w:highlight w:val="none"/>
              </w:rPr>
              <w:t>完成情况</w:t>
            </w:r>
          </w:p>
        </w:tc>
        <w:tc>
          <w:tcPr>
            <w:tcW w:w="832"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r>
              <w:rPr>
                <w:rFonts w:hint="eastAsia" w:ascii="宋体" w:hAnsi="宋体" w:eastAsia="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8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2"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8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2"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8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2"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8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2"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8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4"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c>
          <w:tcPr>
            <w:tcW w:w="832" w:type="pct"/>
            <w:tcBorders>
              <w:top w:val="single" w:color="auto" w:sz="4" w:space="0"/>
              <w:left w:val="nil"/>
              <w:bottom w:val="single" w:color="auto" w:sz="4" w:space="0"/>
              <w:right w:val="single" w:color="auto" w:sz="4" w:space="0"/>
            </w:tcBorders>
            <w:noWrap/>
            <w:vAlign w:val="center"/>
          </w:tcPr>
          <w:p>
            <w:pPr>
              <w:jc w:val="center"/>
              <w:rPr>
                <w:rFonts w:ascii="宋体" w:hAnsi="宋体" w:eastAsia="宋体"/>
                <w:color w:val="auto"/>
                <w:szCs w:val="21"/>
                <w:highlight w:val="none"/>
              </w:rPr>
            </w:pPr>
          </w:p>
        </w:tc>
      </w:tr>
      <w:bookmarkEnd w:id="73"/>
      <w:bookmarkEnd w:id="74"/>
      <w:bookmarkEnd w:id="75"/>
    </w:tbl>
    <w:p>
      <w:pPr>
        <w:pStyle w:val="9"/>
        <w:spacing w:before="240"/>
        <w:rPr>
          <w:b/>
          <w:bCs/>
          <w:color w:val="auto"/>
          <w:highlight w:val="none"/>
          <w:lang w:eastAsia="zh-CN"/>
        </w:rPr>
      </w:pPr>
      <w:r>
        <w:rPr>
          <w:rFonts w:hint="eastAsia"/>
          <w:b/>
          <w:bCs/>
          <w:color w:val="auto"/>
          <w:highlight w:val="none"/>
          <w:lang w:eastAsia="zh-CN"/>
        </w:rPr>
        <w:t>注：</w:t>
      </w:r>
    </w:p>
    <w:p>
      <w:pPr>
        <w:pStyle w:val="9"/>
        <w:spacing w:before="240"/>
        <w:rPr>
          <w:b/>
          <w:bCs/>
          <w:color w:val="auto"/>
          <w:highlight w:val="none"/>
          <w:lang w:eastAsia="zh-CN"/>
        </w:rPr>
      </w:pPr>
      <w:r>
        <w:rPr>
          <w:b/>
          <w:bCs/>
          <w:color w:val="auto"/>
          <w:highlight w:val="none"/>
          <w:lang w:eastAsia="zh-CN"/>
        </w:rPr>
        <w:t>1</w:t>
      </w:r>
      <w:r>
        <w:rPr>
          <w:rFonts w:hint="eastAsia"/>
          <w:b/>
          <w:bCs/>
          <w:color w:val="auto"/>
          <w:highlight w:val="none"/>
          <w:lang w:eastAsia="zh-CN"/>
        </w:rPr>
        <w:t>、需根据招标文件第三章“评标办法前附表”关于相应评审因素、评审标准以及表后备注的要求提供相应证明文件。</w:t>
      </w:r>
    </w:p>
    <w:p>
      <w:pPr>
        <w:pStyle w:val="9"/>
        <w:spacing w:before="240"/>
        <w:rPr>
          <w:b/>
          <w:bCs/>
          <w:color w:val="auto"/>
          <w:highlight w:val="none"/>
          <w:lang w:eastAsia="zh-CN"/>
        </w:rPr>
      </w:pPr>
      <w:r>
        <w:rPr>
          <w:b/>
          <w:bCs/>
          <w:color w:val="auto"/>
          <w:highlight w:val="none"/>
          <w:lang w:eastAsia="zh-CN"/>
        </w:rPr>
        <w:t>2</w:t>
      </w:r>
      <w:r>
        <w:rPr>
          <w:rFonts w:hint="eastAsia"/>
          <w:b/>
          <w:bCs/>
          <w:color w:val="auto"/>
          <w:highlight w:val="none"/>
          <w:lang w:eastAsia="zh-CN"/>
        </w:rPr>
        <w:t>、不在本表内的业绩不作为评审依据。</w:t>
      </w:r>
    </w:p>
    <w:p>
      <w:pPr>
        <w:rPr>
          <w:rFonts w:ascii="宋体" w:hAnsi="宋体" w:eastAsia="宋体"/>
          <w:color w:val="auto"/>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jc w:val="center"/>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年</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月</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日</w:t>
      </w:r>
    </w:p>
    <w:p>
      <w:pPr>
        <w:rPr>
          <w:color w:val="auto"/>
          <w:highlight w:val="none"/>
          <w:lang w:eastAsia="zh-CN"/>
        </w:rPr>
      </w:pPr>
    </w:p>
    <w:p>
      <w:pPr>
        <w:rPr>
          <w:color w:val="auto"/>
          <w:highlight w:val="none"/>
          <w:lang w:eastAsia="zh-CN"/>
        </w:rPr>
      </w:pPr>
    </w:p>
    <w:p>
      <w:pPr>
        <w:rPr>
          <w:color w:val="auto"/>
          <w:highlight w:val="none"/>
          <w:lang w:eastAsia="zh-CN"/>
        </w:rPr>
      </w:pPr>
    </w:p>
    <w:p>
      <w:pPr>
        <w:rPr>
          <w:color w:val="auto"/>
          <w:highlight w:val="none"/>
          <w:lang w:eastAsia="zh-CN"/>
        </w:rPr>
      </w:pPr>
    </w:p>
    <w:p>
      <w:pPr>
        <w:rPr>
          <w:color w:val="auto"/>
          <w:highlight w:val="none"/>
          <w:lang w:eastAsia="zh-CN"/>
        </w:rPr>
      </w:pPr>
    </w:p>
    <w:p>
      <w:pPr>
        <w:rPr>
          <w:color w:val="auto"/>
          <w:highlight w:val="none"/>
          <w:lang w:eastAsia="zh-CN"/>
        </w:rPr>
      </w:pPr>
    </w:p>
    <w:p>
      <w:pPr>
        <w:rPr>
          <w:color w:val="auto"/>
          <w:highlight w:val="none"/>
          <w:lang w:eastAsia="zh-CN"/>
        </w:rPr>
      </w:pPr>
    </w:p>
    <w:p>
      <w:pPr>
        <w:rPr>
          <w:color w:val="auto"/>
          <w:highlight w:val="none"/>
          <w:lang w:eastAsia="zh-CN"/>
        </w:rPr>
      </w:pPr>
    </w:p>
    <w:p>
      <w:pPr>
        <w:pStyle w:val="4"/>
        <w:ind w:left="0"/>
        <w:rPr>
          <w:rFonts w:ascii="宋体" w:hAnsi="宋体" w:eastAsia="宋体"/>
          <w:color w:val="auto"/>
          <w:highlight w:val="none"/>
          <w:lang w:eastAsia="zh-CN"/>
        </w:rPr>
      </w:pPr>
      <w:bookmarkStart w:id="112" w:name="_Toc143424770"/>
      <w:bookmarkStart w:id="113" w:name="_Toc142858907"/>
      <w:r>
        <w:rPr>
          <w:rFonts w:hint="eastAsia" w:ascii="宋体" w:hAnsi="宋体" w:eastAsia="宋体"/>
          <w:color w:val="auto"/>
          <w:highlight w:val="none"/>
          <w:lang w:eastAsia="zh-CN"/>
        </w:rPr>
        <w:t>格式八  企业获奖情况</w:t>
      </w:r>
      <w:bookmarkEnd w:id="112"/>
      <w:bookmarkEnd w:id="113"/>
    </w:p>
    <w:p>
      <w:pPr>
        <w:rPr>
          <w:rFonts w:eastAsia="等线"/>
          <w:color w:val="auto"/>
          <w:highlight w:val="none"/>
          <w:lang w:eastAsia="zh-CN"/>
        </w:rPr>
      </w:pPr>
    </w:p>
    <w:p>
      <w:pPr>
        <w:jc w:val="center"/>
        <w:rPr>
          <w:rFonts w:ascii="宋体" w:hAnsi="宋体" w:eastAsia="宋体"/>
          <w:b/>
          <w:color w:val="auto"/>
          <w:spacing w:val="2"/>
          <w:position w:val="-1"/>
          <w:sz w:val="32"/>
          <w:szCs w:val="32"/>
          <w:highlight w:val="none"/>
          <w:lang w:eastAsia="zh-CN"/>
        </w:rPr>
      </w:pPr>
      <w:r>
        <w:rPr>
          <w:rFonts w:hint="eastAsia" w:ascii="宋体" w:hAnsi="宋体" w:eastAsia="宋体"/>
          <w:b/>
          <w:color w:val="auto"/>
          <w:spacing w:val="2"/>
          <w:position w:val="-1"/>
          <w:sz w:val="32"/>
          <w:szCs w:val="32"/>
          <w:highlight w:val="none"/>
          <w:lang w:eastAsia="zh-CN"/>
        </w:rPr>
        <w:t>企业获奖一览表</w:t>
      </w:r>
    </w:p>
    <w:p>
      <w:pPr>
        <w:rPr>
          <w:rFonts w:ascii="宋体" w:hAnsi="宋体" w:eastAsia="宋体"/>
          <w:color w:val="auto"/>
          <w:spacing w:val="2"/>
          <w:position w:val="-1"/>
          <w:sz w:val="32"/>
          <w:szCs w:val="32"/>
          <w:highlight w:val="none"/>
          <w:lang w:eastAsia="zh-CN"/>
        </w:rPr>
      </w:pPr>
    </w:p>
    <w:tbl>
      <w:tblPr>
        <w:tblStyle w:val="25"/>
        <w:tblW w:w="918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410"/>
        <w:gridCol w:w="1276"/>
        <w:gridCol w:w="1842"/>
        <w:gridCol w:w="1418"/>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rPr>
                <w:rFonts w:ascii="宋体" w:hAnsi="宋体"/>
                <w:b/>
                <w:color w:val="auto"/>
                <w:sz w:val="22"/>
                <w:highlight w:val="none"/>
              </w:rPr>
            </w:pPr>
            <w:r>
              <w:rPr>
                <w:rFonts w:hint="eastAsia" w:ascii="宋体" w:hAnsi="宋体"/>
                <w:b/>
                <w:color w:val="auto"/>
                <w:sz w:val="22"/>
                <w:highlight w:val="none"/>
              </w:rPr>
              <w:t>序号</w:t>
            </w:r>
          </w:p>
        </w:tc>
        <w:tc>
          <w:tcPr>
            <w:tcW w:w="2410" w:type="dxa"/>
            <w:vAlign w:val="center"/>
          </w:tcPr>
          <w:p>
            <w:pPr>
              <w:pStyle w:val="46"/>
              <w:jc w:val="center"/>
              <w:rPr>
                <w:rFonts w:ascii="宋体" w:hAnsi="宋体"/>
                <w:b/>
                <w:color w:val="auto"/>
                <w:sz w:val="22"/>
                <w:highlight w:val="none"/>
              </w:rPr>
            </w:pPr>
            <w:r>
              <w:rPr>
                <w:rFonts w:hint="eastAsia" w:ascii="宋体" w:hAnsi="宋体"/>
                <w:b/>
                <w:color w:val="auto"/>
                <w:sz w:val="22"/>
                <w:highlight w:val="none"/>
              </w:rPr>
              <w:t>奖项级别</w:t>
            </w:r>
          </w:p>
        </w:tc>
        <w:tc>
          <w:tcPr>
            <w:tcW w:w="1276" w:type="dxa"/>
            <w:vAlign w:val="center"/>
          </w:tcPr>
          <w:p>
            <w:pPr>
              <w:pStyle w:val="46"/>
              <w:jc w:val="center"/>
              <w:rPr>
                <w:rFonts w:ascii="宋体" w:hAnsi="宋体"/>
                <w:b/>
                <w:color w:val="auto"/>
                <w:sz w:val="22"/>
                <w:highlight w:val="none"/>
              </w:rPr>
            </w:pPr>
            <w:r>
              <w:rPr>
                <w:rFonts w:hint="eastAsia" w:ascii="宋体" w:hAnsi="宋体"/>
                <w:b/>
                <w:color w:val="auto"/>
                <w:sz w:val="22"/>
                <w:highlight w:val="none"/>
              </w:rPr>
              <w:t>奖项名称</w:t>
            </w:r>
          </w:p>
        </w:tc>
        <w:tc>
          <w:tcPr>
            <w:tcW w:w="1842" w:type="dxa"/>
            <w:vAlign w:val="center"/>
          </w:tcPr>
          <w:p>
            <w:pPr>
              <w:pStyle w:val="46"/>
              <w:jc w:val="center"/>
              <w:rPr>
                <w:rFonts w:ascii="宋体" w:hAnsi="宋体"/>
                <w:b/>
                <w:color w:val="auto"/>
                <w:sz w:val="22"/>
                <w:highlight w:val="none"/>
              </w:rPr>
            </w:pPr>
            <w:r>
              <w:rPr>
                <w:rFonts w:hint="eastAsia" w:ascii="宋体" w:hAnsi="宋体"/>
                <w:b/>
                <w:color w:val="auto"/>
                <w:sz w:val="22"/>
                <w:highlight w:val="none"/>
              </w:rPr>
              <w:t>获奖项目名称</w:t>
            </w:r>
          </w:p>
        </w:tc>
        <w:tc>
          <w:tcPr>
            <w:tcW w:w="1418" w:type="dxa"/>
            <w:vAlign w:val="center"/>
          </w:tcPr>
          <w:p>
            <w:pPr>
              <w:pStyle w:val="46"/>
              <w:ind w:firstLine="108" w:firstLineChars="49"/>
              <w:jc w:val="center"/>
              <w:rPr>
                <w:rFonts w:ascii="宋体" w:hAnsi="宋体"/>
                <w:b/>
                <w:color w:val="auto"/>
                <w:sz w:val="22"/>
                <w:highlight w:val="none"/>
              </w:rPr>
            </w:pPr>
            <w:r>
              <w:rPr>
                <w:rFonts w:hint="eastAsia" w:ascii="宋体" w:hAnsi="宋体"/>
                <w:b/>
                <w:color w:val="auto"/>
                <w:sz w:val="22"/>
                <w:highlight w:val="none"/>
              </w:rPr>
              <w:t>获奖时间</w:t>
            </w:r>
          </w:p>
        </w:tc>
        <w:tc>
          <w:tcPr>
            <w:tcW w:w="1530" w:type="dxa"/>
            <w:vAlign w:val="center"/>
          </w:tcPr>
          <w:p>
            <w:pPr>
              <w:pStyle w:val="46"/>
              <w:jc w:val="center"/>
              <w:rPr>
                <w:rFonts w:ascii="宋体" w:hAnsi="宋体"/>
                <w:b/>
                <w:color w:val="auto"/>
                <w:sz w:val="22"/>
                <w:highlight w:val="none"/>
              </w:rPr>
            </w:pPr>
            <w:r>
              <w:rPr>
                <w:rFonts w:hint="eastAsia" w:ascii="宋体" w:hAnsi="宋体"/>
                <w:b/>
                <w:color w:val="auto"/>
                <w:sz w:val="22"/>
                <w:highlight w:val="none"/>
              </w:rPr>
              <w:t>授奖机构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1</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2</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3</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4</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5</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6</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7</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8</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9</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04" w:type="dxa"/>
            <w:vAlign w:val="center"/>
          </w:tcPr>
          <w:p>
            <w:pPr>
              <w:pStyle w:val="46"/>
              <w:jc w:val="center"/>
              <w:rPr>
                <w:rFonts w:ascii="宋体" w:hAnsi="宋体"/>
                <w:color w:val="auto"/>
                <w:sz w:val="22"/>
                <w:highlight w:val="none"/>
              </w:rPr>
            </w:pPr>
            <w:r>
              <w:rPr>
                <w:rFonts w:hint="eastAsia" w:ascii="宋体" w:hAnsi="宋体"/>
                <w:color w:val="auto"/>
                <w:sz w:val="22"/>
                <w:highlight w:val="none"/>
              </w:rPr>
              <w:t>1</w:t>
            </w:r>
            <w:r>
              <w:rPr>
                <w:rFonts w:ascii="宋体" w:hAnsi="宋体"/>
                <w:color w:val="auto"/>
                <w:sz w:val="22"/>
                <w:highlight w:val="none"/>
              </w:rPr>
              <w:t>0</w:t>
            </w:r>
          </w:p>
        </w:tc>
        <w:tc>
          <w:tcPr>
            <w:tcW w:w="2410" w:type="dxa"/>
            <w:vAlign w:val="center"/>
          </w:tcPr>
          <w:p>
            <w:pPr>
              <w:pStyle w:val="46"/>
              <w:jc w:val="center"/>
              <w:rPr>
                <w:rFonts w:ascii="宋体" w:hAnsi="宋体"/>
                <w:b/>
                <w:color w:val="auto"/>
                <w:sz w:val="24"/>
                <w:highlight w:val="none"/>
              </w:rPr>
            </w:pPr>
          </w:p>
        </w:tc>
        <w:tc>
          <w:tcPr>
            <w:tcW w:w="1276" w:type="dxa"/>
            <w:vAlign w:val="center"/>
          </w:tcPr>
          <w:p>
            <w:pPr>
              <w:pStyle w:val="46"/>
              <w:jc w:val="center"/>
              <w:rPr>
                <w:rFonts w:ascii="宋体" w:hAnsi="宋体"/>
                <w:b/>
                <w:color w:val="auto"/>
                <w:sz w:val="24"/>
                <w:highlight w:val="none"/>
              </w:rPr>
            </w:pPr>
          </w:p>
        </w:tc>
        <w:tc>
          <w:tcPr>
            <w:tcW w:w="1842" w:type="dxa"/>
            <w:vAlign w:val="center"/>
          </w:tcPr>
          <w:p>
            <w:pPr>
              <w:pStyle w:val="46"/>
              <w:jc w:val="center"/>
              <w:rPr>
                <w:rFonts w:ascii="宋体" w:hAnsi="宋体"/>
                <w:b/>
                <w:color w:val="auto"/>
                <w:sz w:val="24"/>
                <w:highlight w:val="none"/>
              </w:rPr>
            </w:pPr>
          </w:p>
        </w:tc>
        <w:tc>
          <w:tcPr>
            <w:tcW w:w="1418" w:type="dxa"/>
            <w:vAlign w:val="center"/>
          </w:tcPr>
          <w:p>
            <w:pPr>
              <w:pStyle w:val="46"/>
              <w:ind w:firstLine="118" w:firstLineChars="49"/>
              <w:jc w:val="center"/>
              <w:rPr>
                <w:rFonts w:ascii="宋体" w:hAnsi="宋体"/>
                <w:b/>
                <w:color w:val="auto"/>
                <w:sz w:val="24"/>
                <w:highlight w:val="none"/>
              </w:rPr>
            </w:pPr>
          </w:p>
        </w:tc>
        <w:tc>
          <w:tcPr>
            <w:tcW w:w="1530" w:type="dxa"/>
            <w:vAlign w:val="center"/>
          </w:tcPr>
          <w:p>
            <w:pPr>
              <w:pStyle w:val="46"/>
              <w:ind w:firstLine="482"/>
              <w:jc w:val="center"/>
              <w:rPr>
                <w:rFonts w:ascii="宋体" w:hAnsi="宋体"/>
                <w:b/>
                <w:color w:val="auto"/>
                <w:sz w:val="24"/>
                <w:highlight w:val="none"/>
              </w:rPr>
            </w:pPr>
          </w:p>
        </w:tc>
      </w:tr>
    </w:tbl>
    <w:p>
      <w:pPr>
        <w:pStyle w:val="9"/>
        <w:spacing w:before="240"/>
        <w:rPr>
          <w:b/>
          <w:bCs/>
          <w:color w:val="auto"/>
          <w:highlight w:val="none"/>
          <w:lang w:eastAsia="zh-CN"/>
        </w:rPr>
      </w:pPr>
      <w:r>
        <w:rPr>
          <w:rFonts w:hint="eastAsia"/>
          <w:b/>
          <w:bCs/>
          <w:color w:val="auto"/>
          <w:highlight w:val="none"/>
          <w:lang w:eastAsia="zh-CN"/>
        </w:rPr>
        <w:t>注：需根据招标文件第三章“评标办法前附表”关于相应评审因素、评审标准以及表后备注的要求提供相应证明文件。</w:t>
      </w:r>
    </w:p>
    <w:p>
      <w:pPr>
        <w:rPr>
          <w:rFonts w:ascii="宋体" w:hAnsi="宋体" w:eastAsia="宋体"/>
          <w:color w:val="auto"/>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p>
    <w:p>
      <w:pPr>
        <w:pStyle w:val="10"/>
        <w:kinsoku w:val="0"/>
        <w:overflowPunct w:val="0"/>
        <w:spacing w:line="360" w:lineRule="auto"/>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360" w:lineRule="auto"/>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ind w:firstLine="4337" w:firstLineChars="1800"/>
        <w:rPr>
          <w:color w:val="auto"/>
          <w:highlight w:val="none"/>
          <w:lang w:eastAsia="zh-CN"/>
        </w:rPr>
      </w:pPr>
      <w:r>
        <w:rPr>
          <w:rFonts w:hint="eastAsia" w:ascii="宋体" w:hAnsi="宋体" w:eastAsia="宋体"/>
          <w:b/>
          <w:color w:val="auto"/>
          <w:sz w:val="24"/>
          <w:szCs w:val="24"/>
          <w:highlight w:val="none"/>
          <w:lang w:eastAsia="zh-CN"/>
        </w:rPr>
        <w:t>年</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月</w:t>
      </w:r>
      <w:r>
        <w:rPr>
          <w:rFonts w:ascii="宋体" w:hAnsi="宋体" w:eastAsia="宋体"/>
          <w:b/>
          <w:color w:val="auto"/>
          <w:sz w:val="24"/>
          <w:szCs w:val="24"/>
          <w:highlight w:val="none"/>
          <w:u w:val="single"/>
          <w:lang w:eastAsia="zh-CN"/>
        </w:rPr>
        <w:tab/>
      </w:r>
      <w:r>
        <w:rPr>
          <w:rFonts w:hint="eastAsia" w:ascii="宋体" w:hAnsi="宋体" w:eastAsia="宋体"/>
          <w:b/>
          <w:color w:val="auto"/>
          <w:sz w:val="24"/>
          <w:szCs w:val="24"/>
          <w:highlight w:val="none"/>
          <w:lang w:eastAsia="zh-CN"/>
        </w:rPr>
        <w:t>日</w:t>
      </w:r>
    </w:p>
    <w:p>
      <w:pPr>
        <w:pStyle w:val="7"/>
        <w:rPr>
          <w:color w:val="auto"/>
          <w:highlight w:val="none"/>
        </w:rPr>
      </w:pPr>
    </w:p>
    <w:p>
      <w:pPr>
        <w:rPr>
          <w:color w:val="auto"/>
          <w:highlight w:val="none"/>
          <w:lang w:eastAsia="zh-CN"/>
        </w:rPr>
      </w:pPr>
    </w:p>
    <w:p>
      <w:pPr>
        <w:pStyle w:val="4"/>
        <w:rPr>
          <w:rFonts w:ascii="宋体" w:hAnsi="宋体" w:eastAsia="宋体"/>
          <w:color w:val="auto"/>
          <w:highlight w:val="none"/>
          <w:lang w:eastAsia="zh-CN"/>
        </w:rPr>
        <w:sectPr>
          <w:footerReference r:id="rId8" w:type="first"/>
          <w:footerReference r:id="rId7" w:type="default"/>
          <w:pgSz w:w="11907" w:h="16839"/>
          <w:pgMar w:top="1440" w:right="1440" w:bottom="1440" w:left="1440" w:header="0" w:footer="918" w:gutter="0"/>
          <w:cols w:space="0" w:num="1"/>
          <w:docGrid w:linePitch="299" w:charSpace="0"/>
        </w:sectPr>
      </w:pPr>
    </w:p>
    <w:p>
      <w:pPr>
        <w:pStyle w:val="4"/>
        <w:rPr>
          <w:rFonts w:ascii="宋体" w:hAnsi="宋体" w:eastAsia="宋体"/>
          <w:color w:val="auto"/>
          <w:spacing w:val="2"/>
          <w:position w:val="-1"/>
          <w:highlight w:val="none"/>
          <w:lang w:eastAsia="zh-CN"/>
        </w:rPr>
      </w:pPr>
      <w:bookmarkStart w:id="114" w:name="_Toc143424771"/>
      <w:bookmarkStart w:id="115" w:name="_Toc142858908"/>
      <w:r>
        <w:rPr>
          <w:rFonts w:hint="eastAsia" w:ascii="宋体" w:hAnsi="宋体" w:eastAsia="宋体"/>
          <w:color w:val="auto"/>
          <w:spacing w:val="2"/>
          <w:position w:val="-1"/>
          <w:highlight w:val="none"/>
          <w:lang w:eastAsia="zh-CN"/>
        </w:rPr>
        <w:t>格式九</w:t>
      </w:r>
      <w:r>
        <w:rPr>
          <w:rFonts w:hint="eastAsia" w:ascii="宋体" w:hAnsi="宋体" w:eastAsia="宋体"/>
          <w:color w:val="auto"/>
          <w:highlight w:val="none"/>
          <w:lang w:eastAsia="zh-CN"/>
        </w:rPr>
        <w:t>投标人承诺书</w:t>
      </w:r>
    </w:p>
    <w:p>
      <w:pPr>
        <w:autoSpaceDE w:val="0"/>
        <w:autoSpaceDN w:val="0"/>
        <w:adjustRightInd w:val="0"/>
        <w:spacing w:line="200" w:lineRule="exact"/>
        <w:rPr>
          <w:rFonts w:ascii="宋体" w:hAnsi="宋体" w:eastAsia="宋体"/>
          <w:color w:val="auto"/>
          <w:sz w:val="20"/>
          <w:szCs w:val="20"/>
          <w:highlight w:val="none"/>
          <w:lang w:eastAsia="zh-CN"/>
        </w:rPr>
      </w:pPr>
    </w:p>
    <w:p>
      <w:pPr>
        <w:spacing w:after="240"/>
        <w:jc w:val="center"/>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投标人承诺书</w:t>
      </w:r>
    </w:p>
    <w:p>
      <w:pPr>
        <w:widowControl/>
        <w:spacing w:line="500" w:lineRule="exact"/>
        <w:rPr>
          <w:rFonts w:ascii="宋体" w:hAnsi="宋体"/>
          <w:color w:val="auto"/>
          <w:sz w:val="24"/>
          <w:szCs w:val="24"/>
          <w:highlight w:val="none"/>
          <w:lang w:eastAsia="zh-CN"/>
        </w:rPr>
      </w:pPr>
      <w:r>
        <w:rPr>
          <w:rFonts w:hint="eastAsia" w:ascii="宋体" w:hAnsi="宋体"/>
          <w:color w:val="auto"/>
          <w:sz w:val="24"/>
          <w:szCs w:val="24"/>
          <w:highlight w:val="none"/>
          <w:lang w:eastAsia="zh-CN"/>
        </w:rPr>
        <w:t>致</w:t>
      </w:r>
      <w:r>
        <w:rPr>
          <w:rFonts w:hint="eastAsia" w:hAnsi="宋体"/>
          <w:color w:val="auto"/>
          <w:sz w:val="24"/>
          <w:szCs w:val="24"/>
          <w:highlight w:val="none"/>
          <w:lang w:eastAsia="zh-CN"/>
        </w:rPr>
        <w:t>（招标人）</w:t>
      </w:r>
      <w:r>
        <w:rPr>
          <w:rFonts w:ascii="宋体" w:hAnsi="宋体"/>
          <w:color w:val="auto"/>
          <w:sz w:val="24"/>
          <w:szCs w:val="24"/>
          <w:highlight w:val="none"/>
          <w:lang w:eastAsia="zh-CN"/>
        </w:rPr>
        <w:t>:</w:t>
      </w:r>
    </w:p>
    <w:p>
      <w:pPr>
        <w:widowControl/>
        <w:snapToGrid w:val="0"/>
        <w:spacing w:line="500" w:lineRule="exact"/>
        <w:ind w:firstLine="480" w:firstLineChars="200"/>
        <w:rPr>
          <w:rFonts w:ascii="宋体" w:hAnsi="宋体" w:eastAsiaTheme="minorEastAsia"/>
          <w:color w:val="auto"/>
          <w:sz w:val="24"/>
          <w:szCs w:val="24"/>
          <w:highlight w:val="none"/>
          <w:lang w:eastAsia="zh-CN"/>
        </w:rPr>
      </w:pPr>
      <w:r>
        <w:rPr>
          <w:rFonts w:hint="eastAsia" w:ascii="宋体" w:hAnsi="宋体"/>
          <w:color w:val="auto"/>
          <w:sz w:val="24"/>
          <w:szCs w:val="24"/>
          <w:highlight w:val="none"/>
          <w:lang w:eastAsia="zh-CN"/>
        </w:rPr>
        <w:t>我单位决定参加贵方的（项目名称）的投标活动，并完全接受贵方《招标文件》中的所有内容。</w:t>
      </w:r>
      <w:r>
        <w:rPr>
          <w:rFonts w:hint="eastAsia" w:ascii="宋体" w:hAnsi="宋体" w:eastAsiaTheme="minorEastAsia"/>
          <w:color w:val="auto"/>
          <w:sz w:val="24"/>
          <w:szCs w:val="24"/>
          <w:highlight w:val="none"/>
          <w:lang w:eastAsia="zh-CN"/>
        </w:rPr>
        <w:t>同时，我单位作为投标人做出承诺如下，如在招标人的工程项目中存在下列行为的，我单位认可招标人有权拒绝在一定时期内，我单位参与招标人后续工程的投标（注：拒绝投标时限由招标人视严重程度确定，最低三个月起，自招标人发出通知之日起计，直至我单位对以下行为改正并获得招标人认可之日止）：</w:t>
      </w:r>
    </w:p>
    <w:p>
      <w:pPr>
        <w:widowControl/>
        <w:snapToGrid w:val="0"/>
        <w:spacing w:line="500" w:lineRule="exact"/>
        <w:ind w:firstLine="480" w:firstLineChars="200"/>
        <w:rPr>
          <w:rFonts w:ascii="宋体" w:hAnsi="宋体" w:eastAsiaTheme="minorEastAsia"/>
          <w:color w:val="auto"/>
          <w:sz w:val="24"/>
          <w:szCs w:val="24"/>
          <w:highlight w:val="none"/>
          <w:lang w:eastAsia="zh-CN"/>
        </w:rPr>
      </w:pPr>
      <w:r>
        <w:rPr>
          <w:rFonts w:hint="eastAsia" w:ascii="宋体" w:hAnsi="宋体" w:eastAsiaTheme="minorEastAsia"/>
          <w:color w:val="auto"/>
          <w:sz w:val="24"/>
          <w:szCs w:val="24"/>
          <w:highlight w:val="none"/>
          <w:lang w:eastAsia="zh-CN"/>
        </w:rPr>
        <w:t>1.将中标工程转包或者违法分包的；</w:t>
      </w:r>
    </w:p>
    <w:p>
      <w:pPr>
        <w:widowControl/>
        <w:snapToGrid w:val="0"/>
        <w:spacing w:line="500" w:lineRule="exact"/>
        <w:ind w:firstLine="480" w:firstLineChars="200"/>
        <w:rPr>
          <w:rFonts w:ascii="宋体" w:hAnsi="宋体" w:eastAsiaTheme="minorEastAsia"/>
          <w:color w:val="auto"/>
          <w:sz w:val="24"/>
          <w:szCs w:val="24"/>
          <w:highlight w:val="none"/>
          <w:lang w:eastAsia="zh-CN"/>
        </w:rPr>
      </w:pPr>
      <w:r>
        <w:rPr>
          <w:rFonts w:hint="eastAsia" w:ascii="宋体" w:hAnsi="宋体" w:eastAsiaTheme="minorEastAsia"/>
          <w:color w:val="auto"/>
          <w:sz w:val="24"/>
          <w:szCs w:val="24"/>
          <w:highlight w:val="none"/>
          <w:lang w:eastAsia="zh-CN"/>
        </w:rPr>
        <w:t>2.在中标工程中不执行质量、安全生产相关规定的，造成质量或者安全事故的；</w:t>
      </w:r>
    </w:p>
    <w:p>
      <w:pPr>
        <w:widowControl/>
        <w:snapToGrid w:val="0"/>
        <w:spacing w:line="500" w:lineRule="exact"/>
        <w:ind w:firstLine="480" w:firstLineChars="200"/>
        <w:rPr>
          <w:rFonts w:ascii="宋体" w:hAnsi="宋体" w:eastAsiaTheme="minorEastAsia"/>
          <w:color w:val="auto"/>
          <w:sz w:val="24"/>
          <w:szCs w:val="24"/>
          <w:highlight w:val="none"/>
          <w:lang w:eastAsia="zh-CN"/>
        </w:rPr>
      </w:pPr>
      <w:r>
        <w:rPr>
          <w:rFonts w:hint="eastAsia" w:ascii="宋体" w:hAnsi="宋体" w:eastAsiaTheme="minorEastAsia"/>
          <w:color w:val="auto"/>
          <w:sz w:val="24"/>
          <w:szCs w:val="24"/>
          <w:highlight w:val="none"/>
          <w:lang w:eastAsia="zh-CN"/>
        </w:rPr>
        <w:t>3.存在围标或者串标情形的；</w:t>
      </w:r>
    </w:p>
    <w:p>
      <w:pPr>
        <w:widowControl/>
        <w:snapToGrid w:val="0"/>
        <w:spacing w:line="500" w:lineRule="exact"/>
        <w:ind w:firstLine="480" w:firstLineChars="200"/>
        <w:rPr>
          <w:rFonts w:ascii="宋体" w:hAnsi="宋体" w:eastAsiaTheme="minorEastAsia"/>
          <w:strike/>
          <w:color w:val="auto"/>
          <w:sz w:val="24"/>
          <w:szCs w:val="24"/>
          <w:highlight w:val="none"/>
          <w:lang w:eastAsia="zh-CN"/>
        </w:rPr>
      </w:pPr>
      <w:r>
        <w:rPr>
          <w:rFonts w:hint="eastAsia" w:ascii="宋体" w:hAnsi="宋体" w:eastAsiaTheme="minorEastAsia"/>
          <w:color w:val="auto"/>
          <w:sz w:val="24"/>
          <w:szCs w:val="24"/>
          <w:highlight w:val="none"/>
          <w:lang w:eastAsia="zh-CN"/>
        </w:rPr>
        <w:t>4.存在弄虚作假骗取中标、行贿情形的；</w:t>
      </w:r>
    </w:p>
    <w:p>
      <w:pPr>
        <w:widowControl/>
        <w:snapToGrid w:val="0"/>
        <w:spacing w:line="500" w:lineRule="exact"/>
        <w:ind w:firstLine="480" w:firstLineChars="200"/>
        <w:rPr>
          <w:rFonts w:ascii="宋体" w:hAnsi="宋体"/>
          <w:color w:val="auto"/>
          <w:sz w:val="24"/>
          <w:szCs w:val="24"/>
          <w:highlight w:val="none"/>
          <w:lang w:eastAsia="zh-CN"/>
        </w:rPr>
      </w:pPr>
      <w:r>
        <w:rPr>
          <w:rFonts w:hint="eastAsia" w:ascii="宋体" w:hAnsi="宋体"/>
          <w:color w:val="auto"/>
          <w:sz w:val="24"/>
          <w:szCs w:val="24"/>
          <w:highlight w:val="none"/>
          <w:lang w:eastAsia="zh-CN"/>
        </w:rPr>
        <w:t>我单位承诺，如我单位中标，保证所完成的设计将完全符合国家相关规范要求，符合或优于招标文件、技术条件、合同条款的要求。若我方完成的设计文件未能达到贵方（或相关政府部门）的要求，我方将无条件根据要求进行修改设计文件，直至得到贵方（或相关政府部门）的认可为止。</w:t>
      </w:r>
    </w:p>
    <w:p>
      <w:pPr>
        <w:pStyle w:val="43"/>
        <w:spacing w:line="500" w:lineRule="exact"/>
        <w:ind w:firstLine="482" w:firstLineChars="200"/>
        <w:rPr>
          <w:rFonts w:ascii="宋体" w:hAnsi="宋体" w:eastAsia="宋体"/>
          <w:b/>
          <w:bCs/>
          <w:color w:val="auto"/>
          <w:sz w:val="24"/>
          <w:szCs w:val="24"/>
          <w:highlight w:val="none"/>
        </w:rPr>
      </w:pPr>
    </w:p>
    <w:p>
      <w:pPr>
        <w:pStyle w:val="43"/>
        <w:spacing w:line="500" w:lineRule="exact"/>
        <w:ind w:firstLine="0"/>
        <w:rPr>
          <w:rFonts w:ascii="宋体" w:hAnsi="宋体" w:eastAsia="宋体"/>
          <w:color w:val="auto"/>
          <w:sz w:val="24"/>
          <w:szCs w:val="24"/>
          <w:highlight w:val="none"/>
        </w:rPr>
      </w:pPr>
    </w:p>
    <w:p>
      <w:pPr>
        <w:pStyle w:val="10"/>
        <w:kinsoku w:val="0"/>
        <w:overflowPunct w:val="0"/>
        <w:spacing w:line="500" w:lineRule="exact"/>
        <w:ind w:left="0" w:firstLine="2891" w:firstLineChars="1200"/>
        <w:rPr>
          <w:b/>
          <w:color w:val="auto"/>
          <w:sz w:val="24"/>
          <w:szCs w:val="24"/>
          <w:highlight w:val="none"/>
          <w:lang w:eastAsia="zh-CN"/>
        </w:rPr>
      </w:pPr>
      <w:r>
        <w:rPr>
          <w:rFonts w:hint="eastAsia"/>
          <w:b/>
          <w:color w:val="auto"/>
          <w:sz w:val="24"/>
          <w:szCs w:val="24"/>
          <w:highlight w:val="none"/>
          <w:lang w:eastAsia="zh-CN"/>
        </w:rPr>
        <w:t>投标</w:t>
      </w:r>
      <w:r>
        <w:rPr>
          <w:rFonts w:hint="eastAsia"/>
          <w:b/>
          <w:color w:val="auto"/>
          <w:spacing w:val="-2"/>
          <w:sz w:val="24"/>
          <w:szCs w:val="24"/>
          <w:highlight w:val="none"/>
          <w:lang w:eastAsia="zh-CN"/>
        </w:rPr>
        <w:t>人：</w:t>
      </w:r>
      <w:r>
        <w:rPr>
          <w:rFonts w:hint="eastAsia"/>
          <w:b/>
          <w:color w:val="auto"/>
          <w:spacing w:val="-1"/>
          <w:sz w:val="24"/>
          <w:szCs w:val="24"/>
          <w:highlight w:val="none"/>
          <w:lang w:eastAsia="zh-CN"/>
        </w:rPr>
        <w:t>（盖单位章）</w:t>
      </w:r>
    </w:p>
    <w:p>
      <w:pPr>
        <w:spacing w:line="500" w:lineRule="exact"/>
        <w:ind w:firstLine="2891" w:firstLineChars="1200"/>
        <w:rPr>
          <w:rFonts w:ascii="宋体" w:hAnsi="宋体" w:eastAsia="宋体"/>
          <w:b/>
          <w:bCs/>
          <w:color w:val="auto"/>
          <w:sz w:val="24"/>
          <w:szCs w:val="24"/>
          <w:highlight w:val="none"/>
          <w:lang w:eastAsia="zh-CN"/>
        </w:rPr>
      </w:pPr>
      <w:r>
        <w:rPr>
          <w:rFonts w:hint="eastAsia" w:ascii="宋体" w:hAnsi="宋体" w:eastAsia="宋体"/>
          <w:b/>
          <w:bCs/>
          <w:color w:val="auto"/>
          <w:sz w:val="24"/>
          <w:szCs w:val="24"/>
          <w:highlight w:val="none"/>
          <w:lang w:eastAsia="zh-CN"/>
        </w:rPr>
        <w:t>法定代表人或其委托代理人：（签字或盖章）</w:t>
      </w:r>
    </w:p>
    <w:p>
      <w:pPr>
        <w:pStyle w:val="43"/>
        <w:spacing w:line="500" w:lineRule="exact"/>
        <w:ind w:firstLine="2891" w:firstLineChars="1200"/>
        <w:jc w:val="left"/>
        <w:rPr>
          <w:rFonts w:ascii="宋体" w:hAnsi="宋体" w:eastAsia="宋体"/>
          <w:b/>
          <w:color w:val="auto"/>
          <w:sz w:val="24"/>
          <w:szCs w:val="24"/>
          <w:highlight w:val="none"/>
        </w:rPr>
      </w:pPr>
      <w:r>
        <w:rPr>
          <w:rFonts w:hint="eastAsia" w:ascii="宋体" w:hAnsi="宋体" w:eastAsia="宋体"/>
          <w:b/>
          <w:color w:val="auto"/>
          <w:sz w:val="24"/>
          <w:szCs w:val="24"/>
          <w:highlight w:val="none"/>
        </w:rPr>
        <w:t>年</w:t>
      </w:r>
      <w:r>
        <w:rPr>
          <w:rFonts w:ascii="宋体" w:hAnsi="宋体" w:eastAsia="宋体"/>
          <w:b/>
          <w:color w:val="auto"/>
          <w:sz w:val="24"/>
          <w:szCs w:val="24"/>
          <w:highlight w:val="none"/>
          <w:u w:val="single"/>
        </w:rPr>
        <w:tab/>
      </w:r>
      <w:r>
        <w:rPr>
          <w:rFonts w:hint="eastAsia" w:ascii="宋体" w:hAnsi="宋体" w:eastAsia="宋体"/>
          <w:b/>
          <w:color w:val="auto"/>
          <w:sz w:val="24"/>
          <w:szCs w:val="24"/>
          <w:highlight w:val="none"/>
        </w:rPr>
        <w:t>月</w:t>
      </w:r>
      <w:r>
        <w:rPr>
          <w:rFonts w:ascii="宋体" w:hAnsi="宋体" w:eastAsia="宋体"/>
          <w:b/>
          <w:color w:val="auto"/>
          <w:sz w:val="24"/>
          <w:szCs w:val="24"/>
          <w:highlight w:val="none"/>
          <w:u w:val="single"/>
        </w:rPr>
        <w:tab/>
      </w:r>
      <w:r>
        <w:rPr>
          <w:rFonts w:hint="eastAsia" w:ascii="宋体" w:hAnsi="宋体" w:eastAsia="宋体"/>
          <w:b/>
          <w:color w:val="auto"/>
          <w:sz w:val="24"/>
          <w:szCs w:val="24"/>
          <w:highlight w:val="none"/>
        </w:rPr>
        <w:t>日</w:t>
      </w:r>
    </w:p>
    <w:p>
      <w:pPr>
        <w:rPr>
          <w:color w:val="auto"/>
          <w:highlight w:val="none"/>
          <w:lang w:eastAsia="zh-CN"/>
        </w:rPr>
      </w:pPr>
      <w:r>
        <w:rPr>
          <w:rFonts w:hint="eastAsia"/>
          <w:color w:val="auto"/>
          <w:highlight w:val="none"/>
          <w:lang w:eastAsia="zh-CN"/>
        </w:rPr>
        <w:br w:type="page"/>
      </w:r>
    </w:p>
    <w:p>
      <w:pPr>
        <w:rPr>
          <w:color w:val="auto"/>
          <w:highlight w:val="none"/>
          <w:lang w:eastAsia="zh-CN"/>
        </w:rPr>
      </w:pPr>
    </w:p>
    <w:p>
      <w:pPr>
        <w:rPr>
          <w:color w:val="auto"/>
          <w:highlight w:val="none"/>
          <w:lang w:eastAsia="zh-CN"/>
        </w:rPr>
      </w:pPr>
    </w:p>
    <w:p>
      <w:pPr>
        <w:pStyle w:val="4"/>
        <w:rPr>
          <w:rFonts w:ascii="宋体" w:hAnsi="宋体" w:eastAsia="宋体"/>
          <w:color w:val="auto"/>
          <w:highlight w:val="none"/>
          <w:lang w:eastAsia="zh-CN"/>
        </w:rPr>
      </w:pPr>
      <w:r>
        <w:rPr>
          <w:rFonts w:hint="eastAsia" w:ascii="宋体" w:hAnsi="宋体" w:eastAsia="宋体"/>
          <w:color w:val="auto"/>
          <w:highlight w:val="none"/>
          <w:lang w:eastAsia="zh-CN"/>
        </w:rPr>
        <w:t>格式十  其他资料</w:t>
      </w:r>
      <w:bookmarkEnd w:id="114"/>
      <w:bookmarkEnd w:id="115"/>
    </w:p>
    <w:p>
      <w:pPr>
        <w:ind w:firstLine="300"/>
        <w:rPr>
          <w:color w:val="auto"/>
          <w:highlight w:val="none"/>
          <w:lang w:eastAsia="zh-CN"/>
        </w:rPr>
      </w:pPr>
    </w:p>
    <w:p>
      <w:pPr>
        <w:rPr>
          <w:color w:val="auto"/>
          <w:highlight w:val="none"/>
          <w:lang w:eastAsia="zh-CN"/>
        </w:rPr>
      </w:pPr>
    </w:p>
    <w:p>
      <w:pPr>
        <w:rPr>
          <w:color w:val="auto"/>
          <w:highlight w:val="none"/>
          <w:lang w:eastAsia="zh-CN"/>
        </w:rPr>
      </w:pPr>
    </w:p>
    <w:p>
      <w:pPr>
        <w:widowControl/>
        <w:rPr>
          <w:rFonts w:ascii="仿宋_GB2312" w:eastAsia="宋体"/>
          <w:b/>
          <w:color w:val="auto"/>
          <w:kern w:val="2"/>
          <w:sz w:val="32"/>
          <w:szCs w:val="20"/>
          <w:highlight w:val="none"/>
          <w:lang w:eastAsia="zh-CN"/>
        </w:rPr>
      </w:pPr>
      <w:r>
        <w:rPr>
          <w:color w:val="auto"/>
          <w:highlight w:val="none"/>
          <w:lang w:eastAsia="zh-CN"/>
        </w:rPr>
        <w:br w:type="page"/>
      </w:r>
    </w:p>
    <w:p>
      <w:pPr>
        <w:pStyle w:val="51"/>
        <w:rPr>
          <w:color w:val="auto"/>
          <w:highlight w:val="none"/>
        </w:rPr>
      </w:pPr>
    </w:p>
    <w:p>
      <w:pPr>
        <w:pStyle w:val="51"/>
        <w:rPr>
          <w:color w:val="auto"/>
          <w:highlight w:val="none"/>
        </w:rPr>
      </w:pPr>
    </w:p>
    <w:p>
      <w:pPr>
        <w:pStyle w:val="51"/>
        <w:rPr>
          <w:color w:val="auto"/>
          <w:highlight w:val="none"/>
        </w:rPr>
      </w:pPr>
    </w:p>
    <w:p>
      <w:pPr>
        <w:pStyle w:val="51"/>
        <w:rPr>
          <w:color w:val="auto"/>
          <w:highlight w:val="none"/>
        </w:rPr>
      </w:pPr>
    </w:p>
    <w:p>
      <w:pPr>
        <w:pStyle w:val="51"/>
        <w:rPr>
          <w:color w:val="auto"/>
          <w:highlight w:val="none"/>
        </w:rPr>
      </w:pPr>
    </w:p>
    <w:p>
      <w:pPr>
        <w:pStyle w:val="2"/>
        <w:jc w:val="center"/>
        <w:rPr>
          <w:rFonts w:ascii="宋体" w:hAnsi="宋体" w:eastAsia="宋体"/>
          <w:color w:val="auto"/>
          <w:highlight w:val="none"/>
          <w:lang w:eastAsia="zh-CN"/>
        </w:rPr>
      </w:pPr>
      <w:bookmarkStart w:id="116" w:name="_Toc143424772"/>
      <w:r>
        <w:rPr>
          <w:rFonts w:hint="eastAsia" w:ascii="宋体" w:hAnsi="宋体" w:eastAsia="宋体"/>
          <w:color w:val="auto"/>
          <w:highlight w:val="none"/>
          <w:lang w:eastAsia="zh-CN"/>
        </w:rPr>
        <w:t>第七章 定标文件格式</w:t>
      </w:r>
      <w:bookmarkEnd w:id="116"/>
    </w:p>
    <w:p>
      <w:pPr>
        <w:pStyle w:val="51"/>
        <w:rPr>
          <w:color w:val="auto"/>
          <w:highlight w:val="none"/>
        </w:rPr>
      </w:pPr>
    </w:p>
    <w:p>
      <w:pPr>
        <w:widowControl/>
        <w:rPr>
          <w:color w:val="auto"/>
          <w:highlight w:val="none"/>
          <w:lang w:eastAsia="zh-CN"/>
        </w:rPr>
      </w:pPr>
      <w:r>
        <w:rPr>
          <w:color w:val="auto"/>
          <w:highlight w:val="none"/>
          <w:lang w:eastAsia="zh-CN"/>
        </w:rPr>
        <w:br w:type="page"/>
      </w:r>
    </w:p>
    <w:p>
      <w:pPr>
        <w:pStyle w:val="51"/>
        <w:spacing w:after="240"/>
        <w:jc w:val="center"/>
        <w:rPr>
          <w:rFonts w:ascii="宋体" w:hAnsi="宋体" w:eastAsia="宋体" w:cs="宋体"/>
          <w:color w:val="auto"/>
          <w:sz w:val="32"/>
          <w:szCs w:val="32"/>
          <w:highlight w:val="none"/>
        </w:rPr>
      </w:pPr>
      <w:r>
        <w:rPr>
          <w:rFonts w:hint="eastAsia" w:ascii="宋体" w:hAnsi="宋体" w:eastAsia="宋体"/>
          <w:color w:val="auto"/>
          <w:sz w:val="32"/>
          <w:szCs w:val="32"/>
          <w:highlight w:val="none"/>
        </w:rPr>
        <w:t>设计定标文件编制要求</w:t>
      </w:r>
    </w:p>
    <w:p>
      <w:pPr>
        <w:pStyle w:val="4"/>
        <w:spacing w:line="360" w:lineRule="auto"/>
        <w:ind w:left="0"/>
        <w:jc w:val="center"/>
        <w:rPr>
          <w:rFonts w:ascii="宋体" w:hAnsi="宋体" w:eastAsia="宋体" w:cs="宋体"/>
          <w:color w:val="auto"/>
          <w:sz w:val="24"/>
          <w:szCs w:val="24"/>
          <w:highlight w:val="none"/>
          <w:u w:val="single"/>
          <w:lang w:eastAsia="zh-CN"/>
        </w:rPr>
      </w:pPr>
      <w:bookmarkStart w:id="117" w:name="_Toc143424773"/>
      <w:r>
        <w:rPr>
          <w:rFonts w:hint="eastAsia" w:ascii="宋体" w:hAnsi="宋体" w:eastAsia="宋体" w:cs="宋体"/>
          <w:color w:val="auto"/>
          <w:sz w:val="24"/>
          <w:szCs w:val="24"/>
          <w:highlight w:val="none"/>
          <w:u w:val="single"/>
          <w:lang w:eastAsia="zh-CN"/>
        </w:rPr>
        <w:t>【说明：定标文件是指投标文件的技术文件（含设计方案部分），投标人不须重复提供，定标文件以投标文件的技术文件（含设计方案部分）为准。】</w:t>
      </w:r>
    </w:p>
    <w:p>
      <w:pPr>
        <w:pStyle w:val="4"/>
        <w:spacing w:line="360" w:lineRule="auto"/>
        <w:ind w:left="0"/>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1、定标文件</w:t>
      </w:r>
      <w:bookmarkEnd w:id="117"/>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1.1  定标文件由技术文件（含设计方案部分）组成。各部分投标文件应分别编制。设计方案文件总页数不限，设计方案电子文档（上传系统文件）大小不超</w:t>
      </w:r>
      <w:r>
        <w:rPr>
          <w:rFonts w:ascii="宋体" w:hAnsi="宋体" w:eastAsia="宋体"/>
          <w:color w:val="auto"/>
          <w:sz w:val="24"/>
          <w:szCs w:val="24"/>
          <w:highlight w:val="none"/>
          <w:lang w:eastAsia="zh-CN"/>
        </w:rPr>
        <w:t>1000M</w:t>
      </w:r>
      <w:r>
        <w:rPr>
          <w:rFonts w:hint="eastAsia" w:ascii="宋体" w:hAnsi="宋体" w:eastAsia="宋体"/>
          <w:color w:val="auto"/>
          <w:sz w:val="24"/>
          <w:szCs w:val="24"/>
          <w:highlight w:val="none"/>
          <w:lang w:eastAsia="zh-CN"/>
        </w:rPr>
        <w:t>。</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1.2  定标文件应做到清晰、完整，文本、图纸规格应当尽量统一。除非另有规定，否则</w:t>
      </w:r>
      <w:r>
        <w:rPr>
          <w:rFonts w:hint="eastAsia" w:ascii="宋体" w:hAnsi="宋体" w:eastAsia="宋体"/>
          <w:color w:val="auto"/>
          <w:sz w:val="24"/>
          <w:szCs w:val="24"/>
          <w:highlight w:val="none"/>
          <w:u w:val="single"/>
          <w:lang w:eastAsia="zh-CN"/>
        </w:rPr>
        <w:t>定标文件</w:t>
      </w:r>
      <w:r>
        <w:rPr>
          <w:rFonts w:hint="eastAsia" w:ascii="宋体" w:hAnsi="宋体" w:eastAsia="宋体"/>
          <w:color w:val="auto"/>
          <w:sz w:val="24"/>
          <w:szCs w:val="24"/>
          <w:highlight w:val="none"/>
          <w:lang w:eastAsia="zh-CN"/>
        </w:rPr>
        <w:t>的计量单位宜采用国际标准计量单位，尺寸齐全、准确，所有文字说明和文字标注以中文为准，报价均为人民币，时间均为北京时间。</w:t>
      </w:r>
    </w:p>
    <w:p>
      <w:pPr>
        <w:spacing w:line="360" w:lineRule="auto"/>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1.3  每个投标人报送一个投标方案，投标文件应达到招标文件规定的深度，满足评审需要。不响应招标文件要求的定标文件可能被拒绝，责任由投标人自负。</w:t>
      </w:r>
    </w:p>
    <w:p>
      <w:pPr>
        <w:pStyle w:val="4"/>
        <w:spacing w:line="360" w:lineRule="auto"/>
        <w:ind w:left="0"/>
        <w:rPr>
          <w:rFonts w:ascii="宋体" w:hAnsi="宋体" w:eastAsia="宋体" w:cs="宋体"/>
          <w:color w:val="auto"/>
          <w:sz w:val="24"/>
          <w:szCs w:val="24"/>
          <w:highlight w:val="none"/>
          <w:lang w:eastAsia="zh-CN"/>
        </w:rPr>
      </w:pPr>
      <w:bookmarkStart w:id="118" w:name="_Toc143424774"/>
      <w:r>
        <w:rPr>
          <w:rFonts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lang w:eastAsia="zh-CN"/>
        </w:rPr>
        <w:t>技术文件（含设计方案部分）编制要求（暗标，不得标注名称、印章、商标、图形等记认符号，使人辨认出投标人或其专业技术人员的身份，上传系统，电子文档上传不超</w:t>
      </w:r>
      <w:r>
        <w:rPr>
          <w:rFonts w:ascii="宋体" w:hAnsi="宋体" w:eastAsia="宋体"/>
          <w:color w:val="auto"/>
          <w:sz w:val="24"/>
          <w:szCs w:val="24"/>
          <w:highlight w:val="none"/>
          <w:lang w:eastAsia="zh-CN"/>
        </w:rPr>
        <w:t>1000M</w:t>
      </w:r>
      <w:r>
        <w:rPr>
          <w:rFonts w:hint="eastAsia" w:ascii="宋体" w:hAnsi="宋体" w:eastAsia="宋体"/>
          <w:color w:val="auto"/>
          <w:sz w:val="24"/>
          <w:szCs w:val="24"/>
          <w:highlight w:val="none"/>
          <w:lang w:eastAsia="zh-CN"/>
        </w:rPr>
        <w:t>）</w:t>
      </w:r>
      <w:bookmarkEnd w:id="118"/>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.1  技术文件（含设计方案部分）由下列资料组成：</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）首页：写明项目名称、设计作品主题（不宜超过</w:t>
      </w:r>
      <w:r>
        <w:rPr>
          <w:rFonts w:ascii="宋体" w:hAnsi="宋体" w:eastAsia="宋体"/>
          <w:color w:val="auto"/>
          <w:sz w:val="24"/>
          <w:szCs w:val="24"/>
          <w:highlight w:val="none"/>
          <w:lang w:eastAsia="zh-CN"/>
        </w:rPr>
        <w:t>20</w:t>
      </w:r>
      <w:r>
        <w:rPr>
          <w:rFonts w:hint="eastAsia" w:ascii="宋体" w:hAnsi="宋体" w:eastAsia="宋体"/>
          <w:color w:val="auto"/>
          <w:sz w:val="24"/>
          <w:szCs w:val="24"/>
          <w:highlight w:val="none"/>
          <w:lang w:eastAsia="zh-CN"/>
        </w:rPr>
        <w:t>个字）、编制年月；</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）目录；</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3</w:t>
      </w:r>
      <w:r>
        <w:rPr>
          <w:rFonts w:hint="eastAsia" w:ascii="宋体" w:hAnsi="宋体" w:eastAsia="宋体"/>
          <w:color w:val="auto"/>
          <w:sz w:val="24"/>
          <w:szCs w:val="24"/>
          <w:highlight w:val="none"/>
          <w:lang w:eastAsia="zh-CN"/>
        </w:rPr>
        <w:t>）设计说明书；</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4</w:t>
      </w:r>
      <w:r>
        <w:rPr>
          <w:rFonts w:hint="eastAsia" w:ascii="宋体" w:hAnsi="宋体" w:eastAsia="宋体"/>
          <w:color w:val="auto"/>
          <w:sz w:val="24"/>
          <w:szCs w:val="24"/>
          <w:highlight w:val="none"/>
          <w:lang w:eastAsia="zh-CN"/>
        </w:rPr>
        <w:t>）设计图纸[需包括表现图、分析示意图、总平面图、各层平面图、剖面图、立面图、景观节点设计平面图与透视图，竖向设计图、交通组织规划图、效果图（鸟瞰图、主要视点透视图）等，可以水平或垂直展示]；</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5</w:t>
      </w:r>
      <w:r>
        <w:rPr>
          <w:rFonts w:hint="eastAsia" w:ascii="宋体" w:hAnsi="宋体" w:eastAsia="宋体"/>
          <w:color w:val="auto"/>
          <w:sz w:val="24"/>
          <w:szCs w:val="24"/>
          <w:highlight w:val="none"/>
          <w:lang w:eastAsia="zh-CN"/>
        </w:rPr>
        <w:t>）《工期计划表》（方案修改、初步设计、施工图设计的总工时和工期）；</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6</w:t>
      </w:r>
      <w:r>
        <w:rPr>
          <w:rFonts w:hint="eastAsia" w:ascii="宋体" w:hAnsi="宋体" w:eastAsia="宋体"/>
          <w:color w:val="auto"/>
          <w:sz w:val="24"/>
          <w:szCs w:val="24"/>
          <w:highlight w:val="none"/>
          <w:lang w:eastAsia="zh-CN"/>
        </w:rPr>
        <w:t>）投标人提出的建议、工程创新和替代方案（如果有）；</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7</w:t>
      </w:r>
      <w:r>
        <w:rPr>
          <w:rFonts w:hint="eastAsia" w:ascii="宋体" w:hAnsi="宋体" w:eastAsia="宋体"/>
          <w:color w:val="auto"/>
          <w:sz w:val="24"/>
          <w:szCs w:val="24"/>
          <w:highlight w:val="none"/>
          <w:lang w:eastAsia="zh-CN"/>
        </w:rPr>
        <w:t>）完成本项目的难点，保障工期、质量及投资控制的主要措施；</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8</w:t>
      </w:r>
      <w:r>
        <w:rPr>
          <w:rFonts w:hint="eastAsia" w:ascii="宋体" w:hAnsi="宋体" w:eastAsia="宋体"/>
          <w:color w:val="auto"/>
          <w:sz w:val="24"/>
          <w:szCs w:val="24"/>
          <w:highlight w:val="none"/>
          <w:lang w:eastAsia="zh-CN"/>
        </w:rPr>
        <w:t>）投标人认为有必要提供的其他资料。</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注：技术文件（含设计方案部分）为暗标。技术标中不能辨认出投标人或其专业技术人员的身份。不在设计方案上标注或做任何可以辨认投标人及专业技术人员身份的名称、印章、商标、图形等记认符号。</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投标人在评标过程中作出的符合法律法规和招标文件规定的澄清确认，构成定标文件的组成部分。</w:t>
      </w: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.2  技术文件（含设计方案部分）必须隐匿投标人及专业技术人员的名称，投标人不得在设计方案文件的设计方案、计算机文件、展示图纸上标注或做任何可以辨认投标人及专业技术人员身份的名称、印章、商标、图形等记认符号。</w:t>
      </w: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.3  技术文件备用光盘（暗标，不得标注名称、印章、商标、图形等记认符号，使人辨认出投标人或其专业技术人员的身份）及保密信封（此部分为纸质资料，与投标文件光盘（备用）一起提交）。</w:t>
      </w: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.4  保密信封</w:t>
      </w:r>
      <w:r>
        <w:rPr>
          <w:rFonts w:hint="eastAsia" w:ascii="宋体" w:hAnsi="宋体" w:eastAsia="宋体"/>
          <w:b/>
          <w:color w:val="auto"/>
          <w:sz w:val="24"/>
          <w:szCs w:val="24"/>
          <w:highlight w:val="none"/>
          <w:lang w:eastAsia="zh-CN"/>
        </w:rPr>
        <w:t>（此部分为纸质资料，与投标文件光盘（备用）一起提交）</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（1）设计投标保密信封，内附</w:t>
      </w:r>
      <w:r>
        <w:rPr>
          <w:rFonts w:ascii="宋体" w:hAnsi="宋体" w:eastAsia="宋体"/>
          <w:color w:val="auto"/>
          <w:sz w:val="24"/>
          <w:szCs w:val="24"/>
          <w:highlight w:val="none"/>
          <w:lang w:eastAsia="zh-CN"/>
        </w:rPr>
        <w:t>A3</w:t>
      </w:r>
      <w:r>
        <w:rPr>
          <w:rFonts w:hint="eastAsia" w:ascii="宋体" w:hAnsi="宋体" w:eastAsia="宋体"/>
          <w:color w:val="auto"/>
          <w:sz w:val="24"/>
          <w:szCs w:val="24"/>
          <w:highlight w:val="none"/>
          <w:lang w:eastAsia="zh-CN"/>
        </w:rPr>
        <w:t>规格制作的表现图</w:t>
      </w: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张，加盖投标人公章，项目负责人署名。表现图内容应与设计方案一致（并注明表现图在设计方案中的页码或图号），用于分辨投标文件对应的投标人身份。</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（2）保密信封用不透明信封独立密封。</w:t>
      </w:r>
    </w:p>
    <w:p>
      <w:pPr>
        <w:spacing w:line="360" w:lineRule="auto"/>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.5  备用光盘</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u w:val="single"/>
          <w:lang w:eastAsia="zh-CN"/>
        </w:rPr>
        <w:t>（1）投标人可制作非加密的商务文件光盘、技术文件光盘各1个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w:t>
      </w:r>
    </w:p>
    <w:p>
      <w:pPr>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（2）按招标公告要求需要提交投标文件光盘（备用），备用光盘不得加密。如使用投标文件光盘（备用）时无法读取或导入的，则视为未提交投标文件。</w:t>
      </w:r>
    </w:p>
    <w:p>
      <w:pPr>
        <w:pStyle w:val="4"/>
        <w:spacing w:line="360" w:lineRule="auto"/>
        <w:rPr>
          <w:color w:val="auto"/>
          <w:sz w:val="24"/>
          <w:szCs w:val="24"/>
          <w:highlight w:val="none"/>
          <w:lang w:eastAsia="zh-CN"/>
        </w:rPr>
      </w:pPr>
      <w:bookmarkStart w:id="119" w:name="_Toc143424775"/>
      <w:r>
        <w:rPr>
          <w:rFonts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lang w:eastAsia="zh-CN"/>
        </w:rPr>
        <w:t>深度要求</w:t>
      </w:r>
      <w:bookmarkEnd w:id="119"/>
    </w:p>
    <w:p>
      <w:pPr>
        <w:pStyle w:val="51"/>
        <w:spacing w:line="360" w:lineRule="auto"/>
        <w:ind w:firstLine="482" w:firstLineChars="200"/>
        <w:rPr>
          <w:rFonts w:ascii="宋体" w:hAnsi="宋体" w:eastAsia="宋体"/>
          <w:b/>
          <w:bCs/>
          <w:color w:val="auto"/>
          <w:highlight w:val="none"/>
        </w:rPr>
      </w:pPr>
      <w:r>
        <w:rPr>
          <w:rFonts w:hint="eastAsia" w:ascii="宋体" w:hAnsi="宋体" w:eastAsia="宋体"/>
          <w:b/>
          <w:bCs/>
          <w:color w:val="auto"/>
          <w:highlight w:val="none"/>
        </w:rPr>
        <w:t>（</w:t>
      </w:r>
      <w:r>
        <w:rPr>
          <w:rFonts w:ascii="宋体" w:hAnsi="宋体" w:eastAsia="宋体"/>
          <w:b/>
          <w:bCs/>
          <w:color w:val="auto"/>
          <w:highlight w:val="none"/>
        </w:rPr>
        <w:t>a</w:t>
      </w:r>
      <w:r>
        <w:rPr>
          <w:rFonts w:hint="eastAsia" w:ascii="宋体" w:hAnsi="宋体" w:eastAsia="宋体"/>
          <w:b/>
          <w:bCs/>
          <w:color w:val="auto"/>
          <w:highlight w:val="none"/>
        </w:rPr>
        <w:t>）建筑工程设计投标文件宜达到建设部《建筑工程设计文件编制深度规定》（</w:t>
      </w:r>
      <w:r>
        <w:rPr>
          <w:rFonts w:ascii="宋体" w:hAnsi="宋体" w:eastAsia="宋体"/>
          <w:b/>
          <w:bCs/>
          <w:color w:val="auto"/>
          <w:highlight w:val="none"/>
        </w:rPr>
        <w:t>2016</w:t>
      </w:r>
      <w:r>
        <w:rPr>
          <w:rFonts w:hint="eastAsia" w:ascii="宋体" w:hAnsi="宋体" w:eastAsia="宋体"/>
          <w:b/>
          <w:bCs/>
          <w:color w:val="auto"/>
          <w:highlight w:val="none"/>
        </w:rPr>
        <w:t>年版）相应设计阶段的要求。</w:t>
      </w:r>
    </w:p>
    <w:p>
      <w:pPr>
        <w:pStyle w:val="51"/>
        <w:spacing w:line="360" w:lineRule="auto"/>
        <w:ind w:firstLine="482" w:firstLineChars="200"/>
        <w:rPr>
          <w:rFonts w:ascii="宋体" w:hAnsi="宋体" w:eastAsia="宋体" w:cs="宋体"/>
          <w:b/>
          <w:bCs/>
          <w:color w:val="auto"/>
          <w:highlight w:val="none"/>
        </w:rPr>
      </w:pPr>
      <w:r>
        <w:rPr>
          <w:rFonts w:hint="eastAsia" w:ascii="宋体" w:hAnsi="宋体" w:eastAsia="宋体"/>
          <w:b/>
          <w:bCs/>
          <w:color w:val="auto"/>
          <w:highlight w:val="none"/>
        </w:rPr>
        <w:t>（</w:t>
      </w:r>
      <w:r>
        <w:rPr>
          <w:rFonts w:ascii="宋体" w:hAnsi="宋体" w:eastAsia="宋体"/>
          <w:b/>
          <w:bCs/>
          <w:color w:val="auto"/>
          <w:highlight w:val="none"/>
        </w:rPr>
        <w:t>b</w:t>
      </w:r>
      <w:r>
        <w:rPr>
          <w:rFonts w:hint="eastAsia" w:ascii="宋体" w:hAnsi="宋体" w:eastAsia="宋体"/>
          <w:b/>
          <w:bCs/>
          <w:color w:val="auto"/>
          <w:highlight w:val="none"/>
        </w:rPr>
        <w:t>）设计独特具有独创性的节点位置，应该提供示意图。</w:t>
      </w:r>
    </w:p>
    <w:p>
      <w:pPr>
        <w:spacing w:line="360" w:lineRule="auto"/>
        <w:ind w:firstLine="480" w:firstLineChars="200"/>
        <w:rPr>
          <w:rFonts w:ascii="宋体" w:hAnsi="宋体" w:eastAsia="宋体"/>
          <w:color w:val="auto"/>
          <w:sz w:val="24"/>
          <w:szCs w:val="24"/>
          <w:highlight w:val="none"/>
          <w:lang w:eastAsia="zh-CN"/>
        </w:rPr>
      </w:pPr>
    </w:p>
    <w:p>
      <w:pPr>
        <w:pStyle w:val="4"/>
        <w:spacing w:line="360" w:lineRule="auto"/>
        <w:ind w:left="0"/>
        <w:rPr>
          <w:color w:val="auto"/>
          <w:highlight w:val="none"/>
          <w:lang w:eastAsia="zh-CN"/>
        </w:rPr>
      </w:pPr>
      <w:r>
        <w:rPr>
          <w:rFonts w:ascii="宋体" w:hAnsi="宋体" w:eastAsia="宋体"/>
          <w:color w:val="auto"/>
          <w:highlight w:val="none"/>
          <w:lang w:eastAsia="zh-CN"/>
        </w:rPr>
        <w:br w:type="page"/>
      </w:r>
    </w:p>
    <w:p>
      <w:pPr>
        <w:pStyle w:val="4"/>
        <w:rPr>
          <w:rFonts w:ascii="宋体" w:hAnsi="宋体" w:eastAsia="宋体"/>
          <w:color w:val="auto"/>
          <w:highlight w:val="none"/>
          <w:lang w:eastAsia="zh-CN"/>
        </w:rPr>
        <w:sectPr>
          <w:footerReference r:id="rId10" w:type="first"/>
          <w:footerReference r:id="rId9" w:type="default"/>
          <w:pgSz w:w="11907" w:h="16839"/>
          <w:pgMar w:top="1440" w:right="1440" w:bottom="1440" w:left="1440" w:header="0" w:footer="918" w:gutter="0"/>
          <w:cols w:space="0" w:num="1"/>
          <w:docGrid w:linePitch="299" w:charSpace="0"/>
        </w:sectPr>
      </w:pPr>
    </w:p>
    <w:p>
      <w:pPr>
        <w:pStyle w:val="4"/>
        <w:spacing w:before="240"/>
        <w:rPr>
          <w:rFonts w:ascii="宋体" w:hAnsi="宋体" w:eastAsia="宋体"/>
          <w:color w:val="auto"/>
          <w:highlight w:val="none"/>
          <w:lang w:eastAsia="zh-CN"/>
        </w:rPr>
      </w:pPr>
      <w:bookmarkStart w:id="120" w:name="_Toc143424776"/>
      <w:r>
        <w:rPr>
          <w:rFonts w:hint="eastAsia" w:ascii="宋体" w:hAnsi="宋体" w:eastAsia="宋体"/>
          <w:color w:val="auto"/>
          <w:highlight w:val="none"/>
          <w:lang w:eastAsia="zh-CN"/>
        </w:rPr>
        <w:t>格式一 技术文件（含设计方案部分）</w:t>
      </w:r>
      <w:bookmarkEnd w:id="120"/>
    </w:p>
    <w:p>
      <w:pPr>
        <w:pStyle w:val="51"/>
        <w:rPr>
          <w:color w:val="auto"/>
          <w:highlight w:val="none"/>
        </w:rPr>
      </w:pPr>
    </w:p>
    <w:p>
      <w:pPr>
        <w:widowControl/>
        <w:rPr>
          <w:rFonts w:ascii="黑体" w:eastAsia="黑体" w:cs="黑体"/>
          <w:color w:val="auto"/>
          <w:sz w:val="24"/>
          <w:szCs w:val="24"/>
          <w:highlight w:val="none"/>
          <w:lang w:eastAsia="zh-CN"/>
        </w:rPr>
      </w:pPr>
      <w:r>
        <w:rPr>
          <w:color w:val="auto"/>
          <w:highlight w:val="none"/>
          <w:lang w:eastAsia="zh-CN"/>
        </w:rPr>
        <w:br w:type="page"/>
      </w:r>
    </w:p>
    <w:p>
      <w:pPr>
        <w:pStyle w:val="4"/>
        <w:spacing w:before="240"/>
        <w:rPr>
          <w:rFonts w:ascii="宋体" w:hAnsi="宋体" w:eastAsia="宋体"/>
          <w:color w:val="auto"/>
          <w:highlight w:val="none"/>
          <w:lang w:eastAsia="zh-CN"/>
        </w:rPr>
      </w:pPr>
      <w:bookmarkStart w:id="121" w:name="_Toc143424777"/>
      <w:r>
        <w:rPr>
          <w:rFonts w:hint="eastAsia" w:ascii="宋体" w:hAnsi="宋体" w:eastAsia="宋体"/>
          <w:color w:val="auto"/>
          <w:highlight w:val="none"/>
          <w:lang w:eastAsia="zh-CN"/>
        </w:rPr>
        <w:t>格式二 投标人认为还需要提供的其他资料</w:t>
      </w:r>
      <w:bookmarkEnd w:id="121"/>
    </w:p>
    <w:p>
      <w:pPr>
        <w:ind w:firstLine="300"/>
        <w:rPr>
          <w:color w:val="auto"/>
          <w:highlight w:val="none"/>
          <w:lang w:eastAsia="zh-CN"/>
        </w:rPr>
      </w:pPr>
    </w:p>
    <w:p>
      <w:pPr>
        <w:rPr>
          <w:color w:val="auto"/>
          <w:highlight w:val="none"/>
          <w:lang w:eastAsia="zh-CN"/>
        </w:rPr>
      </w:pPr>
    </w:p>
    <w:bookmarkEnd w:id="122"/>
    <w:sectPr>
      <w:pgSz w:w="11907" w:h="16839"/>
      <w:pgMar w:top="1440" w:right="1440" w:bottom="1440" w:left="1440" w:header="0" w:footer="918" w:gutter="0"/>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53</w:t>
    </w:r>
    <w:r>
      <w:rPr>
        <w:lang w:val="zh-CN" w:eastAsia="zh-CN"/>
      </w:rPr>
      <w:fldChar w:fldCharType="end"/>
    </w:r>
  </w:p>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56</w:t>
    </w:r>
    <w:r>
      <w:rPr>
        <w:lang w:val="zh-CN" w:eastAsia="zh-CN"/>
      </w:rPr>
      <w:fldChar w:fldCharType="end"/>
    </w:r>
  </w:p>
  <w:p>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76</w:t>
    </w:r>
    <w:r>
      <w:rPr>
        <w:lang w:val="zh-CN" w:eastAsia="zh-CN"/>
      </w:rPr>
      <w:fldChar w:fldCharType="end"/>
    </w:r>
  </w:p>
  <w:p>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63</w:t>
    </w:r>
    <w:r>
      <w:rPr>
        <w:lang w:val="zh-CN"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eastAsia="宋体"/>
        <w:sz w:val="20"/>
        <w:szCs w:val="20"/>
        <w:lang w:eastAsia="zh-CN"/>
      </w:rPr>
    </w:pPr>
    <w:r>
      <w:pict>
        <v:shape id="_x0000_s3073" o:spid="_x0000_s3073"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joinstyle="miter"/>
          <v:imagedata o:title=""/>
          <o:lock v:ext="edit" text="t" aspectratio="t"/>
          <v:textbox inset="0mm,0mm,0mm,0mm" style="mso-fit-shape-to-text:t;">
            <w:txbxContent>
              <w:p>
                <w:pPr>
                  <w:pStyle w:val="16"/>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78</w:t>
                </w:r>
                <w:r>
                  <w:rPr>
                    <w:rFonts w:hint="eastAsia" w:eastAsia="宋体"/>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82</w:t>
    </w:r>
    <w:r>
      <w:rPr>
        <w:lang w:val="zh-CN" w:eastAsia="zh-CN"/>
      </w:rPr>
      <w:fldChar w:fldCharType="end"/>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eastAsia="宋体"/>
        <w:sz w:val="20"/>
        <w:szCs w:val="20"/>
        <w:lang w:eastAsia="zh-CN"/>
      </w:rPr>
    </w:pPr>
    <w:r>
      <w:rPr>
        <w:lang w:eastAsia="zh-CN"/>
      </w:rPr>
      <w:pict>
        <v:shape id="文本框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V+SdAAAAADAQAADwAAAAAAAAABACAAAAAiAAAAZHJzL2Rvd25yZXYueG1sUEsBAhQAFAAA&#10;AAgAh07iQLsPNRz3AQAA2gMAAA4AAAAAAAAAAQAgAAAAHwEAAGRycy9lMm9Eb2MueG1sUEsFBgAA&#10;AAAGAAYAWQEAAIgFAAAAAA==&#10;">
          <v:path/>
          <v:fill on="f" focussize="0,0"/>
          <v:stroke on="f" joinstyle="miter"/>
          <v:imagedata o:title=""/>
          <o:lock v:ext="edit"/>
          <v:textbox inset="0mm,0mm,0mm,0mm" style="mso-fit-shape-to-text:t;">
            <w:txbxContent>
              <w:p>
                <w:pPr>
                  <w:pStyle w:val="16"/>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85</w:t>
                </w:r>
                <w:r>
                  <w:rPr>
                    <w:rFonts w:hint="eastAsia" w:eastAsia="宋体"/>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88</w:t>
    </w:r>
    <w:r>
      <w:rPr>
        <w:lang w:val="zh-CN" w:eastAsia="zh-CN"/>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7B9A4"/>
    <w:multiLevelType w:val="singleLevel"/>
    <w:tmpl w:val="4447B9A4"/>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wYTRkY2QyNDRiZjM0NDhkMWIyMzVlNGRmY2ZmNjUifQ=="/>
  </w:docVars>
  <w:rsids>
    <w:rsidRoot w:val="00650CB5"/>
    <w:rsid w:val="00002467"/>
    <w:rsid w:val="00007548"/>
    <w:rsid w:val="00007BFF"/>
    <w:rsid w:val="000247B5"/>
    <w:rsid w:val="00027A75"/>
    <w:rsid w:val="00032B35"/>
    <w:rsid w:val="00033A40"/>
    <w:rsid w:val="00037228"/>
    <w:rsid w:val="000424C8"/>
    <w:rsid w:val="00044855"/>
    <w:rsid w:val="00053AEB"/>
    <w:rsid w:val="00060512"/>
    <w:rsid w:val="000643EC"/>
    <w:rsid w:val="000648C8"/>
    <w:rsid w:val="00064F17"/>
    <w:rsid w:val="00067031"/>
    <w:rsid w:val="0007071C"/>
    <w:rsid w:val="000711B0"/>
    <w:rsid w:val="00075537"/>
    <w:rsid w:val="00082E51"/>
    <w:rsid w:val="000866B5"/>
    <w:rsid w:val="00087924"/>
    <w:rsid w:val="00091BDD"/>
    <w:rsid w:val="00092B53"/>
    <w:rsid w:val="00096F2C"/>
    <w:rsid w:val="000A0C1E"/>
    <w:rsid w:val="000A25D4"/>
    <w:rsid w:val="000B1E08"/>
    <w:rsid w:val="000C3355"/>
    <w:rsid w:val="000C5D62"/>
    <w:rsid w:val="000D6A72"/>
    <w:rsid w:val="000D6C47"/>
    <w:rsid w:val="000D7BF2"/>
    <w:rsid w:val="000E0F71"/>
    <w:rsid w:val="000E3C06"/>
    <w:rsid w:val="000E71AA"/>
    <w:rsid w:val="000E7856"/>
    <w:rsid w:val="000F00B4"/>
    <w:rsid w:val="000F0628"/>
    <w:rsid w:val="000F1227"/>
    <w:rsid w:val="000F21F0"/>
    <w:rsid w:val="000F2F33"/>
    <w:rsid w:val="000F4FD6"/>
    <w:rsid w:val="00102B67"/>
    <w:rsid w:val="00103D6C"/>
    <w:rsid w:val="001075AE"/>
    <w:rsid w:val="00110A27"/>
    <w:rsid w:val="00113C4B"/>
    <w:rsid w:val="00123B3D"/>
    <w:rsid w:val="00131C0F"/>
    <w:rsid w:val="00132318"/>
    <w:rsid w:val="0013556A"/>
    <w:rsid w:val="00140804"/>
    <w:rsid w:val="001420AE"/>
    <w:rsid w:val="0014305E"/>
    <w:rsid w:val="00143C63"/>
    <w:rsid w:val="001441B0"/>
    <w:rsid w:val="001457D5"/>
    <w:rsid w:val="0015071F"/>
    <w:rsid w:val="00153715"/>
    <w:rsid w:val="0017519A"/>
    <w:rsid w:val="00175D04"/>
    <w:rsid w:val="001803ED"/>
    <w:rsid w:val="00183F56"/>
    <w:rsid w:val="00187535"/>
    <w:rsid w:val="0019076F"/>
    <w:rsid w:val="00192CD6"/>
    <w:rsid w:val="00194278"/>
    <w:rsid w:val="0019584A"/>
    <w:rsid w:val="00195A48"/>
    <w:rsid w:val="00195F42"/>
    <w:rsid w:val="0019696D"/>
    <w:rsid w:val="001A2D29"/>
    <w:rsid w:val="001C42BA"/>
    <w:rsid w:val="001C4B0F"/>
    <w:rsid w:val="001C6FD9"/>
    <w:rsid w:val="001D274C"/>
    <w:rsid w:val="001E65C6"/>
    <w:rsid w:val="001E6FB4"/>
    <w:rsid w:val="00202178"/>
    <w:rsid w:val="00211BF8"/>
    <w:rsid w:val="002132C3"/>
    <w:rsid w:val="002148AB"/>
    <w:rsid w:val="00216518"/>
    <w:rsid w:val="00221635"/>
    <w:rsid w:val="0022225F"/>
    <w:rsid w:val="0022473C"/>
    <w:rsid w:val="002247E9"/>
    <w:rsid w:val="002332C3"/>
    <w:rsid w:val="00237E8F"/>
    <w:rsid w:val="002413FF"/>
    <w:rsid w:val="0024405D"/>
    <w:rsid w:val="00244FA6"/>
    <w:rsid w:val="002451CC"/>
    <w:rsid w:val="002516A6"/>
    <w:rsid w:val="00252C0D"/>
    <w:rsid w:val="00252EDA"/>
    <w:rsid w:val="0025345A"/>
    <w:rsid w:val="0025400F"/>
    <w:rsid w:val="002612A9"/>
    <w:rsid w:val="00272F67"/>
    <w:rsid w:val="002738FF"/>
    <w:rsid w:val="002808C8"/>
    <w:rsid w:val="00281421"/>
    <w:rsid w:val="002832D3"/>
    <w:rsid w:val="00283941"/>
    <w:rsid w:val="00290812"/>
    <w:rsid w:val="002930B0"/>
    <w:rsid w:val="00295DDC"/>
    <w:rsid w:val="002A45DE"/>
    <w:rsid w:val="002A4830"/>
    <w:rsid w:val="002A7580"/>
    <w:rsid w:val="002B0D34"/>
    <w:rsid w:val="002C5769"/>
    <w:rsid w:val="002D31C7"/>
    <w:rsid w:val="002D5E2C"/>
    <w:rsid w:val="002E055D"/>
    <w:rsid w:val="002F08C3"/>
    <w:rsid w:val="00301570"/>
    <w:rsid w:val="0030228D"/>
    <w:rsid w:val="003033D2"/>
    <w:rsid w:val="00305461"/>
    <w:rsid w:val="003074A0"/>
    <w:rsid w:val="003127F2"/>
    <w:rsid w:val="003171F7"/>
    <w:rsid w:val="003247A1"/>
    <w:rsid w:val="00324E56"/>
    <w:rsid w:val="003254D5"/>
    <w:rsid w:val="0033015E"/>
    <w:rsid w:val="00330EEF"/>
    <w:rsid w:val="00333B80"/>
    <w:rsid w:val="003371A3"/>
    <w:rsid w:val="00345D0D"/>
    <w:rsid w:val="003470C2"/>
    <w:rsid w:val="0034769B"/>
    <w:rsid w:val="0035009C"/>
    <w:rsid w:val="00351707"/>
    <w:rsid w:val="00355729"/>
    <w:rsid w:val="003558B6"/>
    <w:rsid w:val="003603F6"/>
    <w:rsid w:val="003631CD"/>
    <w:rsid w:val="00363E08"/>
    <w:rsid w:val="00365759"/>
    <w:rsid w:val="003666D9"/>
    <w:rsid w:val="003669DA"/>
    <w:rsid w:val="00366B5D"/>
    <w:rsid w:val="00374A67"/>
    <w:rsid w:val="00375A31"/>
    <w:rsid w:val="00375F26"/>
    <w:rsid w:val="00376621"/>
    <w:rsid w:val="00376DB4"/>
    <w:rsid w:val="00380012"/>
    <w:rsid w:val="003809ED"/>
    <w:rsid w:val="00381ABF"/>
    <w:rsid w:val="00382110"/>
    <w:rsid w:val="0038384C"/>
    <w:rsid w:val="00384E50"/>
    <w:rsid w:val="003903A5"/>
    <w:rsid w:val="0039137D"/>
    <w:rsid w:val="003A1E27"/>
    <w:rsid w:val="003B02D5"/>
    <w:rsid w:val="003B07B3"/>
    <w:rsid w:val="003B1078"/>
    <w:rsid w:val="003B2F46"/>
    <w:rsid w:val="003B41D5"/>
    <w:rsid w:val="003B4B3E"/>
    <w:rsid w:val="003B66C9"/>
    <w:rsid w:val="003C0659"/>
    <w:rsid w:val="003C26F8"/>
    <w:rsid w:val="003C29A7"/>
    <w:rsid w:val="003C49D0"/>
    <w:rsid w:val="003E259D"/>
    <w:rsid w:val="003F0028"/>
    <w:rsid w:val="003F096D"/>
    <w:rsid w:val="003F1239"/>
    <w:rsid w:val="003F1E5C"/>
    <w:rsid w:val="003F2718"/>
    <w:rsid w:val="003F4873"/>
    <w:rsid w:val="003F50EC"/>
    <w:rsid w:val="004000AF"/>
    <w:rsid w:val="004009A5"/>
    <w:rsid w:val="0040441C"/>
    <w:rsid w:val="004055E9"/>
    <w:rsid w:val="00406809"/>
    <w:rsid w:val="0041265F"/>
    <w:rsid w:val="00412F48"/>
    <w:rsid w:val="00416E6A"/>
    <w:rsid w:val="0042156D"/>
    <w:rsid w:val="004219AF"/>
    <w:rsid w:val="004240B5"/>
    <w:rsid w:val="00426C64"/>
    <w:rsid w:val="00427CB7"/>
    <w:rsid w:val="0043135B"/>
    <w:rsid w:val="00433EDE"/>
    <w:rsid w:val="00435C6C"/>
    <w:rsid w:val="0043691D"/>
    <w:rsid w:val="004439D0"/>
    <w:rsid w:val="0044624B"/>
    <w:rsid w:val="0044649F"/>
    <w:rsid w:val="00447568"/>
    <w:rsid w:val="00450B42"/>
    <w:rsid w:val="00460B62"/>
    <w:rsid w:val="00467734"/>
    <w:rsid w:val="00472B1D"/>
    <w:rsid w:val="00477173"/>
    <w:rsid w:val="00477B6D"/>
    <w:rsid w:val="00483B56"/>
    <w:rsid w:val="004856AF"/>
    <w:rsid w:val="00490CEF"/>
    <w:rsid w:val="00492962"/>
    <w:rsid w:val="00497E88"/>
    <w:rsid w:val="004A0D71"/>
    <w:rsid w:val="004A33C6"/>
    <w:rsid w:val="004A740E"/>
    <w:rsid w:val="004A74FF"/>
    <w:rsid w:val="004A7C13"/>
    <w:rsid w:val="004B26CB"/>
    <w:rsid w:val="004B4253"/>
    <w:rsid w:val="004B60C0"/>
    <w:rsid w:val="004C0A5F"/>
    <w:rsid w:val="004C182F"/>
    <w:rsid w:val="004C258D"/>
    <w:rsid w:val="004C3362"/>
    <w:rsid w:val="004C6363"/>
    <w:rsid w:val="004D0B19"/>
    <w:rsid w:val="004D2193"/>
    <w:rsid w:val="004D29C2"/>
    <w:rsid w:val="004E1D20"/>
    <w:rsid w:val="004E24A3"/>
    <w:rsid w:val="004F087E"/>
    <w:rsid w:val="004F1971"/>
    <w:rsid w:val="00500B1F"/>
    <w:rsid w:val="00501476"/>
    <w:rsid w:val="00503B24"/>
    <w:rsid w:val="005041E9"/>
    <w:rsid w:val="00504D56"/>
    <w:rsid w:val="0052115D"/>
    <w:rsid w:val="00522FA6"/>
    <w:rsid w:val="00536EB7"/>
    <w:rsid w:val="00541D4F"/>
    <w:rsid w:val="0054281C"/>
    <w:rsid w:val="005430A4"/>
    <w:rsid w:val="0054376F"/>
    <w:rsid w:val="00543836"/>
    <w:rsid w:val="005547DF"/>
    <w:rsid w:val="00557F88"/>
    <w:rsid w:val="00560749"/>
    <w:rsid w:val="00562092"/>
    <w:rsid w:val="00566CC3"/>
    <w:rsid w:val="00572DFB"/>
    <w:rsid w:val="00573D6E"/>
    <w:rsid w:val="005804D7"/>
    <w:rsid w:val="005806E4"/>
    <w:rsid w:val="00580FAD"/>
    <w:rsid w:val="00583124"/>
    <w:rsid w:val="00585005"/>
    <w:rsid w:val="00591F63"/>
    <w:rsid w:val="00592EBF"/>
    <w:rsid w:val="0059661D"/>
    <w:rsid w:val="005A3AD9"/>
    <w:rsid w:val="005B07D0"/>
    <w:rsid w:val="005C1575"/>
    <w:rsid w:val="005C2B48"/>
    <w:rsid w:val="005C4110"/>
    <w:rsid w:val="005C6287"/>
    <w:rsid w:val="005D3580"/>
    <w:rsid w:val="005D5616"/>
    <w:rsid w:val="005D64E3"/>
    <w:rsid w:val="005E0B0E"/>
    <w:rsid w:val="005E470C"/>
    <w:rsid w:val="005E7314"/>
    <w:rsid w:val="00601085"/>
    <w:rsid w:val="006068C1"/>
    <w:rsid w:val="00611EA8"/>
    <w:rsid w:val="0061354A"/>
    <w:rsid w:val="00613EAD"/>
    <w:rsid w:val="006152B0"/>
    <w:rsid w:val="00616413"/>
    <w:rsid w:val="006170C9"/>
    <w:rsid w:val="00625D4C"/>
    <w:rsid w:val="0063343E"/>
    <w:rsid w:val="006357C2"/>
    <w:rsid w:val="0064314E"/>
    <w:rsid w:val="00646DE1"/>
    <w:rsid w:val="00650CB5"/>
    <w:rsid w:val="0065188A"/>
    <w:rsid w:val="00663677"/>
    <w:rsid w:val="00663DD0"/>
    <w:rsid w:val="00665ECB"/>
    <w:rsid w:val="00666255"/>
    <w:rsid w:val="006734CE"/>
    <w:rsid w:val="00676897"/>
    <w:rsid w:val="006A0554"/>
    <w:rsid w:val="006A604B"/>
    <w:rsid w:val="006B3462"/>
    <w:rsid w:val="006B3CC2"/>
    <w:rsid w:val="006B3E3C"/>
    <w:rsid w:val="006B76DF"/>
    <w:rsid w:val="006C0935"/>
    <w:rsid w:val="006C39A7"/>
    <w:rsid w:val="006D4CDB"/>
    <w:rsid w:val="006D6118"/>
    <w:rsid w:val="006D6FFA"/>
    <w:rsid w:val="006D7680"/>
    <w:rsid w:val="006D7D6F"/>
    <w:rsid w:val="006E002D"/>
    <w:rsid w:val="006F41C2"/>
    <w:rsid w:val="006F55A0"/>
    <w:rsid w:val="006F6EC1"/>
    <w:rsid w:val="00702D38"/>
    <w:rsid w:val="007042DF"/>
    <w:rsid w:val="0070650B"/>
    <w:rsid w:val="00707BFC"/>
    <w:rsid w:val="0071101E"/>
    <w:rsid w:val="00711256"/>
    <w:rsid w:val="0071263F"/>
    <w:rsid w:val="00713F3B"/>
    <w:rsid w:val="00714DB3"/>
    <w:rsid w:val="00714F3C"/>
    <w:rsid w:val="00720148"/>
    <w:rsid w:val="00730804"/>
    <w:rsid w:val="007309D2"/>
    <w:rsid w:val="007313D6"/>
    <w:rsid w:val="00731DAE"/>
    <w:rsid w:val="00742C34"/>
    <w:rsid w:val="00742E95"/>
    <w:rsid w:val="00745AC9"/>
    <w:rsid w:val="00752425"/>
    <w:rsid w:val="00753722"/>
    <w:rsid w:val="007541B9"/>
    <w:rsid w:val="007600DD"/>
    <w:rsid w:val="00760F75"/>
    <w:rsid w:val="00762462"/>
    <w:rsid w:val="00762ABA"/>
    <w:rsid w:val="00762ED7"/>
    <w:rsid w:val="00763D7F"/>
    <w:rsid w:val="007658DB"/>
    <w:rsid w:val="00771073"/>
    <w:rsid w:val="007720F5"/>
    <w:rsid w:val="00775850"/>
    <w:rsid w:val="0077676E"/>
    <w:rsid w:val="0078058E"/>
    <w:rsid w:val="00780E14"/>
    <w:rsid w:val="00780F79"/>
    <w:rsid w:val="00786189"/>
    <w:rsid w:val="00786E90"/>
    <w:rsid w:val="007935F6"/>
    <w:rsid w:val="007A0E95"/>
    <w:rsid w:val="007A5024"/>
    <w:rsid w:val="007A516A"/>
    <w:rsid w:val="007A5E00"/>
    <w:rsid w:val="007B4D48"/>
    <w:rsid w:val="007B512E"/>
    <w:rsid w:val="007B5348"/>
    <w:rsid w:val="007C20CA"/>
    <w:rsid w:val="007C603F"/>
    <w:rsid w:val="007D18EC"/>
    <w:rsid w:val="007D454F"/>
    <w:rsid w:val="007E166F"/>
    <w:rsid w:val="007E20DE"/>
    <w:rsid w:val="007E7A39"/>
    <w:rsid w:val="007F6719"/>
    <w:rsid w:val="00803AF6"/>
    <w:rsid w:val="00811BE7"/>
    <w:rsid w:val="00817737"/>
    <w:rsid w:val="00833FE0"/>
    <w:rsid w:val="00840219"/>
    <w:rsid w:val="008408BE"/>
    <w:rsid w:val="00842864"/>
    <w:rsid w:val="00842C94"/>
    <w:rsid w:val="008446E5"/>
    <w:rsid w:val="008474F4"/>
    <w:rsid w:val="00860BAB"/>
    <w:rsid w:val="00862A0B"/>
    <w:rsid w:val="00864057"/>
    <w:rsid w:val="00864139"/>
    <w:rsid w:val="008764E2"/>
    <w:rsid w:val="00876D43"/>
    <w:rsid w:val="00893616"/>
    <w:rsid w:val="008953F2"/>
    <w:rsid w:val="008954E7"/>
    <w:rsid w:val="008A67AB"/>
    <w:rsid w:val="008B6507"/>
    <w:rsid w:val="008B7BDC"/>
    <w:rsid w:val="008C3616"/>
    <w:rsid w:val="008C4578"/>
    <w:rsid w:val="008C4C78"/>
    <w:rsid w:val="008C5E57"/>
    <w:rsid w:val="008E6737"/>
    <w:rsid w:val="008E6C92"/>
    <w:rsid w:val="008F3679"/>
    <w:rsid w:val="008F4ABB"/>
    <w:rsid w:val="009020C4"/>
    <w:rsid w:val="009054E1"/>
    <w:rsid w:val="009067A5"/>
    <w:rsid w:val="00907897"/>
    <w:rsid w:val="0092486E"/>
    <w:rsid w:val="00925679"/>
    <w:rsid w:val="009303B5"/>
    <w:rsid w:val="00931676"/>
    <w:rsid w:val="009409EA"/>
    <w:rsid w:val="00947D4F"/>
    <w:rsid w:val="00950B9E"/>
    <w:rsid w:val="00953614"/>
    <w:rsid w:val="009540CD"/>
    <w:rsid w:val="009552C4"/>
    <w:rsid w:val="0095569B"/>
    <w:rsid w:val="0095667B"/>
    <w:rsid w:val="009610D7"/>
    <w:rsid w:val="009625D3"/>
    <w:rsid w:val="00966E4D"/>
    <w:rsid w:val="00970DE6"/>
    <w:rsid w:val="00971EA5"/>
    <w:rsid w:val="009724FC"/>
    <w:rsid w:val="009727A3"/>
    <w:rsid w:val="00973EAD"/>
    <w:rsid w:val="00982BEB"/>
    <w:rsid w:val="00982BF0"/>
    <w:rsid w:val="00987464"/>
    <w:rsid w:val="0099588A"/>
    <w:rsid w:val="009A4A50"/>
    <w:rsid w:val="009A74C5"/>
    <w:rsid w:val="009B2734"/>
    <w:rsid w:val="009B31B5"/>
    <w:rsid w:val="009B47B4"/>
    <w:rsid w:val="009B6883"/>
    <w:rsid w:val="009B78F0"/>
    <w:rsid w:val="009B7ABC"/>
    <w:rsid w:val="009D1065"/>
    <w:rsid w:val="009D30C0"/>
    <w:rsid w:val="009E0F21"/>
    <w:rsid w:val="009E3393"/>
    <w:rsid w:val="009F2C9D"/>
    <w:rsid w:val="009F7DAD"/>
    <w:rsid w:val="009F7DF5"/>
    <w:rsid w:val="00A0057B"/>
    <w:rsid w:val="00A024E5"/>
    <w:rsid w:val="00A038FF"/>
    <w:rsid w:val="00A17A6C"/>
    <w:rsid w:val="00A23BA4"/>
    <w:rsid w:val="00A256ED"/>
    <w:rsid w:val="00A300D4"/>
    <w:rsid w:val="00A31589"/>
    <w:rsid w:val="00A362C0"/>
    <w:rsid w:val="00A37FA2"/>
    <w:rsid w:val="00A41D2B"/>
    <w:rsid w:val="00A441B0"/>
    <w:rsid w:val="00A50283"/>
    <w:rsid w:val="00A527F5"/>
    <w:rsid w:val="00A60922"/>
    <w:rsid w:val="00A6333A"/>
    <w:rsid w:val="00A64765"/>
    <w:rsid w:val="00A72F4B"/>
    <w:rsid w:val="00A850D3"/>
    <w:rsid w:val="00A86078"/>
    <w:rsid w:val="00A867C2"/>
    <w:rsid w:val="00A90B5A"/>
    <w:rsid w:val="00A966F8"/>
    <w:rsid w:val="00A96FCA"/>
    <w:rsid w:val="00A97F16"/>
    <w:rsid w:val="00AA3505"/>
    <w:rsid w:val="00AA6097"/>
    <w:rsid w:val="00AA7861"/>
    <w:rsid w:val="00AB0E22"/>
    <w:rsid w:val="00AB35F9"/>
    <w:rsid w:val="00AC1D9C"/>
    <w:rsid w:val="00AC6992"/>
    <w:rsid w:val="00AC6D3F"/>
    <w:rsid w:val="00AD3511"/>
    <w:rsid w:val="00AE08D7"/>
    <w:rsid w:val="00AE7BCA"/>
    <w:rsid w:val="00B0061B"/>
    <w:rsid w:val="00B01DFC"/>
    <w:rsid w:val="00B028E4"/>
    <w:rsid w:val="00B02DE1"/>
    <w:rsid w:val="00B033CE"/>
    <w:rsid w:val="00B03EB3"/>
    <w:rsid w:val="00B042F9"/>
    <w:rsid w:val="00B045AF"/>
    <w:rsid w:val="00B11868"/>
    <w:rsid w:val="00B12A30"/>
    <w:rsid w:val="00B21CFC"/>
    <w:rsid w:val="00B314C6"/>
    <w:rsid w:val="00B41B04"/>
    <w:rsid w:val="00B43381"/>
    <w:rsid w:val="00B4386C"/>
    <w:rsid w:val="00B617A2"/>
    <w:rsid w:val="00B621F0"/>
    <w:rsid w:val="00B62B7F"/>
    <w:rsid w:val="00B64039"/>
    <w:rsid w:val="00B70D6D"/>
    <w:rsid w:val="00B741CB"/>
    <w:rsid w:val="00B76978"/>
    <w:rsid w:val="00B92901"/>
    <w:rsid w:val="00B97CFA"/>
    <w:rsid w:val="00BA1954"/>
    <w:rsid w:val="00BA5256"/>
    <w:rsid w:val="00BA7260"/>
    <w:rsid w:val="00BB2028"/>
    <w:rsid w:val="00BB3824"/>
    <w:rsid w:val="00BB44AF"/>
    <w:rsid w:val="00BB5A36"/>
    <w:rsid w:val="00BC2025"/>
    <w:rsid w:val="00BC223B"/>
    <w:rsid w:val="00BC3665"/>
    <w:rsid w:val="00BC3A17"/>
    <w:rsid w:val="00BC4B8D"/>
    <w:rsid w:val="00BC65DF"/>
    <w:rsid w:val="00BC7E59"/>
    <w:rsid w:val="00BD06B7"/>
    <w:rsid w:val="00BD0969"/>
    <w:rsid w:val="00BD6AE9"/>
    <w:rsid w:val="00BE3E03"/>
    <w:rsid w:val="00BF4BFE"/>
    <w:rsid w:val="00C03FC0"/>
    <w:rsid w:val="00C109D5"/>
    <w:rsid w:val="00C127E8"/>
    <w:rsid w:val="00C16939"/>
    <w:rsid w:val="00C2507C"/>
    <w:rsid w:val="00C26ECC"/>
    <w:rsid w:val="00C6635D"/>
    <w:rsid w:val="00C67076"/>
    <w:rsid w:val="00C712E3"/>
    <w:rsid w:val="00C748C3"/>
    <w:rsid w:val="00C76F5B"/>
    <w:rsid w:val="00C800FE"/>
    <w:rsid w:val="00C80BE3"/>
    <w:rsid w:val="00C84453"/>
    <w:rsid w:val="00C8454D"/>
    <w:rsid w:val="00C85196"/>
    <w:rsid w:val="00C85A64"/>
    <w:rsid w:val="00C86527"/>
    <w:rsid w:val="00C96398"/>
    <w:rsid w:val="00C9684A"/>
    <w:rsid w:val="00CA1BE3"/>
    <w:rsid w:val="00CA3339"/>
    <w:rsid w:val="00CA44A0"/>
    <w:rsid w:val="00CA5244"/>
    <w:rsid w:val="00CB040C"/>
    <w:rsid w:val="00CB042B"/>
    <w:rsid w:val="00CB273F"/>
    <w:rsid w:val="00CB3CA5"/>
    <w:rsid w:val="00CB488C"/>
    <w:rsid w:val="00CB53E9"/>
    <w:rsid w:val="00CC4D78"/>
    <w:rsid w:val="00CD07BF"/>
    <w:rsid w:val="00CD7517"/>
    <w:rsid w:val="00CE5009"/>
    <w:rsid w:val="00CF0EA6"/>
    <w:rsid w:val="00CF7929"/>
    <w:rsid w:val="00D0136E"/>
    <w:rsid w:val="00D04AF8"/>
    <w:rsid w:val="00D04EFB"/>
    <w:rsid w:val="00D062C2"/>
    <w:rsid w:val="00D10129"/>
    <w:rsid w:val="00D10D79"/>
    <w:rsid w:val="00D14EF5"/>
    <w:rsid w:val="00D14FDB"/>
    <w:rsid w:val="00D16A71"/>
    <w:rsid w:val="00D24A4C"/>
    <w:rsid w:val="00D2515D"/>
    <w:rsid w:val="00D2799C"/>
    <w:rsid w:val="00D4447C"/>
    <w:rsid w:val="00D45BBE"/>
    <w:rsid w:val="00D4667A"/>
    <w:rsid w:val="00D509CA"/>
    <w:rsid w:val="00D61027"/>
    <w:rsid w:val="00D61657"/>
    <w:rsid w:val="00D64D04"/>
    <w:rsid w:val="00D81FF1"/>
    <w:rsid w:val="00D83DD0"/>
    <w:rsid w:val="00D869B9"/>
    <w:rsid w:val="00D876A1"/>
    <w:rsid w:val="00DA0361"/>
    <w:rsid w:val="00DA1214"/>
    <w:rsid w:val="00DA16B0"/>
    <w:rsid w:val="00DA746A"/>
    <w:rsid w:val="00DB02F6"/>
    <w:rsid w:val="00DB1640"/>
    <w:rsid w:val="00DB3726"/>
    <w:rsid w:val="00DC0F39"/>
    <w:rsid w:val="00DC69A6"/>
    <w:rsid w:val="00DD0C3B"/>
    <w:rsid w:val="00DD17AA"/>
    <w:rsid w:val="00DD43AF"/>
    <w:rsid w:val="00DE0D4C"/>
    <w:rsid w:val="00DE5DA7"/>
    <w:rsid w:val="00DF1521"/>
    <w:rsid w:val="00DF5FF0"/>
    <w:rsid w:val="00DF6194"/>
    <w:rsid w:val="00E20FA6"/>
    <w:rsid w:val="00E22706"/>
    <w:rsid w:val="00E25BD8"/>
    <w:rsid w:val="00E301FA"/>
    <w:rsid w:val="00E44D3E"/>
    <w:rsid w:val="00E55260"/>
    <w:rsid w:val="00E5551E"/>
    <w:rsid w:val="00E579D6"/>
    <w:rsid w:val="00E62F02"/>
    <w:rsid w:val="00E70150"/>
    <w:rsid w:val="00E72AAA"/>
    <w:rsid w:val="00E760EF"/>
    <w:rsid w:val="00E819C8"/>
    <w:rsid w:val="00E82651"/>
    <w:rsid w:val="00E83673"/>
    <w:rsid w:val="00E84484"/>
    <w:rsid w:val="00E905D0"/>
    <w:rsid w:val="00E90A21"/>
    <w:rsid w:val="00E96426"/>
    <w:rsid w:val="00EA25D2"/>
    <w:rsid w:val="00EA26AC"/>
    <w:rsid w:val="00EB03C0"/>
    <w:rsid w:val="00EB2529"/>
    <w:rsid w:val="00EB507E"/>
    <w:rsid w:val="00EB50EC"/>
    <w:rsid w:val="00EB6C31"/>
    <w:rsid w:val="00EC1DE4"/>
    <w:rsid w:val="00EC24AD"/>
    <w:rsid w:val="00EC6234"/>
    <w:rsid w:val="00EC6D3C"/>
    <w:rsid w:val="00ED6FDC"/>
    <w:rsid w:val="00ED7715"/>
    <w:rsid w:val="00EE24CF"/>
    <w:rsid w:val="00EE2C00"/>
    <w:rsid w:val="00EE4AF4"/>
    <w:rsid w:val="00EE6D1A"/>
    <w:rsid w:val="00EF0953"/>
    <w:rsid w:val="00EF1B12"/>
    <w:rsid w:val="00EF59D7"/>
    <w:rsid w:val="00EF65FF"/>
    <w:rsid w:val="00EF6BCD"/>
    <w:rsid w:val="00F002DD"/>
    <w:rsid w:val="00F03C9E"/>
    <w:rsid w:val="00F05C5D"/>
    <w:rsid w:val="00F0798E"/>
    <w:rsid w:val="00F10DE9"/>
    <w:rsid w:val="00F12C19"/>
    <w:rsid w:val="00F14AB9"/>
    <w:rsid w:val="00F20453"/>
    <w:rsid w:val="00F225BB"/>
    <w:rsid w:val="00F259A6"/>
    <w:rsid w:val="00F265A7"/>
    <w:rsid w:val="00F30730"/>
    <w:rsid w:val="00F30775"/>
    <w:rsid w:val="00F321BA"/>
    <w:rsid w:val="00F33050"/>
    <w:rsid w:val="00F374A2"/>
    <w:rsid w:val="00F37E7F"/>
    <w:rsid w:val="00F43B17"/>
    <w:rsid w:val="00F46D35"/>
    <w:rsid w:val="00F5075B"/>
    <w:rsid w:val="00F5203C"/>
    <w:rsid w:val="00F54FFA"/>
    <w:rsid w:val="00F567E4"/>
    <w:rsid w:val="00F56BA6"/>
    <w:rsid w:val="00F64354"/>
    <w:rsid w:val="00F647E5"/>
    <w:rsid w:val="00F70911"/>
    <w:rsid w:val="00F71028"/>
    <w:rsid w:val="00F72A9E"/>
    <w:rsid w:val="00F73A15"/>
    <w:rsid w:val="00F742C2"/>
    <w:rsid w:val="00F76686"/>
    <w:rsid w:val="00F76ADD"/>
    <w:rsid w:val="00F76B51"/>
    <w:rsid w:val="00F841A7"/>
    <w:rsid w:val="00F85916"/>
    <w:rsid w:val="00F86292"/>
    <w:rsid w:val="00F923DA"/>
    <w:rsid w:val="00F962A1"/>
    <w:rsid w:val="00F974F4"/>
    <w:rsid w:val="00F97FEA"/>
    <w:rsid w:val="00FB002C"/>
    <w:rsid w:val="00FC26EE"/>
    <w:rsid w:val="00FD25BC"/>
    <w:rsid w:val="00FD38E5"/>
    <w:rsid w:val="00FD3955"/>
    <w:rsid w:val="00FD4662"/>
    <w:rsid w:val="00FD5D62"/>
    <w:rsid w:val="00FD74D3"/>
    <w:rsid w:val="00FD79F2"/>
    <w:rsid w:val="00FE6064"/>
    <w:rsid w:val="00FF25E1"/>
    <w:rsid w:val="00FF762C"/>
    <w:rsid w:val="00FF76FE"/>
    <w:rsid w:val="01E3718B"/>
    <w:rsid w:val="027F7A41"/>
    <w:rsid w:val="0359332D"/>
    <w:rsid w:val="046B6304"/>
    <w:rsid w:val="05EC445F"/>
    <w:rsid w:val="066D176D"/>
    <w:rsid w:val="06AF407F"/>
    <w:rsid w:val="06F8472B"/>
    <w:rsid w:val="076B6537"/>
    <w:rsid w:val="07A9082B"/>
    <w:rsid w:val="07C1613C"/>
    <w:rsid w:val="0A105F0C"/>
    <w:rsid w:val="0AD021AE"/>
    <w:rsid w:val="0C5608C3"/>
    <w:rsid w:val="0C7A1998"/>
    <w:rsid w:val="0CCA2B95"/>
    <w:rsid w:val="0D8E04F1"/>
    <w:rsid w:val="0D9F0063"/>
    <w:rsid w:val="0DCB37DF"/>
    <w:rsid w:val="0F2E76D7"/>
    <w:rsid w:val="0FBE6276"/>
    <w:rsid w:val="0FFC1742"/>
    <w:rsid w:val="107A1E2C"/>
    <w:rsid w:val="10BB7F8F"/>
    <w:rsid w:val="10BF3080"/>
    <w:rsid w:val="1132208F"/>
    <w:rsid w:val="11A8715C"/>
    <w:rsid w:val="122338FE"/>
    <w:rsid w:val="12F40DF6"/>
    <w:rsid w:val="13913F79"/>
    <w:rsid w:val="140E43D0"/>
    <w:rsid w:val="143868E3"/>
    <w:rsid w:val="14D577AE"/>
    <w:rsid w:val="15846DF2"/>
    <w:rsid w:val="158D108E"/>
    <w:rsid w:val="15D31623"/>
    <w:rsid w:val="1697252A"/>
    <w:rsid w:val="16FC03FC"/>
    <w:rsid w:val="174D14DF"/>
    <w:rsid w:val="17684112"/>
    <w:rsid w:val="17AD05D4"/>
    <w:rsid w:val="1865152F"/>
    <w:rsid w:val="18EE4C32"/>
    <w:rsid w:val="18F86C0B"/>
    <w:rsid w:val="199364A9"/>
    <w:rsid w:val="19A03A86"/>
    <w:rsid w:val="19B278F9"/>
    <w:rsid w:val="19E51775"/>
    <w:rsid w:val="1A075356"/>
    <w:rsid w:val="1A11228E"/>
    <w:rsid w:val="1A706998"/>
    <w:rsid w:val="1AE04213"/>
    <w:rsid w:val="1B994AAE"/>
    <w:rsid w:val="1BB715C6"/>
    <w:rsid w:val="1BE97765"/>
    <w:rsid w:val="1C776115"/>
    <w:rsid w:val="1C8B3938"/>
    <w:rsid w:val="1D306858"/>
    <w:rsid w:val="1EAE09F3"/>
    <w:rsid w:val="1EBF2ED8"/>
    <w:rsid w:val="1EF02DBA"/>
    <w:rsid w:val="202B6988"/>
    <w:rsid w:val="20697247"/>
    <w:rsid w:val="20847FD0"/>
    <w:rsid w:val="211803A6"/>
    <w:rsid w:val="21246D4B"/>
    <w:rsid w:val="216312C0"/>
    <w:rsid w:val="2190618E"/>
    <w:rsid w:val="21FF457F"/>
    <w:rsid w:val="22C131B5"/>
    <w:rsid w:val="2347519C"/>
    <w:rsid w:val="239672FA"/>
    <w:rsid w:val="240974EA"/>
    <w:rsid w:val="2418246B"/>
    <w:rsid w:val="24955979"/>
    <w:rsid w:val="24C148B0"/>
    <w:rsid w:val="2657371E"/>
    <w:rsid w:val="26D0465C"/>
    <w:rsid w:val="27E06D89"/>
    <w:rsid w:val="282301DA"/>
    <w:rsid w:val="283846D7"/>
    <w:rsid w:val="2973261D"/>
    <w:rsid w:val="29C60324"/>
    <w:rsid w:val="2A1E23B1"/>
    <w:rsid w:val="2A770B9C"/>
    <w:rsid w:val="2A911507"/>
    <w:rsid w:val="2A9E5CC5"/>
    <w:rsid w:val="2B7148ED"/>
    <w:rsid w:val="2B874618"/>
    <w:rsid w:val="2BBE7D9C"/>
    <w:rsid w:val="2BC34373"/>
    <w:rsid w:val="2BDC543E"/>
    <w:rsid w:val="2C8E1808"/>
    <w:rsid w:val="2CB003D9"/>
    <w:rsid w:val="2CD864F9"/>
    <w:rsid w:val="2D2D19CD"/>
    <w:rsid w:val="2D3C4920"/>
    <w:rsid w:val="2D5C5359"/>
    <w:rsid w:val="2DC11049"/>
    <w:rsid w:val="2DCE7632"/>
    <w:rsid w:val="2E0D2687"/>
    <w:rsid w:val="2E3E4B64"/>
    <w:rsid w:val="2E6C1D31"/>
    <w:rsid w:val="2EB517B8"/>
    <w:rsid w:val="2F302D5E"/>
    <w:rsid w:val="2FAA48BF"/>
    <w:rsid w:val="30227A6C"/>
    <w:rsid w:val="30DE0DF2"/>
    <w:rsid w:val="3186310A"/>
    <w:rsid w:val="33576B0C"/>
    <w:rsid w:val="337776FE"/>
    <w:rsid w:val="347E6D4B"/>
    <w:rsid w:val="349B3370"/>
    <w:rsid w:val="34B45226"/>
    <w:rsid w:val="354E6779"/>
    <w:rsid w:val="374F29F0"/>
    <w:rsid w:val="376252FA"/>
    <w:rsid w:val="38591578"/>
    <w:rsid w:val="38653A79"/>
    <w:rsid w:val="38F44DFD"/>
    <w:rsid w:val="3B5D7DBE"/>
    <w:rsid w:val="3B893F22"/>
    <w:rsid w:val="3BBC538B"/>
    <w:rsid w:val="3C02567B"/>
    <w:rsid w:val="3CF6306D"/>
    <w:rsid w:val="3D714641"/>
    <w:rsid w:val="3E29379B"/>
    <w:rsid w:val="3E392297"/>
    <w:rsid w:val="3EC456A8"/>
    <w:rsid w:val="3F226657"/>
    <w:rsid w:val="40E25413"/>
    <w:rsid w:val="413F72A3"/>
    <w:rsid w:val="42D31499"/>
    <w:rsid w:val="43977959"/>
    <w:rsid w:val="43B009A8"/>
    <w:rsid w:val="442E1B0B"/>
    <w:rsid w:val="444B446B"/>
    <w:rsid w:val="44AD3A55"/>
    <w:rsid w:val="45D85A64"/>
    <w:rsid w:val="46020C7E"/>
    <w:rsid w:val="46216BF2"/>
    <w:rsid w:val="46601D24"/>
    <w:rsid w:val="46695187"/>
    <w:rsid w:val="470F4113"/>
    <w:rsid w:val="47B46AA5"/>
    <w:rsid w:val="480E56E2"/>
    <w:rsid w:val="48181D3F"/>
    <w:rsid w:val="4855631E"/>
    <w:rsid w:val="486A12C4"/>
    <w:rsid w:val="48B0193B"/>
    <w:rsid w:val="49033566"/>
    <w:rsid w:val="49D54B2A"/>
    <w:rsid w:val="49FC1D63"/>
    <w:rsid w:val="4AE9600A"/>
    <w:rsid w:val="4B172A17"/>
    <w:rsid w:val="4B3624E8"/>
    <w:rsid w:val="4B5A3449"/>
    <w:rsid w:val="4B703F28"/>
    <w:rsid w:val="4C39729F"/>
    <w:rsid w:val="4C4B52F4"/>
    <w:rsid w:val="4D8B58D8"/>
    <w:rsid w:val="4F194B09"/>
    <w:rsid w:val="4F591FFC"/>
    <w:rsid w:val="4FA64C4B"/>
    <w:rsid w:val="502A23B3"/>
    <w:rsid w:val="50947874"/>
    <w:rsid w:val="50D43A3A"/>
    <w:rsid w:val="50EC6A3E"/>
    <w:rsid w:val="5133250E"/>
    <w:rsid w:val="51A905BC"/>
    <w:rsid w:val="51CC0966"/>
    <w:rsid w:val="521D20E0"/>
    <w:rsid w:val="528C649F"/>
    <w:rsid w:val="53751DF0"/>
    <w:rsid w:val="5379664C"/>
    <w:rsid w:val="53960403"/>
    <w:rsid w:val="54D94BBA"/>
    <w:rsid w:val="54FB6560"/>
    <w:rsid w:val="559D089E"/>
    <w:rsid w:val="55AF66B1"/>
    <w:rsid w:val="560C332E"/>
    <w:rsid w:val="5645767F"/>
    <w:rsid w:val="56A31C15"/>
    <w:rsid w:val="56C02A96"/>
    <w:rsid w:val="56CB745A"/>
    <w:rsid w:val="56FD3F2C"/>
    <w:rsid w:val="57CF03CF"/>
    <w:rsid w:val="587D6765"/>
    <w:rsid w:val="591C1F8E"/>
    <w:rsid w:val="59643A01"/>
    <w:rsid w:val="59777658"/>
    <w:rsid w:val="59927FEE"/>
    <w:rsid w:val="59B91ACE"/>
    <w:rsid w:val="59EB293F"/>
    <w:rsid w:val="5A687F8A"/>
    <w:rsid w:val="5AA010B8"/>
    <w:rsid w:val="5AD54636"/>
    <w:rsid w:val="5B392E17"/>
    <w:rsid w:val="5BC30933"/>
    <w:rsid w:val="5BCB1058"/>
    <w:rsid w:val="5BF925A6"/>
    <w:rsid w:val="5C0B3646"/>
    <w:rsid w:val="5C3F26AF"/>
    <w:rsid w:val="5C4B1624"/>
    <w:rsid w:val="5D867528"/>
    <w:rsid w:val="5DA14CA4"/>
    <w:rsid w:val="5E1E102A"/>
    <w:rsid w:val="5E6C72F5"/>
    <w:rsid w:val="5E8C5BFC"/>
    <w:rsid w:val="5F6649D9"/>
    <w:rsid w:val="5FA20B62"/>
    <w:rsid w:val="6018661A"/>
    <w:rsid w:val="60597AB8"/>
    <w:rsid w:val="60CD295D"/>
    <w:rsid w:val="611C4DA2"/>
    <w:rsid w:val="61972646"/>
    <w:rsid w:val="6316132E"/>
    <w:rsid w:val="635602DE"/>
    <w:rsid w:val="650B6804"/>
    <w:rsid w:val="666229E9"/>
    <w:rsid w:val="683706DE"/>
    <w:rsid w:val="68582403"/>
    <w:rsid w:val="690C2163"/>
    <w:rsid w:val="69545211"/>
    <w:rsid w:val="6A331379"/>
    <w:rsid w:val="6AB06526"/>
    <w:rsid w:val="6B2D24AF"/>
    <w:rsid w:val="6B8945AA"/>
    <w:rsid w:val="6CEF0700"/>
    <w:rsid w:val="6DC65610"/>
    <w:rsid w:val="6E0F5663"/>
    <w:rsid w:val="6E6E5582"/>
    <w:rsid w:val="6ECE1671"/>
    <w:rsid w:val="6F2614AD"/>
    <w:rsid w:val="70692EEE"/>
    <w:rsid w:val="714C2921"/>
    <w:rsid w:val="718962A5"/>
    <w:rsid w:val="71BA427F"/>
    <w:rsid w:val="71DC670C"/>
    <w:rsid w:val="72D54D7C"/>
    <w:rsid w:val="73EB169C"/>
    <w:rsid w:val="74275AAB"/>
    <w:rsid w:val="7479207F"/>
    <w:rsid w:val="74795BDB"/>
    <w:rsid w:val="74B24854"/>
    <w:rsid w:val="761754B3"/>
    <w:rsid w:val="76785033"/>
    <w:rsid w:val="769B4277"/>
    <w:rsid w:val="76DC6F10"/>
    <w:rsid w:val="77BC475C"/>
    <w:rsid w:val="78C1355C"/>
    <w:rsid w:val="79213FC6"/>
    <w:rsid w:val="796E35ED"/>
    <w:rsid w:val="79B7167F"/>
    <w:rsid w:val="7A081F06"/>
    <w:rsid w:val="7A391CE2"/>
    <w:rsid w:val="7AD4000F"/>
    <w:rsid w:val="7B285144"/>
    <w:rsid w:val="7B5022EF"/>
    <w:rsid w:val="7BA3095C"/>
    <w:rsid w:val="7C19556E"/>
    <w:rsid w:val="7CB22B7B"/>
    <w:rsid w:val="7CC77E2B"/>
    <w:rsid w:val="7CE1323F"/>
    <w:rsid w:val="7D0A74F5"/>
    <w:rsid w:val="7D0E2473"/>
    <w:rsid w:val="7D92392D"/>
    <w:rsid w:val="7EA83C8C"/>
    <w:rsid w:val="7EF00E6D"/>
    <w:rsid w:val="7F0B7D77"/>
    <w:rsid w:val="7F947F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1"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Times New Roman" w:hAnsi="Times New Roman" w:eastAsia="Calibri" w:cs="Times New Roman"/>
      <w:sz w:val="22"/>
      <w:szCs w:val="22"/>
      <w:lang w:val="en-US" w:eastAsia="en-US" w:bidi="ar-SA"/>
    </w:rPr>
  </w:style>
  <w:style w:type="paragraph" w:styleId="2">
    <w:name w:val="heading 1"/>
    <w:basedOn w:val="1"/>
    <w:next w:val="1"/>
    <w:link w:val="31"/>
    <w:autoRedefine/>
    <w:qFormat/>
    <w:uiPriority w:val="1"/>
    <w:pPr>
      <w:ind w:left="3"/>
      <w:outlineLvl w:val="0"/>
    </w:pPr>
    <w:rPr>
      <w:rFonts w:ascii="Microsoft JhengHei" w:hAnsi="Microsoft JhengHei" w:eastAsia="Microsoft JhengHei"/>
      <w:b/>
      <w:bCs/>
      <w:sz w:val="44"/>
      <w:szCs w:val="44"/>
    </w:rPr>
  </w:style>
  <w:style w:type="paragraph" w:styleId="3">
    <w:name w:val="heading 2"/>
    <w:basedOn w:val="1"/>
    <w:next w:val="1"/>
    <w:link w:val="49"/>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autoRedefine/>
    <w:qFormat/>
    <w:uiPriority w:val="1"/>
    <w:pPr>
      <w:ind w:left="100"/>
      <w:outlineLvl w:val="2"/>
    </w:pPr>
    <w:rPr>
      <w:rFonts w:ascii="Microsoft JhengHei" w:hAnsi="Microsoft JhengHei" w:eastAsia="Microsoft JhengHei"/>
      <w:b/>
      <w:bCs/>
      <w:sz w:val="32"/>
      <w:szCs w:val="32"/>
    </w:rPr>
  </w:style>
  <w:style w:type="paragraph" w:styleId="5">
    <w:name w:val="heading 4"/>
    <w:basedOn w:val="1"/>
    <w:next w:val="1"/>
    <w:link w:val="33"/>
    <w:autoRedefine/>
    <w:qFormat/>
    <w:uiPriority w:val="1"/>
    <w:pPr>
      <w:ind w:left="237"/>
      <w:outlineLvl w:val="3"/>
    </w:pPr>
    <w:rPr>
      <w:rFonts w:ascii="宋体" w:hAnsi="宋体" w:eastAsia="宋体"/>
      <w:sz w:val="28"/>
      <w:szCs w:val="28"/>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320"/>
    </w:pPr>
    <w:rPr>
      <w:rFonts w:asciiTheme="minorHAnsi" w:eastAsiaTheme="minorHAnsi"/>
      <w:sz w:val="18"/>
      <w:szCs w:val="18"/>
    </w:rPr>
  </w:style>
  <w:style w:type="paragraph" w:styleId="7">
    <w:name w:val="Normal Indent"/>
    <w:basedOn w:val="1"/>
    <w:next w:val="1"/>
    <w:autoRedefine/>
    <w:qFormat/>
    <w:uiPriority w:val="0"/>
    <w:pPr>
      <w:ind w:firstLine="420"/>
      <w:jc w:val="both"/>
    </w:pPr>
    <w:rPr>
      <w:rFonts w:ascii="仿宋_GB2312" w:eastAsia="宋体"/>
      <w:b/>
      <w:kern w:val="2"/>
      <w:sz w:val="32"/>
      <w:szCs w:val="20"/>
      <w:lang w:eastAsia="zh-CN"/>
    </w:rPr>
  </w:style>
  <w:style w:type="paragraph" w:styleId="8">
    <w:name w:val="annotation text"/>
    <w:basedOn w:val="1"/>
    <w:link w:val="47"/>
    <w:autoRedefine/>
    <w:qFormat/>
    <w:uiPriority w:val="0"/>
  </w:style>
  <w:style w:type="paragraph" w:styleId="9">
    <w:name w:val="Body Text 3"/>
    <w:basedOn w:val="1"/>
    <w:link w:val="34"/>
    <w:autoRedefine/>
    <w:qFormat/>
    <w:uiPriority w:val="0"/>
    <w:pPr>
      <w:jc w:val="both"/>
    </w:pPr>
    <w:rPr>
      <w:rFonts w:ascii="宋体" w:eastAsia="宋体"/>
      <w:kern w:val="2"/>
      <w:sz w:val="24"/>
      <w:szCs w:val="20"/>
    </w:rPr>
  </w:style>
  <w:style w:type="paragraph" w:styleId="10">
    <w:name w:val="Body Text"/>
    <w:basedOn w:val="1"/>
    <w:next w:val="1"/>
    <w:link w:val="35"/>
    <w:autoRedefine/>
    <w:qFormat/>
    <w:uiPriority w:val="1"/>
    <w:pPr>
      <w:ind w:left="100"/>
    </w:pPr>
    <w:rPr>
      <w:rFonts w:ascii="宋体" w:hAnsi="宋体" w:eastAsia="宋体"/>
      <w:sz w:val="21"/>
      <w:szCs w:val="21"/>
    </w:rPr>
  </w:style>
  <w:style w:type="paragraph" w:styleId="11">
    <w:name w:val="toc 5"/>
    <w:basedOn w:val="1"/>
    <w:next w:val="1"/>
    <w:autoRedefine/>
    <w:unhideWhenUsed/>
    <w:qFormat/>
    <w:uiPriority w:val="39"/>
    <w:pPr>
      <w:ind w:left="880"/>
    </w:pPr>
    <w:rPr>
      <w:rFonts w:asciiTheme="minorHAnsi" w:eastAsiaTheme="minorHAnsi"/>
      <w:sz w:val="18"/>
      <w:szCs w:val="18"/>
    </w:rPr>
  </w:style>
  <w:style w:type="paragraph" w:styleId="12">
    <w:name w:val="toc 3"/>
    <w:basedOn w:val="1"/>
    <w:next w:val="1"/>
    <w:autoRedefine/>
    <w:qFormat/>
    <w:uiPriority w:val="39"/>
    <w:pPr>
      <w:ind w:left="440"/>
    </w:pPr>
    <w:rPr>
      <w:rFonts w:asciiTheme="minorHAnsi" w:eastAsiaTheme="minorHAnsi"/>
      <w:i/>
      <w:iCs/>
      <w:sz w:val="20"/>
      <w:szCs w:val="20"/>
    </w:rPr>
  </w:style>
  <w:style w:type="paragraph" w:styleId="13">
    <w:name w:val="Plain Text"/>
    <w:basedOn w:val="1"/>
    <w:next w:val="1"/>
    <w:link w:val="36"/>
    <w:autoRedefine/>
    <w:qFormat/>
    <w:uiPriority w:val="99"/>
    <w:pPr>
      <w:jc w:val="both"/>
    </w:pPr>
    <w:rPr>
      <w:rFonts w:ascii="宋体" w:hAnsi="Courier New" w:eastAsia="宋体"/>
      <w:kern w:val="2"/>
      <w:sz w:val="21"/>
      <w:szCs w:val="20"/>
    </w:rPr>
  </w:style>
  <w:style w:type="paragraph" w:styleId="14">
    <w:name w:val="toc 8"/>
    <w:basedOn w:val="1"/>
    <w:next w:val="1"/>
    <w:autoRedefine/>
    <w:unhideWhenUsed/>
    <w:qFormat/>
    <w:uiPriority w:val="39"/>
    <w:pPr>
      <w:ind w:left="1540"/>
    </w:pPr>
    <w:rPr>
      <w:rFonts w:asciiTheme="minorHAnsi" w:eastAsiaTheme="minorHAnsi"/>
      <w:sz w:val="18"/>
      <w:szCs w:val="18"/>
    </w:rPr>
  </w:style>
  <w:style w:type="paragraph" w:styleId="15">
    <w:name w:val="Balloon Text"/>
    <w:basedOn w:val="1"/>
    <w:link w:val="37"/>
    <w:autoRedefine/>
    <w:qFormat/>
    <w:uiPriority w:val="0"/>
    <w:rPr>
      <w:sz w:val="18"/>
      <w:szCs w:val="18"/>
    </w:rPr>
  </w:style>
  <w:style w:type="paragraph" w:styleId="16">
    <w:name w:val="footer"/>
    <w:basedOn w:val="1"/>
    <w:link w:val="38"/>
    <w:autoRedefine/>
    <w:qFormat/>
    <w:uiPriority w:val="99"/>
    <w:pPr>
      <w:tabs>
        <w:tab w:val="center" w:pos="4153"/>
        <w:tab w:val="right" w:pos="8306"/>
      </w:tabs>
      <w:snapToGrid w:val="0"/>
    </w:pPr>
    <w:rPr>
      <w:sz w:val="18"/>
      <w:szCs w:val="18"/>
    </w:rPr>
  </w:style>
  <w:style w:type="paragraph" w:styleId="17">
    <w:name w:val="header"/>
    <w:basedOn w:val="1"/>
    <w:link w:val="39"/>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spacing w:before="120" w:after="120"/>
    </w:pPr>
    <w:rPr>
      <w:rFonts w:asciiTheme="minorHAnsi" w:eastAsiaTheme="minorHAnsi"/>
      <w:b/>
      <w:bCs/>
      <w:caps/>
      <w:sz w:val="20"/>
      <w:szCs w:val="20"/>
    </w:rPr>
  </w:style>
  <w:style w:type="paragraph" w:styleId="19">
    <w:name w:val="toc 4"/>
    <w:basedOn w:val="1"/>
    <w:next w:val="1"/>
    <w:autoRedefine/>
    <w:unhideWhenUsed/>
    <w:qFormat/>
    <w:uiPriority w:val="39"/>
    <w:pPr>
      <w:ind w:left="660"/>
    </w:pPr>
    <w:rPr>
      <w:rFonts w:asciiTheme="minorHAnsi" w:eastAsiaTheme="minorHAnsi"/>
      <w:sz w:val="18"/>
      <w:szCs w:val="18"/>
    </w:rPr>
  </w:style>
  <w:style w:type="paragraph" w:styleId="20">
    <w:name w:val="toc 6"/>
    <w:basedOn w:val="1"/>
    <w:next w:val="1"/>
    <w:autoRedefine/>
    <w:unhideWhenUsed/>
    <w:qFormat/>
    <w:uiPriority w:val="39"/>
    <w:pPr>
      <w:ind w:left="1100"/>
    </w:pPr>
    <w:rPr>
      <w:rFonts w:asciiTheme="minorHAnsi" w:eastAsiaTheme="minorHAnsi"/>
      <w:sz w:val="18"/>
      <w:szCs w:val="18"/>
    </w:rPr>
  </w:style>
  <w:style w:type="paragraph" w:styleId="21">
    <w:name w:val="toc 2"/>
    <w:basedOn w:val="1"/>
    <w:next w:val="1"/>
    <w:autoRedefine/>
    <w:qFormat/>
    <w:uiPriority w:val="1"/>
    <w:pPr>
      <w:ind w:left="220"/>
    </w:pPr>
    <w:rPr>
      <w:rFonts w:asciiTheme="minorHAnsi" w:eastAsiaTheme="minorHAnsi"/>
      <w:smallCaps/>
      <w:sz w:val="20"/>
      <w:szCs w:val="20"/>
    </w:rPr>
  </w:style>
  <w:style w:type="paragraph" w:styleId="22">
    <w:name w:val="toc 9"/>
    <w:basedOn w:val="1"/>
    <w:next w:val="1"/>
    <w:autoRedefine/>
    <w:unhideWhenUsed/>
    <w:qFormat/>
    <w:uiPriority w:val="39"/>
    <w:pPr>
      <w:ind w:left="1760"/>
    </w:pPr>
    <w:rPr>
      <w:rFonts w:asciiTheme="minorHAnsi" w:eastAsiaTheme="minorHAnsi"/>
      <w:sz w:val="18"/>
      <w:szCs w:val="18"/>
    </w:rPr>
  </w:style>
  <w:style w:type="paragraph" w:styleId="23">
    <w:name w:val="Normal (Web)"/>
    <w:basedOn w:val="1"/>
    <w:autoRedefine/>
    <w:unhideWhenUsed/>
    <w:qFormat/>
    <w:uiPriority w:val="0"/>
    <w:pPr>
      <w:widowControl/>
    </w:pPr>
    <w:rPr>
      <w:rFonts w:ascii="微软雅黑" w:hAnsi="微软雅黑" w:eastAsia="微软雅黑" w:cs="宋体"/>
      <w:sz w:val="24"/>
      <w:szCs w:val="24"/>
      <w:lang w:eastAsia="zh-CN"/>
    </w:rPr>
  </w:style>
  <w:style w:type="paragraph" w:styleId="24">
    <w:name w:val="annotation subject"/>
    <w:basedOn w:val="8"/>
    <w:next w:val="8"/>
    <w:link w:val="48"/>
    <w:autoRedefine/>
    <w:qFormat/>
    <w:uiPriority w:val="0"/>
    <w:rPr>
      <w:b/>
      <w:bCs/>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autoRedefine/>
    <w:qFormat/>
    <w:uiPriority w:val="0"/>
    <w:rPr>
      <w:b/>
    </w:rPr>
  </w:style>
  <w:style w:type="character" w:styleId="29">
    <w:name w:val="Hyperlink"/>
    <w:autoRedefine/>
    <w:unhideWhenUsed/>
    <w:qFormat/>
    <w:uiPriority w:val="99"/>
    <w:rPr>
      <w:color w:val="0000FF"/>
      <w:u w:val="single"/>
    </w:rPr>
  </w:style>
  <w:style w:type="character" w:styleId="30">
    <w:name w:val="annotation reference"/>
    <w:autoRedefine/>
    <w:qFormat/>
    <w:uiPriority w:val="0"/>
    <w:rPr>
      <w:sz w:val="21"/>
      <w:szCs w:val="21"/>
    </w:rPr>
  </w:style>
  <w:style w:type="character" w:customStyle="1" w:styleId="31">
    <w:name w:val="标题 1 Char"/>
    <w:basedOn w:val="27"/>
    <w:link w:val="2"/>
    <w:autoRedefine/>
    <w:qFormat/>
    <w:uiPriority w:val="1"/>
    <w:rPr>
      <w:rFonts w:ascii="Microsoft JhengHei" w:hAnsi="Microsoft JhengHei" w:eastAsia="Microsoft JhengHei" w:cs="Times New Roman"/>
      <w:b/>
      <w:bCs/>
      <w:kern w:val="0"/>
      <w:sz w:val="44"/>
      <w:szCs w:val="44"/>
      <w:lang w:eastAsia="en-US"/>
    </w:rPr>
  </w:style>
  <w:style w:type="character" w:customStyle="1" w:styleId="32">
    <w:name w:val="标题 3 Char"/>
    <w:basedOn w:val="27"/>
    <w:link w:val="4"/>
    <w:autoRedefine/>
    <w:qFormat/>
    <w:uiPriority w:val="1"/>
    <w:rPr>
      <w:rFonts w:ascii="Microsoft JhengHei" w:hAnsi="Microsoft JhengHei" w:eastAsia="Microsoft JhengHei" w:cs="Times New Roman"/>
      <w:b/>
      <w:bCs/>
      <w:kern w:val="0"/>
      <w:sz w:val="32"/>
      <w:szCs w:val="32"/>
      <w:lang w:eastAsia="en-US"/>
    </w:rPr>
  </w:style>
  <w:style w:type="character" w:customStyle="1" w:styleId="33">
    <w:name w:val="标题 4 Char"/>
    <w:basedOn w:val="27"/>
    <w:link w:val="5"/>
    <w:autoRedefine/>
    <w:qFormat/>
    <w:uiPriority w:val="1"/>
    <w:rPr>
      <w:rFonts w:ascii="宋体" w:hAnsi="宋体" w:eastAsia="宋体" w:cs="Times New Roman"/>
      <w:kern w:val="0"/>
      <w:sz w:val="28"/>
      <w:szCs w:val="28"/>
      <w:lang w:eastAsia="en-US"/>
    </w:rPr>
  </w:style>
  <w:style w:type="character" w:customStyle="1" w:styleId="34">
    <w:name w:val="正文文本 3 Char"/>
    <w:basedOn w:val="27"/>
    <w:link w:val="9"/>
    <w:autoRedefine/>
    <w:qFormat/>
    <w:uiPriority w:val="0"/>
    <w:rPr>
      <w:rFonts w:ascii="宋体" w:hAnsi="Times New Roman" w:eastAsia="宋体" w:cs="Times New Roman"/>
      <w:sz w:val="24"/>
      <w:szCs w:val="20"/>
      <w:lang w:eastAsia="en-US"/>
    </w:rPr>
  </w:style>
  <w:style w:type="character" w:customStyle="1" w:styleId="35">
    <w:name w:val="正文文本 Char"/>
    <w:basedOn w:val="27"/>
    <w:link w:val="10"/>
    <w:autoRedefine/>
    <w:qFormat/>
    <w:uiPriority w:val="1"/>
    <w:rPr>
      <w:rFonts w:ascii="宋体" w:hAnsi="宋体" w:eastAsia="宋体" w:cs="Times New Roman"/>
      <w:kern w:val="0"/>
      <w:szCs w:val="21"/>
      <w:lang w:eastAsia="en-US"/>
    </w:rPr>
  </w:style>
  <w:style w:type="character" w:customStyle="1" w:styleId="36">
    <w:name w:val="纯文本 Char"/>
    <w:basedOn w:val="27"/>
    <w:link w:val="13"/>
    <w:autoRedefine/>
    <w:qFormat/>
    <w:uiPriority w:val="0"/>
    <w:rPr>
      <w:rFonts w:ascii="宋体" w:hAnsi="Courier New" w:eastAsia="宋体" w:cs="Times New Roman"/>
      <w:szCs w:val="20"/>
      <w:lang w:eastAsia="en-US"/>
    </w:rPr>
  </w:style>
  <w:style w:type="character" w:customStyle="1" w:styleId="37">
    <w:name w:val="批注框文本 Char"/>
    <w:basedOn w:val="27"/>
    <w:link w:val="15"/>
    <w:autoRedefine/>
    <w:qFormat/>
    <w:uiPriority w:val="0"/>
    <w:rPr>
      <w:rFonts w:ascii="Times New Roman" w:hAnsi="Times New Roman" w:eastAsia="Calibri" w:cs="Times New Roman"/>
      <w:kern w:val="0"/>
      <w:sz w:val="18"/>
      <w:szCs w:val="18"/>
      <w:lang w:eastAsia="en-US"/>
    </w:rPr>
  </w:style>
  <w:style w:type="character" w:customStyle="1" w:styleId="38">
    <w:name w:val="页脚 Char"/>
    <w:basedOn w:val="27"/>
    <w:link w:val="16"/>
    <w:autoRedefine/>
    <w:qFormat/>
    <w:uiPriority w:val="99"/>
    <w:rPr>
      <w:rFonts w:ascii="Times New Roman" w:hAnsi="Times New Roman" w:eastAsia="Calibri" w:cs="Times New Roman"/>
      <w:kern w:val="0"/>
      <w:sz w:val="18"/>
      <w:szCs w:val="18"/>
      <w:lang w:eastAsia="en-US"/>
    </w:rPr>
  </w:style>
  <w:style w:type="character" w:customStyle="1" w:styleId="39">
    <w:name w:val="页眉 Char"/>
    <w:basedOn w:val="27"/>
    <w:link w:val="17"/>
    <w:autoRedefine/>
    <w:qFormat/>
    <w:uiPriority w:val="0"/>
    <w:rPr>
      <w:rFonts w:ascii="Times New Roman" w:hAnsi="Times New Roman" w:eastAsia="Calibri" w:cs="Times New Roman"/>
      <w:kern w:val="0"/>
      <w:sz w:val="18"/>
      <w:szCs w:val="18"/>
      <w:lang w:eastAsia="en-US"/>
    </w:rPr>
  </w:style>
  <w:style w:type="paragraph" w:customStyle="1" w:styleId="40">
    <w:name w:val="Table Paragraph"/>
    <w:basedOn w:val="1"/>
    <w:autoRedefine/>
    <w:qFormat/>
    <w:uiPriority w:val="0"/>
    <w:pPr>
      <w:jc w:val="center"/>
    </w:pPr>
    <w:rPr>
      <w:rFonts w:ascii="宋体" w:hAnsi="宋体" w:eastAsia="宋体" w:cs="宋体"/>
      <w:color w:val="000000" w:themeColor="text1"/>
      <w:kern w:val="1"/>
      <w:sz w:val="21"/>
      <w:szCs w:val="21"/>
      <w:lang w:val="zh-CN" w:eastAsia="zh-CN"/>
    </w:rPr>
  </w:style>
  <w:style w:type="paragraph" w:customStyle="1" w:styleId="41">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列出段落1"/>
    <w:basedOn w:val="1"/>
    <w:autoRedefine/>
    <w:unhideWhenUsed/>
    <w:qFormat/>
    <w:uiPriority w:val="99"/>
    <w:pPr>
      <w:ind w:firstLine="420" w:firstLineChars="200"/>
      <w:jc w:val="both"/>
    </w:pPr>
    <w:rPr>
      <w:rFonts w:eastAsia="宋体"/>
      <w:kern w:val="2"/>
      <w:sz w:val="21"/>
      <w:szCs w:val="24"/>
      <w:lang w:eastAsia="zh-CN"/>
    </w:rPr>
  </w:style>
  <w:style w:type="paragraph" w:customStyle="1" w:styleId="43">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4">
    <w:name w:val="文二"/>
    <w:basedOn w:val="1"/>
    <w:autoRedefine/>
    <w:qFormat/>
    <w:uiPriority w:val="0"/>
    <w:rPr>
      <w:rFonts w:ascii="宋体" w:hAnsi="宋体" w:eastAsia="宋体"/>
      <w:kern w:val="2"/>
      <w:sz w:val="21"/>
      <w:szCs w:val="21"/>
      <w:lang w:eastAsia="zh-CN"/>
    </w:rPr>
  </w:style>
  <w:style w:type="paragraph" w:customStyle="1" w:styleId="45">
    <w:name w:val="Other|1"/>
    <w:basedOn w:val="1"/>
    <w:autoRedefine/>
    <w:qFormat/>
    <w:uiPriority w:val="0"/>
    <w:pPr>
      <w:spacing w:line="228" w:lineRule="exact"/>
    </w:pPr>
    <w:rPr>
      <w:rFonts w:ascii="宋体" w:hAnsi="宋体" w:eastAsia="宋体" w:cs="宋体"/>
      <w:sz w:val="17"/>
      <w:szCs w:val="17"/>
      <w:lang w:val="zh-TW" w:eastAsia="zh-TW" w:bidi="zh-TW"/>
    </w:rPr>
  </w:style>
  <w:style w:type="paragraph" w:customStyle="1" w:styleId="46">
    <w:name w:val="Normal_3_0"/>
    <w:autoRedefine/>
    <w:qFormat/>
    <w:uiPriority w:val="0"/>
    <w:pPr>
      <w:widowControl w:val="0"/>
    </w:pPr>
    <w:rPr>
      <w:rFonts w:ascii="Times New Roman" w:hAnsi="Times New Roman" w:eastAsia="宋体" w:cs="Times New Roman"/>
      <w:kern w:val="2"/>
      <w:sz w:val="21"/>
      <w:szCs w:val="24"/>
      <w:lang w:val="en-US" w:eastAsia="zh-CN" w:bidi="ar-SA"/>
    </w:rPr>
  </w:style>
  <w:style w:type="character" w:customStyle="1" w:styleId="47">
    <w:name w:val="批注文字 Char"/>
    <w:basedOn w:val="27"/>
    <w:link w:val="8"/>
    <w:autoRedefine/>
    <w:qFormat/>
    <w:uiPriority w:val="0"/>
    <w:rPr>
      <w:rFonts w:ascii="Times New Roman" w:hAnsi="Times New Roman" w:eastAsia="Calibri" w:cs="Times New Roman"/>
      <w:kern w:val="0"/>
      <w:sz w:val="22"/>
      <w:szCs w:val="22"/>
      <w:lang w:eastAsia="en-US"/>
    </w:rPr>
  </w:style>
  <w:style w:type="character" w:customStyle="1" w:styleId="48">
    <w:name w:val="批注主题 Char"/>
    <w:basedOn w:val="47"/>
    <w:link w:val="24"/>
    <w:autoRedefine/>
    <w:qFormat/>
    <w:uiPriority w:val="0"/>
    <w:rPr>
      <w:rFonts w:ascii="Times New Roman" w:hAnsi="Times New Roman" w:eastAsia="Calibri" w:cs="Times New Roman"/>
      <w:b/>
      <w:bCs/>
      <w:kern w:val="0"/>
      <w:sz w:val="22"/>
      <w:szCs w:val="22"/>
      <w:lang w:eastAsia="en-US"/>
    </w:rPr>
  </w:style>
  <w:style w:type="character" w:customStyle="1" w:styleId="49">
    <w:name w:val="标题 2 Char"/>
    <w:basedOn w:val="27"/>
    <w:link w:val="3"/>
    <w:autoRedefine/>
    <w:qFormat/>
    <w:uiPriority w:val="0"/>
    <w:rPr>
      <w:rFonts w:asciiTheme="majorHAnsi" w:hAnsiTheme="majorHAnsi" w:eastAsiaTheme="majorEastAsia" w:cstheme="majorBidi"/>
      <w:b/>
      <w:bCs/>
      <w:kern w:val="0"/>
      <w:sz w:val="32"/>
      <w:szCs w:val="32"/>
      <w:lang w:eastAsia="en-US"/>
    </w:rPr>
  </w:style>
  <w:style w:type="paragraph" w:customStyle="1" w:styleId="50">
    <w:name w:val="样式 宋体 行距: 1.5 倍行距"/>
    <w:basedOn w:val="1"/>
    <w:autoRedefine/>
    <w:qFormat/>
    <w:uiPriority w:val="0"/>
    <w:pPr>
      <w:jc w:val="center"/>
    </w:pPr>
    <w:rPr>
      <w:rFonts w:eastAsia="宋体"/>
      <w:b/>
      <w:kern w:val="2"/>
      <w:sz w:val="21"/>
      <w:szCs w:val="24"/>
      <w:lang w:eastAsia="zh-CN"/>
    </w:rPr>
  </w:style>
  <w:style w:type="paragraph" w:customStyle="1" w:styleId="51">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2">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ED269-1D28-439C-AF89-1B3CBED511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7034</Words>
  <Characters>40097</Characters>
  <Lines>334</Lines>
  <Paragraphs>94</Paragraphs>
  <TotalTime>309</TotalTime>
  <ScaleCrop>false</ScaleCrop>
  <LinksUpToDate>false</LinksUpToDate>
  <CharactersWithSpaces>47037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2023-11-30T13:16:00Z</dcterms:created>
  <dc:creator>羽 潘</dc:creator>
  <cp:lastModifiedBy>mandy</cp:lastModifiedBy>
  <cp:lastPrinted>2024-03-05T07:55:00Z</cp:lastPrinted>
  <dcterms:modified xsi:type="dcterms:W3CDTF">2024-03-19T07:15:30Z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C8FCCADB50E64504A5C0A8F5276088C5_13</vt:lpwstr>
  </property>
</Properties>
</file>